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97EC" w14:textId="77777777" w:rsidR="00D261C1" w:rsidRDefault="00D261C1" w:rsidP="00D261C1">
      <w:pPr>
        <w:spacing w:line="480" w:lineRule="auto"/>
        <w:jc w:val="center"/>
        <w:rPr>
          <w:rFonts w:ascii="Times New Roman" w:hAnsi="Times New Roman" w:cs="Times New Roman"/>
          <w:bCs/>
          <w:color w:val="000000" w:themeColor="text1"/>
        </w:rPr>
      </w:pPr>
      <w:r w:rsidRPr="001C513E">
        <w:rPr>
          <w:rFonts w:ascii="Times New Roman" w:hAnsi="Times New Roman" w:cs="Times New Roman"/>
          <w:bCs/>
          <w:color w:val="000000" w:themeColor="text1"/>
        </w:rPr>
        <w:t>Supplementary Material for Yau et al</w:t>
      </w:r>
    </w:p>
    <w:p w14:paraId="246E0F0E" w14:textId="77777777" w:rsidR="001C513E" w:rsidRPr="001C513E" w:rsidRDefault="001C513E" w:rsidP="00D261C1">
      <w:pPr>
        <w:spacing w:line="480" w:lineRule="auto"/>
        <w:jc w:val="center"/>
        <w:rPr>
          <w:rFonts w:ascii="Times New Roman" w:hAnsi="Times New Roman" w:cs="Times New Roman"/>
          <w:bCs/>
          <w:color w:val="000000" w:themeColor="text1"/>
        </w:rPr>
      </w:pPr>
    </w:p>
    <w:p w14:paraId="2D444927" w14:textId="77777777" w:rsidR="00D261C1" w:rsidRPr="00D261C1" w:rsidRDefault="00D261C1" w:rsidP="00D261C1">
      <w:pPr>
        <w:jc w:val="center"/>
        <w:rPr>
          <w:rFonts w:ascii="Arial" w:hAnsi="Arial" w:cs="Arial"/>
          <w:b/>
          <w:bCs/>
          <w:color w:val="000000" w:themeColor="text1"/>
          <w:sz w:val="26"/>
        </w:rPr>
      </w:pPr>
      <w:r w:rsidRPr="00D261C1">
        <w:rPr>
          <w:rFonts w:ascii="Arial" w:hAnsi="Arial" w:cs="Arial"/>
          <w:b/>
          <w:bCs/>
          <w:color w:val="000000" w:themeColor="text1"/>
          <w:sz w:val="26"/>
        </w:rPr>
        <w:t>Paediatric traumatic brain injury as a risk factor for psychosis and psychotic symptoms: a systematic review and meta-analysis</w:t>
      </w:r>
    </w:p>
    <w:p w14:paraId="2FB7386F" w14:textId="77777777" w:rsidR="00D261C1" w:rsidRDefault="00D261C1" w:rsidP="00D261C1">
      <w:pPr>
        <w:spacing w:line="480" w:lineRule="auto"/>
        <w:jc w:val="center"/>
        <w:rPr>
          <w:rFonts w:ascii="Times New Roman" w:hAnsi="Times New Roman" w:cs="Times New Roman"/>
          <w:b/>
          <w:bCs/>
          <w:color w:val="000000" w:themeColor="text1"/>
        </w:rPr>
      </w:pPr>
    </w:p>
    <w:p w14:paraId="22FCB6F1" w14:textId="77777777" w:rsidR="00D261C1" w:rsidRDefault="00D261C1" w:rsidP="00D261C1">
      <w:pPr>
        <w:spacing w:line="480" w:lineRule="auto"/>
        <w:jc w:val="center"/>
        <w:rPr>
          <w:rFonts w:ascii="Times New Roman" w:hAnsi="Times New Roman" w:cs="Times New Roman"/>
          <w:b/>
          <w:bCs/>
          <w:color w:val="000000" w:themeColor="text1"/>
        </w:rPr>
      </w:pPr>
    </w:p>
    <w:p w14:paraId="5403135E" w14:textId="77777777" w:rsidR="00D261C1" w:rsidRDefault="00D261C1">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50AD27F" w14:textId="39CF5F7F" w:rsidR="00D261C1" w:rsidRPr="00D63D2D" w:rsidRDefault="00D261C1" w:rsidP="00D261C1">
      <w:pPr>
        <w:spacing w:line="480" w:lineRule="auto"/>
        <w:jc w:val="center"/>
        <w:rPr>
          <w:rFonts w:ascii="Times New Roman" w:hAnsi="Times New Roman" w:cs="Times New Roman"/>
          <w:b/>
          <w:bCs/>
          <w:color w:val="000000" w:themeColor="text1"/>
        </w:rPr>
      </w:pPr>
      <w:r w:rsidRPr="00D63D2D">
        <w:rPr>
          <w:rFonts w:ascii="Times New Roman" w:hAnsi="Times New Roman" w:cs="Times New Roman"/>
          <w:b/>
          <w:bCs/>
          <w:color w:val="000000" w:themeColor="text1"/>
        </w:rPr>
        <w:lastRenderedPageBreak/>
        <w:t xml:space="preserve">Appendix </w:t>
      </w:r>
      <w:r w:rsidR="008E28E3">
        <w:rPr>
          <w:rFonts w:ascii="Times New Roman" w:hAnsi="Times New Roman" w:cs="Times New Roman"/>
          <w:b/>
          <w:bCs/>
          <w:color w:val="000000" w:themeColor="text1"/>
        </w:rPr>
        <w:t>S</w:t>
      </w:r>
      <w:r w:rsidRPr="00D63D2D">
        <w:rPr>
          <w:rFonts w:ascii="Times New Roman" w:hAnsi="Times New Roman" w:cs="Times New Roman"/>
          <w:b/>
          <w:bCs/>
          <w:color w:val="000000" w:themeColor="text1"/>
        </w:rPr>
        <w:t>1</w:t>
      </w:r>
    </w:p>
    <w:p w14:paraId="5B3A0157"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 xml:space="preserve">PsycINFO (from 1806) and MEDLINE (from 1946) databases were searched via Ovid. </w:t>
      </w:r>
    </w:p>
    <w:p w14:paraId="5B525114"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 Brain Injuries/</w:t>
      </w:r>
    </w:p>
    <w:p w14:paraId="7FFD4A5F"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 Traumatic Brain Injury/</w:t>
      </w:r>
    </w:p>
    <w:p w14:paraId="331B241C"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3. Brain Concussion/</w:t>
      </w:r>
    </w:p>
    <w:p w14:paraId="33451AEB"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4. Psychosis/</w:t>
      </w:r>
    </w:p>
    <w:p w14:paraId="7D266D8D"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5. Schizophrenia/</w:t>
      </w:r>
    </w:p>
    <w:p w14:paraId="4645C5AA"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6. (TBI or traumatic brain injur* or brain injur* or head injur* or cerebral trauma or craniocerebral injur* or concussion* or skull fracture*).ab,id,ti.</w:t>
      </w:r>
    </w:p>
    <w:p w14:paraId="7DBCE5F1"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7. (psychosis or psychotic or psychotic disorder* or psychotic exp* or psychotic?like exp* or schizophreni* or delusional disorder* or delusion* or hallucinat* or psychiatric illness* or psychiatric disorder*).ab,id,ti.</w:t>
      </w:r>
    </w:p>
    <w:p w14:paraId="52CE50ED"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8. (infan* or baby* or babies or toddler* or preschool* or child* or pediat* or paediat* or prepubescen* or prepuberty* or puberty or pubescen* or teen* or young* or youth* or minors* or underag* or juvenile* or preadolesc* or adolesc*).ab,id,ti.</w:t>
      </w:r>
    </w:p>
    <w:p w14:paraId="50037009"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9. (childhood birth 12 yrs or preschool age 2 5 yrs or school age 6 12 yrs or adolescence 13 17 yrs).ag.</w:t>
      </w:r>
    </w:p>
    <w:p w14:paraId="2EEDDE3D"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10. 1 or 2 or 3 or 6</w:t>
      </w:r>
    </w:p>
    <w:p w14:paraId="7673A33F"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11. 4 or 5 or 7</w:t>
      </w:r>
    </w:p>
    <w:p w14:paraId="4D4AA6F7"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12. 8 or 9</w:t>
      </w:r>
    </w:p>
    <w:p w14:paraId="43F42DF8"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13. 10 and 11 and 12</w:t>
      </w:r>
    </w:p>
    <w:p w14:paraId="09944D93"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14. Brain Injuries/</w:t>
      </w:r>
    </w:p>
    <w:p w14:paraId="1970C903"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15. Brain Injuries, Traumatic/</w:t>
      </w:r>
    </w:p>
    <w:p w14:paraId="16DC2BF1"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16. Brain Concussion/</w:t>
      </w:r>
    </w:p>
    <w:p w14:paraId="178E8AB4"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17. Psychotic Disorders/</w:t>
      </w:r>
    </w:p>
    <w:p w14:paraId="526BE02D"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lastRenderedPageBreak/>
        <w:t>18. Schizophrenia/</w:t>
      </w:r>
    </w:p>
    <w:p w14:paraId="0F83EE73"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19. Infant/</w:t>
      </w:r>
    </w:p>
    <w:p w14:paraId="535F6BEC"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20. Child, Preschool/</w:t>
      </w:r>
    </w:p>
    <w:p w14:paraId="0EBC14C7"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21. Child/</w:t>
      </w:r>
    </w:p>
    <w:p w14:paraId="6075DA2D"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22. Adolescent/</w:t>
      </w:r>
    </w:p>
    <w:p w14:paraId="243FDFEB"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23. (TBI or traumatic brain injur* or brain injur* or head injur* or cerebral trauma or craniocerebral injur* or concussion* or skull fracture*).ab,kw,ti.</w:t>
      </w:r>
    </w:p>
    <w:p w14:paraId="417DFF9B"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24. (psychosis or psychotic or psychotic disorder* or psychotic exp* or psychotic?like exp* or schizophreni* or delusional disorder* or delusion* or hallucinat* or psychiatric illness* or psychiatric disorder*).ab,kw,ti.</w:t>
      </w:r>
    </w:p>
    <w:p w14:paraId="19C3B0DB"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25. (infan* or baby* or babies or toddler* or preschool* or child* or pediat* or paediat* or prepubescen* or prepuberty* or puberty or pubescen* or teen* or young* or youth* or minors* or underag* or juvenile* or preadolesc* or adolesc*).ab,kw,ti.</w:t>
      </w:r>
    </w:p>
    <w:p w14:paraId="03648958"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26. 14 or 15 or 16 or 23</w:t>
      </w:r>
    </w:p>
    <w:p w14:paraId="42F5A8E5"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27. 17 or 18 or 24</w:t>
      </w:r>
    </w:p>
    <w:p w14:paraId="655D2E4F"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28. 19 or 20 or 21 or 22 or 25</w:t>
      </w:r>
    </w:p>
    <w:p w14:paraId="42C673BA"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29. 26 and 27 and 28</w:t>
      </w:r>
    </w:p>
    <w:p w14:paraId="5252770B" w14:textId="77777777" w:rsidR="00D261C1" w:rsidRPr="00D63D2D" w:rsidRDefault="00D261C1" w:rsidP="00D261C1">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30. 13 or 29</w:t>
      </w:r>
    </w:p>
    <w:p w14:paraId="645E2FFB" w14:textId="605263E8" w:rsidR="00D261C1" w:rsidRDefault="00D261C1" w:rsidP="008E28E3">
      <w:pPr>
        <w:spacing w:line="480" w:lineRule="auto"/>
        <w:rPr>
          <w:rFonts w:ascii="Times New Roman" w:hAnsi="Times New Roman" w:cs="Times New Roman"/>
          <w:color w:val="000000" w:themeColor="text1"/>
        </w:rPr>
      </w:pPr>
      <w:r w:rsidRPr="00D63D2D">
        <w:rPr>
          <w:rFonts w:ascii="Times New Roman" w:hAnsi="Times New Roman" w:cs="Times New Roman"/>
          <w:color w:val="000000" w:themeColor="text1"/>
        </w:rPr>
        <w:t>31. remove duplicates from 30</w:t>
      </w:r>
    </w:p>
    <w:p w14:paraId="53CFB6C3" w14:textId="62A33DDD" w:rsidR="008E28E3" w:rsidRDefault="008E28E3" w:rsidP="008E28E3">
      <w:pPr>
        <w:spacing w:line="480" w:lineRule="auto"/>
        <w:rPr>
          <w:rFonts w:ascii="Times New Roman" w:hAnsi="Times New Roman" w:cs="Times New Roman"/>
          <w:color w:val="000000" w:themeColor="text1"/>
        </w:rPr>
      </w:pPr>
    </w:p>
    <w:p w14:paraId="4D4642AF" w14:textId="77777777" w:rsidR="008E28E3" w:rsidRDefault="008E28E3" w:rsidP="008E28E3">
      <w:pPr>
        <w:spacing w:line="480" w:lineRule="auto"/>
        <w:rPr>
          <w:rFonts w:ascii="Times New Roman" w:hAnsi="Times New Roman" w:cs="Times New Roman"/>
          <w:color w:val="000000" w:themeColor="text1"/>
        </w:rPr>
        <w:sectPr w:rsidR="008E28E3" w:rsidSect="002F1E4B">
          <w:footerReference w:type="default" r:id="rId7"/>
          <w:pgSz w:w="11906" w:h="16838"/>
          <w:pgMar w:top="1440" w:right="1440" w:bottom="1440" w:left="1440" w:header="709" w:footer="709" w:gutter="0"/>
          <w:pgNumType w:start="1"/>
          <w:cols w:space="708"/>
          <w:docGrid w:linePitch="360"/>
        </w:sectPr>
      </w:pPr>
    </w:p>
    <w:p w14:paraId="2FF2CE57" w14:textId="467F0BC5" w:rsidR="008E28E3" w:rsidRPr="00D659BB" w:rsidRDefault="008E28E3" w:rsidP="008E28E3">
      <w:pPr>
        <w:pStyle w:val="NormalWeb"/>
        <w:spacing w:before="0" w:beforeAutospacing="0" w:after="0" w:afterAutospacing="0" w:line="360" w:lineRule="auto"/>
        <w:ind w:hanging="851"/>
        <w:rPr>
          <w:rFonts w:ascii="Arial" w:hAnsi="Arial" w:cs="Arial"/>
          <w:color w:val="000000" w:themeColor="text1"/>
          <w:sz w:val="20"/>
          <w:szCs w:val="20"/>
        </w:rPr>
      </w:pPr>
      <w:r w:rsidRPr="008742EE">
        <w:rPr>
          <w:rFonts w:ascii="Arial" w:hAnsi="Arial" w:cs="Arial"/>
          <w:b/>
          <w:color w:val="000000" w:themeColor="text1"/>
          <w:sz w:val="20"/>
          <w:szCs w:val="20"/>
        </w:rPr>
        <w:lastRenderedPageBreak/>
        <w:t xml:space="preserve">Table </w:t>
      </w:r>
      <w:r>
        <w:rPr>
          <w:rFonts w:ascii="Arial" w:hAnsi="Arial" w:cs="Arial"/>
          <w:b/>
          <w:color w:val="000000" w:themeColor="text1"/>
          <w:sz w:val="20"/>
          <w:szCs w:val="20"/>
        </w:rPr>
        <w:t>S1</w:t>
      </w:r>
      <w:r w:rsidRPr="008742EE">
        <w:rPr>
          <w:rFonts w:ascii="Arial" w:hAnsi="Arial" w:cs="Arial"/>
          <w:color w:val="000000" w:themeColor="text1"/>
          <w:sz w:val="20"/>
          <w:szCs w:val="20"/>
        </w:rPr>
        <w:t xml:space="preserve">. </w:t>
      </w:r>
      <w:r w:rsidRPr="00D659BB">
        <w:rPr>
          <w:rFonts w:ascii="Arial" w:hAnsi="Arial" w:cs="Arial"/>
          <w:color w:val="000000" w:themeColor="text1"/>
          <w:sz w:val="20"/>
          <w:szCs w:val="20"/>
        </w:rPr>
        <w:t>Characteristics of primary studies from MEDLINE &amp; PsycINFO included in systematic review</w:t>
      </w:r>
    </w:p>
    <w:tbl>
      <w:tblPr>
        <w:tblW w:w="5698" w:type="pct"/>
        <w:tblInd w:w="-1074"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58"/>
        <w:gridCol w:w="1301"/>
        <w:gridCol w:w="2988"/>
        <w:gridCol w:w="2956"/>
        <w:gridCol w:w="2823"/>
        <w:gridCol w:w="3994"/>
        <w:gridCol w:w="687"/>
      </w:tblGrid>
      <w:tr w:rsidR="008E28E3" w:rsidRPr="009F270D" w14:paraId="7BE7F505" w14:textId="77777777" w:rsidTr="006A6D88">
        <w:trPr>
          <w:trHeight w:val="20"/>
        </w:trPr>
        <w:tc>
          <w:tcPr>
            <w:tcW w:w="366" w:type="pct"/>
            <w:tcBorders>
              <w:top w:val="single" w:sz="4" w:space="0" w:color="auto"/>
              <w:bottom w:val="single" w:sz="4" w:space="0" w:color="auto"/>
            </w:tcBorders>
            <w:tcMar>
              <w:top w:w="100" w:type="dxa"/>
              <w:left w:w="100" w:type="dxa"/>
              <w:bottom w:w="100" w:type="dxa"/>
              <w:right w:w="100" w:type="dxa"/>
            </w:tcMar>
            <w:hideMark/>
          </w:tcPr>
          <w:p w14:paraId="10E2AAC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Study, year</w:t>
            </w:r>
          </w:p>
          <w:p w14:paraId="62BDB56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(location)</w:t>
            </w:r>
          </w:p>
        </w:tc>
        <w:tc>
          <w:tcPr>
            <w:tcW w:w="408" w:type="pct"/>
            <w:tcBorders>
              <w:top w:val="single" w:sz="4" w:space="0" w:color="auto"/>
              <w:bottom w:val="single" w:sz="4" w:space="0" w:color="auto"/>
            </w:tcBorders>
            <w:tcMar>
              <w:top w:w="100" w:type="dxa"/>
              <w:left w:w="100" w:type="dxa"/>
              <w:bottom w:w="100" w:type="dxa"/>
              <w:right w:w="100" w:type="dxa"/>
            </w:tcMar>
            <w:hideMark/>
          </w:tcPr>
          <w:p w14:paraId="22E63ED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Study design</w:t>
            </w:r>
          </w:p>
        </w:tc>
        <w:tc>
          <w:tcPr>
            <w:tcW w:w="941" w:type="pct"/>
            <w:tcBorders>
              <w:top w:val="single" w:sz="4" w:space="0" w:color="auto"/>
              <w:bottom w:val="single" w:sz="4" w:space="0" w:color="auto"/>
              <w:right w:val="nil"/>
            </w:tcBorders>
          </w:tcPr>
          <w:p w14:paraId="76048315"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w:t>
            </w:r>
          </w:p>
        </w:tc>
        <w:tc>
          <w:tcPr>
            <w:tcW w:w="931" w:type="pct"/>
            <w:tcBorders>
              <w:top w:val="single" w:sz="4" w:space="0" w:color="auto"/>
              <w:left w:val="nil"/>
              <w:bottom w:val="single" w:sz="4" w:space="0" w:color="auto"/>
              <w:right w:val="nil"/>
            </w:tcBorders>
            <w:tcMar>
              <w:top w:w="100" w:type="dxa"/>
              <w:left w:w="100" w:type="dxa"/>
              <w:bottom w:w="100" w:type="dxa"/>
              <w:right w:w="100" w:type="dxa"/>
            </w:tcMar>
            <w:hideMark/>
          </w:tcPr>
          <w:p w14:paraId="2625AE72"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Exposure</w:t>
            </w:r>
          </w:p>
        </w:tc>
        <w:tc>
          <w:tcPr>
            <w:tcW w:w="889" w:type="pct"/>
            <w:tcBorders>
              <w:top w:val="single" w:sz="4" w:space="0" w:color="auto"/>
              <w:left w:val="nil"/>
              <w:bottom w:val="single" w:sz="4" w:space="0" w:color="auto"/>
            </w:tcBorders>
            <w:tcMar>
              <w:top w:w="100" w:type="dxa"/>
              <w:left w:w="100" w:type="dxa"/>
              <w:bottom w:w="100" w:type="dxa"/>
              <w:right w:w="100" w:type="dxa"/>
            </w:tcMar>
            <w:hideMark/>
          </w:tcPr>
          <w:p w14:paraId="0EA221F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Outcome</w:t>
            </w:r>
          </w:p>
        </w:tc>
        <w:tc>
          <w:tcPr>
            <w:tcW w:w="1257" w:type="pct"/>
            <w:tcBorders>
              <w:top w:val="single" w:sz="4" w:space="0" w:color="auto"/>
              <w:bottom w:val="single" w:sz="4" w:space="0" w:color="auto"/>
            </w:tcBorders>
            <w:tcMar>
              <w:top w:w="100" w:type="dxa"/>
              <w:left w:w="100" w:type="dxa"/>
              <w:bottom w:w="100" w:type="dxa"/>
              <w:right w:w="100" w:type="dxa"/>
            </w:tcMar>
            <w:hideMark/>
          </w:tcPr>
          <w:p w14:paraId="7CFD85F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Finding</w:t>
            </w:r>
          </w:p>
        </w:tc>
        <w:tc>
          <w:tcPr>
            <w:tcW w:w="208" w:type="pct"/>
            <w:tcBorders>
              <w:top w:val="single" w:sz="4" w:space="0" w:color="auto"/>
              <w:bottom w:val="single" w:sz="4" w:space="0" w:color="auto"/>
            </w:tcBorders>
          </w:tcPr>
          <w:p w14:paraId="250996B9"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Sig. assoc.</w:t>
            </w:r>
          </w:p>
        </w:tc>
      </w:tr>
      <w:tr w:rsidR="008E28E3" w:rsidRPr="009F270D" w14:paraId="41A97865" w14:textId="77777777" w:rsidTr="006A6D88">
        <w:trPr>
          <w:trHeight w:val="1985"/>
        </w:trPr>
        <w:tc>
          <w:tcPr>
            <w:tcW w:w="366" w:type="pct"/>
            <w:tcBorders>
              <w:top w:val="single" w:sz="4" w:space="0" w:color="auto"/>
              <w:bottom w:val="nil"/>
            </w:tcBorders>
            <w:tcMar>
              <w:top w:w="100" w:type="dxa"/>
              <w:left w:w="100" w:type="dxa"/>
              <w:bottom w:w="100" w:type="dxa"/>
              <w:right w:w="100" w:type="dxa"/>
            </w:tcMar>
            <w:hideMark/>
          </w:tcPr>
          <w:p w14:paraId="0CAFBB6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AbdelMalik</w:t>
            </w:r>
          </w:p>
          <w:p w14:paraId="4CB5183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2003</w:t>
            </w:r>
          </w:p>
          <w:p w14:paraId="5A6DC50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(Canada)</w:t>
            </w:r>
          </w:p>
        </w:tc>
        <w:tc>
          <w:tcPr>
            <w:tcW w:w="408" w:type="pct"/>
            <w:tcBorders>
              <w:top w:val="single" w:sz="4" w:space="0" w:color="auto"/>
              <w:bottom w:val="nil"/>
            </w:tcBorders>
            <w:tcMar>
              <w:top w:w="100" w:type="dxa"/>
              <w:left w:w="100" w:type="dxa"/>
              <w:bottom w:w="100" w:type="dxa"/>
              <w:right w:w="100" w:type="dxa"/>
            </w:tcMar>
            <w:hideMark/>
          </w:tcPr>
          <w:p w14:paraId="402B697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Case-control – family</w:t>
            </w:r>
          </w:p>
        </w:tc>
        <w:tc>
          <w:tcPr>
            <w:tcW w:w="941" w:type="pct"/>
            <w:tcBorders>
              <w:top w:val="single" w:sz="4" w:space="0" w:color="auto"/>
              <w:bottom w:val="nil"/>
              <w:right w:val="nil"/>
            </w:tcBorders>
          </w:tcPr>
          <w:p w14:paraId="5C7ACE1B"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169 individuals (67 with narrowly defined schizophrenia; 102 siblings without schizophrenia) from 23 Canadian families with schizophrenia</w:t>
            </w:r>
          </w:p>
        </w:tc>
        <w:tc>
          <w:tcPr>
            <w:tcW w:w="931" w:type="pct"/>
            <w:tcBorders>
              <w:top w:val="single" w:sz="4" w:space="0" w:color="auto"/>
              <w:left w:val="nil"/>
              <w:bottom w:val="nil"/>
              <w:right w:val="nil"/>
            </w:tcBorders>
            <w:tcMar>
              <w:top w:w="100" w:type="dxa"/>
              <w:left w:w="100" w:type="dxa"/>
              <w:bottom w:w="100" w:type="dxa"/>
              <w:right w:w="100" w:type="dxa"/>
            </w:tcMar>
            <w:hideMark/>
          </w:tcPr>
          <w:p w14:paraId="6E41B8A6" w14:textId="293E0B3B" w:rsidR="008E28E3" w:rsidRPr="009F270D" w:rsidRDefault="008E28E3" w:rsidP="00F354F1">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Modified Structured Clinical Interview for DSM-III-R (SCID-I), supplemented by collateral information from medical records and family. Occurrence &amp; severity of childhood head injuries (</w:t>
            </w:r>
            <w:r w:rsidRPr="009F270D">
              <w:rPr>
                <w:rFonts w:ascii="Arial" w:hAnsi="Arial" w:cs="Arial"/>
                <w:b/>
                <w:bCs/>
                <w:color w:val="202124"/>
                <w:sz w:val="18"/>
                <w:szCs w:val="18"/>
                <w:shd w:val="clear" w:color="auto" w:fill="FFFFFF"/>
              </w:rPr>
              <w:t>≤</w:t>
            </w:r>
            <w:r w:rsidRPr="009F270D">
              <w:rPr>
                <w:rFonts w:ascii="Arial" w:hAnsi="Arial" w:cs="Arial"/>
                <w:color w:val="202124"/>
                <w:sz w:val="18"/>
                <w:szCs w:val="18"/>
                <w:shd w:val="clear" w:color="auto" w:fill="FFFFFF"/>
              </w:rPr>
              <w:t> </w:t>
            </w:r>
            <w:r w:rsidRPr="009F270D">
              <w:rPr>
                <w:rFonts w:ascii="Arial" w:eastAsia="Times New Roman" w:hAnsi="Arial" w:cs="Arial"/>
                <w:color w:val="000000" w:themeColor="text1"/>
                <w:sz w:val="18"/>
                <w:szCs w:val="18"/>
              </w:rPr>
              <w:t>10 years old) rated by three investigators independently</w:t>
            </w:r>
            <w:r w:rsidR="00F354F1">
              <w:rPr>
                <w:rFonts w:ascii="Arial" w:eastAsia="Times New Roman" w:hAnsi="Arial" w:cs="Arial"/>
                <w:color w:val="000000" w:themeColor="text1"/>
                <w:sz w:val="18"/>
                <w:szCs w:val="18"/>
              </w:rPr>
              <w:t xml:space="preserve">. TBI severity ranging from </w:t>
            </w:r>
            <w:r w:rsidR="00F354F1" w:rsidRPr="00DB4311">
              <w:rPr>
                <w:rFonts w:ascii="Arial" w:eastAsia="Times New Roman" w:hAnsi="Arial" w:cs="Arial"/>
                <w:color w:val="000000" w:themeColor="text1"/>
                <w:sz w:val="18"/>
                <w:szCs w:val="18"/>
              </w:rPr>
              <w:t>possible mild to mild</w:t>
            </w:r>
            <w:r w:rsidR="00F354F1">
              <w:rPr>
                <w:rFonts w:ascii="Arial" w:eastAsia="Times New Roman" w:hAnsi="Arial" w:cs="Arial"/>
                <w:color w:val="000000" w:themeColor="text1"/>
                <w:sz w:val="18"/>
                <w:szCs w:val="18"/>
              </w:rPr>
              <w:t>.</w:t>
            </w:r>
          </w:p>
        </w:tc>
        <w:tc>
          <w:tcPr>
            <w:tcW w:w="889" w:type="pct"/>
            <w:tcBorders>
              <w:top w:val="single" w:sz="4" w:space="0" w:color="auto"/>
              <w:left w:val="nil"/>
              <w:bottom w:val="nil"/>
            </w:tcBorders>
            <w:tcMar>
              <w:top w:w="100" w:type="dxa"/>
              <w:left w:w="100" w:type="dxa"/>
              <w:bottom w:w="100" w:type="dxa"/>
              <w:right w:w="100" w:type="dxa"/>
            </w:tcMar>
          </w:tcPr>
          <w:p w14:paraId="6A55A62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SCID-I by a psychiatrist to diagnose narrowly defined schizophrenia (i.e., schizophrenia or chronic schizoaffective disorder)</w:t>
            </w:r>
          </w:p>
        </w:tc>
        <w:tc>
          <w:tcPr>
            <w:tcW w:w="1257" w:type="pct"/>
            <w:tcBorders>
              <w:top w:val="single" w:sz="4" w:space="0" w:color="auto"/>
              <w:bottom w:val="nil"/>
            </w:tcBorders>
            <w:tcMar>
              <w:top w:w="100" w:type="dxa"/>
              <w:left w:w="100" w:type="dxa"/>
              <w:bottom w:w="100" w:type="dxa"/>
              <w:right w:w="100" w:type="dxa"/>
            </w:tcMar>
            <w:hideMark/>
          </w:tcPr>
          <w:p w14:paraId="72D3E4B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Participants in the schizophrenia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16 [23.9%]) had a higher likelihood than the unaffected siblings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12 [11.8%]) to have a history of head injury in childhood (</w:t>
            </w:r>
            <w:r w:rsidRPr="002933AD">
              <w:rPr>
                <w:rFonts w:ascii="Arial" w:eastAsia="Times New Roman" w:hAnsi="Arial" w:cs="Arial"/>
                <w:color w:val="000000" w:themeColor="text1"/>
                <w:sz w:val="18"/>
                <w:szCs w:val="18"/>
              </w:rPr>
              <w:t>OR</w:t>
            </w:r>
            <w:r w:rsidRPr="009F270D">
              <w:rPr>
                <w:rFonts w:ascii="Arial" w:eastAsia="Times New Roman" w:hAnsi="Arial" w:cs="Arial"/>
                <w:color w:val="000000" w:themeColor="text1"/>
                <w:sz w:val="18"/>
                <w:szCs w:val="18"/>
              </w:rPr>
              <w:t xml:space="preserve"> = 2.35, 95% CI [1.03, 5.36],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0.04)</w:t>
            </w:r>
          </w:p>
        </w:tc>
        <w:tc>
          <w:tcPr>
            <w:tcW w:w="208" w:type="pct"/>
            <w:tcBorders>
              <w:top w:val="single" w:sz="4" w:space="0" w:color="auto"/>
              <w:bottom w:val="nil"/>
            </w:tcBorders>
          </w:tcPr>
          <w:p w14:paraId="45FACD79"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32E0F2BD" w14:textId="77777777" w:rsidTr="006A6D88">
        <w:trPr>
          <w:trHeight w:val="20"/>
        </w:trPr>
        <w:tc>
          <w:tcPr>
            <w:tcW w:w="366" w:type="pct"/>
            <w:tcBorders>
              <w:top w:val="nil"/>
              <w:bottom w:val="nil"/>
              <w:right w:val="nil"/>
            </w:tcBorders>
            <w:tcMar>
              <w:top w:w="100" w:type="dxa"/>
              <w:left w:w="100" w:type="dxa"/>
              <w:bottom w:w="100" w:type="dxa"/>
              <w:right w:w="100" w:type="dxa"/>
            </w:tcMar>
          </w:tcPr>
          <w:p w14:paraId="1D7C819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Deighton</w:t>
            </w:r>
          </w:p>
          <w:p w14:paraId="4C83B7C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2016</w:t>
            </w:r>
          </w:p>
          <w:p w14:paraId="742EED5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(United States)</w:t>
            </w:r>
          </w:p>
        </w:tc>
        <w:tc>
          <w:tcPr>
            <w:tcW w:w="408" w:type="pct"/>
            <w:tcBorders>
              <w:top w:val="nil"/>
              <w:left w:val="nil"/>
              <w:bottom w:val="nil"/>
              <w:right w:val="nil"/>
            </w:tcBorders>
            <w:tcMar>
              <w:top w:w="100" w:type="dxa"/>
              <w:left w:w="100" w:type="dxa"/>
              <w:bottom w:w="100" w:type="dxa"/>
              <w:right w:w="100" w:type="dxa"/>
            </w:tcMar>
          </w:tcPr>
          <w:p w14:paraId="47531EF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Case-control</w:t>
            </w:r>
          </w:p>
        </w:tc>
        <w:tc>
          <w:tcPr>
            <w:tcW w:w="941" w:type="pct"/>
            <w:tcBorders>
              <w:top w:val="nil"/>
              <w:left w:val="nil"/>
              <w:bottom w:val="nil"/>
              <w:right w:val="nil"/>
            </w:tcBorders>
          </w:tcPr>
          <w:p w14:paraId="5AD77172"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1,025 help-seekers (747 clinical high risk [CHR] of psychosis; 278 healthy controls [HC]) recruited from the 8-site North American Prodrome Longitudinal Study (NAPLS 2)</w:t>
            </w:r>
          </w:p>
        </w:tc>
        <w:tc>
          <w:tcPr>
            <w:tcW w:w="931" w:type="pct"/>
            <w:tcBorders>
              <w:top w:val="nil"/>
              <w:left w:val="nil"/>
              <w:bottom w:val="nil"/>
              <w:right w:val="nil"/>
            </w:tcBorders>
            <w:tcMar>
              <w:top w:w="100" w:type="dxa"/>
              <w:left w:w="100" w:type="dxa"/>
              <w:bottom w:w="100" w:type="dxa"/>
              <w:right w:w="100" w:type="dxa"/>
            </w:tcMar>
          </w:tcPr>
          <w:p w14:paraId="1628177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Traumatic Brain Injury (TBI) Interview, assessing previous history of TBI, including the age at first TBI, age at most recent TBI, count of the number of TBIs, and severity of TBI. Only mild TBI was included</w:t>
            </w:r>
          </w:p>
        </w:tc>
        <w:tc>
          <w:tcPr>
            <w:tcW w:w="889" w:type="pct"/>
            <w:tcBorders>
              <w:top w:val="nil"/>
              <w:left w:val="nil"/>
              <w:bottom w:val="nil"/>
              <w:right w:val="nil"/>
            </w:tcBorders>
            <w:tcMar>
              <w:top w:w="100" w:type="dxa"/>
              <w:left w:w="100" w:type="dxa"/>
              <w:bottom w:w="100" w:type="dxa"/>
              <w:right w:w="100" w:type="dxa"/>
            </w:tcMar>
          </w:tcPr>
          <w:p w14:paraId="1B188C58"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Structured Interview for Psychosis-risk Syndromes (SIPS) to assess the Criteria of Psychosis-risk Syndromes (COPS). If the Presence of Psychotic Symptoms Criteria (POPS) was met, further clinical assessment to determine diagnosis of psychosis</w:t>
            </w:r>
          </w:p>
        </w:tc>
        <w:tc>
          <w:tcPr>
            <w:tcW w:w="1257" w:type="pct"/>
            <w:tcBorders>
              <w:top w:val="nil"/>
              <w:left w:val="nil"/>
              <w:bottom w:val="nil"/>
              <w:right w:val="nil"/>
            </w:tcBorders>
            <w:tcMar>
              <w:top w:w="100" w:type="dxa"/>
              <w:left w:w="100" w:type="dxa"/>
              <w:bottom w:w="100" w:type="dxa"/>
              <w:right w:w="100" w:type="dxa"/>
            </w:tcMar>
          </w:tcPr>
          <w:p w14:paraId="17CCBF3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Participants in the CHR group experienced a mild TBI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232 [31.0%]) more often than the HC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55 [19.8%]) (χ</w:t>
            </w:r>
            <w:r w:rsidRPr="009F270D">
              <w:rPr>
                <w:rFonts w:ascii="Arial" w:eastAsia="Times New Roman" w:hAnsi="Arial" w:cs="Arial"/>
                <w:color w:val="000000" w:themeColor="text1"/>
                <w:sz w:val="18"/>
                <w:szCs w:val="18"/>
                <w:vertAlign w:val="superscript"/>
              </w:rPr>
              <w:t>2</w:t>
            </w:r>
            <w:r w:rsidRPr="009F270D">
              <w:rPr>
                <w:rFonts w:ascii="Arial" w:eastAsia="Times New Roman" w:hAnsi="Arial" w:cs="Arial"/>
                <w:color w:val="000000" w:themeColor="text1"/>
                <w:sz w:val="18"/>
                <w:szCs w:val="18"/>
              </w:rPr>
              <w:t xml:space="preserve"> = 12.77,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&lt; 0.001)</w:t>
            </w:r>
          </w:p>
          <w:p w14:paraId="24D0AA7A" w14:textId="77777777" w:rsidR="008E28E3" w:rsidRPr="009F270D" w:rsidRDefault="008E28E3" w:rsidP="006A6D88">
            <w:pPr>
              <w:rPr>
                <w:rFonts w:ascii="Arial" w:eastAsia="Times New Roman" w:hAnsi="Arial" w:cs="Arial"/>
                <w:color w:val="000000" w:themeColor="text1"/>
                <w:sz w:val="18"/>
                <w:szCs w:val="18"/>
              </w:rPr>
            </w:pPr>
          </w:p>
          <w:p w14:paraId="7428C9B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CHR participants who experienced a mild TBI and later made the transition to psychosis were significantly younger at the age at first (</w:t>
            </w:r>
            <w:r w:rsidRPr="009F270D">
              <w:rPr>
                <w:rFonts w:ascii="Arial" w:eastAsia="Times New Roman" w:hAnsi="Arial" w:cs="Arial"/>
                <w:i/>
                <w:iCs/>
                <w:color w:val="000000" w:themeColor="text1"/>
                <w:sz w:val="18"/>
                <w:szCs w:val="18"/>
              </w:rPr>
              <w:t>M</w:t>
            </w:r>
            <w:r w:rsidRPr="009F270D">
              <w:rPr>
                <w:rFonts w:ascii="Arial" w:eastAsia="Times New Roman" w:hAnsi="Arial" w:cs="Arial"/>
                <w:color w:val="000000" w:themeColor="text1"/>
                <w:sz w:val="18"/>
                <w:szCs w:val="18"/>
              </w:rPr>
              <w:t xml:space="preserve"> = 7.8, </w:t>
            </w:r>
            <w:r w:rsidRPr="009F270D">
              <w:rPr>
                <w:rFonts w:ascii="Arial" w:eastAsia="Times New Roman" w:hAnsi="Arial" w:cs="Arial"/>
                <w:i/>
                <w:iCs/>
                <w:color w:val="000000" w:themeColor="text1"/>
                <w:sz w:val="18"/>
                <w:szCs w:val="18"/>
              </w:rPr>
              <w:t>SD</w:t>
            </w:r>
            <w:r w:rsidRPr="009F270D">
              <w:rPr>
                <w:rFonts w:ascii="Arial" w:eastAsia="Times New Roman" w:hAnsi="Arial" w:cs="Arial"/>
                <w:color w:val="000000" w:themeColor="text1"/>
                <w:sz w:val="18"/>
                <w:szCs w:val="18"/>
              </w:rPr>
              <w:t xml:space="preserve"> = 3.0) and most recent TBI (</w:t>
            </w:r>
            <w:r w:rsidRPr="009F270D">
              <w:rPr>
                <w:rFonts w:ascii="Arial" w:eastAsia="Times New Roman" w:hAnsi="Arial" w:cs="Arial"/>
                <w:i/>
                <w:iCs/>
                <w:color w:val="000000" w:themeColor="text1"/>
                <w:sz w:val="18"/>
                <w:szCs w:val="18"/>
              </w:rPr>
              <w:t>M</w:t>
            </w:r>
            <w:r w:rsidRPr="009F270D">
              <w:rPr>
                <w:rFonts w:ascii="Arial" w:eastAsia="Times New Roman" w:hAnsi="Arial" w:cs="Arial"/>
                <w:color w:val="000000" w:themeColor="text1"/>
                <w:sz w:val="18"/>
                <w:szCs w:val="18"/>
              </w:rPr>
              <w:t xml:space="preserve"> = 10.1, </w:t>
            </w:r>
            <w:r w:rsidRPr="009F270D">
              <w:rPr>
                <w:rFonts w:ascii="Arial" w:eastAsia="Times New Roman" w:hAnsi="Arial" w:cs="Arial"/>
                <w:i/>
                <w:iCs/>
                <w:color w:val="000000" w:themeColor="text1"/>
                <w:sz w:val="18"/>
                <w:szCs w:val="18"/>
              </w:rPr>
              <w:t>SD</w:t>
            </w:r>
            <w:r w:rsidRPr="009F270D">
              <w:rPr>
                <w:rFonts w:ascii="Arial" w:eastAsia="Times New Roman" w:hAnsi="Arial" w:cs="Arial"/>
                <w:color w:val="000000" w:themeColor="text1"/>
                <w:sz w:val="18"/>
                <w:szCs w:val="18"/>
              </w:rPr>
              <w:t xml:space="preserve"> = 5.5), than those who did not develop psychosis (</w:t>
            </w:r>
            <w:r w:rsidRPr="009F270D">
              <w:rPr>
                <w:rFonts w:ascii="Arial" w:eastAsia="Times New Roman" w:hAnsi="Arial" w:cs="Arial"/>
                <w:i/>
                <w:iCs/>
                <w:color w:val="000000" w:themeColor="text1"/>
                <w:sz w:val="18"/>
                <w:szCs w:val="18"/>
              </w:rPr>
              <w:t>M</w:t>
            </w:r>
            <w:r w:rsidRPr="009F270D">
              <w:rPr>
                <w:rFonts w:ascii="Arial" w:eastAsia="Times New Roman" w:hAnsi="Arial" w:cs="Arial"/>
                <w:color w:val="000000" w:themeColor="text1"/>
                <w:sz w:val="18"/>
                <w:szCs w:val="18"/>
              </w:rPr>
              <w:t xml:space="preserve"> of age at first TBI = 10.6, </w:t>
            </w:r>
            <w:r w:rsidRPr="009F270D">
              <w:rPr>
                <w:rFonts w:ascii="Arial" w:eastAsia="Times New Roman" w:hAnsi="Arial" w:cs="Arial"/>
                <w:i/>
                <w:iCs/>
                <w:color w:val="000000" w:themeColor="text1"/>
                <w:sz w:val="18"/>
                <w:szCs w:val="18"/>
              </w:rPr>
              <w:t>SD</w:t>
            </w:r>
            <w:r w:rsidRPr="009F270D">
              <w:rPr>
                <w:rFonts w:ascii="Arial" w:eastAsia="Times New Roman" w:hAnsi="Arial" w:cs="Arial"/>
                <w:color w:val="000000" w:themeColor="text1"/>
                <w:sz w:val="18"/>
                <w:szCs w:val="18"/>
              </w:rPr>
              <w:t xml:space="preserve"> = 5.6, U = 1732.00,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0.02) (</w:t>
            </w:r>
            <w:r w:rsidRPr="009F270D">
              <w:rPr>
                <w:rFonts w:ascii="Arial" w:eastAsia="Times New Roman" w:hAnsi="Arial" w:cs="Arial"/>
                <w:i/>
                <w:iCs/>
                <w:color w:val="000000" w:themeColor="text1"/>
                <w:sz w:val="18"/>
                <w:szCs w:val="18"/>
              </w:rPr>
              <w:t>M</w:t>
            </w:r>
            <w:r w:rsidRPr="009F270D">
              <w:rPr>
                <w:rFonts w:ascii="Arial" w:eastAsia="Times New Roman" w:hAnsi="Arial" w:cs="Arial"/>
                <w:color w:val="000000" w:themeColor="text1"/>
                <w:sz w:val="18"/>
                <w:szCs w:val="18"/>
              </w:rPr>
              <w:t xml:space="preserve"> of age at most recent TBI = 12.4, </w:t>
            </w:r>
            <w:r w:rsidRPr="009F270D">
              <w:rPr>
                <w:rFonts w:ascii="Arial" w:eastAsia="Times New Roman" w:hAnsi="Arial" w:cs="Arial"/>
                <w:i/>
                <w:iCs/>
                <w:color w:val="000000" w:themeColor="text1"/>
                <w:sz w:val="18"/>
                <w:szCs w:val="18"/>
              </w:rPr>
              <w:t>SD</w:t>
            </w:r>
            <w:r w:rsidRPr="009F270D">
              <w:rPr>
                <w:rFonts w:ascii="Arial" w:eastAsia="Times New Roman" w:hAnsi="Arial" w:cs="Arial"/>
                <w:color w:val="000000" w:themeColor="text1"/>
                <w:sz w:val="18"/>
                <w:szCs w:val="18"/>
              </w:rPr>
              <w:t xml:space="preserve"> = 6.0, U = 1818.50,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0.04)</w:t>
            </w:r>
          </w:p>
        </w:tc>
        <w:tc>
          <w:tcPr>
            <w:tcW w:w="208" w:type="pct"/>
            <w:tcBorders>
              <w:top w:val="nil"/>
              <w:left w:val="nil"/>
              <w:bottom w:val="nil"/>
            </w:tcBorders>
          </w:tcPr>
          <w:p w14:paraId="5BCF1838"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5069DE55" w14:textId="77777777" w:rsidTr="006A6D88">
        <w:trPr>
          <w:trHeight w:val="889"/>
        </w:trPr>
        <w:tc>
          <w:tcPr>
            <w:tcW w:w="366" w:type="pct"/>
            <w:tcBorders>
              <w:top w:val="nil"/>
              <w:bottom w:val="nil"/>
              <w:right w:val="nil"/>
            </w:tcBorders>
            <w:tcMar>
              <w:top w:w="100" w:type="dxa"/>
              <w:left w:w="100" w:type="dxa"/>
              <w:bottom w:w="100" w:type="dxa"/>
              <w:right w:w="100" w:type="dxa"/>
            </w:tcMar>
          </w:tcPr>
          <w:p w14:paraId="7ACD00B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Harrison</w:t>
            </w:r>
          </w:p>
          <w:p w14:paraId="25A083C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2006</w:t>
            </w:r>
          </w:p>
          <w:p w14:paraId="19ED594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(Sweden)</w:t>
            </w:r>
          </w:p>
        </w:tc>
        <w:tc>
          <w:tcPr>
            <w:tcW w:w="408" w:type="pct"/>
            <w:tcBorders>
              <w:top w:val="nil"/>
              <w:left w:val="nil"/>
              <w:bottom w:val="nil"/>
              <w:right w:val="nil"/>
            </w:tcBorders>
            <w:tcMar>
              <w:top w:w="100" w:type="dxa"/>
              <w:left w:w="100" w:type="dxa"/>
              <w:bottom w:w="100" w:type="dxa"/>
              <w:right w:w="100" w:type="dxa"/>
            </w:tcMar>
          </w:tcPr>
          <w:p w14:paraId="418660F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Nested case-control</w:t>
            </w:r>
          </w:p>
        </w:tc>
        <w:tc>
          <w:tcPr>
            <w:tcW w:w="941" w:type="pct"/>
            <w:tcBorders>
              <w:top w:val="nil"/>
              <w:left w:val="nil"/>
              <w:bottom w:val="nil"/>
              <w:right w:val="nil"/>
            </w:tcBorders>
          </w:tcPr>
          <w:p w14:paraId="5B42C6B6"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Swedish individuals born between 1973 and 1980 (748 cases of schizophrenia and 14,960 matched controls; 1,526 non-affective psychosis and 30,520 matched controls) from a cohort of 731,305 members obtained from several linked Swedish registers </w:t>
            </w:r>
          </w:p>
        </w:tc>
        <w:tc>
          <w:tcPr>
            <w:tcW w:w="931" w:type="pct"/>
            <w:tcBorders>
              <w:top w:val="nil"/>
              <w:left w:val="nil"/>
              <w:bottom w:val="nil"/>
              <w:right w:val="nil"/>
            </w:tcBorders>
            <w:tcMar>
              <w:top w:w="100" w:type="dxa"/>
              <w:left w:w="100" w:type="dxa"/>
              <w:bottom w:w="100" w:type="dxa"/>
              <w:right w:w="100" w:type="dxa"/>
            </w:tcMar>
          </w:tcPr>
          <w:p w14:paraId="6C493830" w14:textId="0C54BBA9" w:rsidR="008E28E3" w:rsidRPr="009F270D" w:rsidRDefault="008E28E3" w:rsidP="00F354F1">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Swedish Inpatient Discharge Register to identify hospital admission for concussion with/without any face/head/skull injuries, as well as all skull/intracranial injuries (ICD-10 codes: S02.0, S02.1, S02.7–S02.9, S06.0, S06.1–S06.9, S09.7). Only severe head injury was included</w:t>
            </w:r>
            <w:r w:rsidR="00F354F1">
              <w:rPr>
                <w:rFonts w:ascii="Arial" w:eastAsia="Times New Roman" w:hAnsi="Arial" w:cs="Arial"/>
                <w:color w:val="000000" w:themeColor="text1"/>
                <w:sz w:val="18"/>
                <w:szCs w:val="18"/>
              </w:rPr>
              <w:t xml:space="preserve">. </w:t>
            </w:r>
            <w:r w:rsidRPr="009F270D">
              <w:rPr>
                <w:rFonts w:ascii="Arial" w:eastAsia="Times New Roman" w:hAnsi="Arial" w:cs="Arial"/>
                <w:color w:val="000000" w:themeColor="text1"/>
                <w:sz w:val="18"/>
                <w:szCs w:val="18"/>
              </w:rPr>
              <w:t>Timing of the head injury was collected to determine childhood exposure (&lt; 10 years old)</w:t>
            </w:r>
          </w:p>
        </w:tc>
        <w:tc>
          <w:tcPr>
            <w:tcW w:w="889" w:type="pct"/>
            <w:tcBorders>
              <w:top w:val="nil"/>
              <w:left w:val="nil"/>
              <w:bottom w:val="nil"/>
              <w:right w:val="nil"/>
            </w:tcBorders>
            <w:tcMar>
              <w:top w:w="100" w:type="dxa"/>
              <w:left w:w="100" w:type="dxa"/>
              <w:bottom w:w="100" w:type="dxa"/>
              <w:right w:w="100" w:type="dxa"/>
            </w:tcMar>
          </w:tcPr>
          <w:p w14:paraId="4FFD73E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Swedish Inpatient Discharge Register to identify cases of schizophrenia (ICD-10 code: F20) and non-affective psychosis (ICD-10 codes: F21-29)</w:t>
            </w:r>
          </w:p>
        </w:tc>
        <w:tc>
          <w:tcPr>
            <w:tcW w:w="1257" w:type="pct"/>
            <w:tcBorders>
              <w:top w:val="nil"/>
              <w:left w:val="nil"/>
              <w:bottom w:val="nil"/>
              <w:right w:val="nil"/>
            </w:tcBorders>
            <w:tcMar>
              <w:top w:w="100" w:type="dxa"/>
              <w:left w:w="100" w:type="dxa"/>
              <w:bottom w:w="100" w:type="dxa"/>
              <w:right w:w="100" w:type="dxa"/>
            </w:tcMar>
          </w:tcPr>
          <w:p w14:paraId="49548FD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Participants in the non-affective psychosis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131 [8.6%]) were more likely than the matched control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1,918 [6.3%]) to have a history of severe head injury (</w:t>
            </w:r>
            <w:r w:rsidRPr="002933AD">
              <w:rPr>
                <w:rFonts w:ascii="Arial" w:eastAsia="Times New Roman" w:hAnsi="Arial" w:cs="Arial"/>
                <w:color w:val="000000" w:themeColor="text1"/>
                <w:sz w:val="18"/>
                <w:szCs w:val="18"/>
              </w:rPr>
              <w:t>aOR</w:t>
            </w:r>
            <w:r w:rsidRPr="009F270D">
              <w:rPr>
                <w:rFonts w:ascii="Arial" w:eastAsia="Times New Roman" w:hAnsi="Arial" w:cs="Arial"/>
                <w:color w:val="000000" w:themeColor="text1"/>
                <w:sz w:val="18"/>
                <w:szCs w:val="18"/>
              </w:rPr>
              <w:t xml:space="preserve"> = 1.37, 95% CI [1.14, 1.66],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0.001), but no association was found when comparing the schizophrenia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54 [7.2%]) and matched controls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986 [6.6%]) for the likelihood of previous severe head injury (</w:t>
            </w:r>
            <w:r w:rsidRPr="002933AD">
              <w:rPr>
                <w:rFonts w:ascii="Arial" w:eastAsia="Times New Roman" w:hAnsi="Arial" w:cs="Arial"/>
                <w:color w:val="000000" w:themeColor="text1"/>
                <w:sz w:val="18"/>
                <w:szCs w:val="18"/>
              </w:rPr>
              <w:t>aOR</w:t>
            </w:r>
            <w:r w:rsidRPr="009F270D">
              <w:rPr>
                <w:rFonts w:ascii="Arial" w:eastAsia="Times New Roman" w:hAnsi="Arial" w:cs="Arial"/>
                <w:color w:val="000000" w:themeColor="text1"/>
                <w:sz w:val="18"/>
                <w:szCs w:val="18"/>
              </w:rPr>
              <w:t xml:space="preserve"> = 1.10, 95% CI [0.82 1.47],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0.51) </w:t>
            </w:r>
          </w:p>
          <w:p w14:paraId="4C1E9E38" w14:textId="77777777" w:rsidR="008E28E3" w:rsidRPr="009F270D" w:rsidRDefault="008E28E3" w:rsidP="006A6D88">
            <w:pPr>
              <w:rPr>
                <w:rFonts w:ascii="Arial" w:eastAsia="Times New Roman" w:hAnsi="Arial" w:cs="Arial"/>
                <w:color w:val="000000" w:themeColor="text1"/>
                <w:sz w:val="18"/>
                <w:szCs w:val="18"/>
              </w:rPr>
            </w:pPr>
          </w:p>
          <w:p w14:paraId="4DA89AE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No evidence of the effects of childhood exposure to head injury (&lt; 10 years old) on </w:t>
            </w:r>
            <w:r w:rsidRPr="009F270D">
              <w:rPr>
                <w:rFonts w:ascii="Arial" w:eastAsia="Times New Roman" w:hAnsi="Arial" w:cs="Arial"/>
                <w:color w:val="000000" w:themeColor="text1"/>
                <w:sz w:val="18"/>
                <w:szCs w:val="18"/>
              </w:rPr>
              <w:lastRenderedPageBreak/>
              <w:t>non-affective psychosis (</w:t>
            </w:r>
            <w:r w:rsidRPr="002933AD">
              <w:rPr>
                <w:rFonts w:ascii="Arial" w:eastAsia="Times New Roman" w:hAnsi="Arial" w:cs="Arial"/>
                <w:color w:val="000000" w:themeColor="text1"/>
                <w:sz w:val="18"/>
                <w:szCs w:val="18"/>
              </w:rPr>
              <w:t>aOR</w:t>
            </w:r>
            <w:r w:rsidRPr="009F270D">
              <w:rPr>
                <w:rFonts w:ascii="Arial" w:eastAsia="Times New Roman" w:hAnsi="Arial" w:cs="Arial"/>
                <w:color w:val="000000" w:themeColor="text1"/>
                <w:sz w:val="18"/>
                <w:szCs w:val="18"/>
              </w:rPr>
              <w:t xml:space="preserve"> = 0.94, 95% CI [0.68, 1.29],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0.70) or schizophrenia (</w:t>
            </w:r>
            <w:r w:rsidRPr="002933AD">
              <w:rPr>
                <w:rFonts w:ascii="Arial" w:eastAsia="Times New Roman" w:hAnsi="Arial" w:cs="Arial"/>
                <w:color w:val="000000" w:themeColor="text1"/>
                <w:sz w:val="18"/>
                <w:szCs w:val="18"/>
              </w:rPr>
              <w:t>aOR</w:t>
            </w:r>
            <w:r w:rsidRPr="009F270D">
              <w:rPr>
                <w:rFonts w:ascii="Arial" w:eastAsia="Times New Roman" w:hAnsi="Arial" w:cs="Arial"/>
                <w:color w:val="000000" w:themeColor="text1"/>
                <w:sz w:val="18"/>
                <w:szCs w:val="18"/>
              </w:rPr>
              <w:t xml:space="preserve"> = 0.81, 95% CI [0.50, 1.31],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0.38) was found</w:t>
            </w:r>
          </w:p>
        </w:tc>
        <w:tc>
          <w:tcPr>
            <w:tcW w:w="208" w:type="pct"/>
            <w:tcBorders>
              <w:top w:val="nil"/>
              <w:left w:val="nil"/>
              <w:bottom w:val="nil"/>
            </w:tcBorders>
          </w:tcPr>
          <w:p w14:paraId="584B00C8"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w:t>
            </w:r>
          </w:p>
        </w:tc>
      </w:tr>
      <w:tr w:rsidR="008E28E3" w:rsidRPr="009F270D" w14:paraId="40F21CE6" w14:textId="77777777" w:rsidTr="006A6D88">
        <w:trPr>
          <w:trHeight w:val="23"/>
        </w:trPr>
        <w:tc>
          <w:tcPr>
            <w:tcW w:w="366" w:type="pct"/>
            <w:tcBorders>
              <w:top w:val="nil"/>
              <w:bottom w:val="nil"/>
              <w:right w:val="nil"/>
            </w:tcBorders>
            <w:tcMar>
              <w:top w:w="100" w:type="dxa"/>
              <w:left w:w="100" w:type="dxa"/>
              <w:bottom w:w="100" w:type="dxa"/>
              <w:right w:w="100" w:type="dxa"/>
            </w:tcMar>
          </w:tcPr>
          <w:p w14:paraId="08834F6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Helgeland</w:t>
            </w:r>
          </w:p>
          <w:p w14:paraId="3088F05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2005</w:t>
            </w:r>
          </w:p>
          <w:p w14:paraId="1078101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(Norway)</w:t>
            </w:r>
          </w:p>
        </w:tc>
        <w:tc>
          <w:tcPr>
            <w:tcW w:w="408" w:type="pct"/>
            <w:tcBorders>
              <w:top w:val="nil"/>
              <w:left w:val="nil"/>
              <w:bottom w:val="nil"/>
              <w:right w:val="nil"/>
            </w:tcBorders>
            <w:tcMar>
              <w:top w:w="100" w:type="dxa"/>
              <w:left w:w="100" w:type="dxa"/>
              <w:bottom w:w="100" w:type="dxa"/>
              <w:right w:w="100" w:type="dxa"/>
            </w:tcMar>
          </w:tcPr>
          <w:p w14:paraId="690F2DA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Case-control</w:t>
            </w:r>
          </w:p>
        </w:tc>
        <w:tc>
          <w:tcPr>
            <w:tcW w:w="941" w:type="pct"/>
            <w:tcBorders>
              <w:top w:val="nil"/>
              <w:left w:val="nil"/>
              <w:bottom w:val="nil"/>
              <w:right w:val="nil"/>
            </w:tcBorders>
          </w:tcPr>
          <w:p w14:paraId="065863CD"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145 patients (13 cases of schizophrenia; 132 controls without schizophrenia) admitted to the adolescent unit at The National Centre for Child and Adolescent Psychiatry (NCCAP) in Norway from 1963 to 1978</w:t>
            </w:r>
          </w:p>
        </w:tc>
        <w:tc>
          <w:tcPr>
            <w:tcW w:w="931" w:type="pct"/>
            <w:tcBorders>
              <w:top w:val="nil"/>
              <w:left w:val="nil"/>
              <w:bottom w:val="nil"/>
              <w:right w:val="nil"/>
            </w:tcBorders>
            <w:tcMar>
              <w:top w:w="100" w:type="dxa"/>
              <w:left w:w="100" w:type="dxa"/>
              <w:bottom w:w="100" w:type="dxa"/>
              <w:right w:w="100" w:type="dxa"/>
            </w:tcMar>
          </w:tcPr>
          <w:p w14:paraId="07F95F0E" w14:textId="4DFBDADF"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Hospital records of concussion and head traumas. Further blind review of the detailed medical records by the first author</w:t>
            </w:r>
            <w:r w:rsidR="00F354F1">
              <w:rPr>
                <w:rFonts w:ascii="Arial" w:eastAsia="Times New Roman" w:hAnsi="Arial" w:cs="Arial"/>
                <w:color w:val="000000" w:themeColor="text1"/>
                <w:sz w:val="18"/>
                <w:szCs w:val="18"/>
              </w:rPr>
              <w:t>. TBI severity not reported.</w:t>
            </w:r>
          </w:p>
        </w:tc>
        <w:tc>
          <w:tcPr>
            <w:tcW w:w="889" w:type="pct"/>
            <w:tcBorders>
              <w:top w:val="nil"/>
              <w:left w:val="nil"/>
              <w:bottom w:val="nil"/>
              <w:right w:val="nil"/>
            </w:tcBorders>
            <w:tcMar>
              <w:top w:w="100" w:type="dxa"/>
              <w:left w:w="100" w:type="dxa"/>
              <w:bottom w:w="100" w:type="dxa"/>
              <w:right w:w="100" w:type="dxa"/>
            </w:tcMar>
          </w:tcPr>
          <w:p w14:paraId="04C05CA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Hospital records of psychiatric diagnoses. The detailed records were anonymised in advance by second author, and reviewed by first author with blinding based on the Structured Clinical Interview for DSM-IV Axis I Disorders (SCID-I), to ascertain diagnosis of schizophrenia (early onset was defined as &lt; 18 years old)</w:t>
            </w:r>
          </w:p>
        </w:tc>
        <w:tc>
          <w:tcPr>
            <w:tcW w:w="1257" w:type="pct"/>
            <w:tcBorders>
              <w:top w:val="nil"/>
              <w:left w:val="nil"/>
              <w:bottom w:val="nil"/>
              <w:right w:val="nil"/>
            </w:tcBorders>
            <w:tcMar>
              <w:top w:w="100" w:type="dxa"/>
              <w:left w:w="100" w:type="dxa"/>
              <w:bottom w:w="100" w:type="dxa"/>
              <w:right w:w="100" w:type="dxa"/>
            </w:tcMar>
          </w:tcPr>
          <w:p w14:paraId="62B0225A"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Participants with an early onset of schizophrenia (&lt; 18 years old)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3 [33.3%]) were significantly more likely than the control group without schizophrenia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12 [9.1%]) to have a history of head traumas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&lt; 0.05). No evidence was found in the case of concussion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ns)</w:t>
            </w:r>
          </w:p>
        </w:tc>
        <w:tc>
          <w:tcPr>
            <w:tcW w:w="208" w:type="pct"/>
            <w:tcBorders>
              <w:top w:val="nil"/>
              <w:left w:val="nil"/>
              <w:bottom w:val="nil"/>
            </w:tcBorders>
          </w:tcPr>
          <w:p w14:paraId="1A22B7CE"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3B87BB4C" w14:textId="77777777" w:rsidTr="006A6D88">
        <w:trPr>
          <w:trHeight w:val="180"/>
        </w:trPr>
        <w:tc>
          <w:tcPr>
            <w:tcW w:w="366" w:type="pct"/>
            <w:tcBorders>
              <w:top w:val="nil"/>
              <w:bottom w:val="nil"/>
              <w:right w:val="nil"/>
            </w:tcBorders>
            <w:tcMar>
              <w:top w:w="100" w:type="dxa"/>
              <w:left w:w="100" w:type="dxa"/>
              <w:bottom w:w="100" w:type="dxa"/>
              <w:right w:w="100" w:type="dxa"/>
            </w:tcMar>
          </w:tcPr>
          <w:p w14:paraId="234B6CD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Ledoux</w:t>
            </w:r>
          </w:p>
          <w:p w14:paraId="1F9B19F2"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2022</w:t>
            </w:r>
          </w:p>
          <w:p w14:paraId="1C3F285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(Canada)</w:t>
            </w:r>
          </w:p>
        </w:tc>
        <w:tc>
          <w:tcPr>
            <w:tcW w:w="408" w:type="pct"/>
            <w:tcBorders>
              <w:top w:val="nil"/>
              <w:left w:val="nil"/>
              <w:bottom w:val="nil"/>
              <w:right w:val="nil"/>
            </w:tcBorders>
            <w:tcMar>
              <w:top w:w="100" w:type="dxa"/>
              <w:left w:w="100" w:type="dxa"/>
              <w:bottom w:w="100" w:type="dxa"/>
              <w:right w:w="100" w:type="dxa"/>
            </w:tcMar>
          </w:tcPr>
          <w:p w14:paraId="3DFB59C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Retrospective cohort</w:t>
            </w:r>
          </w:p>
        </w:tc>
        <w:tc>
          <w:tcPr>
            <w:tcW w:w="941" w:type="pct"/>
            <w:tcBorders>
              <w:top w:val="nil"/>
              <w:left w:val="nil"/>
              <w:bottom w:val="nil"/>
              <w:right w:val="nil"/>
            </w:tcBorders>
          </w:tcPr>
          <w:p w14:paraId="6EAF649B"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448,803 children and youth aged 5 to 18 years old (152,321 with exposure to concussion; 296,482 controls with orthopaedic injury) presented to an emergency department, primary health care, or mental health practitioner from 2010 to 2020 in Canada</w:t>
            </w:r>
          </w:p>
        </w:tc>
        <w:tc>
          <w:tcPr>
            <w:tcW w:w="931" w:type="pct"/>
            <w:tcBorders>
              <w:top w:val="nil"/>
              <w:left w:val="nil"/>
              <w:bottom w:val="nil"/>
              <w:right w:val="nil"/>
            </w:tcBorders>
            <w:tcMar>
              <w:top w:w="100" w:type="dxa"/>
              <w:left w:w="100" w:type="dxa"/>
              <w:bottom w:w="100" w:type="dxa"/>
              <w:right w:w="100" w:type="dxa"/>
            </w:tcMar>
          </w:tcPr>
          <w:p w14:paraId="59B3752F" w14:textId="11454D98"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Canadian national healthcare databases capturing data on visits to emergency department (ICD-10-CA codes: S06.0) and primary health care (Ontario Health Insurance Plan [OHIP] diagnosis code: 850) to ascertain concussion</w:t>
            </w:r>
            <w:r w:rsidR="00F354F1">
              <w:rPr>
                <w:rFonts w:ascii="Arial" w:eastAsia="Times New Roman" w:hAnsi="Arial" w:cs="Arial"/>
                <w:color w:val="000000" w:themeColor="text1"/>
                <w:sz w:val="18"/>
                <w:szCs w:val="18"/>
              </w:rPr>
              <w:t>. TBI severity was mild.</w:t>
            </w:r>
          </w:p>
        </w:tc>
        <w:tc>
          <w:tcPr>
            <w:tcW w:w="889" w:type="pct"/>
            <w:tcBorders>
              <w:top w:val="nil"/>
              <w:left w:val="nil"/>
              <w:bottom w:val="nil"/>
              <w:right w:val="nil"/>
            </w:tcBorders>
            <w:tcMar>
              <w:top w:w="100" w:type="dxa"/>
              <w:left w:w="100" w:type="dxa"/>
              <w:bottom w:w="100" w:type="dxa"/>
              <w:right w:w="100" w:type="dxa"/>
            </w:tcMar>
          </w:tcPr>
          <w:p w14:paraId="54A3750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National healthcare databases capturing data on psychiatric hospitalisation (ICD-10-CA codes: F20, F22, F23, F24, F25, F28, F29; OHIP codes: 295, 297, 298; and Ontario Mental Health Reporting System [OMHRS] codes: Q1E_RETIRED_2016</w:t>
            </w:r>
          </w:p>
          <w:p w14:paraId="1DCE398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Q1B) to establish schizophrenia</w:t>
            </w:r>
          </w:p>
        </w:tc>
        <w:tc>
          <w:tcPr>
            <w:tcW w:w="1257" w:type="pct"/>
            <w:tcBorders>
              <w:top w:val="nil"/>
              <w:left w:val="nil"/>
              <w:bottom w:val="nil"/>
              <w:right w:val="nil"/>
            </w:tcBorders>
            <w:tcMar>
              <w:top w:w="100" w:type="dxa"/>
              <w:left w:w="100" w:type="dxa"/>
              <w:bottom w:w="100" w:type="dxa"/>
              <w:right w:w="100" w:type="dxa"/>
            </w:tcMar>
          </w:tcPr>
          <w:p w14:paraId="0B82E18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exposed group had a higher risk of subsequently developing mental health conditions (including other non-schizophrenia diagnoses) when compared with the non-exposed control group (</w:t>
            </w:r>
            <w:r w:rsidRPr="002933AD">
              <w:rPr>
                <w:rFonts w:ascii="Arial" w:eastAsia="Times New Roman" w:hAnsi="Arial" w:cs="Arial"/>
                <w:color w:val="000000" w:themeColor="text1"/>
                <w:sz w:val="18"/>
                <w:szCs w:val="18"/>
              </w:rPr>
              <w:t>aHR</w:t>
            </w:r>
            <w:r w:rsidRPr="009F270D">
              <w:rPr>
                <w:rFonts w:ascii="Arial" w:eastAsia="Times New Roman" w:hAnsi="Arial" w:cs="Arial"/>
                <w:color w:val="000000" w:themeColor="text1"/>
                <w:sz w:val="18"/>
                <w:szCs w:val="18"/>
              </w:rPr>
              <w:t xml:space="preserve"> = 1.39, 95% CI [1.37, 1.40],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&lt; 0.001)</w:t>
            </w:r>
          </w:p>
          <w:p w14:paraId="37125221" w14:textId="77777777" w:rsidR="008E28E3" w:rsidRPr="009F270D" w:rsidRDefault="008E28E3" w:rsidP="006A6D88">
            <w:pPr>
              <w:rPr>
                <w:rFonts w:ascii="Arial" w:eastAsia="Times New Roman" w:hAnsi="Arial" w:cs="Arial"/>
                <w:color w:val="000000" w:themeColor="text1"/>
                <w:sz w:val="18"/>
                <w:szCs w:val="18"/>
              </w:rPr>
            </w:pPr>
          </w:p>
          <w:p w14:paraId="54E5994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Data on the development of schizophrenia in the exposed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1,058 [0.7%]) and non-exposed control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1,705 [0.6%]) were reported in the supplemental materials</w:t>
            </w:r>
          </w:p>
        </w:tc>
        <w:tc>
          <w:tcPr>
            <w:tcW w:w="208" w:type="pct"/>
            <w:tcBorders>
              <w:top w:val="nil"/>
              <w:left w:val="nil"/>
              <w:bottom w:val="nil"/>
            </w:tcBorders>
          </w:tcPr>
          <w:p w14:paraId="0735F1BE"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NR</w:t>
            </w:r>
          </w:p>
        </w:tc>
      </w:tr>
      <w:tr w:rsidR="008E28E3" w:rsidRPr="009F270D" w14:paraId="6D33387B" w14:textId="77777777" w:rsidTr="006A6D88">
        <w:trPr>
          <w:trHeight w:val="23"/>
        </w:trPr>
        <w:tc>
          <w:tcPr>
            <w:tcW w:w="366" w:type="pct"/>
            <w:tcBorders>
              <w:top w:val="nil"/>
              <w:bottom w:val="nil"/>
              <w:right w:val="nil"/>
            </w:tcBorders>
            <w:tcMar>
              <w:top w:w="100" w:type="dxa"/>
              <w:left w:w="100" w:type="dxa"/>
              <w:bottom w:w="100" w:type="dxa"/>
              <w:right w:w="100" w:type="dxa"/>
            </w:tcMar>
          </w:tcPr>
          <w:p w14:paraId="6129321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Lopez </w:t>
            </w:r>
          </w:p>
          <w:p w14:paraId="04729FC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2022</w:t>
            </w:r>
          </w:p>
          <w:p w14:paraId="3C675FF8"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(United States)</w:t>
            </w:r>
          </w:p>
        </w:tc>
        <w:tc>
          <w:tcPr>
            <w:tcW w:w="408" w:type="pct"/>
            <w:tcBorders>
              <w:top w:val="nil"/>
              <w:left w:val="nil"/>
              <w:bottom w:val="nil"/>
              <w:right w:val="nil"/>
            </w:tcBorders>
            <w:tcMar>
              <w:top w:w="100" w:type="dxa"/>
              <w:left w:w="100" w:type="dxa"/>
              <w:bottom w:w="100" w:type="dxa"/>
              <w:right w:w="100" w:type="dxa"/>
            </w:tcMar>
          </w:tcPr>
          <w:p w14:paraId="64D9710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Prospective cohort</w:t>
            </w:r>
          </w:p>
        </w:tc>
        <w:tc>
          <w:tcPr>
            <w:tcW w:w="941" w:type="pct"/>
            <w:tcBorders>
              <w:top w:val="nil"/>
              <w:left w:val="nil"/>
              <w:bottom w:val="nil"/>
              <w:right w:val="nil"/>
            </w:tcBorders>
          </w:tcPr>
          <w:p w14:paraId="04D2F643"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11,876 children aged 9-10 (128 with exposure to mild TBI; 322 possible mild TBI; 11,415 controls without TBIs) from 21 research sites at the United States from the Adolescent Brain Cognitive Development (ABCD) Study, with year-1 and year-2 follow-up</w:t>
            </w:r>
          </w:p>
        </w:tc>
        <w:tc>
          <w:tcPr>
            <w:tcW w:w="931" w:type="pct"/>
            <w:tcBorders>
              <w:top w:val="nil"/>
              <w:left w:val="nil"/>
              <w:bottom w:val="nil"/>
              <w:right w:val="nil"/>
            </w:tcBorders>
            <w:tcMar>
              <w:top w:w="100" w:type="dxa"/>
              <w:left w:w="100" w:type="dxa"/>
              <w:bottom w:w="100" w:type="dxa"/>
              <w:right w:w="100" w:type="dxa"/>
            </w:tcMar>
          </w:tcPr>
          <w:p w14:paraId="2C3E297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Ohio State University TBI Identification Method (OSU TBI-ID) – Short Modified, with questions directed at parents or guardians, to assess the number of possible mild and mild TBIs</w:t>
            </w:r>
          </w:p>
        </w:tc>
        <w:tc>
          <w:tcPr>
            <w:tcW w:w="889" w:type="pct"/>
            <w:tcBorders>
              <w:top w:val="nil"/>
              <w:left w:val="nil"/>
              <w:bottom w:val="nil"/>
              <w:right w:val="nil"/>
            </w:tcBorders>
            <w:tcMar>
              <w:top w:w="100" w:type="dxa"/>
              <w:left w:w="100" w:type="dxa"/>
              <w:bottom w:w="100" w:type="dxa"/>
              <w:right w:w="100" w:type="dxa"/>
            </w:tcMar>
          </w:tcPr>
          <w:p w14:paraId="67C91B0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Prodromal Questionnaire –Brief Child Version (PQ-BC), a self-report instrument for children and adolescents, to measure the number of distressing psychotic-like experiences (PLEs) in the past month weighted by level of distress</w:t>
            </w:r>
          </w:p>
        </w:tc>
        <w:tc>
          <w:tcPr>
            <w:tcW w:w="1257" w:type="pct"/>
            <w:tcBorders>
              <w:top w:val="nil"/>
              <w:left w:val="nil"/>
              <w:bottom w:val="nil"/>
              <w:right w:val="nil"/>
            </w:tcBorders>
            <w:tcMar>
              <w:top w:w="100" w:type="dxa"/>
              <w:left w:w="100" w:type="dxa"/>
              <w:bottom w:w="100" w:type="dxa"/>
              <w:right w:w="100" w:type="dxa"/>
            </w:tcMar>
          </w:tcPr>
          <w:p w14:paraId="291FF91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exposed-group children with mild TBI had a non-significant 22% increased risk of experiencing distressing PLEs (</w:t>
            </w:r>
            <w:r w:rsidRPr="002933AD">
              <w:rPr>
                <w:rFonts w:ascii="Arial" w:eastAsia="Times New Roman" w:hAnsi="Arial" w:cs="Arial"/>
                <w:color w:val="000000" w:themeColor="text1"/>
                <w:sz w:val="18"/>
                <w:szCs w:val="18"/>
              </w:rPr>
              <w:t xml:space="preserve">aIRR </w:t>
            </w:r>
            <w:r w:rsidRPr="009F270D">
              <w:rPr>
                <w:rFonts w:ascii="Arial" w:eastAsia="Times New Roman" w:hAnsi="Arial" w:cs="Arial"/>
                <w:color w:val="000000" w:themeColor="text1"/>
                <w:sz w:val="18"/>
                <w:szCs w:val="18"/>
              </w:rPr>
              <w:t xml:space="preserve">= 1.22, 95% CI [0.94, 1.57],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0.1395) when compared with the non-exposed control group, using imputed data</w:t>
            </w:r>
          </w:p>
        </w:tc>
        <w:tc>
          <w:tcPr>
            <w:tcW w:w="208" w:type="pct"/>
            <w:tcBorders>
              <w:top w:val="nil"/>
              <w:left w:val="nil"/>
              <w:bottom w:val="nil"/>
            </w:tcBorders>
          </w:tcPr>
          <w:p w14:paraId="4AA31396"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03041AEB" w14:textId="77777777" w:rsidTr="006A6D88">
        <w:trPr>
          <w:trHeight w:val="20"/>
        </w:trPr>
        <w:tc>
          <w:tcPr>
            <w:tcW w:w="366" w:type="pct"/>
            <w:tcBorders>
              <w:top w:val="nil"/>
              <w:bottom w:val="nil"/>
              <w:right w:val="nil"/>
            </w:tcBorders>
            <w:tcMar>
              <w:top w:w="100" w:type="dxa"/>
              <w:left w:w="100" w:type="dxa"/>
              <w:bottom w:w="100" w:type="dxa"/>
              <w:right w:w="100" w:type="dxa"/>
            </w:tcMar>
          </w:tcPr>
          <w:p w14:paraId="610AC27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Massagli</w:t>
            </w:r>
          </w:p>
          <w:p w14:paraId="74D32BC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2004</w:t>
            </w:r>
          </w:p>
          <w:p w14:paraId="6442E48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(United States)</w:t>
            </w:r>
          </w:p>
        </w:tc>
        <w:tc>
          <w:tcPr>
            <w:tcW w:w="408" w:type="pct"/>
            <w:tcBorders>
              <w:top w:val="nil"/>
              <w:left w:val="nil"/>
              <w:bottom w:val="nil"/>
              <w:right w:val="nil"/>
            </w:tcBorders>
            <w:tcMar>
              <w:top w:w="100" w:type="dxa"/>
              <w:left w:w="100" w:type="dxa"/>
              <w:bottom w:w="100" w:type="dxa"/>
              <w:right w:w="100" w:type="dxa"/>
            </w:tcMar>
          </w:tcPr>
          <w:p w14:paraId="7546FA38"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Prospective cohort</w:t>
            </w:r>
          </w:p>
        </w:tc>
        <w:tc>
          <w:tcPr>
            <w:tcW w:w="941" w:type="pct"/>
            <w:tcBorders>
              <w:top w:val="nil"/>
              <w:left w:val="nil"/>
              <w:bottom w:val="nil"/>
              <w:right w:val="nil"/>
            </w:tcBorders>
          </w:tcPr>
          <w:p w14:paraId="3EFA1FFE"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1,960 children (</w:t>
            </w:r>
            <w:r w:rsidRPr="009F270D">
              <w:rPr>
                <w:rFonts w:ascii="Arial" w:hAnsi="Arial" w:cs="Arial"/>
                <w:b/>
                <w:bCs/>
                <w:color w:val="202124"/>
                <w:sz w:val="18"/>
                <w:szCs w:val="18"/>
                <w:shd w:val="clear" w:color="auto" w:fill="FFFFFF"/>
              </w:rPr>
              <w:t xml:space="preserve">≤ </w:t>
            </w:r>
            <w:r w:rsidRPr="009F270D">
              <w:rPr>
                <w:rFonts w:ascii="Arial" w:eastAsia="Times New Roman" w:hAnsi="Arial" w:cs="Arial"/>
                <w:color w:val="000000" w:themeColor="text1"/>
                <w:sz w:val="18"/>
                <w:szCs w:val="18"/>
              </w:rPr>
              <w:t xml:space="preserve">14 years old; 490 sustained a mild TBI; 1,470 matched controls) attending emergency department, hospital, or </w:t>
            </w:r>
            <w:r w:rsidRPr="009F270D">
              <w:rPr>
                <w:rFonts w:ascii="Arial" w:eastAsia="Times New Roman" w:hAnsi="Arial" w:cs="Arial"/>
                <w:color w:val="000000" w:themeColor="text1"/>
                <w:sz w:val="18"/>
                <w:szCs w:val="18"/>
              </w:rPr>
              <w:lastRenderedPageBreak/>
              <w:t>outpatient clinic in the Washington State in 1993, with a 3-year follow-up</w:t>
            </w:r>
          </w:p>
        </w:tc>
        <w:tc>
          <w:tcPr>
            <w:tcW w:w="931" w:type="pct"/>
            <w:tcBorders>
              <w:top w:val="nil"/>
              <w:left w:val="nil"/>
              <w:bottom w:val="nil"/>
              <w:right w:val="nil"/>
            </w:tcBorders>
            <w:tcMar>
              <w:top w:w="100" w:type="dxa"/>
              <w:left w:w="100" w:type="dxa"/>
              <w:bottom w:w="100" w:type="dxa"/>
              <w:right w:w="100" w:type="dxa"/>
            </w:tcMar>
          </w:tcPr>
          <w:p w14:paraId="1CAA319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 xml:space="preserve">Washington State’s counties’ healthcare database capturing data on visits to emergency department, hospitals, or </w:t>
            </w:r>
            <w:r w:rsidRPr="009F270D">
              <w:rPr>
                <w:rFonts w:ascii="Arial" w:eastAsia="Times New Roman" w:hAnsi="Arial" w:cs="Arial"/>
                <w:color w:val="000000" w:themeColor="text1"/>
                <w:sz w:val="18"/>
                <w:szCs w:val="18"/>
              </w:rPr>
              <w:lastRenderedPageBreak/>
              <w:t>outpatient clinics, to indicate mild TBI including skull fractures (ICD-9-CM codes: 800.0–801.9, 803.0–804.9) and intracranial injury such as concussion (ICD-9-CM codes: 850.0–854.1). Mild TBI was indicated by less than 1-hour or no loss of consciousness and no traumatic intracranial lesions</w:t>
            </w:r>
          </w:p>
        </w:tc>
        <w:tc>
          <w:tcPr>
            <w:tcW w:w="889" w:type="pct"/>
            <w:tcBorders>
              <w:top w:val="nil"/>
              <w:left w:val="nil"/>
              <w:bottom w:val="nil"/>
              <w:right w:val="nil"/>
            </w:tcBorders>
            <w:tcMar>
              <w:top w:w="100" w:type="dxa"/>
              <w:left w:w="100" w:type="dxa"/>
              <w:bottom w:w="100" w:type="dxa"/>
              <w:right w:w="100" w:type="dxa"/>
            </w:tcMar>
          </w:tcPr>
          <w:p w14:paraId="483DFB7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 xml:space="preserve">Washington State’s counties’ healthcare database capturing data on psychiatric diagnosis, prescription for psychiatric </w:t>
            </w:r>
            <w:r w:rsidRPr="009F270D">
              <w:rPr>
                <w:rFonts w:ascii="Arial" w:eastAsia="Times New Roman" w:hAnsi="Arial" w:cs="Arial"/>
                <w:color w:val="000000" w:themeColor="text1"/>
                <w:sz w:val="18"/>
                <w:szCs w:val="18"/>
              </w:rPr>
              <w:lastRenderedPageBreak/>
              <w:t>medication, or using psychiatric services, to indicate psychotic disorders including organic psychotic disorders (ICD-9-CM codes: 290.0–.9, 293.0–294.9); schizophrenia, hallucinations, paranoia (ICD-9-CM codes: 295, 297.0–299.9, 780.1), and prescription for antipsychotics</w:t>
            </w:r>
          </w:p>
          <w:p w14:paraId="0CE4331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 </w:t>
            </w:r>
          </w:p>
        </w:tc>
        <w:tc>
          <w:tcPr>
            <w:tcW w:w="1257" w:type="pct"/>
            <w:tcBorders>
              <w:top w:val="nil"/>
              <w:left w:val="nil"/>
              <w:bottom w:val="nil"/>
              <w:right w:val="nil"/>
            </w:tcBorders>
            <w:tcMar>
              <w:top w:w="100" w:type="dxa"/>
              <w:left w:w="100" w:type="dxa"/>
              <w:bottom w:w="100" w:type="dxa"/>
              <w:right w:w="100" w:type="dxa"/>
            </w:tcMar>
          </w:tcPr>
          <w:p w14:paraId="29889156"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 xml:space="preserve">The TBI-exposed group children had higher cumulative incidence estimates for any psychiatric illnesses (including psychotic disorders and conditions other than psychotic </w:t>
            </w:r>
            <w:r w:rsidRPr="009F270D">
              <w:rPr>
                <w:rFonts w:ascii="Arial" w:eastAsia="Times New Roman" w:hAnsi="Arial" w:cs="Arial"/>
                <w:color w:val="000000" w:themeColor="text1"/>
                <w:sz w:val="18"/>
                <w:szCs w:val="18"/>
              </w:rPr>
              <w:lastRenderedPageBreak/>
              <w:t>disorders) in the 3 years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146 [30%]) when compared with the non-exposed controls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293 [20%])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.0001)</w:t>
            </w:r>
          </w:p>
          <w:p w14:paraId="773C4883" w14:textId="77777777" w:rsidR="008E28E3" w:rsidRPr="009F270D" w:rsidRDefault="008E28E3" w:rsidP="006A6D88">
            <w:pPr>
              <w:rPr>
                <w:rFonts w:ascii="Arial" w:eastAsia="Times New Roman" w:hAnsi="Arial" w:cs="Arial"/>
                <w:color w:val="000000" w:themeColor="text1"/>
                <w:sz w:val="18"/>
                <w:szCs w:val="18"/>
              </w:rPr>
            </w:pPr>
          </w:p>
          <w:p w14:paraId="5EB6B33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development of psychotic disorder in the TBI-exposed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7 [1.43%]) and non-exposed control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7 [0.48%]) were reported in Table 3 of the original study</w:t>
            </w:r>
          </w:p>
        </w:tc>
        <w:tc>
          <w:tcPr>
            <w:tcW w:w="208" w:type="pct"/>
            <w:tcBorders>
              <w:top w:val="nil"/>
              <w:left w:val="nil"/>
              <w:bottom w:val="nil"/>
            </w:tcBorders>
          </w:tcPr>
          <w:p w14:paraId="2207097F"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NR</w:t>
            </w:r>
          </w:p>
        </w:tc>
      </w:tr>
      <w:tr w:rsidR="008E28E3" w:rsidRPr="009F270D" w14:paraId="4147FAC8" w14:textId="77777777" w:rsidTr="006A6D88">
        <w:trPr>
          <w:trHeight w:val="20"/>
        </w:trPr>
        <w:tc>
          <w:tcPr>
            <w:tcW w:w="366" w:type="pct"/>
            <w:tcBorders>
              <w:top w:val="nil"/>
              <w:bottom w:val="nil"/>
              <w:right w:val="nil"/>
            </w:tcBorders>
            <w:tcMar>
              <w:top w:w="100" w:type="dxa"/>
              <w:left w:w="100" w:type="dxa"/>
              <w:bottom w:w="100" w:type="dxa"/>
              <w:right w:w="100" w:type="dxa"/>
            </w:tcMar>
          </w:tcPr>
          <w:p w14:paraId="4F894B5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Orlovska</w:t>
            </w:r>
          </w:p>
          <w:p w14:paraId="611B20C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2014</w:t>
            </w:r>
          </w:p>
          <w:p w14:paraId="68C4F4D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(Denmark)</w:t>
            </w:r>
          </w:p>
        </w:tc>
        <w:tc>
          <w:tcPr>
            <w:tcW w:w="408" w:type="pct"/>
            <w:tcBorders>
              <w:top w:val="nil"/>
              <w:left w:val="nil"/>
              <w:bottom w:val="nil"/>
              <w:right w:val="nil"/>
            </w:tcBorders>
            <w:tcMar>
              <w:top w:w="100" w:type="dxa"/>
              <w:left w:w="100" w:type="dxa"/>
              <w:bottom w:w="100" w:type="dxa"/>
              <w:right w:w="100" w:type="dxa"/>
            </w:tcMar>
          </w:tcPr>
          <w:p w14:paraId="66F1BCB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Prospective cohort</w:t>
            </w:r>
          </w:p>
        </w:tc>
        <w:tc>
          <w:tcPr>
            <w:tcW w:w="941" w:type="pct"/>
            <w:tcBorders>
              <w:top w:val="nil"/>
              <w:left w:val="nil"/>
              <w:bottom w:val="nil"/>
              <w:right w:val="nil"/>
            </w:tcBorders>
          </w:tcPr>
          <w:p w14:paraId="62E08AF2"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1,438,339 individuals born in Denmark between 1977 and 2000 (113,906 with hospital contacts for head injury; 1,324,433 without) included in the Danish nationwide population-based registers, followed for 34 years from 1977 to 2010</w:t>
            </w:r>
          </w:p>
        </w:tc>
        <w:tc>
          <w:tcPr>
            <w:tcW w:w="931" w:type="pct"/>
            <w:tcBorders>
              <w:top w:val="nil"/>
              <w:left w:val="nil"/>
              <w:bottom w:val="nil"/>
              <w:right w:val="nil"/>
            </w:tcBorders>
            <w:tcMar>
              <w:top w:w="100" w:type="dxa"/>
              <w:left w:w="100" w:type="dxa"/>
              <w:bottom w:w="100" w:type="dxa"/>
              <w:right w:w="100" w:type="dxa"/>
            </w:tcMar>
          </w:tcPr>
          <w:p w14:paraId="5B3F4C0A"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Danish National Hospital Register capturing data on visits to emergency department, inpatient and outpatient services, to identify mild head injury (ICD-10 code: S06.0), skull fracture (ICD-10 codes: S02.0, S02.1, S02.7, S02.9), and severe head injury (ICD-10 codes: S06.1–S06.9)</w:t>
            </w:r>
          </w:p>
        </w:tc>
        <w:tc>
          <w:tcPr>
            <w:tcW w:w="889" w:type="pct"/>
            <w:tcBorders>
              <w:top w:val="nil"/>
              <w:left w:val="nil"/>
              <w:bottom w:val="nil"/>
              <w:right w:val="nil"/>
            </w:tcBorders>
            <w:tcMar>
              <w:top w:w="100" w:type="dxa"/>
              <w:left w:w="100" w:type="dxa"/>
              <w:bottom w:w="100" w:type="dxa"/>
              <w:right w:w="100" w:type="dxa"/>
            </w:tcMar>
          </w:tcPr>
          <w:p w14:paraId="26550B9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Danish Psychiatric Central Register capturing data on visits to emergency department, inpatient and outpatient psychiatric services, to identify schizophrenia spectrum disorder (ICD-10 codes: F20-F29)</w:t>
            </w:r>
          </w:p>
        </w:tc>
        <w:tc>
          <w:tcPr>
            <w:tcW w:w="1257" w:type="pct"/>
            <w:tcBorders>
              <w:top w:val="nil"/>
              <w:left w:val="nil"/>
              <w:bottom w:val="nil"/>
              <w:right w:val="nil"/>
            </w:tcBorders>
            <w:tcMar>
              <w:top w:w="100" w:type="dxa"/>
              <w:left w:w="100" w:type="dxa"/>
              <w:bottom w:w="100" w:type="dxa"/>
              <w:right w:w="100" w:type="dxa"/>
            </w:tcMar>
          </w:tcPr>
          <w:p w14:paraId="27A9EE7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When compared with those without hospital contact for head injury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9,303), the group exposed to head injury between ages 0 and 5 years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226) significantly predicted subsequent development of schizophrenia spectrum disorders (</w:t>
            </w:r>
            <w:r w:rsidRPr="002933AD">
              <w:rPr>
                <w:rFonts w:ascii="Arial" w:eastAsia="Times New Roman" w:hAnsi="Arial" w:cs="Arial"/>
                <w:color w:val="000000" w:themeColor="text1"/>
                <w:sz w:val="18"/>
                <w:szCs w:val="18"/>
              </w:rPr>
              <w:t>aIRR</w:t>
            </w:r>
            <w:r w:rsidRPr="009F270D">
              <w:rPr>
                <w:rFonts w:ascii="Arial" w:eastAsia="Times New Roman" w:hAnsi="Arial" w:cs="Arial"/>
                <w:color w:val="000000" w:themeColor="text1"/>
                <w:sz w:val="18"/>
                <w:szCs w:val="18"/>
              </w:rPr>
              <w:t xml:space="preserve"> = 1.35, 95% CI [1.18, 1.54]). Significant effects of head injury started from 6–10 years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242; </w:t>
            </w:r>
            <w:r w:rsidRPr="002933AD">
              <w:rPr>
                <w:rFonts w:ascii="Arial" w:eastAsia="Times New Roman" w:hAnsi="Arial" w:cs="Arial"/>
                <w:color w:val="000000" w:themeColor="text1"/>
                <w:sz w:val="18"/>
                <w:szCs w:val="18"/>
              </w:rPr>
              <w:t xml:space="preserve">aIRR </w:t>
            </w:r>
            <w:r w:rsidRPr="009F270D">
              <w:rPr>
                <w:rFonts w:ascii="Arial" w:eastAsia="Times New Roman" w:hAnsi="Arial" w:cs="Arial"/>
                <w:color w:val="000000" w:themeColor="text1"/>
                <w:sz w:val="18"/>
                <w:szCs w:val="18"/>
              </w:rPr>
              <w:t>= 1.33, 95% CI [1.16, 1.50]) and 11–15 years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334; </w:t>
            </w:r>
            <w:r w:rsidRPr="002933AD">
              <w:rPr>
                <w:rFonts w:ascii="Arial" w:eastAsia="Times New Roman" w:hAnsi="Arial" w:cs="Arial"/>
                <w:color w:val="000000" w:themeColor="text1"/>
                <w:sz w:val="18"/>
                <w:szCs w:val="18"/>
              </w:rPr>
              <w:t>aIRR</w:t>
            </w:r>
            <w:r w:rsidRPr="009F270D">
              <w:rPr>
                <w:rFonts w:ascii="Arial" w:eastAsia="Times New Roman" w:hAnsi="Arial" w:cs="Arial"/>
                <w:color w:val="000000" w:themeColor="text1"/>
                <w:sz w:val="18"/>
                <w:szCs w:val="18"/>
              </w:rPr>
              <w:t xml:space="preserve"> = 1.86, 95% CI [1.66, 2.07]) were observed </w:t>
            </w:r>
          </w:p>
        </w:tc>
        <w:tc>
          <w:tcPr>
            <w:tcW w:w="208" w:type="pct"/>
            <w:tcBorders>
              <w:top w:val="nil"/>
              <w:left w:val="nil"/>
              <w:bottom w:val="nil"/>
            </w:tcBorders>
          </w:tcPr>
          <w:p w14:paraId="3D2EA3A0"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71BC701E" w14:textId="77777777" w:rsidTr="006A6D88">
        <w:trPr>
          <w:trHeight w:val="20"/>
        </w:trPr>
        <w:tc>
          <w:tcPr>
            <w:tcW w:w="366" w:type="pct"/>
            <w:tcBorders>
              <w:top w:val="nil"/>
              <w:bottom w:val="nil"/>
            </w:tcBorders>
            <w:tcMar>
              <w:top w:w="100" w:type="dxa"/>
              <w:left w:w="100" w:type="dxa"/>
              <w:bottom w:w="100" w:type="dxa"/>
              <w:right w:w="100" w:type="dxa"/>
            </w:tcMar>
          </w:tcPr>
          <w:p w14:paraId="016C935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Timonen</w:t>
            </w:r>
          </w:p>
          <w:p w14:paraId="3D5D2B6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2002</w:t>
            </w:r>
          </w:p>
          <w:p w14:paraId="3A57BEA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(Finland)</w:t>
            </w:r>
          </w:p>
        </w:tc>
        <w:tc>
          <w:tcPr>
            <w:tcW w:w="408" w:type="pct"/>
            <w:tcBorders>
              <w:top w:val="nil"/>
              <w:bottom w:val="nil"/>
            </w:tcBorders>
            <w:tcMar>
              <w:top w:w="100" w:type="dxa"/>
              <w:left w:w="100" w:type="dxa"/>
              <w:bottom w:w="100" w:type="dxa"/>
              <w:right w:w="100" w:type="dxa"/>
            </w:tcMar>
          </w:tcPr>
          <w:p w14:paraId="5338F71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Prospective cohort</w:t>
            </w:r>
          </w:p>
        </w:tc>
        <w:tc>
          <w:tcPr>
            <w:tcW w:w="941" w:type="pct"/>
            <w:tcBorders>
              <w:top w:val="nil"/>
              <w:bottom w:val="nil"/>
            </w:tcBorders>
          </w:tcPr>
          <w:p w14:paraId="4B6CD818"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10,934 individuals (256 with preceding TBI up to age 15 years old; 10,678 without) from the database of the 1966 Birth Cohort Study of Northern Finland, followed through the pre-natal stages prospectively up to the age of 31 years old</w:t>
            </w:r>
          </w:p>
        </w:tc>
        <w:tc>
          <w:tcPr>
            <w:tcW w:w="931" w:type="pct"/>
            <w:tcBorders>
              <w:top w:val="nil"/>
              <w:bottom w:val="nil"/>
            </w:tcBorders>
            <w:tcMar>
              <w:top w:w="100" w:type="dxa"/>
              <w:left w:w="100" w:type="dxa"/>
              <w:bottom w:w="100" w:type="dxa"/>
              <w:right w:w="100" w:type="dxa"/>
            </w:tcMar>
          </w:tcPr>
          <w:p w14:paraId="29AAF247" w14:textId="3B758F0F"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Finnish Hospital Discharge Registers capturing data on treatment episodes in hospitals and inpatient wards of health centres nation-wide, to identify TBI (ICD-9 codes: 800–801, 803, 804 except for facial traumas, 850–854, 950–951) up to 15 years old. Case notes of the cohort members with TBI up to 15 years old were screened further by the authors</w:t>
            </w:r>
            <w:r w:rsidR="00F354F1">
              <w:rPr>
                <w:rFonts w:ascii="Arial" w:eastAsia="Times New Roman" w:hAnsi="Arial" w:cs="Arial"/>
                <w:color w:val="000000" w:themeColor="text1"/>
                <w:sz w:val="18"/>
                <w:szCs w:val="18"/>
              </w:rPr>
              <w:t>. TBI severity was not reported.</w:t>
            </w:r>
          </w:p>
        </w:tc>
        <w:tc>
          <w:tcPr>
            <w:tcW w:w="889" w:type="pct"/>
            <w:tcBorders>
              <w:top w:val="nil"/>
              <w:bottom w:val="nil"/>
            </w:tcBorders>
            <w:tcMar>
              <w:top w:w="100" w:type="dxa"/>
              <w:left w:w="100" w:type="dxa"/>
              <w:bottom w:w="100" w:type="dxa"/>
              <w:right w:w="100" w:type="dxa"/>
            </w:tcMar>
          </w:tcPr>
          <w:p w14:paraId="1E1D544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Finnish Hospital Discharge Registers capturing data on treatment episodes in hospitals and inpatient wards of health centres nation-wide, to identify psychiatric disorders (ICD-9 codes for schizophrenia not specified). Case notes of the cohort members with psychiatric disorders were checked against the criteria from DSM-III-R by the authors</w:t>
            </w:r>
          </w:p>
        </w:tc>
        <w:tc>
          <w:tcPr>
            <w:tcW w:w="1257" w:type="pct"/>
            <w:tcBorders>
              <w:top w:val="nil"/>
              <w:bottom w:val="nil"/>
            </w:tcBorders>
            <w:tcMar>
              <w:top w:w="100" w:type="dxa"/>
              <w:left w:w="100" w:type="dxa"/>
              <w:bottom w:w="100" w:type="dxa"/>
              <w:right w:w="100" w:type="dxa"/>
            </w:tcMar>
          </w:tcPr>
          <w:p w14:paraId="6637E4E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exposure to TBI during childhood and adolescence significantly increased the likelihood of developing mental disorders (</w:t>
            </w:r>
            <w:r w:rsidRPr="002933AD">
              <w:rPr>
                <w:rFonts w:ascii="Arial" w:eastAsia="Times New Roman" w:hAnsi="Arial" w:cs="Arial"/>
                <w:color w:val="000000" w:themeColor="text1"/>
                <w:sz w:val="18"/>
                <w:szCs w:val="18"/>
              </w:rPr>
              <w:t xml:space="preserve">aOR </w:t>
            </w:r>
            <w:r w:rsidRPr="009F270D">
              <w:rPr>
                <w:rFonts w:ascii="Arial" w:eastAsia="Times New Roman" w:hAnsi="Arial" w:cs="Arial"/>
                <w:color w:val="000000" w:themeColor="text1"/>
                <w:sz w:val="18"/>
                <w:szCs w:val="18"/>
              </w:rPr>
              <w:t>= 2.1, 95% CI [1.2, 3.6]) in the male cohort</w:t>
            </w:r>
          </w:p>
          <w:p w14:paraId="0954CD48" w14:textId="77777777" w:rsidR="008E28E3" w:rsidRPr="009F270D" w:rsidRDefault="008E28E3" w:rsidP="006A6D88">
            <w:pPr>
              <w:rPr>
                <w:rFonts w:ascii="Arial" w:eastAsia="Times New Roman" w:hAnsi="Arial" w:cs="Arial"/>
                <w:color w:val="000000" w:themeColor="text1"/>
                <w:sz w:val="18"/>
                <w:szCs w:val="18"/>
              </w:rPr>
            </w:pPr>
          </w:p>
          <w:p w14:paraId="1553FD7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Although not originally reported by Timonen et al., Molloy et al. (2011) contacted the original authors and reported the following risk estimate for schizophrenia following paediatric TBI (</w:t>
            </w:r>
            <w:r w:rsidRPr="002933AD">
              <w:rPr>
                <w:rFonts w:ascii="Arial" w:eastAsia="Times New Roman" w:hAnsi="Arial" w:cs="Arial"/>
                <w:color w:val="000000" w:themeColor="text1"/>
                <w:sz w:val="18"/>
                <w:szCs w:val="18"/>
              </w:rPr>
              <w:t>OR</w:t>
            </w:r>
            <w:r w:rsidRPr="009F270D">
              <w:rPr>
                <w:rFonts w:ascii="Arial" w:eastAsia="Times New Roman" w:hAnsi="Arial" w:cs="Arial"/>
                <w:color w:val="000000" w:themeColor="text1"/>
                <w:sz w:val="18"/>
                <w:szCs w:val="18"/>
              </w:rPr>
              <w:t xml:space="preserve"> = 1.1, 95% CI [0.41, 2.96]) for this study</w:t>
            </w:r>
          </w:p>
        </w:tc>
        <w:tc>
          <w:tcPr>
            <w:tcW w:w="208" w:type="pct"/>
            <w:tcBorders>
              <w:top w:val="nil"/>
              <w:bottom w:val="nil"/>
            </w:tcBorders>
          </w:tcPr>
          <w:p w14:paraId="522F0AC1"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r>
      <w:tr w:rsidR="008E28E3" w:rsidRPr="009F270D" w14:paraId="6F3740F3" w14:textId="77777777" w:rsidTr="006A6D88">
        <w:trPr>
          <w:trHeight w:val="20"/>
        </w:trPr>
        <w:tc>
          <w:tcPr>
            <w:tcW w:w="366" w:type="pct"/>
            <w:tcBorders>
              <w:top w:val="nil"/>
              <w:bottom w:val="single" w:sz="4" w:space="0" w:color="auto"/>
              <w:right w:val="nil"/>
            </w:tcBorders>
            <w:tcMar>
              <w:top w:w="100" w:type="dxa"/>
              <w:left w:w="100" w:type="dxa"/>
              <w:bottom w:w="100" w:type="dxa"/>
              <w:right w:w="100" w:type="dxa"/>
            </w:tcMar>
          </w:tcPr>
          <w:p w14:paraId="65261F3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Wilcox</w:t>
            </w:r>
          </w:p>
          <w:p w14:paraId="0288659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198</w:t>
            </w:r>
            <w:r>
              <w:rPr>
                <w:rFonts w:ascii="Arial" w:eastAsia="Times New Roman" w:hAnsi="Arial" w:cs="Arial"/>
                <w:color w:val="000000" w:themeColor="text1"/>
                <w:sz w:val="18"/>
                <w:szCs w:val="18"/>
              </w:rPr>
              <w:t>7</w:t>
            </w:r>
          </w:p>
          <w:p w14:paraId="45AEE95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(United States)</w:t>
            </w:r>
          </w:p>
        </w:tc>
        <w:tc>
          <w:tcPr>
            <w:tcW w:w="408" w:type="pct"/>
            <w:tcBorders>
              <w:top w:val="nil"/>
              <w:left w:val="nil"/>
              <w:bottom w:val="single" w:sz="4" w:space="0" w:color="auto"/>
              <w:right w:val="nil"/>
            </w:tcBorders>
            <w:tcMar>
              <w:top w:w="100" w:type="dxa"/>
              <w:left w:w="100" w:type="dxa"/>
              <w:bottom w:w="100" w:type="dxa"/>
              <w:right w:w="100" w:type="dxa"/>
            </w:tcMar>
          </w:tcPr>
          <w:p w14:paraId="623A760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Case-control</w:t>
            </w:r>
          </w:p>
        </w:tc>
        <w:tc>
          <w:tcPr>
            <w:tcW w:w="941" w:type="pct"/>
            <w:tcBorders>
              <w:top w:val="nil"/>
              <w:left w:val="nil"/>
              <w:bottom w:val="single" w:sz="4" w:space="0" w:color="auto"/>
              <w:right w:val="nil"/>
            </w:tcBorders>
          </w:tcPr>
          <w:p w14:paraId="77CE45E6" w14:textId="77777777" w:rsidR="008E28E3" w:rsidRPr="009F270D" w:rsidRDefault="008E28E3" w:rsidP="006A6D88">
            <w:pPr>
              <w:ind w:left="109"/>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659 hospitalised patients (200 with schizophrenia; 122 bipolar disorder; 203 depressive disorder; and 134 surgical controls) admitted </w:t>
            </w:r>
            <w:r w:rsidRPr="009F270D">
              <w:rPr>
                <w:rFonts w:ascii="Arial" w:eastAsia="Times New Roman" w:hAnsi="Arial" w:cs="Arial"/>
                <w:color w:val="000000" w:themeColor="text1"/>
                <w:sz w:val="18"/>
                <w:szCs w:val="18"/>
              </w:rPr>
              <w:lastRenderedPageBreak/>
              <w:t xml:space="preserve">to a large university hospital from 1934 to 1944 </w:t>
            </w:r>
          </w:p>
        </w:tc>
        <w:tc>
          <w:tcPr>
            <w:tcW w:w="931" w:type="pct"/>
            <w:tcBorders>
              <w:top w:val="nil"/>
              <w:left w:val="nil"/>
              <w:bottom w:val="single" w:sz="4" w:space="0" w:color="auto"/>
              <w:right w:val="nil"/>
            </w:tcBorders>
            <w:tcMar>
              <w:top w:w="100" w:type="dxa"/>
              <w:left w:w="100" w:type="dxa"/>
              <w:bottom w:w="100" w:type="dxa"/>
              <w:right w:w="100" w:type="dxa"/>
            </w:tcMar>
          </w:tcPr>
          <w:p w14:paraId="3F5C8F9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Hospital records of head traumas. Further blind rating of head injury by the authors without knowledge of psychiatric diagnosis whilst reviewing the medical records</w:t>
            </w:r>
          </w:p>
          <w:p w14:paraId="5CFCE087" w14:textId="77777777" w:rsidR="008E28E3" w:rsidRPr="009F270D" w:rsidRDefault="008E28E3" w:rsidP="006A6D88">
            <w:pPr>
              <w:rPr>
                <w:rFonts w:ascii="Arial" w:eastAsia="Times New Roman" w:hAnsi="Arial" w:cs="Arial"/>
                <w:color w:val="000000" w:themeColor="text1"/>
                <w:sz w:val="18"/>
                <w:szCs w:val="18"/>
              </w:rPr>
            </w:pPr>
          </w:p>
          <w:p w14:paraId="6C3E8AFC" w14:textId="45C32D51"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Exposure to childhood head trauma was defined as the onset before 10 years old</w:t>
            </w:r>
            <w:r w:rsidR="00F354F1">
              <w:rPr>
                <w:rFonts w:ascii="Arial" w:eastAsia="Times New Roman" w:hAnsi="Arial" w:cs="Arial"/>
                <w:color w:val="000000" w:themeColor="text1"/>
                <w:sz w:val="18"/>
                <w:szCs w:val="18"/>
              </w:rPr>
              <w:t>. TBI severity was not reported.</w:t>
            </w:r>
          </w:p>
        </w:tc>
        <w:tc>
          <w:tcPr>
            <w:tcW w:w="889" w:type="pct"/>
            <w:tcBorders>
              <w:top w:val="nil"/>
              <w:left w:val="nil"/>
              <w:bottom w:val="single" w:sz="4" w:space="0" w:color="auto"/>
              <w:right w:val="nil"/>
            </w:tcBorders>
            <w:tcMar>
              <w:top w:w="100" w:type="dxa"/>
              <w:left w:w="100" w:type="dxa"/>
              <w:bottom w:w="100" w:type="dxa"/>
              <w:right w:w="100" w:type="dxa"/>
            </w:tcMar>
          </w:tcPr>
          <w:p w14:paraId="3666CDA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Diagnosis of schizophrenia based on diagnostic criteria by Feighner et al. (1972)</w:t>
            </w:r>
          </w:p>
        </w:tc>
        <w:tc>
          <w:tcPr>
            <w:tcW w:w="1257" w:type="pct"/>
            <w:tcBorders>
              <w:top w:val="nil"/>
              <w:left w:val="nil"/>
              <w:bottom w:val="single" w:sz="4" w:space="0" w:color="auto"/>
              <w:right w:val="nil"/>
            </w:tcBorders>
            <w:tcMar>
              <w:top w:w="100" w:type="dxa"/>
              <w:left w:w="100" w:type="dxa"/>
              <w:bottom w:w="100" w:type="dxa"/>
              <w:right w:w="100" w:type="dxa"/>
            </w:tcMar>
          </w:tcPr>
          <w:p w14:paraId="20EB322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The group of patients with schizophrenia had significantly more cases of childhood head trauma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22 [11%]) when compared with the surgical control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1 [0.7%])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0.0001) and depression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3 [1.5%])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w:t>
            </w:r>
            <w:r w:rsidRPr="009F270D">
              <w:rPr>
                <w:rFonts w:ascii="Arial" w:eastAsia="Times New Roman" w:hAnsi="Arial" w:cs="Arial"/>
                <w:color w:val="000000" w:themeColor="text1"/>
                <w:sz w:val="18"/>
                <w:szCs w:val="18"/>
              </w:rPr>
              <w:lastRenderedPageBreak/>
              <w:t>= 0.0001), but not the bipolar group (</w:t>
            </w:r>
            <w:r w:rsidRPr="009F270D">
              <w:rPr>
                <w:rFonts w:ascii="Arial" w:eastAsia="Times New Roman" w:hAnsi="Arial" w:cs="Arial"/>
                <w:i/>
                <w:iCs/>
                <w:color w:val="000000" w:themeColor="text1"/>
                <w:sz w:val="18"/>
                <w:szCs w:val="18"/>
              </w:rPr>
              <w:t>n</w:t>
            </w:r>
            <w:r w:rsidRPr="009F270D">
              <w:rPr>
                <w:rFonts w:ascii="Arial" w:eastAsia="Times New Roman" w:hAnsi="Arial" w:cs="Arial"/>
                <w:color w:val="000000" w:themeColor="text1"/>
                <w:sz w:val="18"/>
                <w:szCs w:val="18"/>
              </w:rPr>
              <w:t xml:space="preserve"> = 6 [4.9%]) (</w:t>
            </w:r>
            <w:r w:rsidRPr="009F270D">
              <w:rPr>
                <w:rFonts w:ascii="Arial" w:eastAsia="Times New Roman" w:hAnsi="Arial" w:cs="Arial"/>
                <w:i/>
                <w:iCs/>
                <w:color w:val="000000" w:themeColor="text1"/>
                <w:sz w:val="18"/>
                <w:szCs w:val="18"/>
              </w:rPr>
              <w:t>p</w:t>
            </w:r>
            <w:r w:rsidRPr="009F270D">
              <w:rPr>
                <w:rFonts w:ascii="Arial" w:eastAsia="Times New Roman" w:hAnsi="Arial" w:cs="Arial"/>
                <w:color w:val="000000" w:themeColor="text1"/>
                <w:sz w:val="18"/>
                <w:szCs w:val="18"/>
              </w:rPr>
              <w:t xml:space="preserve"> = 0.06). </w:t>
            </w:r>
          </w:p>
        </w:tc>
        <w:tc>
          <w:tcPr>
            <w:tcW w:w="208" w:type="pct"/>
            <w:tcBorders>
              <w:top w:val="nil"/>
              <w:left w:val="nil"/>
              <w:bottom w:val="single" w:sz="4" w:space="0" w:color="auto"/>
            </w:tcBorders>
          </w:tcPr>
          <w:p w14:paraId="79EF5FB3" w14:textId="77777777" w:rsidR="008E28E3" w:rsidRPr="009F270D" w:rsidRDefault="008E28E3" w:rsidP="006A6D88">
            <w:pPr>
              <w:ind w:left="136"/>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lastRenderedPageBreak/>
              <w:t>+/–</w:t>
            </w:r>
          </w:p>
        </w:tc>
      </w:tr>
    </w:tbl>
    <w:p w14:paraId="35C38BE9" w14:textId="77777777" w:rsidR="008E28E3" w:rsidRPr="009F270D" w:rsidRDefault="008E28E3" w:rsidP="008E28E3">
      <w:pPr>
        <w:pStyle w:val="NormalWeb"/>
        <w:spacing w:before="120" w:beforeAutospacing="0" w:after="0" w:afterAutospacing="0" w:line="360" w:lineRule="auto"/>
        <w:ind w:left="-851"/>
        <w:jc w:val="both"/>
        <w:rPr>
          <w:rFonts w:ascii="Arial" w:hAnsi="Arial" w:cs="Arial"/>
          <w:color w:val="000000" w:themeColor="text1"/>
          <w:sz w:val="18"/>
          <w:szCs w:val="18"/>
        </w:rPr>
      </w:pPr>
      <w:r w:rsidRPr="009F270D">
        <w:rPr>
          <w:rFonts w:ascii="Arial" w:hAnsi="Arial" w:cs="Arial"/>
          <w:i/>
          <w:iCs/>
          <w:color w:val="000000" w:themeColor="text1"/>
          <w:sz w:val="18"/>
          <w:szCs w:val="18"/>
        </w:rPr>
        <w:t>Note.</w:t>
      </w:r>
      <w:r w:rsidRPr="009F270D">
        <w:rPr>
          <w:rFonts w:ascii="Arial" w:hAnsi="Arial" w:cs="Arial"/>
          <w:color w:val="000000" w:themeColor="text1"/>
          <w:sz w:val="18"/>
          <w:szCs w:val="18"/>
        </w:rPr>
        <w:t xml:space="preserve"> </w:t>
      </w:r>
      <w:r w:rsidRPr="002933AD">
        <w:rPr>
          <w:rFonts w:ascii="Arial" w:hAnsi="Arial" w:cs="Arial"/>
          <w:color w:val="000000" w:themeColor="text1"/>
          <w:sz w:val="18"/>
          <w:szCs w:val="18"/>
        </w:rPr>
        <w:t>aHR = adjusted hazard ratio; aIRR = adjusted incidence rate ratio; aOR = adjusted odds ratio</w:t>
      </w:r>
      <w:r w:rsidRPr="009F270D">
        <w:rPr>
          <w:rFonts w:ascii="Arial" w:hAnsi="Arial" w:cs="Arial"/>
          <w:color w:val="000000" w:themeColor="text1"/>
          <w:sz w:val="18"/>
          <w:szCs w:val="18"/>
        </w:rPr>
        <w:t>; DSM = Diagnostic and Statistical Manual of Mental Disorders; ICD = International Statistical Classification of Diseases and Related Health Problems; NR = not reported; sig. assoc. = significant association; TBI = traumatic brain injury; (+) = significant association; (–) = non-significant association; (+/–) = mixed findings</w:t>
      </w:r>
    </w:p>
    <w:p w14:paraId="75FA446B" w14:textId="1163F8C3" w:rsidR="008E28E3" w:rsidRDefault="008E28E3" w:rsidP="008E28E3">
      <w:pPr>
        <w:spacing w:line="480" w:lineRule="auto"/>
        <w:rPr>
          <w:rFonts w:ascii="Times New Roman" w:hAnsi="Times New Roman" w:cs="Times New Roman"/>
          <w:color w:val="000000" w:themeColor="text1"/>
        </w:rPr>
      </w:pPr>
    </w:p>
    <w:p w14:paraId="434B0C7C" w14:textId="312ABB01" w:rsidR="00365ADA" w:rsidRDefault="00365ADA" w:rsidP="008E28E3">
      <w:pPr>
        <w:spacing w:line="480" w:lineRule="auto"/>
        <w:rPr>
          <w:rFonts w:ascii="Times New Roman" w:hAnsi="Times New Roman" w:cs="Times New Roman"/>
          <w:color w:val="000000" w:themeColor="text1"/>
        </w:rPr>
      </w:pPr>
    </w:p>
    <w:p w14:paraId="4F54D38E" w14:textId="77777777" w:rsidR="00365ADA" w:rsidRDefault="00365ADA" w:rsidP="008E28E3">
      <w:pPr>
        <w:spacing w:line="480" w:lineRule="auto"/>
        <w:rPr>
          <w:rFonts w:ascii="Times New Roman" w:hAnsi="Times New Roman" w:cs="Times New Roman"/>
          <w:color w:val="000000" w:themeColor="text1"/>
        </w:rPr>
      </w:pPr>
    </w:p>
    <w:p w14:paraId="21DFA5EB" w14:textId="77777777" w:rsidR="009B3C11" w:rsidRDefault="009B3C11">
      <w:pPr>
        <w:spacing w:after="160" w:line="259" w:lineRule="auto"/>
        <w:rPr>
          <w:rFonts w:ascii="Arial" w:eastAsia="Times New Roman" w:hAnsi="Arial" w:cs="Arial"/>
          <w:b/>
          <w:color w:val="000000" w:themeColor="text1"/>
          <w:sz w:val="20"/>
          <w:szCs w:val="20"/>
        </w:rPr>
      </w:pPr>
      <w:r>
        <w:rPr>
          <w:rFonts w:ascii="Arial" w:hAnsi="Arial" w:cs="Arial"/>
          <w:b/>
          <w:color w:val="000000" w:themeColor="text1"/>
          <w:sz w:val="20"/>
          <w:szCs w:val="20"/>
        </w:rPr>
        <w:br w:type="page"/>
      </w:r>
    </w:p>
    <w:p w14:paraId="3D390CFB" w14:textId="5629EFC1" w:rsidR="008E28E3" w:rsidRPr="008742EE" w:rsidRDefault="008E28E3" w:rsidP="008E28E3">
      <w:pPr>
        <w:pStyle w:val="NormalWeb"/>
        <w:spacing w:before="0" w:beforeAutospacing="0" w:after="0" w:afterAutospacing="0" w:line="360" w:lineRule="auto"/>
        <w:ind w:hanging="851"/>
        <w:jc w:val="both"/>
        <w:rPr>
          <w:rFonts w:ascii="Arial" w:hAnsi="Arial" w:cs="Arial"/>
          <w:i/>
          <w:iCs/>
          <w:color w:val="000000" w:themeColor="text1"/>
          <w:sz w:val="20"/>
          <w:szCs w:val="20"/>
        </w:rPr>
      </w:pPr>
      <w:r w:rsidRPr="008742EE">
        <w:rPr>
          <w:rFonts w:ascii="Arial" w:hAnsi="Arial" w:cs="Arial"/>
          <w:b/>
          <w:color w:val="000000" w:themeColor="text1"/>
          <w:sz w:val="20"/>
          <w:szCs w:val="20"/>
        </w:rPr>
        <w:lastRenderedPageBreak/>
        <w:t xml:space="preserve">Table </w:t>
      </w:r>
      <w:r>
        <w:rPr>
          <w:rFonts w:ascii="Arial" w:hAnsi="Arial" w:cs="Arial"/>
          <w:b/>
          <w:color w:val="000000" w:themeColor="text1"/>
          <w:sz w:val="20"/>
          <w:szCs w:val="20"/>
        </w:rPr>
        <w:t>S2</w:t>
      </w:r>
      <w:r w:rsidRPr="008742EE">
        <w:rPr>
          <w:rFonts w:ascii="Arial" w:hAnsi="Arial" w:cs="Arial"/>
          <w:color w:val="000000" w:themeColor="text1"/>
          <w:sz w:val="20"/>
          <w:szCs w:val="20"/>
        </w:rPr>
        <w:t>.</w:t>
      </w:r>
      <w:r w:rsidRPr="008742EE">
        <w:rPr>
          <w:rFonts w:ascii="Arial" w:hAnsi="Arial" w:cs="Arial"/>
          <w:i/>
          <w:iCs/>
          <w:color w:val="000000" w:themeColor="text1"/>
          <w:sz w:val="20"/>
          <w:szCs w:val="20"/>
        </w:rPr>
        <w:t xml:space="preserve"> </w:t>
      </w:r>
      <w:r w:rsidRPr="008742EE">
        <w:rPr>
          <w:rFonts w:ascii="Arial" w:hAnsi="Arial" w:cs="Arial"/>
          <w:iCs/>
          <w:color w:val="000000" w:themeColor="text1"/>
          <w:sz w:val="20"/>
          <w:szCs w:val="20"/>
        </w:rPr>
        <w:t>Quality assessment ratings for included studies</w:t>
      </w:r>
    </w:p>
    <w:tbl>
      <w:tblPr>
        <w:tblW w:w="5771" w:type="pct"/>
        <w:tblInd w:w="-1134"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97"/>
        <w:gridCol w:w="1169"/>
        <w:gridCol w:w="1169"/>
        <w:gridCol w:w="1169"/>
        <w:gridCol w:w="1169"/>
        <w:gridCol w:w="1170"/>
        <w:gridCol w:w="1170"/>
        <w:gridCol w:w="1170"/>
        <w:gridCol w:w="1170"/>
        <w:gridCol w:w="1170"/>
        <w:gridCol w:w="1170"/>
        <w:gridCol w:w="1170"/>
        <w:gridCol w:w="1547"/>
      </w:tblGrid>
      <w:tr w:rsidR="008E28E3" w:rsidRPr="009F270D" w14:paraId="063449DF" w14:textId="77777777" w:rsidTr="006A6D88">
        <w:trPr>
          <w:trHeight w:val="20"/>
        </w:trPr>
        <w:tc>
          <w:tcPr>
            <w:tcW w:w="527" w:type="pct"/>
            <w:tcMar>
              <w:top w:w="100" w:type="dxa"/>
              <w:left w:w="100" w:type="dxa"/>
              <w:bottom w:w="100" w:type="dxa"/>
              <w:right w:w="100" w:type="dxa"/>
            </w:tcMar>
            <w:hideMark/>
          </w:tcPr>
          <w:p w14:paraId="50B3C6E2"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Study, year</w:t>
            </w:r>
          </w:p>
        </w:tc>
        <w:tc>
          <w:tcPr>
            <w:tcW w:w="3991" w:type="pct"/>
            <w:gridSpan w:val="11"/>
            <w:tcBorders>
              <w:bottom w:val="single" w:sz="4" w:space="0" w:color="auto"/>
            </w:tcBorders>
            <w:tcMar>
              <w:top w:w="100" w:type="dxa"/>
              <w:left w:w="100" w:type="dxa"/>
              <w:bottom w:w="100" w:type="dxa"/>
              <w:right w:w="100" w:type="dxa"/>
            </w:tcMar>
            <w:hideMark/>
          </w:tcPr>
          <w:p w14:paraId="1BE1B3CE"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Checklist for quality assessment</w:t>
            </w:r>
            <w:r w:rsidRPr="009F270D">
              <w:rPr>
                <w:rFonts w:ascii="Arial" w:eastAsia="Times New Roman" w:hAnsi="Arial" w:cs="Arial"/>
                <w:color w:val="000000" w:themeColor="text1"/>
                <w:sz w:val="18"/>
                <w:szCs w:val="18"/>
                <w:vertAlign w:val="superscript"/>
              </w:rPr>
              <w:t>a</w:t>
            </w:r>
          </w:p>
        </w:tc>
        <w:tc>
          <w:tcPr>
            <w:tcW w:w="482" w:type="pct"/>
            <w:tcBorders>
              <w:top w:val="single" w:sz="4" w:space="0" w:color="auto"/>
              <w:bottom w:val="nil"/>
            </w:tcBorders>
            <w:tcMar>
              <w:top w:w="100" w:type="dxa"/>
              <w:left w:w="100" w:type="dxa"/>
              <w:bottom w:w="100" w:type="dxa"/>
              <w:right w:w="100" w:type="dxa"/>
            </w:tcMar>
            <w:hideMark/>
          </w:tcPr>
          <w:p w14:paraId="3CBBA84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Overall quality of evidence (summary score)</w:t>
            </w:r>
          </w:p>
        </w:tc>
      </w:tr>
      <w:tr w:rsidR="008E28E3" w:rsidRPr="009F270D" w14:paraId="66D06AE2" w14:textId="77777777" w:rsidTr="006A6D88">
        <w:trPr>
          <w:trHeight w:val="20"/>
        </w:trPr>
        <w:tc>
          <w:tcPr>
            <w:tcW w:w="527" w:type="pct"/>
            <w:tcBorders>
              <w:bottom w:val="single" w:sz="4" w:space="0" w:color="auto"/>
            </w:tcBorders>
            <w:tcMar>
              <w:top w:w="100" w:type="dxa"/>
              <w:left w:w="100" w:type="dxa"/>
              <w:bottom w:w="100" w:type="dxa"/>
              <w:right w:w="100" w:type="dxa"/>
            </w:tcMar>
          </w:tcPr>
          <w:p w14:paraId="1F02B6D2" w14:textId="77777777" w:rsidR="008E28E3" w:rsidRPr="009F270D" w:rsidRDefault="008E28E3" w:rsidP="006A6D88">
            <w:pPr>
              <w:rPr>
                <w:rFonts w:ascii="Arial" w:eastAsia="Times New Roman" w:hAnsi="Arial" w:cs="Arial"/>
                <w:color w:val="000000" w:themeColor="text1"/>
                <w:sz w:val="18"/>
                <w:szCs w:val="18"/>
              </w:rPr>
            </w:pPr>
          </w:p>
        </w:tc>
        <w:tc>
          <w:tcPr>
            <w:tcW w:w="363" w:type="pct"/>
            <w:tcBorders>
              <w:top w:val="single" w:sz="4" w:space="0" w:color="auto"/>
              <w:bottom w:val="single" w:sz="4" w:space="0" w:color="auto"/>
            </w:tcBorders>
            <w:tcMar>
              <w:top w:w="100" w:type="dxa"/>
              <w:left w:w="100" w:type="dxa"/>
              <w:bottom w:w="100" w:type="dxa"/>
              <w:right w:w="100" w:type="dxa"/>
            </w:tcMar>
          </w:tcPr>
          <w:p w14:paraId="462C62B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 Objective described</w:t>
            </w:r>
          </w:p>
        </w:tc>
        <w:tc>
          <w:tcPr>
            <w:tcW w:w="363" w:type="pct"/>
            <w:tcBorders>
              <w:top w:val="single" w:sz="4" w:space="0" w:color="auto"/>
              <w:bottom w:val="single" w:sz="4" w:space="0" w:color="auto"/>
            </w:tcBorders>
          </w:tcPr>
          <w:p w14:paraId="2FD3EAD0"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Q2: </w:t>
            </w:r>
          </w:p>
          <w:p w14:paraId="6FE3E95A"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Appropriate design</w:t>
            </w:r>
          </w:p>
        </w:tc>
        <w:tc>
          <w:tcPr>
            <w:tcW w:w="363" w:type="pct"/>
            <w:tcBorders>
              <w:top w:val="single" w:sz="4" w:space="0" w:color="auto"/>
              <w:bottom w:val="single" w:sz="4" w:space="0" w:color="auto"/>
            </w:tcBorders>
          </w:tcPr>
          <w:p w14:paraId="157C1FF4"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Q3: </w:t>
            </w:r>
          </w:p>
          <w:p w14:paraId="55E289AA"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Appropriate sampling</w:t>
            </w:r>
          </w:p>
        </w:tc>
        <w:tc>
          <w:tcPr>
            <w:tcW w:w="363" w:type="pct"/>
            <w:tcBorders>
              <w:top w:val="single" w:sz="4" w:space="0" w:color="auto"/>
              <w:bottom w:val="single" w:sz="4" w:space="0" w:color="auto"/>
            </w:tcBorders>
          </w:tcPr>
          <w:p w14:paraId="6EC8172C"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Q4: </w:t>
            </w:r>
          </w:p>
          <w:p w14:paraId="0D2DD9B7"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Participant described</w:t>
            </w:r>
          </w:p>
        </w:tc>
        <w:tc>
          <w:tcPr>
            <w:tcW w:w="363" w:type="pct"/>
            <w:tcBorders>
              <w:top w:val="single" w:sz="4" w:space="0" w:color="auto"/>
              <w:bottom w:val="single" w:sz="4" w:space="0" w:color="auto"/>
            </w:tcBorders>
          </w:tcPr>
          <w:p w14:paraId="3305F628"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Q8:</w:t>
            </w:r>
          </w:p>
          <w:p w14:paraId="06C12A9C"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Well-defined measure</w:t>
            </w:r>
          </w:p>
        </w:tc>
        <w:tc>
          <w:tcPr>
            <w:tcW w:w="363" w:type="pct"/>
            <w:tcBorders>
              <w:top w:val="single" w:sz="4" w:space="0" w:color="auto"/>
              <w:bottom w:val="single" w:sz="4" w:space="0" w:color="auto"/>
            </w:tcBorders>
          </w:tcPr>
          <w:p w14:paraId="3B8C607D"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Q9:</w:t>
            </w:r>
          </w:p>
          <w:p w14:paraId="135E6FA2"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Appropriate sample size</w:t>
            </w:r>
          </w:p>
        </w:tc>
        <w:tc>
          <w:tcPr>
            <w:tcW w:w="363" w:type="pct"/>
            <w:tcBorders>
              <w:top w:val="single" w:sz="4" w:space="0" w:color="auto"/>
              <w:bottom w:val="single" w:sz="4" w:space="0" w:color="auto"/>
            </w:tcBorders>
            <w:tcMar>
              <w:top w:w="100" w:type="dxa"/>
              <w:left w:w="100" w:type="dxa"/>
              <w:bottom w:w="100" w:type="dxa"/>
              <w:right w:w="100" w:type="dxa"/>
            </w:tcMar>
          </w:tcPr>
          <w:p w14:paraId="28ED539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Q10:</w:t>
            </w:r>
          </w:p>
          <w:p w14:paraId="33ADD65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Appropriate analysis</w:t>
            </w:r>
          </w:p>
        </w:tc>
        <w:tc>
          <w:tcPr>
            <w:tcW w:w="363" w:type="pct"/>
            <w:tcBorders>
              <w:top w:val="single" w:sz="4" w:space="0" w:color="auto"/>
              <w:bottom w:val="single" w:sz="4" w:space="0" w:color="auto"/>
            </w:tcBorders>
          </w:tcPr>
          <w:p w14:paraId="2F0406A5"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Q11:</w:t>
            </w:r>
          </w:p>
          <w:p w14:paraId="487FAF46"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Estimate of variance</w:t>
            </w:r>
          </w:p>
        </w:tc>
        <w:tc>
          <w:tcPr>
            <w:tcW w:w="363" w:type="pct"/>
            <w:tcBorders>
              <w:top w:val="single" w:sz="4" w:space="0" w:color="auto"/>
              <w:bottom w:val="single" w:sz="4" w:space="0" w:color="auto"/>
            </w:tcBorders>
            <w:tcMar>
              <w:top w:w="100" w:type="dxa"/>
              <w:left w:w="100" w:type="dxa"/>
              <w:bottom w:w="100" w:type="dxa"/>
              <w:right w:w="100" w:type="dxa"/>
            </w:tcMar>
          </w:tcPr>
          <w:p w14:paraId="6573E74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 xml:space="preserve">Q12: </w:t>
            </w:r>
          </w:p>
          <w:p w14:paraId="2A7C2FEA"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Confounder controlled</w:t>
            </w:r>
          </w:p>
        </w:tc>
        <w:tc>
          <w:tcPr>
            <w:tcW w:w="363" w:type="pct"/>
            <w:tcBorders>
              <w:top w:val="single" w:sz="4" w:space="0" w:color="auto"/>
              <w:bottom w:val="single" w:sz="4" w:space="0" w:color="auto"/>
            </w:tcBorders>
          </w:tcPr>
          <w:p w14:paraId="7946E26B"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Q13:</w:t>
            </w:r>
          </w:p>
          <w:p w14:paraId="2F692ED7"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Result in detail</w:t>
            </w:r>
          </w:p>
        </w:tc>
        <w:tc>
          <w:tcPr>
            <w:tcW w:w="363" w:type="pct"/>
            <w:tcBorders>
              <w:top w:val="single" w:sz="4" w:space="0" w:color="auto"/>
              <w:bottom w:val="single" w:sz="4" w:space="0" w:color="auto"/>
            </w:tcBorders>
          </w:tcPr>
          <w:p w14:paraId="7136AD44"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Q14:</w:t>
            </w:r>
          </w:p>
          <w:p w14:paraId="59A20EA0"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Conclusion supported</w:t>
            </w:r>
          </w:p>
        </w:tc>
        <w:tc>
          <w:tcPr>
            <w:tcW w:w="482" w:type="pct"/>
            <w:tcBorders>
              <w:top w:val="nil"/>
              <w:bottom w:val="single" w:sz="4" w:space="0" w:color="auto"/>
            </w:tcBorders>
            <w:tcMar>
              <w:top w:w="100" w:type="dxa"/>
              <w:left w:w="100" w:type="dxa"/>
              <w:bottom w:w="100" w:type="dxa"/>
              <w:right w:w="100" w:type="dxa"/>
            </w:tcMar>
          </w:tcPr>
          <w:p w14:paraId="3917F2F5" w14:textId="77777777" w:rsidR="008E28E3" w:rsidRPr="009F270D" w:rsidRDefault="008E28E3" w:rsidP="006A6D88">
            <w:pPr>
              <w:rPr>
                <w:rFonts w:ascii="Arial" w:eastAsia="Times New Roman" w:hAnsi="Arial" w:cs="Arial"/>
                <w:color w:val="000000" w:themeColor="text1"/>
                <w:sz w:val="18"/>
                <w:szCs w:val="18"/>
              </w:rPr>
            </w:pPr>
          </w:p>
        </w:tc>
      </w:tr>
      <w:tr w:rsidR="008E28E3" w:rsidRPr="009F270D" w14:paraId="14A59EAD" w14:textId="77777777" w:rsidTr="006A6D88">
        <w:trPr>
          <w:trHeight w:val="227"/>
        </w:trPr>
        <w:tc>
          <w:tcPr>
            <w:tcW w:w="527" w:type="pct"/>
            <w:tcBorders>
              <w:top w:val="single" w:sz="4" w:space="0" w:color="auto"/>
              <w:bottom w:val="nil"/>
            </w:tcBorders>
            <w:tcMar>
              <w:top w:w="100" w:type="dxa"/>
              <w:left w:w="100" w:type="dxa"/>
              <w:bottom w:w="100" w:type="dxa"/>
              <w:right w:w="100" w:type="dxa"/>
            </w:tcMar>
            <w:hideMark/>
          </w:tcPr>
          <w:p w14:paraId="64A13DA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AbdelMalik, 2003</w:t>
            </w:r>
          </w:p>
        </w:tc>
        <w:tc>
          <w:tcPr>
            <w:tcW w:w="363" w:type="pct"/>
            <w:tcBorders>
              <w:top w:val="single" w:sz="4" w:space="0" w:color="auto"/>
              <w:bottom w:val="nil"/>
            </w:tcBorders>
            <w:tcMar>
              <w:top w:w="100" w:type="dxa"/>
              <w:left w:w="100" w:type="dxa"/>
              <w:bottom w:w="100" w:type="dxa"/>
              <w:right w:w="100" w:type="dxa"/>
            </w:tcMar>
            <w:hideMark/>
          </w:tcPr>
          <w:p w14:paraId="18C85DC2"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59C1A6A1"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75224F71"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404EA3E7"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23F2A684"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2EEAE860"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Mar>
              <w:top w:w="100" w:type="dxa"/>
              <w:left w:w="100" w:type="dxa"/>
              <w:bottom w:w="100" w:type="dxa"/>
              <w:right w:w="100" w:type="dxa"/>
            </w:tcMar>
            <w:hideMark/>
          </w:tcPr>
          <w:p w14:paraId="04E17D3A"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598DBF15"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Mar>
              <w:top w:w="100" w:type="dxa"/>
              <w:left w:w="100" w:type="dxa"/>
              <w:bottom w:w="100" w:type="dxa"/>
              <w:right w:w="100" w:type="dxa"/>
            </w:tcMar>
          </w:tcPr>
          <w:p w14:paraId="2DE87E7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4B4976E6"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single" w:sz="4" w:space="0" w:color="auto"/>
              <w:bottom w:val="nil"/>
            </w:tcBorders>
          </w:tcPr>
          <w:p w14:paraId="5C632833"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Borders>
              <w:top w:val="single" w:sz="4" w:space="0" w:color="auto"/>
              <w:bottom w:val="nil"/>
            </w:tcBorders>
            <w:tcMar>
              <w:top w:w="100" w:type="dxa"/>
              <w:left w:w="100" w:type="dxa"/>
              <w:bottom w:w="100" w:type="dxa"/>
              <w:right w:w="100" w:type="dxa"/>
            </w:tcMar>
            <w:hideMark/>
          </w:tcPr>
          <w:p w14:paraId="630A13C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(90.9)</w:t>
            </w:r>
          </w:p>
        </w:tc>
      </w:tr>
      <w:tr w:rsidR="008E28E3" w:rsidRPr="009F270D" w14:paraId="4F7E3032" w14:textId="77777777" w:rsidTr="006A6D88">
        <w:trPr>
          <w:trHeight w:val="227"/>
        </w:trPr>
        <w:tc>
          <w:tcPr>
            <w:tcW w:w="527" w:type="pct"/>
            <w:tcBorders>
              <w:top w:val="nil"/>
              <w:bottom w:val="nil"/>
            </w:tcBorders>
            <w:tcMar>
              <w:top w:w="100" w:type="dxa"/>
              <w:left w:w="100" w:type="dxa"/>
              <w:bottom w:w="100" w:type="dxa"/>
              <w:right w:w="100" w:type="dxa"/>
            </w:tcMar>
          </w:tcPr>
          <w:p w14:paraId="30C4FD1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Deighton, 2016</w:t>
            </w:r>
          </w:p>
        </w:tc>
        <w:tc>
          <w:tcPr>
            <w:tcW w:w="363" w:type="pct"/>
            <w:tcBorders>
              <w:top w:val="nil"/>
              <w:bottom w:val="nil"/>
            </w:tcBorders>
            <w:tcMar>
              <w:top w:w="100" w:type="dxa"/>
              <w:left w:w="100" w:type="dxa"/>
              <w:bottom w:w="100" w:type="dxa"/>
              <w:right w:w="100" w:type="dxa"/>
            </w:tcMar>
          </w:tcPr>
          <w:p w14:paraId="102EDFB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7149EA7D"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3BB5AA48"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43526326"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4AB27E39"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3CA12D3E"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Mar>
              <w:top w:w="100" w:type="dxa"/>
              <w:left w:w="100" w:type="dxa"/>
              <w:bottom w:w="100" w:type="dxa"/>
              <w:right w:w="100" w:type="dxa"/>
            </w:tcMar>
          </w:tcPr>
          <w:p w14:paraId="0E5189E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692334DB"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Mar>
              <w:top w:w="100" w:type="dxa"/>
              <w:left w:w="100" w:type="dxa"/>
              <w:bottom w:w="100" w:type="dxa"/>
              <w:right w:w="100" w:type="dxa"/>
            </w:tcMar>
          </w:tcPr>
          <w:p w14:paraId="06AFB7A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1E24A848"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bottom w:val="nil"/>
            </w:tcBorders>
          </w:tcPr>
          <w:p w14:paraId="7F58913E"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Borders>
              <w:top w:val="nil"/>
              <w:bottom w:val="nil"/>
            </w:tcBorders>
            <w:tcMar>
              <w:top w:w="100" w:type="dxa"/>
              <w:left w:w="100" w:type="dxa"/>
              <w:bottom w:w="100" w:type="dxa"/>
              <w:right w:w="100" w:type="dxa"/>
            </w:tcMar>
          </w:tcPr>
          <w:p w14:paraId="03C8F57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(86.4)</w:t>
            </w:r>
          </w:p>
        </w:tc>
      </w:tr>
      <w:tr w:rsidR="008E28E3" w:rsidRPr="009F270D" w14:paraId="3F73B13A" w14:textId="77777777" w:rsidTr="006A6D88">
        <w:trPr>
          <w:trHeight w:val="227"/>
        </w:trPr>
        <w:tc>
          <w:tcPr>
            <w:tcW w:w="527" w:type="pct"/>
            <w:tcBorders>
              <w:top w:val="nil"/>
            </w:tcBorders>
            <w:tcMar>
              <w:top w:w="100" w:type="dxa"/>
              <w:left w:w="100" w:type="dxa"/>
              <w:bottom w:w="100" w:type="dxa"/>
              <w:right w:w="100" w:type="dxa"/>
            </w:tcMar>
          </w:tcPr>
          <w:p w14:paraId="370BD71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Harrison, 2006</w:t>
            </w:r>
          </w:p>
        </w:tc>
        <w:tc>
          <w:tcPr>
            <w:tcW w:w="363" w:type="pct"/>
            <w:tcBorders>
              <w:top w:val="nil"/>
            </w:tcBorders>
            <w:tcMar>
              <w:top w:w="100" w:type="dxa"/>
              <w:left w:w="100" w:type="dxa"/>
              <w:bottom w:w="100" w:type="dxa"/>
              <w:right w:w="100" w:type="dxa"/>
            </w:tcMar>
          </w:tcPr>
          <w:p w14:paraId="5C46660A"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13C576AF"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1966E461"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1B5417AF"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041D6221"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764A3F63"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Mar>
              <w:top w:w="100" w:type="dxa"/>
              <w:left w:w="100" w:type="dxa"/>
              <w:bottom w:w="100" w:type="dxa"/>
              <w:right w:w="100" w:type="dxa"/>
            </w:tcMar>
          </w:tcPr>
          <w:p w14:paraId="196EAA0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457DD27E"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Mar>
              <w:top w:w="100" w:type="dxa"/>
              <w:left w:w="100" w:type="dxa"/>
              <w:bottom w:w="100" w:type="dxa"/>
              <w:right w:w="100" w:type="dxa"/>
            </w:tcMar>
          </w:tcPr>
          <w:p w14:paraId="0701009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4C80925F"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Borders>
              <w:top w:val="nil"/>
            </w:tcBorders>
          </w:tcPr>
          <w:p w14:paraId="7B7C2777"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Borders>
              <w:top w:val="nil"/>
            </w:tcBorders>
            <w:tcMar>
              <w:top w:w="100" w:type="dxa"/>
              <w:left w:w="100" w:type="dxa"/>
              <w:bottom w:w="100" w:type="dxa"/>
              <w:right w:w="100" w:type="dxa"/>
            </w:tcMar>
          </w:tcPr>
          <w:p w14:paraId="65030214"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(90.9)</w:t>
            </w:r>
          </w:p>
        </w:tc>
      </w:tr>
      <w:tr w:rsidR="008E28E3" w:rsidRPr="009F270D" w14:paraId="0C90EACC" w14:textId="77777777" w:rsidTr="006A6D88">
        <w:trPr>
          <w:trHeight w:val="227"/>
        </w:trPr>
        <w:tc>
          <w:tcPr>
            <w:tcW w:w="527" w:type="pct"/>
            <w:tcMar>
              <w:top w:w="100" w:type="dxa"/>
              <w:left w:w="100" w:type="dxa"/>
              <w:bottom w:w="100" w:type="dxa"/>
              <w:right w:w="100" w:type="dxa"/>
            </w:tcMar>
          </w:tcPr>
          <w:p w14:paraId="5462D07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Helgeland, 2005</w:t>
            </w:r>
          </w:p>
        </w:tc>
        <w:tc>
          <w:tcPr>
            <w:tcW w:w="363" w:type="pct"/>
            <w:tcMar>
              <w:top w:w="100" w:type="dxa"/>
              <w:left w:w="100" w:type="dxa"/>
              <w:bottom w:w="100" w:type="dxa"/>
              <w:right w:w="100" w:type="dxa"/>
            </w:tcMar>
          </w:tcPr>
          <w:p w14:paraId="6DE5441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F7324A5"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F51773A"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357C923"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59CBE7C1"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E86BF1C"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125E99D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5241CDDD"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4183668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9025C88"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AA4AC6B"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Mar>
              <w:top w:w="100" w:type="dxa"/>
              <w:left w:w="100" w:type="dxa"/>
              <w:bottom w:w="100" w:type="dxa"/>
              <w:right w:w="100" w:type="dxa"/>
            </w:tcMar>
          </w:tcPr>
          <w:p w14:paraId="3A7744A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Low (50)</w:t>
            </w:r>
          </w:p>
        </w:tc>
      </w:tr>
      <w:tr w:rsidR="008E28E3" w:rsidRPr="009F270D" w14:paraId="36A557C1" w14:textId="77777777" w:rsidTr="006A6D88">
        <w:trPr>
          <w:trHeight w:val="227"/>
        </w:trPr>
        <w:tc>
          <w:tcPr>
            <w:tcW w:w="527" w:type="pct"/>
            <w:tcMar>
              <w:top w:w="100" w:type="dxa"/>
              <w:left w:w="100" w:type="dxa"/>
              <w:bottom w:w="100" w:type="dxa"/>
              <w:right w:w="100" w:type="dxa"/>
            </w:tcMar>
          </w:tcPr>
          <w:p w14:paraId="2E8C55D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Ledoux, 2022</w:t>
            </w:r>
          </w:p>
        </w:tc>
        <w:tc>
          <w:tcPr>
            <w:tcW w:w="363" w:type="pct"/>
            <w:tcMar>
              <w:top w:w="100" w:type="dxa"/>
              <w:left w:w="100" w:type="dxa"/>
              <w:bottom w:w="100" w:type="dxa"/>
              <w:right w:w="100" w:type="dxa"/>
            </w:tcMar>
          </w:tcPr>
          <w:p w14:paraId="58C53E9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1FF16E0"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521D580E"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AC7F245"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3A60B18"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404833E"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7C2BAE2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32C5C738"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6878854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29E2878"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38837376"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Mar>
              <w:top w:w="100" w:type="dxa"/>
              <w:left w:w="100" w:type="dxa"/>
              <w:bottom w:w="100" w:type="dxa"/>
              <w:right w:w="100" w:type="dxa"/>
            </w:tcMar>
          </w:tcPr>
          <w:p w14:paraId="25F1570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(95.5)</w:t>
            </w:r>
          </w:p>
        </w:tc>
      </w:tr>
      <w:tr w:rsidR="008E28E3" w:rsidRPr="009F270D" w14:paraId="25F2FD13" w14:textId="77777777" w:rsidTr="006A6D88">
        <w:trPr>
          <w:trHeight w:val="227"/>
        </w:trPr>
        <w:tc>
          <w:tcPr>
            <w:tcW w:w="527" w:type="pct"/>
            <w:tcMar>
              <w:top w:w="100" w:type="dxa"/>
              <w:left w:w="100" w:type="dxa"/>
              <w:bottom w:w="100" w:type="dxa"/>
              <w:right w:w="100" w:type="dxa"/>
            </w:tcMar>
          </w:tcPr>
          <w:p w14:paraId="00244C47"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Lopez, 2022</w:t>
            </w:r>
          </w:p>
        </w:tc>
        <w:tc>
          <w:tcPr>
            <w:tcW w:w="363" w:type="pct"/>
            <w:tcMar>
              <w:top w:w="100" w:type="dxa"/>
              <w:left w:w="100" w:type="dxa"/>
              <w:bottom w:w="100" w:type="dxa"/>
              <w:right w:w="100" w:type="dxa"/>
            </w:tcMar>
          </w:tcPr>
          <w:p w14:paraId="0B8EE603"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41AA6A2"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D7756C8"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3648FB3F"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8DB6280"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35E8E56"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5D8737C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774CD61"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46F7B92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8873934"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6AA5B87"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Mar>
              <w:top w:w="100" w:type="dxa"/>
              <w:left w:w="100" w:type="dxa"/>
              <w:bottom w:w="100" w:type="dxa"/>
              <w:right w:w="100" w:type="dxa"/>
            </w:tcMar>
          </w:tcPr>
          <w:p w14:paraId="3086298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(90.9)</w:t>
            </w:r>
          </w:p>
        </w:tc>
      </w:tr>
      <w:tr w:rsidR="008E28E3" w:rsidRPr="009F270D" w14:paraId="4E2074F9" w14:textId="77777777" w:rsidTr="006A6D88">
        <w:trPr>
          <w:trHeight w:val="227"/>
        </w:trPr>
        <w:tc>
          <w:tcPr>
            <w:tcW w:w="527" w:type="pct"/>
            <w:tcMar>
              <w:top w:w="100" w:type="dxa"/>
              <w:left w:w="100" w:type="dxa"/>
              <w:bottom w:w="100" w:type="dxa"/>
              <w:right w:w="100" w:type="dxa"/>
            </w:tcMar>
          </w:tcPr>
          <w:p w14:paraId="75E3991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Massagli, 2004</w:t>
            </w:r>
          </w:p>
        </w:tc>
        <w:tc>
          <w:tcPr>
            <w:tcW w:w="363" w:type="pct"/>
            <w:tcMar>
              <w:top w:w="100" w:type="dxa"/>
              <w:left w:w="100" w:type="dxa"/>
              <w:bottom w:w="100" w:type="dxa"/>
              <w:right w:w="100" w:type="dxa"/>
            </w:tcMar>
          </w:tcPr>
          <w:p w14:paraId="3775FE3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4A6A0F5"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7799F16"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FD8DECB"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5DE7D661"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2182FC4"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14ED3498"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B075C25"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1466E8B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AFB4059"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3E07E2F"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Mar>
              <w:top w:w="100" w:type="dxa"/>
              <w:left w:w="100" w:type="dxa"/>
              <w:bottom w:w="100" w:type="dxa"/>
              <w:right w:w="100" w:type="dxa"/>
            </w:tcMar>
          </w:tcPr>
          <w:p w14:paraId="7655A178"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(86.4)</w:t>
            </w:r>
          </w:p>
        </w:tc>
      </w:tr>
      <w:tr w:rsidR="008E28E3" w:rsidRPr="009F270D" w14:paraId="5C48A6FE" w14:textId="77777777" w:rsidTr="006A6D88">
        <w:trPr>
          <w:trHeight w:val="227"/>
        </w:trPr>
        <w:tc>
          <w:tcPr>
            <w:tcW w:w="527" w:type="pct"/>
            <w:tcMar>
              <w:top w:w="100" w:type="dxa"/>
              <w:left w:w="100" w:type="dxa"/>
              <w:bottom w:w="100" w:type="dxa"/>
              <w:right w:w="100" w:type="dxa"/>
            </w:tcMar>
          </w:tcPr>
          <w:p w14:paraId="4E34626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Orlovska, 2014</w:t>
            </w:r>
          </w:p>
        </w:tc>
        <w:tc>
          <w:tcPr>
            <w:tcW w:w="363" w:type="pct"/>
            <w:tcMar>
              <w:top w:w="100" w:type="dxa"/>
              <w:left w:w="100" w:type="dxa"/>
              <w:bottom w:w="100" w:type="dxa"/>
              <w:right w:w="100" w:type="dxa"/>
            </w:tcMar>
          </w:tcPr>
          <w:p w14:paraId="4AAEE89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331EFD3F"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6E6196D"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46A45A4"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BFE4C49"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5C1970F"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4ECD151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CAF93E9"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66CA291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49709DB"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16200BB"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Mar>
              <w:top w:w="100" w:type="dxa"/>
              <w:left w:w="100" w:type="dxa"/>
              <w:bottom w:w="100" w:type="dxa"/>
              <w:right w:w="100" w:type="dxa"/>
            </w:tcMar>
          </w:tcPr>
          <w:p w14:paraId="07C2EE9D"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High (90.9)</w:t>
            </w:r>
          </w:p>
        </w:tc>
      </w:tr>
      <w:tr w:rsidR="008E28E3" w:rsidRPr="009F270D" w14:paraId="5687C584" w14:textId="77777777" w:rsidTr="006A6D88">
        <w:trPr>
          <w:trHeight w:val="13"/>
        </w:trPr>
        <w:tc>
          <w:tcPr>
            <w:tcW w:w="527" w:type="pct"/>
            <w:tcMar>
              <w:top w:w="100" w:type="dxa"/>
              <w:left w:w="100" w:type="dxa"/>
              <w:bottom w:w="100" w:type="dxa"/>
              <w:right w:w="100" w:type="dxa"/>
            </w:tcMar>
          </w:tcPr>
          <w:p w14:paraId="6A3B53A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Timonen, 2002</w:t>
            </w:r>
          </w:p>
        </w:tc>
        <w:tc>
          <w:tcPr>
            <w:tcW w:w="363" w:type="pct"/>
            <w:tcMar>
              <w:top w:w="100" w:type="dxa"/>
              <w:left w:w="100" w:type="dxa"/>
              <w:bottom w:w="100" w:type="dxa"/>
              <w:right w:w="100" w:type="dxa"/>
            </w:tcMar>
          </w:tcPr>
          <w:p w14:paraId="0106529F"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A9C3C68"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06C646CA"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F966CA0"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8D22DA3"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22D9544"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69C41D61"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3A7FD9D"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7EB92EA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214076FF"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4121C783"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Borders>
              <w:bottom w:val="nil"/>
            </w:tcBorders>
            <w:tcMar>
              <w:top w:w="100" w:type="dxa"/>
              <w:left w:w="100" w:type="dxa"/>
              <w:bottom w:w="100" w:type="dxa"/>
              <w:right w:w="100" w:type="dxa"/>
            </w:tcMar>
          </w:tcPr>
          <w:p w14:paraId="47EFD33E"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Moderate (72.7)</w:t>
            </w:r>
          </w:p>
        </w:tc>
      </w:tr>
      <w:tr w:rsidR="008E28E3" w:rsidRPr="009F270D" w14:paraId="754E3602" w14:textId="77777777" w:rsidTr="006A6D88">
        <w:trPr>
          <w:trHeight w:val="13"/>
        </w:trPr>
        <w:tc>
          <w:tcPr>
            <w:tcW w:w="527" w:type="pct"/>
            <w:tcMar>
              <w:top w:w="100" w:type="dxa"/>
              <w:left w:w="100" w:type="dxa"/>
              <w:bottom w:w="100" w:type="dxa"/>
              <w:right w:w="100" w:type="dxa"/>
            </w:tcMar>
          </w:tcPr>
          <w:p w14:paraId="31B14A8C"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Wilcox, 198</w:t>
            </w:r>
            <w:r>
              <w:rPr>
                <w:rFonts w:ascii="Arial" w:eastAsia="Times New Roman" w:hAnsi="Arial" w:cs="Arial"/>
                <w:color w:val="000000" w:themeColor="text1"/>
                <w:sz w:val="18"/>
                <w:szCs w:val="18"/>
              </w:rPr>
              <w:t>7</w:t>
            </w:r>
          </w:p>
        </w:tc>
        <w:tc>
          <w:tcPr>
            <w:tcW w:w="363" w:type="pct"/>
            <w:tcMar>
              <w:top w:w="100" w:type="dxa"/>
              <w:left w:w="100" w:type="dxa"/>
              <w:bottom w:w="100" w:type="dxa"/>
              <w:right w:w="100" w:type="dxa"/>
            </w:tcMar>
          </w:tcPr>
          <w:p w14:paraId="79859E6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61B6C9B" w14:textId="77777777" w:rsidR="008E28E3" w:rsidRPr="009F270D" w:rsidRDefault="008E28E3" w:rsidP="006A6D88">
            <w:pPr>
              <w:ind w:left="70"/>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352221FE" w14:textId="77777777" w:rsidR="008E28E3" w:rsidRPr="009F270D" w:rsidRDefault="008E28E3" w:rsidP="006A6D88">
            <w:pPr>
              <w:ind w:left="10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797EE323" w14:textId="77777777" w:rsidR="008E28E3" w:rsidRPr="009F270D" w:rsidRDefault="008E28E3" w:rsidP="006A6D88">
            <w:pPr>
              <w:ind w:left="5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3DCBC10"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6277F84" w14:textId="77777777" w:rsidR="008E28E3" w:rsidRPr="009F270D" w:rsidRDefault="008E28E3" w:rsidP="006A6D88">
            <w:pPr>
              <w:ind w:left="107"/>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0453AC4B"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19057BB6" w14:textId="77777777" w:rsidR="008E28E3" w:rsidRPr="009F270D" w:rsidRDefault="008E28E3" w:rsidP="006A6D88">
            <w:pPr>
              <w:ind w:left="61"/>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Mar>
              <w:top w:w="100" w:type="dxa"/>
              <w:left w:w="100" w:type="dxa"/>
              <w:bottom w:w="100" w:type="dxa"/>
              <w:right w:w="100" w:type="dxa"/>
            </w:tcMar>
          </w:tcPr>
          <w:p w14:paraId="0267AD05"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5E653942" w14:textId="77777777" w:rsidR="008E28E3" w:rsidRPr="009F270D" w:rsidRDefault="008E28E3" w:rsidP="006A6D88">
            <w:pPr>
              <w:ind w:left="43"/>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363" w:type="pct"/>
          </w:tcPr>
          <w:p w14:paraId="6C528BC4" w14:textId="77777777" w:rsidR="008E28E3" w:rsidRPr="009F270D" w:rsidRDefault="008E28E3" w:rsidP="006A6D88">
            <w:pPr>
              <w:ind w:left="58"/>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w:t>
            </w:r>
          </w:p>
        </w:tc>
        <w:tc>
          <w:tcPr>
            <w:tcW w:w="482" w:type="pct"/>
            <w:tcBorders>
              <w:top w:val="nil"/>
              <w:bottom w:val="single" w:sz="4" w:space="0" w:color="auto"/>
            </w:tcBorders>
            <w:tcMar>
              <w:top w:w="100" w:type="dxa"/>
              <w:left w:w="100" w:type="dxa"/>
              <w:bottom w:w="100" w:type="dxa"/>
              <w:right w:w="100" w:type="dxa"/>
            </w:tcMar>
          </w:tcPr>
          <w:p w14:paraId="35C8D989" w14:textId="77777777" w:rsidR="008E28E3" w:rsidRPr="009F270D" w:rsidRDefault="008E28E3" w:rsidP="006A6D88">
            <w:pPr>
              <w:rPr>
                <w:rFonts w:ascii="Arial" w:eastAsia="Times New Roman" w:hAnsi="Arial" w:cs="Arial"/>
                <w:color w:val="000000" w:themeColor="text1"/>
                <w:sz w:val="18"/>
                <w:szCs w:val="18"/>
              </w:rPr>
            </w:pPr>
            <w:r w:rsidRPr="009F270D">
              <w:rPr>
                <w:rFonts w:ascii="Arial" w:eastAsia="Times New Roman" w:hAnsi="Arial" w:cs="Arial"/>
                <w:color w:val="000000" w:themeColor="text1"/>
                <w:sz w:val="18"/>
                <w:szCs w:val="18"/>
              </w:rPr>
              <w:t>Low (36.4)</w:t>
            </w:r>
          </w:p>
        </w:tc>
      </w:tr>
    </w:tbl>
    <w:p w14:paraId="547AD161" w14:textId="77777777" w:rsidR="008E28E3" w:rsidRPr="009F270D" w:rsidRDefault="008E28E3" w:rsidP="008E28E3">
      <w:pPr>
        <w:pStyle w:val="NormalWeb"/>
        <w:spacing w:before="120" w:beforeAutospacing="0" w:after="0" w:afterAutospacing="0" w:line="360" w:lineRule="auto"/>
        <w:ind w:left="-851"/>
        <w:jc w:val="both"/>
        <w:rPr>
          <w:rFonts w:ascii="Arial" w:hAnsi="Arial" w:cs="Arial"/>
          <w:color w:val="000000" w:themeColor="text1"/>
          <w:sz w:val="18"/>
          <w:szCs w:val="18"/>
        </w:rPr>
      </w:pPr>
      <w:r w:rsidRPr="009F270D">
        <w:rPr>
          <w:rFonts w:ascii="Arial" w:hAnsi="Arial" w:cs="Arial"/>
          <w:i/>
          <w:iCs/>
          <w:color w:val="000000" w:themeColor="text1"/>
          <w:sz w:val="18"/>
          <w:szCs w:val="18"/>
        </w:rPr>
        <w:t xml:space="preserve">Note. </w:t>
      </w:r>
      <w:r w:rsidRPr="009F270D">
        <w:rPr>
          <w:rFonts w:ascii="Arial" w:hAnsi="Arial" w:cs="Arial"/>
          <w:color w:val="000000" w:themeColor="text1"/>
          <w:sz w:val="18"/>
          <w:szCs w:val="18"/>
        </w:rPr>
        <w:t>(++) = yes; (+) = partially yes; (–) = no; NA = not applicable</w:t>
      </w:r>
    </w:p>
    <w:p w14:paraId="06BF4A63" w14:textId="77777777" w:rsidR="008E28E3" w:rsidRPr="009F270D" w:rsidRDefault="008E28E3" w:rsidP="008E28E3">
      <w:pPr>
        <w:pStyle w:val="NormalWeb"/>
        <w:spacing w:before="120" w:beforeAutospacing="0" w:after="0" w:afterAutospacing="0" w:line="360" w:lineRule="auto"/>
        <w:ind w:left="-851"/>
        <w:jc w:val="both"/>
        <w:rPr>
          <w:rFonts w:ascii="Arial" w:hAnsi="Arial" w:cs="Arial"/>
          <w:color w:val="000000" w:themeColor="text1"/>
          <w:sz w:val="18"/>
          <w:szCs w:val="18"/>
        </w:rPr>
      </w:pPr>
      <w:r w:rsidRPr="009F270D">
        <w:rPr>
          <w:rFonts w:ascii="Arial" w:hAnsi="Arial" w:cs="Arial"/>
          <w:color w:val="000000" w:themeColor="text1"/>
          <w:sz w:val="18"/>
          <w:szCs w:val="18"/>
          <w:vertAlign w:val="superscript"/>
        </w:rPr>
        <w:t>a</w:t>
      </w:r>
      <w:r w:rsidRPr="009F270D">
        <w:rPr>
          <w:rFonts w:ascii="Arial" w:hAnsi="Arial" w:cs="Arial"/>
          <w:color w:val="000000" w:themeColor="text1"/>
          <w:sz w:val="18"/>
          <w:szCs w:val="18"/>
        </w:rPr>
        <w:t>Q5-7 not applicable due to observational nature of included studies</w:t>
      </w:r>
    </w:p>
    <w:p w14:paraId="661B2E45" w14:textId="77777777" w:rsidR="008E28E3" w:rsidRDefault="008E28E3" w:rsidP="008E28E3">
      <w:pPr>
        <w:spacing w:line="480" w:lineRule="auto"/>
        <w:rPr>
          <w:rFonts w:ascii="Times New Roman" w:hAnsi="Times New Roman" w:cs="Times New Roman"/>
          <w:color w:val="000000" w:themeColor="text1"/>
        </w:rPr>
      </w:pPr>
    </w:p>
    <w:p w14:paraId="75649D48" w14:textId="77777777" w:rsidR="008E28E3" w:rsidRDefault="008E28E3" w:rsidP="008E28E3">
      <w:pPr>
        <w:spacing w:line="480" w:lineRule="auto"/>
        <w:rPr>
          <w:rFonts w:ascii="Times New Roman" w:hAnsi="Times New Roman" w:cs="Times New Roman"/>
          <w:color w:val="000000" w:themeColor="text1"/>
        </w:rPr>
      </w:pPr>
    </w:p>
    <w:p w14:paraId="1B791FB3" w14:textId="3BCAFD4F" w:rsidR="008E28E3" w:rsidRDefault="008E28E3" w:rsidP="008E28E3">
      <w:pPr>
        <w:spacing w:line="480" w:lineRule="auto"/>
        <w:rPr>
          <w:rFonts w:ascii="Times New Roman" w:hAnsi="Times New Roman" w:cs="Times New Roman"/>
          <w:color w:val="000000" w:themeColor="text1"/>
        </w:rPr>
        <w:sectPr w:rsidR="008E28E3" w:rsidSect="008E28E3">
          <w:pgSz w:w="16838" w:h="11906" w:orient="landscape"/>
          <w:pgMar w:top="1440" w:right="1440" w:bottom="1440" w:left="1440" w:header="709" w:footer="709" w:gutter="0"/>
          <w:pgNumType w:start="1"/>
          <w:cols w:space="708"/>
          <w:docGrid w:linePitch="360"/>
        </w:sectPr>
      </w:pPr>
    </w:p>
    <w:p w14:paraId="0C639C4F" w14:textId="3B279E89" w:rsidR="00D261C1" w:rsidRPr="00365ADA" w:rsidRDefault="00D261C1" w:rsidP="00365ADA">
      <w:pPr>
        <w:spacing w:line="360" w:lineRule="auto"/>
        <w:rPr>
          <w:rFonts w:ascii="Arial" w:hAnsi="Arial" w:cs="Arial"/>
          <w:iCs/>
          <w:color w:val="000000" w:themeColor="text1"/>
          <w:sz w:val="20"/>
          <w:szCs w:val="20"/>
        </w:rPr>
      </w:pPr>
      <w:r w:rsidRPr="00365ADA">
        <w:rPr>
          <w:rFonts w:ascii="Arial" w:hAnsi="Arial" w:cs="Arial"/>
          <w:b/>
          <w:color w:val="000000" w:themeColor="text1"/>
          <w:sz w:val="20"/>
          <w:szCs w:val="20"/>
        </w:rPr>
        <w:lastRenderedPageBreak/>
        <w:t>Figure S1</w:t>
      </w:r>
      <w:r w:rsidRPr="00365ADA">
        <w:rPr>
          <w:rFonts w:ascii="Arial" w:hAnsi="Arial" w:cs="Arial"/>
          <w:color w:val="000000" w:themeColor="text1"/>
          <w:sz w:val="20"/>
          <w:szCs w:val="20"/>
        </w:rPr>
        <w:t>.</w:t>
      </w:r>
      <w:r w:rsidRPr="00365ADA">
        <w:rPr>
          <w:rFonts w:ascii="Arial" w:hAnsi="Arial" w:cs="Arial"/>
          <w:iCs/>
          <w:color w:val="000000" w:themeColor="text1"/>
          <w:sz w:val="20"/>
          <w:szCs w:val="20"/>
        </w:rPr>
        <w:t xml:space="preserve"> </w:t>
      </w:r>
      <w:r w:rsidR="00A946D5">
        <w:rPr>
          <w:rFonts w:ascii="Arial" w:hAnsi="Arial" w:cs="Arial"/>
          <w:iCs/>
          <w:color w:val="000000" w:themeColor="text1"/>
          <w:sz w:val="20"/>
          <w:szCs w:val="20"/>
        </w:rPr>
        <w:t>S</w:t>
      </w:r>
      <w:r w:rsidRPr="00365ADA">
        <w:rPr>
          <w:rFonts w:ascii="Arial" w:hAnsi="Arial" w:cs="Arial"/>
          <w:iCs/>
          <w:color w:val="000000" w:themeColor="text1"/>
          <w:sz w:val="20"/>
          <w:szCs w:val="20"/>
        </w:rPr>
        <w:t>tudy-location subgroup analysis</w:t>
      </w:r>
    </w:p>
    <w:p w14:paraId="64703A4B" w14:textId="7590D75E" w:rsidR="00D261C1" w:rsidRPr="00D63D2D" w:rsidRDefault="00CA1F43" w:rsidP="00D261C1">
      <w:pPr>
        <w:spacing w:line="480" w:lineRule="auto"/>
        <w:rPr>
          <w:rFonts w:ascii="Times New Roman" w:eastAsia="Times New Roman" w:hAnsi="Times New Roman" w:cs="Times New Roman"/>
          <w:color w:val="000000" w:themeColor="text1"/>
        </w:rPr>
      </w:pPr>
      <w:r w:rsidRPr="00CA1F43">
        <w:rPr>
          <w:rFonts w:ascii="Times New Roman" w:eastAsia="Times New Roman" w:hAnsi="Times New Roman" w:cs="Times New Roman"/>
          <w:color w:val="000000" w:themeColor="text1"/>
        </w:rPr>
        <w:drawing>
          <wp:inline distT="0" distB="0" distL="0" distR="0" wp14:anchorId="50A31ACC" wp14:editId="22263584">
            <wp:extent cx="5731510" cy="2865755"/>
            <wp:effectExtent l="0" t="0" r="2540" b="0"/>
            <wp:docPr id="197485619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56199" name="Picture 1" descr="A screenshot of a graph&#10;&#10;Description automatically generated"/>
                    <pic:cNvPicPr/>
                  </pic:nvPicPr>
                  <pic:blipFill>
                    <a:blip r:embed="rId8"/>
                    <a:stretch>
                      <a:fillRect/>
                    </a:stretch>
                  </pic:blipFill>
                  <pic:spPr>
                    <a:xfrm>
                      <a:off x="0" y="0"/>
                      <a:ext cx="5731510" cy="2865755"/>
                    </a:xfrm>
                    <a:prstGeom prst="rect">
                      <a:avLst/>
                    </a:prstGeom>
                  </pic:spPr>
                </pic:pic>
              </a:graphicData>
            </a:graphic>
          </wp:inline>
        </w:drawing>
      </w:r>
    </w:p>
    <w:p w14:paraId="407946E8" w14:textId="77777777" w:rsidR="00D261C1" w:rsidRPr="00D63D2D" w:rsidRDefault="00D261C1" w:rsidP="00D261C1">
      <w:pPr>
        <w:spacing w:line="480" w:lineRule="auto"/>
        <w:rPr>
          <w:rFonts w:ascii="Times New Roman" w:hAnsi="Times New Roman" w:cs="Times New Roman"/>
          <w:color w:val="000000" w:themeColor="text1"/>
          <w:sz w:val="20"/>
          <w:szCs w:val="20"/>
        </w:rPr>
      </w:pPr>
    </w:p>
    <w:p w14:paraId="6F2DADA1" w14:textId="47FBD83B" w:rsidR="00D261C1" w:rsidRPr="00365ADA" w:rsidRDefault="00D261C1" w:rsidP="00365ADA">
      <w:pPr>
        <w:spacing w:line="360" w:lineRule="auto"/>
        <w:rPr>
          <w:rFonts w:ascii="Arial" w:hAnsi="Arial" w:cs="Arial"/>
          <w:color w:val="000000" w:themeColor="text1"/>
          <w:sz w:val="20"/>
          <w:szCs w:val="20"/>
        </w:rPr>
      </w:pPr>
      <w:r w:rsidRPr="00365ADA">
        <w:rPr>
          <w:rFonts w:ascii="Arial" w:hAnsi="Arial" w:cs="Arial"/>
          <w:b/>
          <w:color w:val="000000" w:themeColor="text1"/>
          <w:sz w:val="20"/>
          <w:szCs w:val="20"/>
        </w:rPr>
        <w:t>Figure S2</w:t>
      </w:r>
      <w:r w:rsidRPr="00365ADA">
        <w:rPr>
          <w:rFonts w:ascii="Arial" w:hAnsi="Arial" w:cs="Arial"/>
          <w:color w:val="000000" w:themeColor="text1"/>
          <w:sz w:val="20"/>
          <w:szCs w:val="20"/>
        </w:rPr>
        <w:t>.</w:t>
      </w:r>
      <w:r w:rsidRPr="00365ADA">
        <w:rPr>
          <w:rFonts w:ascii="Arial" w:hAnsi="Arial" w:cs="Arial"/>
          <w:iCs/>
          <w:color w:val="000000" w:themeColor="text1"/>
          <w:sz w:val="20"/>
          <w:szCs w:val="20"/>
        </w:rPr>
        <w:t xml:space="preserve"> </w:t>
      </w:r>
      <w:r w:rsidR="00A946D5">
        <w:rPr>
          <w:rFonts w:ascii="Arial" w:hAnsi="Arial" w:cs="Arial"/>
          <w:iCs/>
          <w:color w:val="000000" w:themeColor="text1"/>
          <w:sz w:val="20"/>
          <w:szCs w:val="20"/>
        </w:rPr>
        <w:t>S</w:t>
      </w:r>
      <w:r w:rsidRPr="00365ADA">
        <w:rPr>
          <w:rFonts w:ascii="Arial" w:hAnsi="Arial" w:cs="Arial"/>
          <w:iCs/>
          <w:color w:val="000000" w:themeColor="text1"/>
          <w:sz w:val="20"/>
          <w:szCs w:val="20"/>
        </w:rPr>
        <w:t>tudy-design subgroup analysis</w:t>
      </w:r>
    </w:p>
    <w:p w14:paraId="466AE9BB" w14:textId="1B3488AB" w:rsidR="00D261C1" w:rsidRPr="00D63D2D" w:rsidRDefault="00CA1F43" w:rsidP="00D261C1">
      <w:pPr>
        <w:spacing w:line="480" w:lineRule="auto"/>
        <w:rPr>
          <w:rFonts w:ascii="Times New Roman" w:eastAsia="Times New Roman" w:hAnsi="Times New Roman" w:cs="Times New Roman"/>
          <w:color w:val="000000" w:themeColor="text1"/>
        </w:rPr>
      </w:pPr>
      <w:r w:rsidRPr="00CA1F43">
        <w:rPr>
          <w:rFonts w:ascii="Times New Roman" w:eastAsia="Times New Roman" w:hAnsi="Times New Roman" w:cs="Times New Roman"/>
          <w:color w:val="000000" w:themeColor="text1"/>
        </w:rPr>
        <w:drawing>
          <wp:inline distT="0" distB="0" distL="0" distR="0" wp14:anchorId="496BC4D0" wp14:editId="30AA8012">
            <wp:extent cx="5731510" cy="2865755"/>
            <wp:effectExtent l="0" t="0" r="2540" b="0"/>
            <wp:docPr id="1304125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25610" name="Picture 1" descr="A screenshot of a computer&#10;&#10;Description automatically generated"/>
                    <pic:cNvPicPr/>
                  </pic:nvPicPr>
                  <pic:blipFill>
                    <a:blip r:embed="rId9"/>
                    <a:stretch>
                      <a:fillRect/>
                    </a:stretch>
                  </pic:blipFill>
                  <pic:spPr>
                    <a:xfrm>
                      <a:off x="0" y="0"/>
                      <a:ext cx="5731510" cy="2865755"/>
                    </a:xfrm>
                    <a:prstGeom prst="rect">
                      <a:avLst/>
                    </a:prstGeom>
                  </pic:spPr>
                </pic:pic>
              </a:graphicData>
            </a:graphic>
          </wp:inline>
        </w:drawing>
      </w:r>
    </w:p>
    <w:p w14:paraId="0E9588AC" w14:textId="1492ECCC" w:rsidR="00D261C1" w:rsidRDefault="00D261C1" w:rsidP="00D261C1">
      <w:pPr>
        <w:spacing w:line="480" w:lineRule="auto"/>
        <w:rPr>
          <w:rFonts w:ascii="Times New Roman" w:hAnsi="Times New Roman" w:cs="Times New Roman"/>
          <w:color w:val="000000" w:themeColor="text1"/>
          <w:sz w:val="20"/>
          <w:szCs w:val="20"/>
        </w:rPr>
      </w:pPr>
    </w:p>
    <w:p w14:paraId="3A93AB54" w14:textId="77777777" w:rsidR="00365ADA" w:rsidRPr="00D63D2D" w:rsidRDefault="00365ADA" w:rsidP="00D261C1">
      <w:pPr>
        <w:spacing w:line="480" w:lineRule="auto"/>
        <w:rPr>
          <w:rFonts w:ascii="Times New Roman" w:hAnsi="Times New Roman" w:cs="Times New Roman"/>
          <w:color w:val="000000" w:themeColor="text1"/>
          <w:sz w:val="20"/>
          <w:szCs w:val="20"/>
        </w:rPr>
      </w:pPr>
    </w:p>
    <w:p w14:paraId="19A8EAE1" w14:textId="77777777" w:rsidR="00D261C1" w:rsidRPr="00D63D2D" w:rsidRDefault="00D261C1" w:rsidP="00D261C1">
      <w:pPr>
        <w:spacing w:line="480" w:lineRule="auto"/>
        <w:rPr>
          <w:rFonts w:ascii="Times New Roman" w:hAnsi="Times New Roman" w:cs="Times New Roman"/>
          <w:color w:val="000000" w:themeColor="text1"/>
          <w:sz w:val="20"/>
          <w:szCs w:val="20"/>
        </w:rPr>
      </w:pPr>
    </w:p>
    <w:p w14:paraId="19CC3EFF" w14:textId="77777777" w:rsidR="00CA1F43" w:rsidRDefault="00CA1F43">
      <w:pPr>
        <w:spacing w:after="160" w:line="259" w:lineRule="auto"/>
        <w:rPr>
          <w:rFonts w:ascii="Arial" w:hAnsi="Arial" w:cs="Arial"/>
          <w:b/>
          <w:color w:val="000000" w:themeColor="text1"/>
          <w:sz w:val="20"/>
          <w:szCs w:val="20"/>
        </w:rPr>
      </w:pPr>
      <w:r>
        <w:rPr>
          <w:rFonts w:ascii="Arial" w:hAnsi="Arial" w:cs="Arial"/>
          <w:b/>
          <w:color w:val="000000" w:themeColor="text1"/>
          <w:sz w:val="20"/>
          <w:szCs w:val="20"/>
        </w:rPr>
        <w:br w:type="page"/>
      </w:r>
    </w:p>
    <w:p w14:paraId="00477CA7" w14:textId="49853483" w:rsidR="00D261C1" w:rsidRPr="00365ADA" w:rsidRDefault="00D261C1" w:rsidP="00D261C1">
      <w:pPr>
        <w:spacing w:line="480" w:lineRule="auto"/>
        <w:rPr>
          <w:rFonts w:ascii="Arial" w:hAnsi="Arial" w:cs="Arial"/>
          <w:color w:val="000000" w:themeColor="text1"/>
          <w:sz w:val="20"/>
          <w:szCs w:val="20"/>
        </w:rPr>
      </w:pPr>
      <w:r w:rsidRPr="00365ADA">
        <w:rPr>
          <w:rFonts w:ascii="Arial" w:hAnsi="Arial" w:cs="Arial"/>
          <w:b/>
          <w:color w:val="000000" w:themeColor="text1"/>
          <w:sz w:val="20"/>
          <w:szCs w:val="20"/>
        </w:rPr>
        <w:lastRenderedPageBreak/>
        <w:t>Figure S3</w:t>
      </w:r>
      <w:r w:rsidRPr="00365ADA">
        <w:rPr>
          <w:rFonts w:ascii="Arial" w:hAnsi="Arial" w:cs="Arial"/>
          <w:color w:val="000000" w:themeColor="text1"/>
          <w:sz w:val="20"/>
          <w:szCs w:val="20"/>
        </w:rPr>
        <w:t>.</w:t>
      </w:r>
      <w:r w:rsidRPr="00365ADA">
        <w:rPr>
          <w:rFonts w:ascii="Arial" w:hAnsi="Arial" w:cs="Arial"/>
          <w:iCs/>
          <w:color w:val="000000" w:themeColor="text1"/>
          <w:sz w:val="20"/>
          <w:szCs w:val="20"/>
        </w:rPr>
        <w:t xml:space="preserve"> </w:t>
      </w:r>
      <w:r w:rsidR="00A946D5">
        <w:rPr>
          <w:rFonts w:ascii="Arial" w:hAnsi="Arial" w:cs="Arial"/>
          <w:iCs/>
          <w:color w:val="000000" w:themeColor="text1"/>
          <w:sz w:val="20"/>
          <w:szCs w:val="20"/>
        </w:rPr>
        <w:t>P</w:t>
      </w:r>
      <w:r w:rsidRPr="00365ADA">
        <w:rPr>
          <w:rFonts w:ascii="Arial" w:hAnsi="Arial" w:cs="Arial"/>
          <w:iCs/>
          <w:color w:val="000000" w:themeColor="text1"/>
          <w:sz w:val="20"/>
          <w:szCs w:val="20"/>
        </w:rPr>
        <w:t xml:space="preserve">sychotic disorders </w:t>
      </w:r>
      <w:r w:rsidR="005B12D3" w:rsidRPr="00365ADA">
        <w:rPr>
          <w:rFonts w:ascii="Arial" w:hAnsi="Arial" w:cs="Arial"/>
          <w:iCs/>
          <w:color w:val="000000" w:themeColor="text1"/>
          <w:sz w:val="20"/>
          <w:szCs w:val="20"/>
        </w:rPr>
        <w:t>or</w:t>
      </w:r>
      <w:r w:rsidRPr="00365ADA">
        <w:rPr>
          <w:rFonts w:ascii="Arial" w:hAnsi="Arial" w:cs="Arial"/>
          <w:iCs/>
          <w:color w:val="000000" w:themeColor="text1"/>
          <w:sz w:val="20"/>
          <w:szCs w:val="20"/>
        </w:rPr>
        <w:t xml:space="preserve"> </w:t>
      </w:r>
      <w:r w:rsidR="00697431">
        <w:rPr>
          <w:rFonts w:ascii="Arial" w:hAnsi="Arial" w:cs="Arial"/>
          <w:iCs/>
          <w:color w:val="000000" w:themeColor="text1"/>
          <w:sz w:val="20"/>
          <w:szCs w:val="20"/>
        </w:rPr>
        <w:t xml:space="preserve">sub-threshold </w:t>
      </w:r>
      <w:r w:rsidRPr="00365ADA">
        <w:rPr>
          <w:rFonts w:ascii="Arial" w:hAnsi="Arial" w:cs="Arial"/>
          <w:iCs/>
          <w:color w:val="000000" w:themeColor="text1"/>
          <w:sz w:val="20"/>
          <w:szCs w:val="20"/>
        </w:rPr>
        <w:t>symptoms subgroup analysis</w:t>
      </w:r>
    </w:p>
    <w:p w14:paraId="5185CE03" w14:textId="41CE5846" w:rsidR="00D261C1" w:rsidRPr="00D63D2D" w:rsidRDefault="00CA1F43" w:rsidP="00D261C1">
      <w:pPr>
        <w:spacing w:line="480" w:lineRule="auto"/>
        <w:rPr>
          <w:rFonts w:ascii="Times New Roman" w:eastAsia="Times New Roman" w:hAnsi="Times New Roman" w:cs="Times New Roman"/>
          <w:color w:val="000000" w:themeColor="text1"/>
        </w:rPr>
      </w:pPr>
      <w:r w:rsidRPr="00CA1F43">
        <w:rPr>
          <w:rFonts w:ascii="Times New Roman" w:eastAsia="Times New Roman" w:hAnsi="Times New Roman" w:cs="Times New Roman"/>
          <w:color w:val="000000" w:themeColor="text1"/>
        </w:rPr>
        <w:drawing>
          <wp:inline distT="0" distB="0" distL="0" distR="0" wp14:anchorId="241D3AE4" wp14:editId="5F61F4A9">
            <wp:extent cx="5731510" cy="2865755"/>
            <wp:effectExtent l="0" t="0" r="2540" b="0"/>
            <wp:docPr id="1967713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086" name="Picture 1" descr="A screenshot of a computer&#10;&#10;Description automatically generated"/>
                    <pic:cNvPicPr/>
                  </pic:nvPicPr>
                  <pic:blipFill>
                    <a:blip r:embed="rId10"/>
                    <a:stretch>
                      <a:fillRect/>
                    </a:stretch>
                  </pic:blipFill>
                  <pic:spPr>
                    <a:xfrm>
                      <a:off x="0" y="0"/>
                      <a:ext cx="5731510" cy="2865755"/>
                    </a:xfrm>
                    <a:prstGeom prst="rect">
                      <a:avLst/>
                    </a:prstGeom>
                  </pic:spPr>
                </pic:pic>
              </a:graphicData>
            </a:graphic>
          </wp:inline>
        </w:drawing>
      </w:r>
    </w:p>
    <w:p w14:paraId="20652CCD" w14:textId="77777777" w:rsidR="00DE7C14" w:rsidRPr="00D63D2D" w:rsidRDefault="00DE7C14" w:rsidP="00D261C1">
      <w:pPr>
        <w:spacing w:line="480" w:lineRule="auto"/>
        <w:rPr>
          <w:rFonts w:ascii="Times New Roman" w:hAnsi="Times New Roman" w:cs="Times New Roman"/>
          <w:color w:val="000000" w:themeColor="text1"/>
          <w:sz w:val="20"/>
          <w:szCs w:val="20"/>
        </w:rPr>
      </w:pPr>
    </w:p>
    <w:p w14:paraId="64A2EDD4" w14:textId="502A1E39" w:rsidR="00D261C1" w:rsidRPr="00365ADA" w:rsidRDefault="00D261C1" w:rsidP="00365ADA">
      <w:pPr>
        <w:spacing w:line="360" w:lineRule="auto"/>
        <w:rPr>
          <w:rFonts w:ascii="Arial" w:hAnsi="Arial" w:cs="Arial"/>
          <w:color w:val="000000" w:themeColor="text1"/>
          <w:sz w:val="20"/>
          <w:szCs w:val="20"/>
        </w:rPr>
      </w:pPr>
      <w:r w:rsidRPr="00365ADA">
        <w:rPr>
          <w:rFonts w:ascii="Arial" w:hAnsi="Arial" w:cs="Arial"/>
          <w:b/>
          <w:color w:val="000000" w:themeColor="text1"/>
          <w:sz w:val="20"/>
          <w:szCs w:val="20"/>
        </w:rPr>
        <w:t>Figure S4</w:t>
      </w:r>
      <w:r w:rsidRPr="00365ADA">
        <w:rPr>
          <w:rFonts w:ascii="Arial" w:hAnsi="Arial" w:cs="Arial"/>
          <w:color w:val="000000" w:themeColor="text1"/>
          <w:sz w:val="20"/>
          <w:szCs w:val="20"/>
        </w:rPr>
        <w:t>.</w:t>
      </w:r>
      <w:r w:rsidRPr="00365ADA">
        <w:rPr>
          <w:rFonts w:ascii="Arial" w:hAnsi="Arial" w:cs="Arial"/>
          <w:iCs/>
          <w:color w:val="000000" w:themeColor="text1"/>
          <w:sz w:val="20"/>
          <w:szCs w:val="20"/>
        </w:rPr>
        <w:t xml:space="preserve"> </w:t>
      </w:r>
      <w:r w:rsidR="00A946D5">
        <w:rPr>
          <w:rFonts w:ascii="Arial" w:hAnsi="Arial" w:cs="Arial"/>
          <w:iCs/>
          <w:color w:val="000000" w:themeColor="text1"/>
          <w:sz w:val="20"/>
          <w:szCs w:val="20"/>
        </w:rPr>
        <w:t>Type</w:t>
      </w:r>
      <w:r w:rsidRPr="00365ADA">
        <w:rPr>
          <w:rFonts w:ascii="Arial" w:hAnsi="Arial" w:cs="Arial"/>
          <w:iCs/>
          <w:color w:val="000000" w:themeColor="text1"/>
          <w:sz w:val="20"/>
          <w:szCs w:val="20"/>
        </w:rPr>
        <w:t>-of-outcome-measurement subgroup analysis</w:t>
      </w:r>
    </w:p>
    <w:p w14:paraId="598ACEC8" w14:textId="793AF293" w:rsidR="00D261C1" w:rsidRPr="00D63D2D" w:rsidRDefault="00CA1F43" w:rsidP="00D261C1">
      <w:pPr>
        <w:spacing w:line="480" w:lineRule="auto"/>
        <w:rPr>
          <w:rFonts w:ascii="Times New Roman" w:eastAsia="Times New Roman" w:hAnsi="Times New Roman" w:cs="Times New Roman"/>
          <w:color w:val="000000" w:themeColor="text1"/>
        </w:rPr>
      </w:pPr>
      <w:r w:rsidRPr="00CA1F43">
        <w:rPr>
          <w:rFonts w:ascii="Times New Roman" w:eastAsia="Times New Roman" w:hAnsi="Times New Roman" w:cs="Times New Roman"/>
          <w:color w:val="000000" w:themeColor="text1"/>
        </w:rPr>
        <w:drawing>
          <wp:inline distT="0" distB="0" distL="0" distR="0" wp14:anchorId="6578FC51" wp14:editId="649D9927">
            <wp:extent cx="5731510" cy="2865755"/>
            <wp:effectExtent l="0" t="0" r="2540" b="0"/>
            <wp:docPr id="10372243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24346" name="Picture 1" descr="A screenshot of a graph&#10;&#10;Description automatically generated"/>
                    <pic:cNvPicPr/>
                  </pic:nvPicPr>
                  <pic:blipFill>
                    <a:blip r:embed="rId11"/>
                    <a:stretch>
                      <a:fillRect/>
                    </a:stretch>
                  </pic:blipFill>
                  <pic:spPr>
                    <a:xfrm>
                      <a:off x="0" y="0"/>
                      <a:ext cx="5731510" cy="2865755"/>
                    </a:xfrm>
                    <a:prstGeom prst="rect">
                      <a:avLst/>
                    </a:prstGeom>
                  </pic:spPr>
                </pic:pic>
              </a:graphicData>
            </a:graphic>
          </wp:inline>
        </w:drawing>
      </w:r>
    </w:p>
    <w:p w14:paraId="3D2BB6A8" w14:textId="77777777" w:rsidR="00D261C1" w:rsidRPr="00D63D2D" w:rsidRDefault="00D261C1" w:rsidP="00D261C1">
      <w:pPr>
        <w:spacing w:line="480" w:lineRule="auto"/>
        <w:rPr>
          <w:rFonts w:ascii="Times New Roman" w:hAnsi="Times New Roman" w:cs="Times New Roman"/>
          <w:color w:val="000000" w:themeColor="text1"/>
          <w:sz w:val="20"/>
          <w:szCs w:val="20"/>
        </w:rPr>
      </w:pPr>
    </w:p>
    <w:p w14:paraId="510B295E" w14:textId="4B998F48" w:rsidR="00CA1F43" w:rsidRDefault="00CA1F43">
      <w:pPr>
        <w:spacing w:after="160" w:line="259"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67AEF467" w14:textId="14BB4B96" w:rsidR="00D261C1" w:rsidRPr="00365ADA" w:rsidRDefault="00D261C1" w:rsidP="00365ADA">
      <w:pPr>
        <w:spacing w:line="360" w:lineRule="auto"/>
        <w:rPr>
          <w:rFonts w:ascii="Arial" w:hAnsi="Arial" w:cs="Arial"/>
          <w:color w:val="000000" w:themeColor="text1"/>
          <w:sz w:val="20"/>
          <w:szCs w:val="20"/>
        </w:rPr>
      </w:pPr>
      <w:r w:rsidRPr="00365ADA">
        <w:rPr>
          <w:rFonts w:ascii="Arial" w:hAnsi="Arial" w:cs="Arial"/>
          <w:b/>
          <w:color w:val="000000" w:themeColor="text1"/>
          <w:sz w:val="20"/>
          <w:szCs w:val="20"/>
        </w:rPr>
        <w:lastRenderedPageBreak/>
        <w:t>Figure S5</w:t>
      </w:r>
      <w:r w:rsidRPr="00365ADA">
        <w:rPr>
          <w:rFonts w:ascii="Arial" w:hAnsi="Arial" w:cs="Arial"/>
          <w:color w:val="000000" w:themeColor="text1"/>
          <w:sz w:val="20"/>
          <w:szCs w:val="20"/>
        </w:rPr>
        <w:t>.</w:t>
      </w:r>
      <w:r w:rsidRPr="00365ADA">
        <w:rPr>
          <w:rFonts w:ascii="Arial" w:hAnsi="Arial" w:cs="Arial"/>
          <w:iCs/>
          <w:color w:val="000000" w:themeColor="text1"/>
          <w:sz w:val="20"/>
          <w:szCs w:val="20"/>
        </w:rPr>
        <w:t xml:space="preserve"> </w:t>
      </w:r>
      <w:r w:rsidR="00A946D5">
        <w:rPr>
          <w:rFonts w:ascii="Arial" w:hAnsi="Arial" w:cs="Arial"/>
          <w:iCs/>
          <w:color w:val="000000" w:themeColor="text1"/>
          <w:sz w:val="20"/>
          <w:szCs w:val="20"/>
        </w:rPr>
        <w:t>Onset</w:t>
      </w:r>
      <w:r w:rsidRPr="00365ADA">
        <w:rPr>
          <w:rFonts w:ascii="Arial" w:hAnsi="Arial" w:cs="Arial"/>
          <w:iCs/>
          <w:color w:val="000000" w:themeColor="text1"/>
          <w:sz w:val="20"/>
          <w:szCs w:val="20"/>
        </w:rPr>
        <w:t>-time-of-outcome subgroup analysis</w:t>
      </w:r>
    </w:p>
    <w:p w14:paraId="5896DB4A" w14:textId="030B63CE" w:rsidR="00B05E79" w:rsidRDefault="00CA1F43" w:rsidP="00DE7C14">
      <w:pPr>
        <w:spacing w:line="480" w:lineRule="auto"/>
      </w:pPr>
      <w:r w:rsidRPr="00CA1F43">
        <w:drawing>
          <wp:inline distT="0" distB="0" distL="0" distR="0" wp14:anchorId="67008231" wp14:editId="09C4A965">
            <wp:extent cx="5731510" cy="2865755"/>
            <wp:effectExtent l="0" t="0" r="2540" b="0"/>
            <wp:docPr id="7626354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35401" name="Picture 1" descr="A screenshot of a computer screen&#10;&#10;Description automatically generated"/>
                    <pic:cNvPicPr/>
                  </pic:nvPicPr>
                  <pic:blipFill>
                    <a:blip r:embed="rId12"/>
                    <a:stretch>
                      <a:fillRect/>
                    </a:stretch>
                  </pic:blipFill>
                  <pic:spPr>
                    <a:xfrm>
                      <a:off x="0" y="0"/>
                      <a:ext cx="5731510" cy="2865755"/>
                    </a:xfrm>
                    <a:prstGeom prst="rect">
                      <a:avLst/>
                    </a:prstGeom>
                  </pic:spPr>
                </pic:pic>
              </a:graphicData>
            </a:graphic>
          </wp:inline>
        </w:drawing>
      </w:r>
    </w:p>
    <w:sectPr w:rsidR="00B05E79" w:rsidSect="002F1E4B">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BD99" w14:textId="77777777" w:rsidR="009C1AF4" w:rsidRDefault="009C1AF4">
      <w:r>
        <w:separator/>
      </w:r>
    </w:p>
  </w:endnote>
  <w:endnote w:type="continuationSeparator" w:id="0">
    <w:p w14:paraId="64EA441A" w14:textId="77777777" w:rsidR="009C1AF4" w:rsidRDefault="009C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1458" w14:textId="77777777" w:rsidR="00A72BAC" w:rsidRDefault="00000000" w:rsidP="00BC4B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3D70F" w14:textId="77777777" w:rsidR="009C1AF4" w:rsidRDefault="009C1AF4">
      <w:r>
        <w:separator/>
      </w:r>
    </w:p>
  </w:footnote>
  <w:footnote w:type="continuationSeparator" w:id="0">
    <w:p w14:paraId="7A47EEC0" w14:textId="77777777" w:rsidR="009C1AF4" w:rsidRDefault="009C1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1C1"/>
    <w:rsid w:val="000C5CD7"/>
    <w:rsid w:val="00122E87"/>
    <w:rsid w:val="00122EBB"/>
    <w:rsid w:val="001C513E"/>
    <w:rsid w:val="00253297"/>
    <w:rsid w:val="00281273"/>
    <w:rsid w:val="00365ADA"/>
    <w:rsid w:val="005B12D3"/>
    <w:rsid w:val="0069442B"/>
    <w:rsid w:val="00697431"/>
    <w:rsid w:val="007B6B50"/>
    <w:rsid w:val="008E28E3"/>
    <w:rsid w:val="009766E2"/>
    <w:rsid w:val="009B3C11"/>
    <w:rsid w:val="009C1AF4"/>
    <w:rsid w:val="009F6F39"/>
    <w:rsid w:val="00A93D54"/>
    <w:rsid w:val="00A946D5"/>
    <w:rsid w:val="00B05E79"/>
    <w:rsid w:val="00BE395E"/>
    <w:rsid w:val="00CA1F43"/>
    <w:rsid w:val="00D261C1"/>
    <w:rsid w:val="00D659BB"/>
    <w:rsid w:val="00DE7C14"/>
    <w:rsid w:val="00F227AC"/>
    <w:rsid w:val="00F22ECB"/>
    <w:rsid w:val="00F354F1"/>
    <w:rsid w:val="00F91DD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9C41"/>
  <w15:chartTrackingRefBased/>
  <w15:docId w15:val="{D2E577E6-FF55-4584-AB06-39CFD936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1C1"/>
    <w:pPr>
      <w:spacing w:after="0" w:line="240" w:lineRule="auto"/>
    </w:pPr>
    <w:rPr>
      <w:rFonts w:eastAsiaTheme="minorEastAsia"/>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61C1"/>
    <w:pPr>
      <w:tabs>
        <w:tab w:val="center" w:pos="4513"/>
        <w:tab w:val="right" w:pos="9026"/>
      </w:tabs>
    </w:pPr>
  </w:style>
  <w:style w:type="character" w:customStyle="1" w:styleId="FooterChar">
    <w:name w:val="Footer Char"/>
    <w:basedOn w:val="DefaultParagraphFont"/>
    <w:link w:val="Footer"/>
    <w:uiPriority w:val="99"/>
    <w:rsid w:val="00D261C1"/>
    <w:rPr>
      <w:rFonts w:eastAsiaTheme="minorEastAsia"/>
      <w:sz w:val="24"/>
      <w:szCs w:val="24"/>
      <w:lang w:eastAsia="zh-TW"/>
    </w:rPr>
  </w:style>
  <w:style w:type="character" w:styleId="PageNumber">
    <w:name w:val="page number"/>
    <w:basedOn w:val="DefaultParagraphFont"/>
    <w:uiPriority w:val="99"/>
    <w:semiHidden/>
    <w:unhideWhenUsed/>
    <w:rsid w:val="00D261C1"/>
  </w:style>
  <w:style w:type="paragraph" w:styleId="NormalWeb">
    <w:name w:val="Normal (Web)"/>
    <w:basedOn w:val="Normal"/>
    <w:uiPriority w:val="99"/>
    <w:unhideWhenUsed/>
    <w:rsid w:val="008E28E3"/>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E28E3"/>
    <w:rPr>
      <w:sz w:val="16"/>
      <w:szCs w:val="16"/>
    </w:rPr>
  </w:style>
  <w:style w:type="paragraph" w:styleId="Header">
    <w:name w:val="header"/>
    <w:basedOn w:val="Normal"/>
    <w:link w:val="HeaderChar"/>
    <w:uiPriority w:val="99"/>
    <w:unhideWhenUsed/>
    <w:rsid w:val="00253297"/>
    <w:pPr>
      <w:tabs>
        <w:tab w:val="center" w:pos="4513"/>
        <w:tab w:val="right" w:pos="9026"/>
      </w:tabs>
    </w:pPr>
  </w:style>
  <w:style w:type="character" w:customStyle="1" w:styleId="HeaderChar">
    <w:name w:val="Header Char"/>
    <w:basedOn w:val="DefaultParagraphFont"/>
    <w:link w:val="Header"/>
    <w:uiPriority w:val="99"/>
    <w:rsid w:val="00253297"/>
    <w:rPr>
      <w:rFonts w:eastAsiaTheme="minorEastAsia"/>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856DF-60E1-4FCD-9D0A-5989B6AC1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2349</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Bell</dc:creator>
  <cp:keywords/>
  <dc:description/>
  <cp:lastModifiedBy>Bell, Vaughan</cp:lastModifiedBy>
  <cp:revision>19</cp:revision>
  <dcterms:created xsi:type="dcterms:W3CDTF">2023-01-19T09:32:00Z</dcterms:created>
  <dcterms:modified xsi:type="dcterms:W3CDTF">2023-07-14T11:55:00Z</dcterms:modified>
</cp:coreProperties>
</file>