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DF814" w14:textId="77777777" w:rsidR="00D42588" w:rsidRDefault="00D42588" w:rsidP="00E72009">
      <w:pPr>
        <w:spacing w:line="480" w:lineRule="auto"/>
        <w:jc w:val="center"/>
        <w:rPr>
          <w:rFonts w:ascii="Times New Roman" w:hAnsi="Times New Roman" w:cs="Times New Roman"/>
          <w:b/>
          <w:bCs/>
        </w:rPr>
      </w:pPr>
      <w:r>
        <w:rPr>
          <w:rFonts w:ascii="Times New Roman" w:hAnsi="Times New Roman" w:cs="Times New Roman"/>
          <w:b/>
          <w:bCs/>
        </w:rPr>
        <w:t>Supplementary Information</w:t>
      </w:r>
    </w:p>
    <w:p w14:paraId="2762DD53" w14:textId="77777777" w:rsidR="00D42588" w:rsidRPr="0085591F" w:rsidRDefault="00D42588" w:rsidP="006E23B6">
      <w:pPr>
        <w:spacing w:line="480" w:lineRule="auto"/>
        <w:rPr>
          <w:rFonts w:ascii="Times New Roman" w:hAnsi="Times New Roman" w:cs="Times New Roman"/>
          <w:b/>
          <w:bCs/>
        </w:rPr>
      </w:pPr>
      <w:r w:rsidRPr="0085591F">
        <w:rPr>
          <w:rFonts w:ascii="Times New Roman" w:hAnsi="Times New Roman" w:cs="Times New Roman"/>
          <w:b/>
          <w:bCs/>
        </w:rPr>
        <w:t>Supplementary Methods</w:t>
      </w:r>
    </w:p>
    <w:p w14:paraId="16D18CA0" w14:textId="77777777" w:rsidR="00D42588" w:rsidRPr="000344C3" w:rsidRDefault="00D42588" w:rsidP="006E23B6">
      <w:pPr>
        <w:spacing w:line="480" w:lineRule="auto"/>
        <w:rPr>
          <w:rFonts w:ascii="Times New Roman" w:hAnsi="Times New Roman" w:cs="Times New Roman"/>
          <w:b/>
          <w:bCs/>
        </w:rPr>
      </w:pPr>
      <w:r>
        <w:rPr>
          <w:rFonts w:ascii="Times New Roman" w:hAnsi="Times New Roman" w:cs="Times New Roman"/>
          <w:b/>
          <w:bCs/>
        </w:rPr>
        <w:t>Depressive symptoms across lifetime depression phenotypes</w:t>
      </w:r>
    </w:p>
    <w:p w14:paraId="000C96F1" w14:textId="7484D1DC" w:rsidR="00D42588" w:rsidRDefault="00D42588" w:rsidP="006E23B6">
      <w:pPr>
        <w:spacing w:line="480" w:lineRule="auto"/>
        <w:rPr>
          <w:rFonts w:ascii="Times New Roman" w:hAnsi="Times New Roman" w:cs="Times New Roman"/>
        </w:rPr>
      </w:pPr>
      <w:r>
        <w:rPr>
          <w:rFonts w:ascii="Times New Roman" w:hAnsi="Times New Roman" w:cs="Times New Roman"/>
        </w:rPr>
        <w:t>To validate the depressive symptoms measure, we explored whether it differed across participants with different levels of lifetime depression. We classified participants based on their lifetime history of depression</w:t>
      </w:r>
      <w:r w:rsidRPr="0085591F">
        <w:rPr>
          <w:rFonts w:ascii="Times New Roman" w:hAnsi="Times New Roman" w:cs="Times New Roman"/>
        </w:rPr>
        <w:t xml:space="preserve"> (probable recurrent</w:t>
      </w:r>
      <w:r>
        <w:rPr>
          <w:rFonts w:ascii="Times New Roman" w:hAnsi="Times New Roman" w:cs="Times New Roman"/>
        </w:rPr>
        <w:t xml:space="preserve"> depression, </w:t>
      </w:r>
      <w:r w:rsidRPr="0085591F">
        <w:rPr>
          <w:rFonts w:ascii="Times New Roman" w:hAnsi="Times New Roman" w:cs="Times New Roman"/>
        </w:rPr>
        <w:t>probable single episode</w:t>
      </w:r>
      <w:r>
        <w:rPr>
          <w:rFonts w:ascii="Times New Roman" w:hAnsi="Times New Roman" w:cs="Times New Roman"/>
        </w:rPr>
        <w:t xml:space="preserve"> depression</w:t>
      </w:r>
      <w:r w:rsidRPr="0085591F">
        <w:rPr>
          <w:rFonts w:ascii="Times New Roman" w:hAnsi="Times New Roman" w:cs="Times New Roman"/>
        </w:rPr>
        <w:t>,</w:t>
      </w:r>
      <w:r>
        <w:rPr>
          <w:rFonts w:ascii="Times New Roman" w:hAnsi="Times New Roman" w:cs="Times New Roman"/>
        </w:rPr>
        <w:t xml:space="preserve"> </w:t>
      </w:r>
      <w:r w:rsidRPr="0085591F">
        <w:rPr>
          <w:rFonts w:ascii="Times New Roman" w:hAnsi="Times New Roman" w:cs="Times New Roman"/>
        </w:rPr>
        <w:t>subclinical</w:t>
      </w:r>
      <w:r>
        <w:rPr>
          <w:rFonts w:ascii="Times New Roman" w:hAnsi="Times New Roman" w:cs="Times New Roman"/>
        </w:rPr>
        <w:t xml:space="preserve"> depression</w:t>
      </w:r>
      <w:r w:rsidRPr="0085591F">
        <w:rPr>
          <w:rFonts w:ascii="Times New Roman" w:hAnsi="Times New Roman" w:cs="Times New Roman"/>
        </w:rPr>
        <w:t xml:space="preserve">, and </w:t>
      </w:r>
      <w:r>
        <w:rPr>
          <w:rFonts w:ascii="Times New Roman" w:hAnsi="Times New Roman" w:cs="Times New Roman"/>
        </w:rPr>
        <w:t>no history of mood disorder)</w:t>
      </w:r>
      <w:r w:rsidRPr="0085591F">
        <w:rPr>
          <w:rFonts w:ascii="Times New Roman" w:hAnsi="Times New Roman" w:cs="Times New Roman"/>
        </w:rPr>
        <w:t xml:space="preserve">. We integrated previously published classification criteria </w:t>
      </w:r>
      <w:r>
        <w:rPr>
          <w:rFonts w:ascii="Times New Roman" w:hAnsi="Times New Roman" w:cs="Times New Roman"/>
        </w:rPr>
        <w:t>based on</w:t>
      </w:r>
      <w:r w:rsidRPr="0085591F">
        <w:rPr>
          <w:rFonts w:ascii="Times New Roman" w:hAnsi="Times New Roman" w:cs="Times New Roman"/>
        </w:rPr>
        <w:t xml:space="preserve"> participants’ responses to the touchscreen questionnaire at each </w:t>
      </w:r>
      <w:r w:rsidRPr="00D42588">
        <w:rPr>
          <w:rFonts w:ascii="Times New Roman" w:hAnsi="Times New Roman" w:cs="Times New Roman"/>
        </w:rPr>
        <w:t>visit</w:t>
      </w:r>
      <w:sdt>
        <w:sdtPr>
          <w:rPr>
            <w:rFonts w:ascii="Times New Roman" w:hAnsi="Times New Roman" w:cs="Times New Roman"/>
            <w:color w:val="000000"/>
          </w:rPr>
          <w:tag w:val="MENDELEY_CITATION_v3_eyJjaXRhdGlvbklEIjoiTUVOREVMRVlfQ0lUQVRJT05fZTA1ZjJjZWItNzM5Yi00ZWZjLWE3NDUtMmRhMDJiYzllZDgx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
          <w:id w:val="768279429"/>
          <w:placeholder>
            <w:docPart w:val="DefaultPlaceholder_-1854013440"/>
          </w:placeholder>
        </w:sdtPr>
        <w:sdtContent>
          <w:r w:rsidRPr="00D42588">
            <w:rPr>
              <w:rFonts w:ascii="Times New Roman" w:hAnsi="Times New Roman" w:cs="Times New Roman"/>
              <w:color w:val="000000"/>
            </w:rPr>
            <w:t xml:space="preserve"> (Smith et al., 2013)</w:t>
          </w:r>
        </w:sdtContent>
      </w:sdt>
      <w:r w:rsidRPr="00D42588">
        <w:rPr>
          <w:rFonts w:ascii="Times New Roman" w:hAnsi="Times New Roman" w:cs="Times New Roman"/>
        </w:rPr>
        <w:t xml:space="preserve"> with hospital</w:t>
      </w:r>
      <w:r w:rsidRPr="0085591F">
        <w:rPr>
          <w:rFonts w:ascii="Times New Roman" w:hAnsi="Times New Roman" w:cs="Times New Roman"/>
        </w:rPr>
        <w:t xml:space="preserve"> records and self-repor</w:t>
      </w:r>
      <w:r>
        <w:rPr>
          <w:rFonts w:ascii="Times New Roman" w:hAnsi="Times New Roman" w:cs="Times New Roman"/>
        </w:rPr>
        <w:t>t</w:t>
      </w:r>
      <w:r w:rsidRPr="0085591F">
        <w:rPr>
          <w:rFonts w:ascii="Times New Roman" w:hAnsi="Times New Roman" w:cs="Times New Roman"/>
        </w:rPr>
        <w:t xml:space="preserve"> diagnoses. Details of the classification are listed in </w:t>
      </w:r>
      <w:r w:rsidRPr="00C46A51">
        <w:rPr>
          <w:rFonts w:ascii="Times New Roman" w:hAnsi="Times New Roman" w:cs="Times New Roman"/>
          <w:b/>
          <w:bCs/>
        </w:rPr>
        <w:t>Table S1</w:t>
      </w:r>
      <w:r w:rsidRPr="0085591F">
        <w:rPr>
          <w:rFonts w:ascii="Times New Roman" w:hAnsi="Times New Roman" w:cs="Times New Roman"/>
        </w:rPr>
        <w:t xml:space="preserve">. </w:t>
      </w:r>
      <w:r>
        <w:rPr>
          <w:rFonts w:ascii="Times New Roman" w:hAnsi="Times New Roman" w:cs="Times New Roman"/>
        </w:rPr>
        <w:t xml:space="preserve">Notably, none of the classification criteria overlapped with the four items used to measure depressive symptoms. </w:t>
      </w:r>
      <w:r w:rsidRPr="0085591F">
        <w:rPr>
          <w:rFonts w:ascii="Times New Roman" w:hAnsi="Times New Roman" w:cs="Times New Roman"/>
        </w:rPr>
        <w:t xml:space="preserve">We took a conservative approach to defining </w:t>
      </w:r>
      <w:r>
        <w:rPr>
          <w:rFonts w:ascii="Times New Roman" w:hAnsi="Times New Roman" w:cs="Times New Roman"/>
        </w:rPr>
        <w:t>individuals with no history of mood disorder</w:t>
      </w:r>
      <w:r w:rsidRPr="0085591F">
        <w:rPr>
          <w:rFonts w:ascii="Times New Roman" w:hAnsi="Times New Roman" w:cs="Times New Roman"/>
        </w:rPr>
        <w:t xml:space="preserve"> so that participants with missing values (and thus preventing a definitive </w:t>
      </w:r>
      <w:r>
        <w:rPr>
          <w:rFonts w:ascii="Times New Roman" w:hAnsi="Times New Roman" w:cs="Times New Roman"/>
        </w:rPr>
        <w:t>classification</w:t>
      </w:r>
      <w:r w:rsidRPr="0085591F">
        <w:rPr>
          <w:rFonts w:ascii="Times New Roman" w:hAnsi="Times New Roman" w:cs="Times New Roman"/>
        </w:rPr>
        <w:t xml:space="preserve">) were not </w:t>
      </w:r>
      <w:r>
        <w:rPr>
          <w:rFonts w:ascii="Times New Roman" w:hAnsi="Times New Roman" w:cs="Times New Roman"/>
        </w:rPr>
        <w:t>classified</w:t>
      </w:r>
      <w:r w:rsidRPr="0085591F">
        <w:rPr>
          <w:rFonts w:ascii="Times New Roman" w:hAnsi="Times New Roman" w:cs="Times New Roman"/>
        </w:rPr>
        <w:t xml:space="preserve">. </w:t>
      </w:r>
      <w:r>
        <w:rPr>
          <w:rFonts w:ascii="Times New Roman" w:hAnsi="Times New Roman" w:cs="Times New Roman"/>
        </w:rPr>
        <w:t>For this analysis, w</w:t>
      </w:r>
      <w:r w:rsidRPr="0085591F">
        <w:rPr>
          <w:rFonts w:ascii="Times New Roman" w:hAnsi="Times New Roman" w:cs="Times New Roman"/>
        </w:rPr>
        <w:t>e also excluded participants with significant neurological and psychiatric conditions and brain cancer per hospital records (</w:t>
      </w:r>
      <w:r w:rsidRPr="006E23B6">
        <w:rPr>
          <w:rFonts w:ascii="Times New Roman" w:hAnsi="Times New Roman" w:cs="Times New Roman"/>
          <w:b/>
          <w:bCs/>
        </w:rPr>
        <w:t>Table S2</w:t>
      </w:r>
      <w:r w:rsidRPr="0085591F">
        <w:rPr>
          <w:rFonts w:ascii="Times New Roman" w:hAnsi="Times New Roman" w:cs="Times New Roman"/>
        </w:rPr>
        <w:t>), self-report (</w:t>
      </w:r>
      <w:r w:rsidRPr="006E23B6">
        <w:rPr>
          <w:rFonts w:ascii="Times New Roman" w:hAnsi="Times New Roman" w:cs="Times New Roman"/>
          <w:b/>
          <w:bCs/>
        </w:rPr>
        <w:t>Table S3</w:t>
      </w:r>
      <w:r w:rsidRPr="0085591F">
        <w:rPr>
          <w:rFonts w:ascii="Times New Roman" w:hAnsi="Times New Roman" w:cs="Times New Roman"/>
        </w:rPr>
        <w:t xml:space="preserve">), and probable bipolar disorder </w:t>
      </w:r>
      <w:r w:rsidRPr="00D42588">
        <w:rPr>
          <w:rFonts w:ascii="Times New Roman" w:hAnsi="Times New Roman" w:cs="Times New Roman"/>
        </w:rPr>
        <w:t xml:space="preserve">per </w:t>
      </w:r>
      <w:sdt>
        <w:sdtPr>
          <w:rPr>
            <w:rFonts w:ascii="Times New Roman" w:hAnsi="Times New Roman" w:cs="Times New Roman"/>
            <w:color w:val="000000"/>
          </w:rPr>
          <w:tag w:val="MENDELEY_CITATION_v3_eyJjaXRhdGlvbklEIjoiTUVOREVMRVlfQ0lUQVRJT05fYWVlOWFmMzEtN2Y1YS00NmVmLTg3MmEtYjJjZTIyYWQ1NTAz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
          <w:id w:val="-1094625726"/>
          <w:placeholder>
            <w:docPart w:val="DefaultPlaceholder_-1854013440"/>
          </w:placeholder>
        </w:sdtPr>
        <w:sdtContent>
          <w:r w:rsidRPr="00D42588">
            <w:rPr>
              <w:rFonts w:ascii="Times New Roman" w:hAnsi="Times New Roman" w:cs="Times New Roman"/>
              <w:color w:val="000000"/>
            </w:rPr>
            <w:t>(Smith et al., 2013)</w:t>
          </w:r>
        </w:sdtContent>
      </w:sdt>
      <w:r w:rsidRPr="0085591F">
        <w:rPr>
          <w:rFonts w:ascii="Times New Roman" w:hAnsi="Times New Roman" w:cs="Times New Roman"/>
        </w:rPr>
        <w:t xml:space="preserve">. </w:t>
      </w:r>
    </w:p>
    <w:p w14:paraId="7E075398" w14:textId="77777777" w:rsidR="00D42588" w:rsidRDefault="00D42588" w:rsidP="006E23B6">
      <w:pPr>
        <w:spacing w:line="480" w:lineRule="auto"/>
        <w:rPr>
          <w:rFonts w:ascii="Times New Roman" w:hAnsi="Times New Roman" w:cs="Times New Roman"/>
        </w:rPr>
      </w:pPr>
    </w:p>
    <w:p w14:paraId="7A1EE953" w14:textId="77777777" w:rsidR="00D42588" w:rsidRDefault="00D42588" w:rsidP="006E23B6">
      <w:pPr>
        <w:spacing w:line="480" w:lineRule="auto"/>
        <w:rPr>
          <w:rFonts w:ascii="Times New Roman" w:hAnsi="Times New Roman" w:cs="Times New Roman"/>
        </w:rPr>
      </w:pPr>
      <w:r>
        <w:rPr>
          <w:rFonts w:ascii="Times New Roman" w:hAnsi="Times New Roman" w:cs="Times New Roman"/>
        </w:rPr>
        <w:t xml:space="preserve">Among the 22,195 participants, 5,144 were classified with a lifetime history of probable recurrent depression, 702 probable single episode depression, 5,333 subclinical </w:t>
      </w:r>
      <w:proofErr w:type="gramStart"/>
      <w:r>
        <w:rPr>
          <w:rFonts w:ascii="Times New Roman" w:hAnsi="Times New Roman" w:cs="Times New Roman"/>
        </w:rPr>
        <w:t>depression</w:t>
      </w:r>
      <w:proofErr w:type="gramEnd"/>
      <w:r>
        <w:rPr>
          <w:rFonts w:ascii="Times New Roman" w:hAnsi="Times New Roman" w:cs="Times New Roman"/>
        </w:rPr>
        <w:t>, and 4,526 no history of mood disorder. 6,490 participants were excluded or unclassified. On v0, analysis of variance (ANOVA) and Tu</w:t>
      </w:r>
      <w:r w:rsidRPr="00D027D2">
        <w:rPr>
          <w:rFonts w:ascii="Times New Roman" w:hAnsi="Times New Roman" w:cs="Times New Roman"/>
        </w:rPr>
        <w:t xml:space="preserve">key’s </w:t>
      </w:r>
      <w:r w:rsidRPr="00EC2F0A">
        <w:rPr>
          <w:rFonts w:ascii="Times New Roman" w:hAnsi="Times New Roman" w:cs="Times New Roman"/>
        </w:rPr>
        <w:t>honestly significant difference</w:t>
      </w:r>
      <w:r>
        <w:rPr>
          <w:rFonts w:ascii="Times New Roman" w:hAnsi="Times New Roman" w:cs="Times New Roman"/>
        </w:rPr>
        <w:t xml:space="preserve"> (HSD)</w:t>
      </w:r>
      <w:r w:rsidRPr="00EC2F0A">
        <w:rPr>
          <w:rFonts w:ascii="Times New Roman" w:hAnsi="Times New Roman" w:cs="Times New Roman"/>
        </w:rPr>
        <w:t xml:space="preserve"> test showed </w:t>
      </w:r>
      <w:r>
        <w:rPr>
          <w:rFonts w:ascii="Times New Roman" w:hAnsi="Times New Roman" w:cs="Times New Roman"/>
        </w:rPr>
        <w:t>significantly higher depressive symptoms in participants with a lifetime history of probable recurrent depression (1.</w:t>
      </w:r>
      <w:r w:rsidRPr="00294B44">
        <w:rPr>
          <w:rFonts w:ascii="Times New Roman" w:hAnsi="Times New Roman" w:cs="Times New Roman"/>
        </w:rPr>
        <w:t xml:space="preserve">13 </w:t>
      </w:r>
      <w:r w:rsidRPr="00121B9D">
        <w:rPr>
          <w:rFonts w:ascii="Times New Roman" w:hAnsi="Times New Roman" w:cs="Times New Roman"/>
        </w:rPr>
        <w:t>± 0.90</w:t>
      </w:r>
      <w:r>
        <w:rPr>
          <w:rFonts w:ascii="Times New Roman" w:hAnsi="Times New Roman" w:cs="Times New Roman"/>
        </w:rPr>
        <w:t xml:space="preserve">), followed by probable single episode depression (0.95 </w:t>
      </w:r>
      <w:r w:rsidRPr="005E7011">
        <w:rPr>
          <w:rFonts w:ascii="Times New Roman" w:hAnsi="Times New Roman" w:cs="Times New Roman"/>
        </w:rPr>
        <w:t>±</w:t>
      </w:r>
      <w:r>
        <w:rPr>
          <w:rFonts w:ascii="Times New Roman" w:hAnsi="Times New Roman" w:cs="Times New Roman"/>
        </w:rPr>
        <w:t xml:space="preserve"> 0.92), </w:t>
      </w:r>
      <w:r>
        <w:rPr>
          <w:rFonts w:ascii="Times New Roman" w:hAnsi="Times New Roman" w:cs="Times New Roman"/>
        </w:rPr>
        <w:lastRenderedPageBreak/>
        <w:t xml:space="preserve">subclinical depression (0.70 </w:t>
      </w:r>
      <w:r w:rsidRPr="005E7011">
        <w:rPr>
          <w:rFonts w:ascii="Times New Roman" w:hAnsi="Times New Roman" w:cs="Times New Roman"/>
        </w:rPr>
        <w:t>±</w:t>
      </w:r>
      <w:r>
        <w:rPr>
          <w:rFonts w:ascii="Times New Roman" w:hAnsi="Times New Roman" w:cs="Times New Roman"/>
        </w:rPr>
        <w:t xml:space="preserve"> 0.76), and no history of mood disorder (0.55 </w:t>
      </w:r>
      <w:r w:rsidRPr="005E7011">
        <w:rPr>
          <w:rFonts w:ascii="Times New Roman" w:hAnsi="Times New Roman" w:cs="Times New Roman"/>
        </w:rPr>
        <w:t>±</w:t>
      </w:r>
      <w:r>
        <w:rPr>
          <w:rFonts w:ascii="Times New Roman" w:hAnsi="Times New Roman" w:cs="Times New Roman"/>
        </w:rPr>
        <w:t xml:space="preserve"> 0.69, </w:t>
      </w:r>
      <w:r w:rsidRPr="00121B9D">
        <w:rPr>
          <w:rFonts w:ascii="Times New Roman" w:hAnsi="Times New Roman" w:cs="Times New Roman"/>
          <w:i/>
          <w:iCs/>
        </w:rPr>
        <w:t>F</w:t>
      </w:r>
      <w:r>
        <w:rPr>
          <w:rFonts w:ascii="Times New Roman" w:hAnsi="Times New Roman" w:cs="Times New Roman"/>
        </w:rPr>
        <w:t xml:space="preserve">(3, 14,833) = 435.9, </w:t>
      </w:r>
      <w:r w:rsidRPr="00121B9D">
        <w:rPr>
          <w:rFonts w:ascii="Times New Roman" w:hAnsi="Times New Roman" w:cs="Times New Roman"/>
          <w:i/>
          <w:iCs/>
        </w:rPr>
        <w:t>p</w:t>
      </w:r>
      <w:r>
        <w:rPr>
          <w:rFonts w:ascii="Times New Roman" w:hAnsi="Times New Roman" w:cs="Times New Roman"/>
        </w:rPr>
        <w:t xml:space="preserve"> &lt; </w:t>
      </w:r>
      <w:r w:rsidRPr="00121B9D">
        <w:rPr>
          <w:rFonts w:ascii="Times New Roman" w:hAnsi="Times New Roman" w:cs="Times New Roman"/>
        </w:rPr>
        <w:t>2</w:t>
      </w:r>
      <w:r w:rsidRPr="00121B9D">
        <w:rPr>
          <w:rFonts w:ascii="Times New Roman" w:hAnsi="Times New Roman" w:cs="Times New Roman"/>
        </w:rPr>
        <w:sym w:font="Symbol" w:char="F0B4"/>
      </w:r>
      <w:r w:rsidRPr="00121B9D">
        <w:rPr>
          <w:rFonts w:ascii="Times New Roman" w:hAnsi="Times New Roman" w:cs="Times New Roman"/>
        </w:rPr>
        <w:t>10</w:t>
      </w:r>
      <w:r w:rsidRPr="00121B9D">
        <w:rPr>
          <w:rFonts w:ascii="Times New Roman" w:hAnsi="Times New Roman" w:cs="Times New Roman"/>
          <w:vertAlign w:val="superscript"/>
        </w:rPr>
        <w:sym w:font="Symbol" w:char="F02D"/>
      </w:r>
      <w:r w:rsidRPr="00121B9D">
        <w:rPr>
          <w:rFonts w:ascii="Times New Roman" w:hAnsi="Times New Roman" w:cs="Times New Roman"/>
          <w:vertAlign w:val="superscript"/>
        </w:rPr>
        <w:t>16</w:t>
      </w:r>
      <w:r w:rsidRPr="006A08A1">
        <w:rPr>
          <w:rFonts w:ascii="Times New Roman" w:hAnsi="Times New Roman" w:cs="Times New Roman"/>
        </w:rPr>
        <w:t>,</w:t>
      </w:r>
      <w:r>
        <w:rPr>
          <w:rFonts w:ascii="Times New Roman" w:hAnsi="Times New Roman" w:cs="Times New Roman"/>
        </w:rPr>
        <w:t xml:space="preserve"> all Tukey’s HSD </w:t>
      </w:r>
      <w:r w:rsidRPr="00121B9D">
        <w:rPr>
          <w:rFonts w:ascii="Times New Roman" w:hAnsi="Times New Roman" w:cs="Times New Roman"/>
          <w:i/>
          <w:iCs/>
        </w:rPr>
        <w:t>p</w:t>
      </w:r>
      <w:r>
        <w:rPr>
          <w:rFonts w:ascii="Times New Roman" w:hAnsi="Times New Roman" w:cs="Times New Roman"/>
        </w:rPr>
        <w:t xml:space="preserve"> </w:t>
      </w:r>
      <w:r w:rsidRPr="00121B9D">
        <w:rPr>
          <w:rStyle w:val="whyltd"/>
          <w:rFonts w:ascii="Times New Roman" w:hAnsi="Times New Roman" w:cs="Times New Roman"/>
        </w:rPr>
        <w:t>≤</w:t>
      </w:r>
      <w:r w:rsidRPr="00E7536B">
        <w:rPr>
          <w:rFonts w:ascii="Times New Roman" w:hAnsi="Times New Roman" w:cs="Times New Roman"/>
        </w:rPr>
        <w:t xml:space="preserve"> 1.5</w:t>
      </w:r>
      <w:r w:rsidRPr="005E7011">
        <w:rPr>
          <w:rFonts w:ascii="Times New Roman" w:hAnsi="Times New Roman" w:cs="Times New Roman"/>
        </w:rPr>
        <w:sym w:font="Symbol" w:char="F0B4"/>
      </w:r>
      <w:r w:rsidRPr="005E7011">
        <w:rPr>
          <w:rFonts w:ascii="Times New Roman" w:hAnsi="Times New Roman" w:cs="Times New Roman"/>
        </w:rPr>
        <w:t>10</w:t>
      </w:r>
      <w:r w:rsidRPr="005E7011">
        <w:rPr>
          <w:rFonts w:ascii="Times New Roman" w:hAnsi="Times New Roman" w:cs="Times New Roman"/>
          <w:vertAlign w:val="superscript"/>
        </w:rPr>
        <w:sym w:font="Symbol" w:char="F02D"/>
      </w:r>
      <w:r>
        <w:rPr>
          <w:rFonts w:ascii="Times New Roman" w:hAnsi="Times New Roman" w:cs="Times New Roman"/>
          <w:vertAlign w:val="superscript"/>
        </w:rPr>
        <w:t>6</w:t>
      </w:r>
      <w:r w:rsidRPr="00121B9D">
        <w:rPr>
          <w:rFonts w:ascii="Times New Roman" w:hAnsi="Times New Roman" w:cs="Times New Roman"/>
        </w:rPr>
        <w:t>)</w:t>
      </w:r>
      <w:r>
        <w:rPr>
          <w:rFonts w:ascii="Times New Roman" w:hAnsi="Times New Roman" w:cs="Times New Roman"/>
        </w:rPr>
        <w:t>. The same was true on v2 (probable recurrent depression: 1.0</w:t>
      </w:r>
      <w:r w:rsidRPr="00294B44">
        <w:rPr>
          <w:rFonts w:ascii="Times New Roman" w:hAnsi="Times New Roman" w:cs="Times New Roman"/>
        </w:rPr>
        <w:t xml:space="preserve">3 </w:t>
      </w:r>
      <w:r w:rsidRPr="005E7011">
        <w:rPr>
          <w:rFonts w:ascii="Times New Roman" w:hAnsi="Times New Roman" w:cs="Times New Roman"/>
        </w:rPr>
        <w:t>± 0.90</w:t>
      </w:r>
      <w:r>
        <w:rPr>
          <w:rFonts w:ascii="Times New Roman" w:hAnsi="Times New Roman" w:cs="Times New Roman"/>
        </w:rPr>
        <w:t xml:space="preserve">, probable single episode depression: 0.84 </w:t>
      </w:r>
      <w:r w:rsidRPr="005E7011">
        <w:rPr>
          <w:rFonts w:ascii="Times New Roman" w:hAnsi="Times New Roman" w:cs="Times New Roman"/>
        </w:rPr>
        <w:t>±</w:t>
      </w:r>
      <w:r>
        <w:rPr>
          <w:rFonts w:ascii="Times New Roman" w:hAnsi="Times New Roman" w:cs="Times New Roman"/>
        </w:rPr>
        <w:t xml:space="preserve"> 0.90, subclinical depression: 0.63 </w:t>
      </w:r>
      <w:r w:rsidRPr="005E7011">
        <w:rPr>
          <w:rFonts w:ascii="Times New Roman" w:hAnsi="Times New Roman" w:cs="Times New Roman"/>
        </w:rPr>
        <w:t>±</w:t>
      </w:r>
      <w:r>
        <w:rPr>
          <w:rFonts w:ascii="Times New Roman" w:hAnsi="Times New Roman" w:cs="Times New Roman"/>
        </w:rPr>
        <w:t xml:space="preserve"> 0.73, no history of mood disorder: 0.49 </w:t>
      </w:r>
      <w:r w:rsidRPr="005E7011">
        <w:rPr>
          <w:rFonts w:ascii="Times New Roman" w:hAnsi="Times New Roman" w:cs="Times New Roman"/>
        </w:rPr>
        <w:t>±</w:t>
      </w:r>
      <w:r>
        <w:rPr>
          <w:rFonts w:ascii="Times New Roman" w:hAnsi="Times New Roman" w:cs="Times New Roman"/>
        </w:rPr>
        <w:t xml:space="preserve"> 0.64, </w:t>
      </w:r>
      <w:proofErr w:type="gramStart"/>
      <w:r w:rsidRPr="00121B9D">
        <w:rPr>
          <w:rFonts w:ascii="Times New Roman" w:hAnsi="Times New Roman" w:cs="Times New Roman"/>
          <w:i/>
          <w:iCs/>
        </w:rPr>
        <w:t>F</w:t>
      </w:r>
      <w:r>
        <w:rPr>
          <w:rFonts w:ascii="Times New Roman" w:hAnsi="Times New Roman" w:cs="Times New Roman"/>
        </w:rPr>
        <w:t>(</w:t>
      </w:r>
      <w:proofErr w:type="gramEnd"/>
      <w:r>
        <w:rPr>
          <w:rFonts w:ascii="Times New Roman" w:hAnsi="Times New Roman" w:cs="Times New Roman"/>
        </w:rPr>
        <w:t xml:space="preserve">3, 14,846) = 409, </w:t>
      </w:r>
      <w:r w:rsidRPr="00121B9D">
        <w:rPr>
          <w:rFonts w:ascii="Times New Roman" w:hAnsi="Times New Roman" w:cs="Times New Roman"/>
          <w:i/>
          <w:iCs/>
        </w:rPr>
        <w:t>p</w:t>
      </w:r>
      <w:r>
        <w:rPr>
          <w:rFonts w:ascii="Times New Roman" w:hAnsi="Times New Roman" w:cs="Times New Roman"/>
        </w:rPr>
        <w:t xml:space="preserve"> &lt; </w:t>
      </w:r>
      <w:r w:rsidRPr="005E7011">
        <w:rPr>
          <w:rFonts w:ascii="Times New Roman" w:hAnsi="Times New Roman" w:cs="Times New Roman"/>
        </w:rPr>
        <w:t>2</w:t>
      </w:r>
      <w:r w:rsidRPr="005E7011">
        <w:rPr>
          <w:rFonts w:ascii="Times New Roman" w:hAnsi="Times New Roman" w:cs="Times New Roman"/>
        </w:rPr>
        <w:sym w:font="Symbol" w:char="F0B4"/>
      </w:r>
      <w:r w:rsidRPr="005E7011">
        <w:rPr>
          <w:rFonts w:ascii="Times New Roman" w:hAnsi="Times New Roman" w:cs="Times New Roman"/>
        </w:rPr>
        <w:t>10</w:t>
      </w:r>
      <w:r w:rsidRPr="005E7011">
        <w:rPr>
          <w:rFonts w:ascii="Times New Roman" w:hAnsi="Times New Roman" w:cs="Times New Roman"/>
          <w:vertAlign w:val="superscript"/>
        </w:rPr>
        <w:sym w:font="Symbol" w:char="F02D"/>
      </w:r>
      <w:r w:rsidRPr="005E7011">
        <w:rPr>
          <w:rFonts w:ascii="Times New Roman" w:hAnsi="Times New Roman" w:cs="Times New Roman"/>
          <w:vertAlign w:val="superscript"/>
        </w:rPr>
        <w:t>16</w:t>
      </w:r>
      <w:r w:rsidRPr="006A08A1">
        <w:rPr>
          <w:rFonts w:ascii="Times New Roman" w:hAnsi="Times New Roman" w:cs="Times New Roman"/>
        </w:rPr>
        <w:t>,</w:t>
      </w:r>
      <w:r>
        <w:rPr>
          <w:rFonts w:ascii="Times New Roman" w:hAnsi="Times New Roman" w:cs="Times New Roman"/>
        </w:rPr>
        <w:t xml:space="preserve"> all Tukey’s HSD </w:t>
      </w:r>
      <w:r w:rsidRPr="00121B9D">
        <w:rPr>
          <w:rFonts w:ascii="Times New Roman" w:hAnsi="Times New Roman" w:cs="Times New Roman"/>
          <w:i/>
          <w:iCs/>
        </w:rPr>
        <w:t>p</w:t>
      </w:r>
      <w:r>
        <w:rPr>
          <w:rFonts w:ascii="Times New Roman" w:hAnsi="Times New Roman" w:cs="Times New Roman"/>
        </w:rPr>
        <w:t xml:space="preserve"> </w:t>
      </w:r>
      <w:r w:rsidRPr="00121B9D">
        <w:rPr>
          <w:rStyle w:val="whyltd"/>
          <w:rFonts w:ascii="Times New Roman" w:hAnsi="Times New Roman" w:cs="Times New Roman"/>
        </w:rPr>
        <w:t>≤</w:t>
      </w:r>
      <w:r w:rsidRPr="00E7536B">
        <w:rPr>
          <w:rFonts w:ascii="Times New Roman" w:hAnsi="Times New Roman" w:cs="Times New Roman"/>
        </w:rPr>
        <w:t xml:space="preserve"> </w:t>
      </w:r>
      <w:r>
        <w:rPr>
          <w:rFonts w:ascii="Times New Roman" w:hAnsi="Times New Roman" w:cs="Times New Roman"/>
        </w:rPr>
        <w:t>1.0</w:t>
      </w:r>
      <w:r w:rsidRPr="005E7011">
        <w:rPr>
          <w:rFonts w:ascii="Times New Roman" w:hAnsi="Times New Roman" w:cs="Times New Roman"/>
        </w:rPr>
        <w:sym w:font="Symbol" w:char="F0B4"/>
      </w:r>
      <w:r w:rsidRPr="005E7011">
        <w:rPr>
          <w:rFonts w:ascii="Times New Roman" w:hAnsi="Times New Roman" w:cs="Times New Roman"/>
        </w:rPr>
        <w:t>10</w:t>
      </w:r>
      <w:r w:rsidRPr="005E7011">
        <w:rPr>
          <w:rFonts w:ascii="Times New Roman" w:hAnsi="Times New Roman" w:cs="Times New Roman"/>
          <w:vertAlign w:val="superscript"/>
        </w:rPr>
        <w:sym w:font="Symbol" w:char="F02D"/>
      </w:r>
      <w:r>
        <w:rPr>
          <w:rFonts w:ascii="Times New Roman" w:hAnsi="Times New Roman" w:cs="Times New Roman"/>
          <w:vertAlign w:val="superscript"/>
        </w:rPr>
        <w:t>7</w:t>
      </w:r>
      <w:r>
        <w:rPr>
          <w:rFonts w:ascii="Times New Roman" w:hAnsi="Times New Roman" w:cs="Times New Roman"/>
        </w:rPr>
        <w:t xml:space="preserve"> , see </w:t>
      </w:r>
      <w:r w:rsidRPr="00EC2F0A">
        <w:rPr>
          <w:rFonts w:ascii="Times New Roman" w:hAnsi="Times New Roman" w:cs="Times New Roman"/>
          <w:b/>
          <w:bCs/>
        </w:rPr>
        <w:t>Figure S</w:t>
      </w:r>
      <w:r>
        <w:rPr>
          <w:rFonts w:ascii="Times New Roman" w:hAnsi="Times New Roman" w:cs="Times New Roman"/>
          <w:b/>
          <w:bCs/>
        </w:rPr>
        <w:t>2</w:t>
      </w:r>
      <w:r>
        <w:rPr>
          <w:rFonts w:ascii="Times New Roman" w:hAnsi="Times New Roman" w:cs="Times New Roman"/>
        </w:rPr>
        <w:t>). Thus, depressive symptoms differed significantly across subgroups with different lifetime history of depression.</w:t>
      </w:r>
    </w:p>
    <w:p w14:paraId="0EEA0D6A" w14:textId="77777777" w:rsidR="00D42588" w:rsidRDefault="00D42588" w:rsidP="006E23B6">
      <w:pPr>
        <w:spacing w:line="480" w:lineRule="auto"/>
        <w:rPr>
          <w:rFonts w:ascii="Times New Roman" w:hAnsi="Times New Roman" w:cs="Times New Roman"/>
        </w:rPr>
      </w:pPr>
    </w:p>
    <w:p w14:paraId="44116384" w14:textId="77777777" w:rsidR="00D42588" w:rsidRDefault="00D42588" w:rsidP="006E23B6">
      <w:pPr>
        <w:spacing w:line="480" w:lineRule="auto"/>
        <w:rPr>
          <w:rFonts w:ascii="Times New Roman" w:hAnsi="Times New Roman" w:cs="Times New Roman"/>
          <w:b/>
          <w:bCs/>
        </w:rPr>
      </w:pPr>
      <w:r w:rsidRPr="00395758">
        <w:rPr>
          <w:rFonts w:ascii="Times New Roman" w:hAnsi="Times New Roman" w:cs="Times New Roman"/>
          <w:b/>
          <w:bCs/>
        </w:rPr>
        <w:t>Supplementary Results</w:t>
      </w:r>
    </w:p>
    <w:p w14:paraId="6A2387C8" w14:textId="77777777" w:rsidR="00D42588" w:rsidRPr="009534C6" w:rsidRDefault="00D42588" w:rsidP="009534C6">
      <w:pPr>
        <w:spacing w:line="480" w:lineRule="auto"/>
        <w:rPr>
          <w:rFonts w:ascii="Times New Roman" w:hAnsi="Times New Roman" w:cs="Times New Roman"/>
          <w:b/>
          <w:bCs/>
        </w:rPr>
      </w:pPr>
      <w:r>
        <w:rPr>
          <w:rFonts w:ascii="Times New Roman" w:hAnsi="Times New Roman" w:cs="Times New Roman"/>
          <w:b/>
          <w:bCs/>
        </w:rPr>
        <w:t>I</w:t>
      </w:r>
      <w:r w:rsidRPr="009534C6">
        <w:rPr>
          <w:rFonts w:ascii="Times New Roman" w:hAnsi="Times New Roman" w:cs="Times New Roman"/>
          <w:b/>
          <w:bCs/>
        </w:rPr>
        <w:t>maging phenotypes</w:t>
      </w:r>
      <w:r>
        <w:rPr>
          <w:rFonts w:ascii="Times New Roman" w:hAnsi="Times New Roman" w:cs="Times New Roman"/>
          <w:b/>
          <w:bCs/>
        </w:rPr>
        <w:t xml:space="preserve"> and log transformed SLEs and depressive symptoms.</w:t>
      </w:r>
    </w:p>
    <w:p w14:paraId="701CF2C6" w14:textId="77777777" w:rsidR="00D42588" w:rsidRDefault="00D42588" w:rsidP="009534C6">
      <w:pPr>
        <w:spacing w:line="480" w:lineRule="auto"/>
        <w:rPr>
          <w:rFonts w:ascii="Times New Roman" w:hAnsi="Times New Roman" w:cs="Times New Roman"/>
        </w:rPr>
      </w:pPr>
      <w:r>
        <w:rPr>
          <w:rFonts w:ascii="Times New Roman" w:hAnsi="Times New Roman" w:cs="Times New Roman"/>
        </w:rPr>
        <w:t>We alternatively used log transformation to correct for right skewness in SLEs and depressive symptoms</w:t>
      </w:r>
      <w:r w:rsidRPr="009F2D8D">
        <w:rPr>
          <w:rFonts w:ascii="Times New Roman" w:hAnsi="Times New Roman" w:cs="Times New Roman"/>
        </w:rPr>
        <w:t xml:space="preserve"> </w:t>
      </w:r>
      <w:r>
        <w:rPr>
          <w:rFonts w:ascii="Times New Roman" w:hAnsi="Times New Roman" w:cs="Times New Roman"/>
        </w:rPr>
        <w:t xml:space="preserve">(Table S6). We applied logarithm with base 10 after adding a small positive offset (0.1) to SLEs and depressive symptoms to avoid undefined values. More SLEs were associated with </w:t>
      </w:r>
      <w:r w:rsidRPr="009534C6">
        <w:rPr>
          <w:rFonts w:ascii="Times New Roman" w:hAnsi="Times New Roman" w:cs="Times New Roman"/>
        </w:rPr>
        <w:t xml:space="preserve">lower forceps major FA (B = </w:t>
      </w:r>
      <w:r w:rsidRPr="009534C6">
        <w:rPr>
          <w:rFonts w:ascii="Times New Roman" w:hAnsi="Times New Roman" w:cs="Times New Roman"/>
        </w:rPr>
        <w:sym w:font="Symbol" w:char="F02D"/>
      </w:r>
      <w:r w:rsidRPr="009534C6">
        <w:rPr>
          <w:rFonts w:ascii="Times New Roman" w:hAnsi="Times New Roman" w:cs="Times New Roman"/>
        </w:rPr>
        <w:t>0.0</w:t>
      </w:r>
      <w:r>
        <w:rPr>
          <w:rFonts w:ascii="Times New Roman" w:hAnsi="Times New Roman" w:cs="Times New Roman"/>
        </w:rPr>
        <w:t>43</w:t>
      </w:r>
      <w:r w:rsidRPr="009534C6">
        <w:rPr>
          <w:rFonts w:ascii="Times New Roman" w:hAnsi="Times New Roman" w:cs="Times New Roman"/>
        </w:rPr>
        <w:t xml:space="preserve">, </w:t>
      </w:r>
      <w:proofErr w:type="spellStart"/>
      <w:r w:rsidRPr="009534C6">
        <w:rPr>
          <w:rFonts w:ascii="Times New Roman" w:hAnsi="Times New Roman" w:cs="Times New Roman"/>
          <w:i/>
          <w:iCs/>
        </w:rPr>
        <w:t>p</w:t>
      </w:r>
      <w:r w:rsidRPr="009534C6">
        <w:rPr>
          <w:rFonts w:ascii="Times New Roman" w:hAnsi="Times New Roman" w:cs="Times New Roman"/>
          <w:vertAlign w:val="subscript"/>
        </w:rPr>
        <w:t>FDR</w:t>
      </w:r>
      <w:proofErr w:type="spellEnd"/>
      <w:r w:rsidRPr="009534C6">
        <w:rPr>
          <w:rFonts w:ascii="Times New Roman" w:hAnsi="Times New Roman" w:cs="Times New Roman"/>
          <w:vertAlign w:val="subscript"/>
        </w:rPr>
        <w:t xml:space="preserve"> </w:t>
      </w:r>
      <w:r w:rsidRPr="009534C6">
        <w:rPr>
          <w:rFonts w:ascii="Times New Roman" w:hAnsi="Times New Roman" w:cs="Times New Roman"/>
        </w:rPr>
        <w:t>= 0.0</w:t>
      </w:r>
      <w:r>
        <w:rPr>
          <w:rFonts w:ascii="Times New Roman" w:hAnsi="Times New Roman" w:cs="Times New Roman"/>
        </w:rPr>
        <w:t>42</w:t>
      </w:r>
      <w:r w:rsidRPr="009534C6">
        <w:rPr>
          <w:rFonts w:ascii="Times New Roman" w:hAnsi="Times New Roman" w:cs="Times New Roman"/>
        </w:rPr>
        <w:t>)</w:t>
      </w:r>
      <w:r>
        <w:rPr>
          <w:rFonts w:ascii="Times New Roman" w:hAnsi="Times New Roman" w:cs="Times New Roman"/>
        </w:rPr>
        <w:t xml:space="preserve">, </w:t>
      </w:r>
      <w:r w:rsidRPr="009534C6">
        <w:rPr>
          <w:rFonts w:ascii="Times New Roman" w:hAnsi="Times New Roman" w:cs="Times New Roman"/>
        </w:rPr>
        <w:t xml:space="preserve">lower bilateral nucleus </w:t>
      </w:r>
      <w:proofErr w:type="spellStart"/>
      <w:r w:rsidRPr="009534C6">
        <w:rPr>
          <w:rFonts w:ascii="Times New Roman" w:hAnsi="Times New Roman" w:cs="Times New Roman"/>
        </w:rPr>
        <w:t>accumbens</w:t>
      </w:r>
      <w:proofErr w:type="spellEnd"/>
      <w:r w:rsidRPr="009534C6">
        <w:rPr>
          <w:rFonts w:ascii="Times New Roman" w:hAnsi="Times New Roman" w:cs="Times New Roman"/>
        </w:rPr>
        <w:t xml:space="preserve"> volume (left: B = </w:t>
      </w:r>
      <w:r w:rsidRPr="009534C6">
        <w:rPr>
          <w:rFonts w:ascii="Times New Roman" w:hAnsi="Times New Roman" w:cs="Times New Roman"/>
        </w:rPr>
        <w:sym w:font="Symbol" w:char="F02D"/>
      </w:r>
      <w:r w:rsidRPr="009534C6">
        <w:rPr>
          <w:rFonts w:ascii="Times New Roman" w:hAnsi="Times New Roman" w:cs="Times New Roman"/>
        </w:rPr>
        <w:t>0.0</w:t>
      </w:r>
      <w:r>
        <w:rPr>
          <w:rFonts w:ascii="Times New Roman" w:hAnsi="Times New Roman" w:cs="Times New Roman"/>
        </w:rPr>
        <w:t>41</w:t>
      </w:r>
      <w:r w:rsidRPr="009534C6">
        <w:rPr>
          <w:rFonts w:ascii="Times New Roman" w:hAnsi="Times New Roman" w:cs="Times New Roman"/>
        </w:rPr>
        <w:t xml:space="preserve">, </w:t>
      </w:r>
      <w:proofErr w:type="spellStart"/>
      <w:r w:rsidRPr="009534C6">
        <w:rPr>
          <w:rFonts w:ascii="Times New Roman" w:hAnsi="Times New Roman" w:cs="Times New Roman"/>
          <w:i/>
        </w:rPr>
        <w:t>p</w:t>
      </w:r>
      <w:r w:rsidRPr="009534C6">
        <w:rPr>
          <w:rFonts w:ascii="Times New Roman" w:hAnsi="Times New Roman" w:cs="Times New Roman"/>
          <w:vertAlign w:val="subscript"/>
        </w:rPr>
        <w:t>FDR</w:t>
      </w:r>
      <w:proofErr w:type="spellEnd"/>
      <w:r w:rsidRPr="009534C6">
        <w:rPr>
          <w:rFonts w:ascii="Times New Roman" w:hAnsi="Times New Roman" w:cs="Times New Roman"/>
          <w:vertAlign w:val="subscript"/>
        </w:rPr>
        <w:t xml:space="preserve"> </w:t>
      </w:r>
      <w:r w:rsidRPr="009534C6">
        <w:rPr>
          <w:rFonts w:ascii="Times New Roman" w:hAnsi="Times New Roman" w:cs="Times New Roman"/>
        </w:rPr>
        <w:t>= 0.02</w:t>
      </w:r>
      <w:r>
        <w:rPr>
          <w:rFonts w:ascii="Times New Roman" w:hAnsi="Times New Roman" w:cs="Times New Roman"/>
        </w:rPr>
        <w:t>8</w:t>
      </w:r>
      <w:r w:rsidRPr="009534C6">
        <w:rPr>
          <w:rFonts w:ascii="Times New Roman" w:hAnsi="Times New Roman" w:cs="Times New Roman"/>
        </w:rPr>
        <w:t xml:space="preserve">; right: B = </w:t>
      </w:r>
      <w:r w:rsidRPr="009534C6">
        <w:rPr>
          <w:rFonts w:ascii="Times New Roman" w:hAnsi="Times New Roman" w:cs="Times New Roman"/>
        </w:rPr>
        <w:sym w:font="Symbol" w:char="F02D"/>
      </w:r>
      <w:r w:rsidRPr="009534C6">
        <w:rPr>
          <w:rFonts w:ascii="Times New Roman" w:hAnsi="Times New Roman" w:cs="Times New Roman"/>
        </w:rPr>
        <w:t>0.0</w:t>
      </w:r>
      <w:r>
        <w:rPr>
          <w:rFonts w:ascii="Times New Roman" w:hAnsi="Times New Roman" w:cs="Times New Roman"/>
        </w:rPr>
        <w:t>39</w:t>
      </w:r>
      <w:r w:rsidRPr="009534C6">
        <w:rPr>
          <w:rFonts w:ascii="Times New Roman" w:hAnsi="Times New Roman" w:cs="Times New Roman"/>
        </w:rPr>
        <w:t xml:space="preserve">, </w:t>
      </w:r>
      <w:proofErr w:type="spellStart"/>
      <w:r w:rsidRPr="009534C6">
        <w:rPr>
          <w:rFonts w:ascii="Times New Roman" w:hAnsi="Times New Roman" w:cs="Times New Roman"/>
          <w:i/>
        </w:rPr>
        <w:t>p</w:t>
      </w:r>
      <w:r w:rsidRPr="009534C6">
        <w:rPr>
          <w:rFonts w:ascii="Times New Roman" w:hAnsi="Times New Roman" w:cs="Times New Roman"/>
          <w:vertAlign w:val="subscript"/>
        </w:rPr>
        <w:t>FDR</w:t>
      </w:r>
      <w:proofErr w:type="spellEnd"/>
      <w:r w:rsidRPr="009534C6">
        <w:rPr>
          <w:rFonts w:ascii="Times New Roman" w:hAnsi="Times New Roman" w:cs="Times New Roman"/>
          <w:vertAlign w:val="subscript"/>
        </w:rPr>
        <w:t xml:space="preserve"> </w:t>
      </w:r>
      <w:r w:rsidRPr="009534C6">
        <w:rPr>
          <w:rFonts w:ascii="Times New Roman" w:hAnsi="Times New Roman" w:cs="Times New Roman"/>
        </w:rPr>
        <w:t>= 0.03</w:t>
      </w:r>
      <w:r>
        <w:rPr>
          <w:rFonts w:ascii="Times New Roman" w:hAnsi="Times New Roman" w:cs="Times New Roman"/>
        </w:rPr>
        <w:t>1), and lower intracranial volume (</w:t>
      </w:r>
      <w:r w:rsidRPr="009534C6">
        <w:rPr>
          <w:rFonts w:ascii="Times New Roman" w:hAnsi="Times New Roman" w:cs="Times New Roman"/>
        </w:rPr>
        <w:t xml:space="preserve">B = </w:t>
      </w:r>
      <w:r w:rsidRPr="009534C6">
        <w:rPr>
          <w:rFonts w:ascii="Times New Roman" w:hAnsi="Times New Roman" w:cs="Times New Roman"/>
        </w:rPr>
        <w:sym w:font="Symbol" w:char="F02D"/>
      </w:r>
      <w:r w:rsidRPr="009534C6">
        <w:rPr>
          <w:rFonts w:ascii="Times New Roman" w:hAnsi="Times New Roman" w:cs="Times New Roman"/>
        </w:rPr>
        <w:t>0.0</w:t>
      </w:r>
      <w:r>
        <w:rPr>
          <w:rFonts w:ascii="Times New Roman" w:hAnsi="Times New Roman" w:cs="Times New Roman"/>
        </w:rPr>
        <w:t>32</w:t>
      </w:r>
      <w:r w:rsidRPr="009534C6">
        <w:rPr>
          <w:rFonts w:ascii="Times New Roman" w:hAnsi="Times New Roman" w:cs="Times New Roman"/>
        </w:rPr>
        <w:t xml:space="preserve">, </w:t>
      </w:r>
      <w:proofErr w:type="spellStart"/>
      <w:r w:rsidRPr="009534C6">
        <w:rPr>
          <w:rFonts w:ascii="Times New Roman" w:hAnsi="Times New Roman" w:cs="Times New Roman"/>
          <w:i/>
        </w:rPr>
        <w:t>p</w:t>
      </w:r>
      <w:r w:rsidRPr="009534C6">
        <w:rPr>
          <w:rFonts w:ascii="Times New Roman" w:hAnsi="Times New Roman" w:cs="Times New Roman"/>
          <w:vertAlign w:val="subscript"/>
        </w:rPr>
        <w:t>FDR</w:t>
      </w:r>
      <w:proofErr w:type="spellEnd"/>
      <w:r w:rsidRPr="009534C6">
        <w:rPr>
          <w:rFonts w:ascii="Times New Roman" w:hAnsi="Times New Roman" w:cs="Times New Roman"/>
          <w:vertAlign w:val="subscript"/>
        </w:rPr>
        <w:t xml:space="preserve"> </w:t>
      </w:r>
      <w:r w:rsidRPr="009534C6">
        <w:rPr>
          <w:rFonts w:ascii="Times New Roman" w:hAnsi="Times New Roman" w:cs="Times New Roman"/>
        </w:rPr>
        <w:t>= 0.0</w:t>
      </w:r>
      <w:r>
        <w:rPr>
          <w:rFonts w:ascii="Times New Roman" w:hAnsi="Times New Roman" w:cs="Times New Roman"/>
        </w:rPr>
        <w:t>42</w:t>
      </w:r>
      <w:r w:rsidRPr="009534C6">
        <w:rPr>
          <w:rFonts w:ascii="Times New Roman" w:hAnsi="Times New Roman" w:cs="Times New Roman"/>
        </w:rPr>
        <w:t>; B: differences in</w:t>
      </w:r>
      <w:r w:rsidRPr="009534C6" w:rsidDel="00634B53">
        <w:rPr>
          <w:rFonts w:ascii="Times New Roman" w:hAnsi="Times New Roman" w:cs="Times New Roman"/>
        </w:rPr>
        <w:t xml:space="preserve"> </w:t>
      </w:r>
      <w:r w:rsidRPr="009534C6">
        <w:rPr>
          <w:rFonts w:ascii="Times New Roman" w:hAnsi="Times New Roman" w:cs="Times New Roman"/>
        </w:rPr>
        <w:t xml:space="preserve">standardized imaging phenotypes when </w:t>
      </w:r>
      <w:r>
        <w:rPr>
          <w:rFonts w:ascii="Times New Roman" w:hAnsi="Times New Roman" w:cs="Times New Roman"/>
        </w:rPr>
        <w:t xml:space="preserve">log transformed </w:t>
      </w:r>
      <w:r w:rsidRPr="009534C6">
        <w:rPr>
          <w:rFonts w:ascii="Times New Roman" w:hAnsi="Times New Roman" w:cs="Times New Roman"/>
        </w:rPr>
        <w:t>SLEs increased by 1)</w:t>
      </w:r>
      <w:r>
        <w:rPr>
          <w:rFonts w:ascii="Times New Roman" w:hAnsi="Times New Roman" w:cs="Times New Roman"/>
        </w:rPr>
        <w:t>.</w:t>
      </w:r>
    </w:p>
    <w:p w14:paraId="219A7E15" w14:textId="77777777" w:rsidR="00D42588" w:rsidRPr="009534C6" w:rsidRDefault="00D42588" w:rsidP="009534C6">
      <w:pPr>
        <w:spacing w:line="480" w:lineRule="auto"/>
        <w:rPr>
          <w:rFonts w:ascii="Times New Roman" w:hAnsi="Times New Roman" w:cs="Times New Roman"/>
        </w:rPr>
      </w:pPr>
    </w:p>
    <w:p w14:paraId="3EE3B18A" w14:textId="77777777" w:rsidR="00D42588" w:rsidRPr="009534C6" w:rsidRDefault="00D42588" w:rsidP="009534C6">
      <w:pPr>
        <w:spacing w:line="480" w:lineRule="auto"/>
        <w:rPr>
          <w:rFonts w:ascii="Times New Roman" w:hAnsi="Times New Roman" w:cs="Times New Roman"/>
          <w:i/>
          <w:iCs/>
        </w:rPr>
      </w:pPr>
      <w:r w:rsidRPr="009534C6">
        <w:rPr>
          <w:rFonts w:ascii="Times New Roman" w:hAnsi="Times New Roman" w:cs="Times New Roman"/>
        </w:rPr>
        <w:t xml:space="preserve">Higher depressive symptoms were associated with </w:t>
      </w:r>
      <w:r>
        <w:rPr>
          <w:rFonts w:ascii="Times New Roman" w:hAnsi="Times New Roman" w:cs="Times New Roman"/>
        </w:rPr>
        <w:t>32</w:t>
      </w:r>
      <w:r w:rsidRPr="009534C6">
        <w:rPr>
          <w:rFonts w:ascii="Times New Roman" w:hAnsi="Times New Roman" w:cs="Times New Roman"/>
        </w:rPr>
        <w:t xml:space="preserve"> imaging phenotypes </w:t>
      </w:r>
      <w:r>
        <w:rPr>
          <w:rFonts w:ascii="Times New Roman" w:hAnsi="Times New Roman" w:cs="Times New Roman"/>
        </w:rPr>
        <w:t xml:space="preserve">including thinner cortex, smaller subcortical volume, higher MD, lower FA, and higher total white matter hyper intensities in regions </w:t>
      </w:r>
      <w:proofErr w:type="gramStart"/>
      <w:r>
        <w:rPr>
          <w:rFonts w:ascii="Times New Roman" w:hAnsi="Times New Roman" w:cs="Times New Roman"/>
        </w:rPr>
        <w:t>similar to</w:t>
      </w:r>
      <w:proofErr w:type="gramEnd"/>
      <w:r>
        <w:rPr>
          <w:rFonts w:ascii="Times New Roman" w:hAnsi="Times New Roman" w:cs="Times New Roman"/>
        </w:rPr>
        <w:t xml:space="preserve"> those reported in the main text. </w:t>
      </w:r>
      <w:r w:rsidRPr="009534C6">
        <w:rPr>
          <w:rFonts w:ascii="Times New Roman" w:hAnsi="Times New Roman" w:cs="Times New Roman"/>
        </w:rPr>
        <w:t xml:space="preserve">Lower bilateral nucleus </w:t>
      </w:r>
      <w:proofErr w:type="spellStart"/>
      <w:r w:rsidRPr="009534C6">
        <w:rPr>
          <w:rFonts w:ascii="Times New Roman" w:hAnsi="Times New Roman" w:cs="Times New Roman"/>
        </w:rPr>
        <w:t>accumbens</w:t>
      </w:r>
      <w:proofErr w:type="spellEnd"/>
      <w:r w:rsidRPr="009534C6">
        <w:rPr>
          <w:rFonts w:ascii="Times New Roman" w:hAnsi="Times New Roman" w:cs="Times New Roman"/>
        </w:rPr>
        <w:t xml:space="preserve"> volume </w:t>
      </w:r>
      <w:r>
        <w:rPr>
          <w:rFonts w:ascii="Times New Roman" w:hAnsi="Times New Roman" w:cs="Times New Roman"/>
        </w:rPr>
        <w:t>remained</w:t>
      </w:r>
      <w:r w:rsidRPr="009534C6">
        <w:rPr>
          <w:rFonts w:ascii="Times New Roman" w:hAnsi="Times New Roman" w:cs="Times New Roman"/>
        </w:rPr>
        <w:t xml:space="preserve"> the only imaging phenotypes significantly associated with both depressive symptoms (left: B = </w:t>
      </w:r>
      <w:r w:rsidRPr="009534C6">
        <w:rPr>
          <w:rFonts w:ascii="Times New Roman" w:hAnsi="Times New Roman" w:cs="Times New Roman"/>
        </w:rPr>
        <w:sym w:font="Symbol" w:char="F02D"/>
      </w:r>
      <w:r w:rsidRPr="009534C6">
        <w:rPr>
          <w:rFonts w:ascii="Times New Roman" w:hAnsi="Times New Roman" w:cs="Times New Roman"/>
        </w:rPr>
        <w:t>0.</w:t>
      </w:r>
      <w:r>
        <w:rPr>
          <w:rFonts w:ascii="Times New Roman" w:hAnsi="Times New Roman" w:cs="Times New Roman"/>
        </w:rPr>
        <w:t>030</w:t>
      </w:r>
      <w:r w:rsidRPr="009534C6">
        <w:rPr>
          <w:rFonts w:ascii="Times New Roman" w:hAnsi="Times New Roman" w:cs="Times New Roman"/>
        </w:rPr>
        <w:t xml:space="preserve">, </w:t>
      </w:r>
      <w:proofErr w:type="spellStart"/>
      <w:r w:rsidRPr="009534C6">
        <w:rPr>
          <w:rFonts w:ascii="Times New Roman" w:hAnsi="Times New Roman" w:cs="Times New Roman"/>
          <w:i/>
        </w:rPr>
        <w:t>p</w:t>
      </w:r>
      <w:r w:rsidRPr="009534C6">
        <w:rPr>
          <w:rFonts w:ascii="Times New Roman" w:hAnsi="Times New Roman" w:cs="Times New Roman"/>
          <w:vertAlign w:val="subscript"/>
        </w:rPr>
        <w:t>FDR</w:t>
      </w:r>
      <w:proofErr w:type="spellEnd"/>
      <w:r w:rsidRPr="009534C6">
        <w:rPr>
          <w:rFonts w:ascii="Times New Roman" w:hAnsi="Times New Roman" w:cs="Times New Roman"/>
          <w:vertAlign w:val="subscript"/>
        </w:rPr>
        <w:t xml:space="preserve"> </w:t>
      </w:r>
      <w:r w:rsidRPr="009534C6">
        <w:rPr>
          <w:rFonts w:ascii="Times New Roman" w:hAnsi="Times New Roman" w:cs="Times New Roman"/>
        </w:rPr>
        <w:t>= 0.0</w:t>
      </w:r>
      <w:r>
        <w:rPr>
          <w:rFonts w:ascii="Times New Roman" w:hAnsi="Times New Roman" w:cs="Times New Roman"/>
        </w:rPr>
        <w:t>14</w:t>
      </w:r>
      <w:r w:rsidRPr="009534C6">
        <w:rPr>
          <w:rFonts w:ascii="Times New Roman" w:hAnsi="Times New Roman" w:cs="Times New Roman"/>
        </w:rPr>
        <w:t xml:space="preserve">; right: B = </w:t>
      </w:r>
      <w:r w:rsidRPr="009534C6">
        <w:rPr>
          <w:rFonts w:ascii="Times New Roman" w:hAnsi="Times New Roman" w:cs="Times New Roman"/>
        </w:rPr>
        <w:sym w:font="Symbol" w:char="F02D"/>
      </w:r>
      <w:r w:rsidRPr="009534C6">
        <w:rPr>
          <w:rFonts w:ascii="Times New Roman" w:hAnsi="Times New Roman" w:cs="Times New Roman"/>
        </w:rPr>
        <w:t>0.</w:t>
      </w:r>
      <w:r>
        <w:rPr>
          <w:rFonts w:ascii="Times New Roman" w:hAnsi="Times New Roman" w:cs="Times New Roman"/>
        </w:rPr>
        <w:t>027</w:t>
      </w:r>
      <w:r w:rsidRPr="009534C6">
        <w:rPr>
          <w:rFonts w:ascii="Times New Roman" w:hAnsi="Times New Roman" w:cs="Times New Roman"/>
        </w:rPr>
        <w:t xml:space="preserve">, </w:t>
      </w:r>
      <w:proofErr w:type="spellStart"/>
      <w:r w:rsidRPr="009534C6">
        <w:rPr>
          <w:rFonts w:ascii="Times New Roman" w:hAnsi="Times New Roman" w:cs="Times New Roman"/>
          <w:i/>
        </w:rPr>
        <w:t>p</w:t>
      </w:r>
      <w:r w:rsidRPr="009534C6">
        <w:rPr>
          <w:rFonts w:ascii="Times New Roman" w:hAnsi="Times New Roman" w:cs="Times New Roman"/>
          <w:vertAlign w:val="subscript"/>
        </w:rPr>
        <w:t>FDR</w:t>
      </w:r>
      <w:proofErr w:type="spellEnd"/>
      <w:r w:rsidRPr="009534C6">
        <w:rPr>
          <w:rFonts w:ascii="Times New Roman" w:hAnsi="Times New Roman" w:cs="Times New Roman"/>
          <w:vertAlign w:val="subscript"/>
        </w:rPr>
        <w:t xml:space="preserve"> </w:t>
      </w:r>
      <w:r w:rsidRPr="009534C6">
        <w:rPr>
          <w:rFonts w:ascii="Times New Roman" w:hAnsi="Times New Roman" w:cs="Times New Roman"/>
        </w:rPr>
        <w:t>= 0.0</w:t>
      </w:r>
      <w:r>
        <w:rPr>
          <w:rFonts w:ascii="Times New Roman" w:hAnsi="Times New Roman" w:cs="Times New Roman"/>
        </w:rPr>
        <w:t>30</w:t>
      </w:r>
      <w:r w:rsidRPr="009534C6">
        <w:rPr>
          <w:rFonts w:ascii="Times New Roman" w:hAnsi="Times New Roman" w:cs="Times New Roman"/>
        </w:rPr>
        <w:t>) and SLEs (see above).</w:t>
      </w:r>
    </w:p>
    <w:p w14:paraId="401EC0AB" w14:textId="77777777" w:rsidR="00D42588" w:rsidRPr="009534C6" w:rsidRDefault="00D42588" w:rsidP="006E23B6">
      <w:pPr>
        <w:spacing w:line="480" w:lineRule="auto"/>
        <w:rPr>
          <w:rFonts w:ascii="Times New Roman" w:hAnsi="Times New Roman" w:cs="Times New Roman"/>
          <w:b/>
          <w:bCs/>
        </w:rPr>
      </w:pPr>
    </w:p>
    <w:p w14:paraId="76D2292C" w14:textId="7AADC276" w:rsidR="00D42588" w:rsidRPr="00DD06DE" w:rsidRDefault="00D42588" w:rsidP="006E23B6">
      <w:pPr>
        <w:spacing w:line="480" w:lineRule="auto"/>
        <w:rPr>
          <w:rFonts w:ascii="Times New Roman" w:hAnsi="Times New Roman" w:cs="Times New Roman"/>
          <w:b/>
          <w:bCs/>
        </w:rPr>
      </w:pPr>
      <w:r w:rsidRPr="00DD06DE">
        <w:rPr>
          <w:rFonts w:ascii="Times New Roman" w:hAnsi="Times New Roman" w:cs="Times New Roman"/>
          <w:b/>
          <w:bCs/>
        </w:rPr>
        <w:t>References</w:t>
      </w:r>
    </w:p>
    <w:sdt>
      <w:sdtPr>
        <w:tag w:val="MENDELEY_BIBLIOGRAPHY"/>
        <w:id w:val="1135990423"/>
        <w:placeholder>
          <w:docPart w:val="DefaultPlaceholder_-1854013440"/>
        </w:placeholder>
      </w:sdtPr>
      <w:sdtEndPr>
        <w:rPr>
          <w:rFonts w:ascii="Times New Roman" w:hAnsi="Times New Roman" w:cs="Times New Roman"/>
        </w:rPr>
      </w:sdtEndPr>
      <w:sdtContent>
        <w:p w14:paraId="4BF1B615" w14:textId="77777777" w:rsidR="00D42588" w:rsidRPr="00D42588" w:rsidRDefault="00D42588">
          <w:pPr>
            <w:autoSpaceDE w:val="0"/>
            <w:autoSpaceDN w:val="0"/>
            <w:ind w:hanging="480"/>
            <w:divId w:val="2037153349"/>
            <w:rPr>
              <w:rFonts w:ascii="Times New Roman" w:eastAsia="Times New Roman" w:hAnsi="Times New Roman" w:cs="Times New Roman"/>
            </w:rPr>
          </w:pPr>
          <w:r w:rsidRPr="00D42588">
            <w:rPr>
              <w:rFonts w:ascii="Times New Roman" w:eastAsia="Times New Roman" w:hAnsi="Times New Roman" w:cs="Times New Roman"/>
            </w:rPr>
            <w:t xml:space="preserve">Smith, D. J., Nicholl, B. I., Cullen, B., Martin, D., </w:t>
          </w:r>
          <w:proofErr w:type="spellStart"/>
          <w:r w:rsidRPr="00D42588">
            <w:rPr>
              <w:rFonts w:ascii="Times New Roman" w:eastAsia="Times New Roman" w:hAnsi="Times New Roman" w:cs="Times New Roman"/>
            </w:rPr>
            <w:t>Ul-Haq</w:t>
          </w:r>
          <w:proofErr w:type="spellEnd"/>
          <w:r w:rsidRPr="00D42588">
            <w:rPr>
              <w:rFonts w:ascii="Times New Roman" w:eastAsia="Times New Roman" w:hAnsi="Times New Roman" w:cs="Times New Roman"/>
            </w:rPr>
            <w:t xml:space="preserve">, Z., Evans, J., … Pell, J. P. (2013). Prevalence and characteristics of probable major depression and bipolar disorder within UK Biobank: Cross-sectional study of 172,751 participants. </w:t>
          </w:r>
          <w:proofErr w:type="spellStart"/>
          <w:r w:rsidRPr="00D42588">
            <w:rPr>
              <w:rFonts w:ascii="Times New Roman" w:eastAsia="Times New Roman" w:hAnsi="Times New Roman" w:cs="Times New Roman"/>
              <w:i/>
              <w:iCs/>
            </w:rPr>
            <w:t>PLoS</w:t>
          </w:r>
          <w:proofErr w:type="spellEnd"/>
          <w:r w:rsidRPr="00D42588">
            <w:rPr>
              <w:rFonts w:ascii="Times New Roman" w:eastAsia="Times New Roman" w:hAnsi="Times New Roman" w:cs="Times New Roman"/>
              <w:i/>
              <w:iCs/>
            </w:rPr>
            <w:t xml:space="preserve"> ONE</w:t>
          </w:r>
          <w:r w:rsidRPr="00D42588">
            <w:rPr>
              <w:rFonts w:ascii="Times New Roman" w:eastAsia="Times New Roman" w:hAnsi="Times New Roman" w:cs="Times New Roman"/>
            </w:rPr>
            <w:t xml:space="preserve">, </w:t>
          </w:r>
          <w:r w:rsidRPr="00D42588">
            <w:rPr>
              <w:rFonts w:ascii="Times New Roman" w:eastAsia="Times New Roman" w:hAnsi="Times New Roman" w:cs="Times New Roman"/>
              <w:i/>
              <w:iCs/>
            </w:rPr>
            <w:t>8</w:t>
          </w:r>
          <w:r w:rsidRPr="00D42588">
            <w:rPr>
              <w:rFonts w:ascii="Times New Roman" w:eastAsia="Times New Roman" w:hAnsi="Times New Roman" w:cs="Times New Roman"/>
            </w:rPr>
            <w:t>(11), 1–8. https://doi.org/10.1371/journal.pone.0075362</w:t>
          </w:r>
        </w:p>
        <w:p w14:paraId="77828101" w14:textId="12E31468" w:rsidR="00D42588" w:rsidRPr="00D42588" w:rsidRDefault="00D42588">
          <w:pPr>
            <w:rPr>
              <w:rFonts w:ascii="Times New Roman" w:hAnsi="Times New Roman" w:cs="Times New Roman"/>
            </w:rPr>
          </w:pPr>
          <w:r w:rsidRPr="00D42588">
            <w:rPr>
              <w:rFonts w:ascii="Times New Roman" w:eastAsia="Times New Roman" w:hAnsi="Times New Roman" w:cs="Times New Roman"/>
            </w:rPr>
            <w:t> </w:t>
          </w:r>
        </w:p>
      </w:sdtContent>
    </w:sdt>
    <w:p w14:paraId="649C0583" w14:textId="77777777" w:rsidR="00D42588" w:rsidRDefault="00D42588" w:rsidP="006E23B6">
      <w:pPr>
        <w:spacing w:line="480" w:lineRule="auto"/>
        <w:rPr>
          <w:rFonts w:ascii="Times New Roman" w:hAnsi="Times New Roman" w:cs="Times New Roman"/>
        </w:rPr>
      </w:pPr>
    </w:p>
    <w:p w14:paraId="508C600F" w14:textId="77777777" w:rsidR="00D42588" w:rsidRPr="000C2667" w:rsidRDefault="00D42588" w:rsidP="000C2667">
      <w:pPr>
        <w:rPr>
          <w:rFonts w:ascii="Times New Roman" w:hAnsi="Times New Roman" w:cs="Times New Roman"/>
        </w:rPr>
      </w:pPr>
      <w:r>
        <w:rPr>
          <w:rFonts w:ascii="Times New Roman" w:hAnsi="Times New Roman" w:cs="Times New Roman"/>
        </w:rPr>
        <w:br w:type="column"/>
      </w:r>
      <w:r>
        <w:rPr>
          <w:rFonts w:ascii="Times New Roman" w:hAnsi="Times New Roman" w:cs="Times New Roman"/>
        </w:rPr>
        <w:lastRenderedPageBreak/>
        <w:t xml:space="preserve">Table S1. </w:t>
      </w:r>
      <w:r w:rsidRPr="000C2667">
        <w:rPr>
          <w:rFonts w:ascii="Times New Roman" w:hAnsi="Times New Roman" w:cs="Times New Roman"/>
        </w:rPr>
        <w:t xml:space="preserve">Criteria for </w:t>
      </w:r>
      <w:r>
        <w:rPr>
          <w:rFonts w:ascii="Times New Roman" w:hAnsi="Times New Roman" w:cs="Times New Roman"/>
        </w:rPr>
        <w:t xml:space="preserve">lifetime </w:t>
      </w:r>
      <w:r w:rsidRPr="000C2667">
        <w:rPr>
          <w:rFonts w:ascii="Times New Roman" w:hAnsi="Times New Roman" w:cs="Times New Roman"/>
        </w:rPr>
        <w:t xml:space="preserve">depression </w:t>
      </w:r>
      <w:r>
        <w:rPr>
          <w:rFonts w:ascii="Times New Roman" w:hAnsi="Times New Roman" w:cs="Times New Roman"/>
        </w:rPr>
        <w:t>phenotypes</w:t>
      </w:r>
      <w:r w:rsidRPr="000C2667">
        <w:rPr>
          <w:rFonts w:ascii="Times New Roman" w:hAnsi="Times New Roman" w:cs="Times New Roman"/>
        </w:rPr>
        <w:t>.</w:t>
      </w:r>
    </w:p>
    <w:p w14:paraId="344E07C0" w14:textId="77777777" w:rsidR="00D42588" w:rsidRPr="000C2667" w:rsidRDefault="00D42588" w:rsidP="000C2667">
      <w:pPr>
        <w:rPr>
          <w:rFonts w:ascii="Times New Roman" w:hAnsi="Times New Roman" w:cs="Times New Roman"/>
        </w:rPr>
      </w:pPr>
    </w:p>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830"/>
      </w:tblGrid>
      <w:tr w:rsidR="00D42588" w:rsidRPr="000C2667" w14:paraId="32FB612E" w14:textId="77777777" w:rsidTr="00EC2F0A">
        <w:tc>
          <w:tcPr>
            <w:tcW w:w="2520" w:type="dxa"/>
            <w:tcBorders>
              <w:top w:val="single" w:sz="12" w:space="0" w:color="auto"/>
              <w:bottom w:val="single" w:sz="8" w:space="0" w:color="auto"/>
            </w:tcBorders>
          </w:tcPr>
          <w:p w14:paraId="308C2499" w14:textId="77777777" w:rsidR="00D42588" w:rsidRPr="000C2667" w:rsidRDefault="00D42588" w:rsidP="005E7011">
            <w:pPr>
              <w:rPr>
                <w:rFonts w:ascii="Times New Roman" w:hAnsi="Times New Roman" w:cs="Times New Roman"/>
              </w:rPr>
            </w:pPr>
            <w:r>
              <w:rPr>
                <w:rFonts w:ascii="Times New Roman" w:hAnsi="Times New Roman" w:cs="Times New Roman"/>
              </w:rPr>
              <w:t>Group</w:t>
            </w:r>
          </w:p>
        </w:tc>
        <w:tc>
          <w:tcPr>
            <w:tcW w:w="6830" w:type="dxa"/>
            <w:tcBorders>
              <w:top w:val="single" w:sz="12" w:space="0" w:color="auto"/>
              <w:bottom w:val="single" w:sz="8" w:space="0" w:color="auto"/>
            </w:tcBorders>
          </w:tcPr>
          <w:p w14:paraId="0B64BEE0" w14:textId="77777777" w:rsidR="00D42588" w:rsidRPr="000C2667" w:rsidRDefault="00D42588" w:rsidP="005E7011">
            <w:pPr>
              <w:rPr>
                <w:rFonts w:ascii="Times New Roman" w:hAnsi="Times New Roman" w:cs="Times New Roman"/>
              </w:rPr>
            </w:pPr>
            <w:r>
              <w:rPr>
                <w:rFonts w:ascii="Times New Roman" w:hAnsi="Times New Roman" w:cs="Times New Roman"/>
              </w:rPr>
              <w:t>Criteria</w:t>
            </w:r>
          </w:p>
        </w:tc>
      </w:tr>
      <w:tr w:rsidR="00D42588" w:rsidRPr="000C2667" w14:paraId="68135E5B" w14:textId="77777777" w:rsidTr="00EC2F0A">
        <w:tc>
          <w:tcPr>
            <w:tcW w:w="2520" w:type="dxa"/>
            <w:tcBorders>
              <w:top w:val="single" w:sz="8" w:space="0" w:color="auto"/>
            </w:tcBorders>
          </w:tcPr>
          <w:p w14:paraId="70CBF853" w14:textId="77777777" w:rsidR="00D42588" w:rsidRPr="000C2667" w:rsidRDefault="00D42588" w:rsidP="005E7011">
            <w:pPr>
              <w:rPr>
                <w:rFonts w:ascii="Times New Roman" w:hAnsi="Times New Roman" w:cs="Times New Roman"/>
              </w:rPr>
            </w:pPr>
            <w:r w:rsidRPr="000C2667">
              <w:rPr>
                <w:rFonts w:ascii="Times New Roman" w:hAnsi="Times New Roman" w:cs="Times New Roman"/>
              </w:rPr>
              <w:t xml:space="preserve">Subclinical </w:t>
            </w:r>
          </w:p>
        </w:tc>
        <w:tc>
          <w:tcPr>
            <w:tcW w:w="6830" w:type="dxa"/>
            <w:tcBorders>
              <w:top w:val="single" w:sz="8" w:space="0" w:color="auto"/>
            </w:tcBorders>
          </w:tcPr>
          <w:p w14:paraId="5C028774" w14:textId="02CA3566" w:rsidR="00D42588" w:rsidRPr="00D42588" w:rsidRDefault="00D42588" w:rsidP="005E7011">
            <w:pPr>
              <w:rPr>
                <w:rFonts w:ascii="Times New Roman" w:hAnsi="Times New Roman" w:cs="Times New Roman"/>
              </w:rPr>
            </w:pPr>
            <w:r w:rsidRPr="00D42588">
              <w:rPr>
                <w:rFonts w:ascii="Times New Roman" w:hAnsi="Times New Roman" w:cs="Times New Roman"/>
              </w:rPr>
              <w:t xml:space="preserve">Met criteria in </w:t>
            </w:r>
            <w:sdt>
              <w:sdtPr>
                <w:rPr>
                  <w:rFonts w:ascii="Times New Roman" w:hAnsi="Times New Roman" w:cs="Times New Roman"/>
                  <w:color w:val="000000"/>
                </w:rPr>
                <w:tag w:val="MENDELEY_CITATION_v3_eyJjaXRhdGlvbklEIjoiTUVOREVMRVlfQ0lUQVRJT05fZTVkODcyNjctYWI0NS00MjkxLWFiNGYtM2MzNDU5ODlhYjlk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
                <w:id w:val="-1075353961"/>
                <w:placeholder>
                  <w:docPart w:val="DefaultPlaceholder_-1854013440"/>
                </w:placeholder>
              </w:sdtPr>
              <w:sdtContent>
                <w:r w:rsidRPr="00D42588">
                  <w:rPr>
                    <w:rFonts w:ascii="Times New Roman" w:hAnsi="Times New Roman" w:cs="Times New Roman"/>
                    <w:color w:val="000000"/>
                  </w:rPr>
                  <w:t>(Smith et al., 2013)</w:t>
                </w:r>
              </w:sdtContent>
            </w:sdt>
            <w:r w:rsidRPr="00D42588">
              <w:rPr>
                <w:rFonts w:ascii="Times New Roman" w:hAnsi="Times New Roman" w:cs="Times New Roman"/>
              </w:rPr>
              <w:t xml:space="preserve"> for probable single episode or recurrent depression </w:t>
            </w:r>
            <w:r w:rsidRPr="00D42588">
              <w:rPr>
                <w:rFonts w:ascii="Times New Roman" w:hAnsi="Times New Roman" w:cs="Times New Roman"/>
                <w:i/>
                <w:iCs/>
              </w:rPr>
              <w:t>except for</w:t>
            </w:r>
            <w:r w:rsidRPr="00D42588">
              <w:rPr>
                <w:rFonts w:ascii="Times New Roman" w:hAnsi="Times New Roman" w:cs="Times New Roman"/>
              </w:rPr>
              <w:t xml:space="preserve"> treatment seeking; OR treatment seeking but did not meet criteria in </w:t>
            </w:r>
            <w:sdt>
              <w:sdtPr>
                <w:rPr>
                  <w:rFonts w:ascii="Times New Roman" w:hAnsi="Times New Roman" w:cs="Times New Roman"/>
                  <w:color w:val="000000"/>
                </w:rPr>
                <w:tag w:val="MENDELEY_CITATION_v3_eyJjaXRhdGlvbklEIjoiTUVOREVMRVlfQ0lUQVRJT05fYmQ1YTM1YjQtYzdhNS00ODg4LWFjNzAtYjEyYzcwZjk0MzFi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
                <w:id w:val="-168258465"/>
                <w:placeholder>
                  <w:docPart w:val="DefaultPlaceholder_-1854013440"/>
                </w:placeholder>
              </w:sdtPr>
              <w:sdtContent>
                <w:r w:rsidRPr="00D42588">
                  <w:rPr>
                    <w:rFonts w:ascii="Times New Roman" w:hAnsi="Times New Roman" w:cs="Times New Roman"/>
                    <w:color w:val="000000"/>
                  </w:rPr>
                  <w:t>(Smith et al., 2013)</w:t>
                </w:r>
              </w:sdtContent>
            </w:sdt>
            <w:r w:rsidRPr="00D42588">
              <w:rPr>
                <w:rFonts w:ascii="Times New Roman" w:hAnsi="Times New Roman" w:cs="Times New Roman"/>
              </w:rPr>
              <w:t xml:space="preserve"> for probable single episode or recurrent depression.</w:t>
            </w:r>
          </w:p>
        </w:tc>
      </w:tr>
      <w:tr w:rsidR="00D42588" w:rsidRPr="000C2667" w14:paraId="37E475C4" w14:textId="77777777" w:rsidTr="00EC2F0A">
        <w:tc>
          <w:tcPr>
            <w:tcW w:w="2520" w:type="dxa"/>
          </w:tcPr>
          <w:p w14:paraId="4A17B481" w14:textId="77777777" w:rsidR="00D42588" w:rsidRPr="000C2667" w:rsidRDefault="00D42588" w:rsidP="005E7011">
            <w:pPr>
              <w:rPr>
                <w:rFonts w:ascii="Times New Roman" w:hAnsi="Times New Roman" w:cs="Times New Roman"/>
              </w:rPr>
            </w:pPr>
            <w:r w:rsidRPr="000C2667">
              <w:rPr>
                <w:rFonts w:ascii="Times New Roman" w:hAnsi="Times New Roman" w:cs="Times New Roman"/>
              </w:rPr>
              <w:t>Probable single episode</w:t>
            </w:r>
            <w:r>
              <w:rPr>
                <w:rFonts w:ascii="Times New Roman" w:hAnsi="Times New Roman" w:cs="Times New Roman"/>
              </w:rPr>
              <w:t xml:space="preserve"> depression</w:t>
            </w:r>
          </w:p>
        </w:tc>
        <w:tc>
          <w:tcPr>
            <w:tcW w:w="6830" w:type="dxa"/>
          </w:tcPr>
          <w:p w14:paraId="0A74A4D7" w14:textId="23258BC4" w:rsidR="00D42588" w:rsidRPr="00D42588" w:rsidRDefault="00D42588" w:rsidP="005E7011">
            <w:pPr>
              <w:rPr>
                <w:rFonts w:ascii="Times New Roman" w:hAnsi="Times New Roman" w:cs="Times New Roman"/>
              </w:rPr>
            </w:pPr>
            <w:r w:rsidRPr="00D42588">
              <w:rPr>
                <w:rFonts w:ascii="Times New Roman" w:hAnsi="Times New Roman" w:cs="Times New Roman"/>
              </w:rPr>
              <w:t xml:space="preserve">Met criteria in </w:t>
            </w:r>
            <w:sdt>
              <w:sdtPr>
                <w:rPr>
                  <w:rFonts w:ascii="Times New Roman" w:hAnsi="Times New Roman" w:cs="Times New Roman"/>
                  <w:color w:val="000000"/>
                </w:rPr>
                <w:tag w:val="MENDELEY_CITATION_v3_eyJjaXRhdGlvbklEIjoiTUVOREVMRVlfQ0lUQVRJT05fYzc5NjY5NjYtNzRlOS00YmY1LTgwOTAtZTNmNzExYWJjNjMy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
                <w:id w:val="1989284560"/>
                <w:placeholder>
                  <w:docPart w:val="DefaultPlaceholder_-1854013440"/>
                </w:placeholder>
              </w:sdtPr>
              <w:sdtContent>
                <w:r w:rsidRPr="00D42588">
                  <w:rPr>
                    <w:rFonts w:ascii="Times New Roman" w:hAnsi="Times New Roman" w:cs="Times New Roman"/>
                    <w:color w:val="000000"/>
                  </w:rPr>
                  <w:t>(Smith et al., 2013)</w:t>
                </w:r>
              </w:sdtContent>
            </w:sdt>
            <w:r w:rsidRPr="00D42588">
              <w:rPr>
                <w:rFonts w:ascii="Times New Roman" w:hAnsi="Times New Roman" w:cs="Times New Roman"/>
              </w:rPr>
              <w:t xml:space="preserve"> for probable single episode depression AND no hospital records of recurrent (F33) or persistent mood disorders (F34); OR did not meet criteria in </w:t>
            </w:r>
            <w:sdt>
              <w:sdtPr>
                <w:rPr>
                  <w:rFonts w:ascii="Times New Roman" w:hAnsi="Times New Roman" w:cs="Times New Roman"/>
                  <w:color w:val="000000"/>
                </w:rPr>
                <w:tag w:val="MENDELEY_CITATION_v3_eyJjaXRhdGlvbklEIjoiTUVOREVMRVlfQ0lUQVRJT05fNjViZmIyYWYtYjdkNS00NWM5LThjNzYtODM5ZTMzNTViMjdi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
                <w:id w:val="1648468590"/>
                <w:placeholder>
                  <w:docPart w:val="DefaultPlaceholder_-1854013440"/>
                </w:placeholder>
              </w:sdtPr>
              <w:sdtContent>
                <w:r w:rsidRPr="00D42588">
                  <w:rPr>
                    <w:rFonts w:ascii="Times New Roman" w:hAnsi="Times New Roman" w:cs="Times New Roman"/>
                    <w:color w:val="000000"/>
                  </w:rPr>
                  <w:t>(Smith et al., 2013)</w:t>
                </w:r>
              </w:sdtContent>
            </w:sdt>
            <w:r w:rsidRPr="00D42588">
              <w:rPr>
                <w:rFonts w:ascii="Times New Roman" w:hAnsi="Times New Roman" w:cs="Times New Roman"/>
              </w:rPr>
              <w:t xml:space="preserve"> for probable single episode but had hospital records of depressive episode (F32).</w:t>
            </w:r>
          </w:p>
        </w:tc>
      </w:tr>
      <w:tr w:rsidR="00D42588" w:rsidRPr="000C2667" w14:paraId="651216F2" w14:textId="77777777" w:rsidTr="00EC2F0A">
        <w:tc>
          <w:tcPr>
            <w:tcW w:w="2520" w:type="dxa"/>
            <w:tcBorders>
              <w:bottom w:val="nil"/>
            </w:tcBorders>
          </w:tcPr>
          <w:p w14:paraId="5286B9BE" w14:textId="77777777" w:rsidR="00D42588" w:rsidRPr="000C2667" w:rsidRDefault="00D42588" w:rsidP="005E7011">
            <w:pPr>
              <w:rPr>
                <w:rFonts w:ascii="Times New Roman" w:hAnsi="Times New Roman" w:cs="Times New Roman"/>
              </w:rPr>
            </w:pPr>
            <w:r w:rsidRPr="000C2667">
              <w:rPr>
                <w:rFonts w:ascii="Times New Roman" w:hAnsi="Times New Roman" w:cs="Times New Roman"/>
              </w:rPr>
              <w:t xml:space="preserve">Probable recurrent </w:t>
            </w:r>
            <w:r>
              <w:rPr>
                <w:rFonts w:ascii="Times New Roman" w:hAnsi="Times New Roman" w:cs="Times New Roman"/>
              </w:rPr>
              <w:t>depression</w:t>
            </w:r>
          </w:p>
        </w:tc>
        <w:tc>
          <w:tcPr>
            <w:tcW w:w="6830" w:type="dxa"/>
            <w:tcBorders>
              <w:bottom w:val="nil"/>
            </w:tcBorders>
          </w:tcPr>
          <w:p w14:paraId="15908A30" w14:textId="6810F60B" w:rsidR="00D42588" w:rsidRPr="00D42588" w:rsidRDefault="00D42588" w:rsidP="005E7011">
            <w:pPr>
              <w:rPr>
                <w:rFonts w:ascii="Times New Roman" w:hAnsi="Times New Roman" w:cs="Times New Roman"/>
              </w:rPr>
            </w:pPr>
            <w:r w:rsidRPr="00D42588">
              <w:rPr>
                <w:rFonts w:ascii="Times New Roman" w:hAnsi="Times New Roman" w:cs="Times New Roman"/>
              </w:rPr>
              <w:t xml:space="preserve">Met criteria in </w:t>
            </w:r>
            <w:sdt>
              <w:sdtPr>
                <w:rPr>
                  <w:rFonts w:ascii="Times New Roman" w:hAnsi="Times New Roman" w:cs="Times New Roman"/>
                  <w:color w:val="000000"/>
                </w:rPr>
                <w:tag w:val="MENDELEY_CITATION_v3_eyJjaXRhdGlvbklEIjoiTUVOREVMRVlfQ0lUQVRJT05fMzEwYzMzMzctMTIyMS00YmE3LTllMGMtMWI2ZjFjNzc1NGQy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
                <w:id w:val="227426108"/>
                <w:placeholder>
                  <w:docPart w:val="DefaultPlaceholder_-1854013440"/>
                </w:placeholder>
              </w:sdtPr>
              <w:sdtContent>
                <w:r w:rsidRPr="00D42588">
                  <w:rPr>
                    <w:rFonts w:ascii="Times New Roman" w:hAnsi="Times New Roman" w:cs="Times New Roman"/>
                    <w:color w:val="000000"/>
                  </w:rPr>
                  <w:t>(Smith et al., 2013)</w:t>
                </w:r>
              </w:sdtContent>
            </w:sdt>
            <w:r w:rsidRPr="00D42588">
              <w:rPr>
                <w:rFonts w:ascii="Times New Roman" w:hAnsi="Times New Roman" w:cs="Times New Roman"/>
              </w:rPr>
              <w:t xml:space="preserve"> for probable recurrent depression; OR had hospital records of recurrent (F33) or persistent mood disorders (F34).</w:t>
            </w:r>
          </w:p>
        </w:tc>
      </w:tr>
      <w:tr w:rsidR="00D42588" w:rsidRPr="000C2667" w14:paraId="51973990" w14:textId="77777777" w:rsidTr="00EC2F0A">
        <w:tc>
          <w:tcPr>
            <w:tcW w:w="2520" w:type="dxa"/>
            <w:tcBorders>
              <w:top w:val="nil"/>
              <w:bottom w:val="single" w:sz="8" w:space="0" w:color="auto"/>
            </w:tcBorders>
          </w:tcPr>
          <w:p w14:paraId="02073502" w14:textId="77777777" w:rsidR="00D42588" w:rsidRPr="000C2667" w:rsidRDefault="00D42588" w:rsidP="005E7011">
            <w:pPr>
              <w:rPr>
                <w:rFonts w:ascii="Times New Roman" w:hAnsi="Times New Roman" w:cs="Times New Roman"/>
              </w:rPr>
            </w:pPr>
            <w:r>
              <w:rPr>
                <w:rFonts w:ascii="Times New Roman" w:hAnsi="Times New Roman" w:cs="Times New Roman"/>
              </w:rPr>
              <w:t>No history of mood disorder</w:t>
            </w:r>
          </w:p>
        </w:tc>
        <w:tc>
          <w:tcPr>
            <w:tcW w:w="6830" w:type="dxa"/>
            <w:tcBorders>
              <w:top w:val="nil"/>
              <w:bottom w:val="single" w:sz="8" w:space="0" w:color="auto"/>
            </w:tcBorders>
          </w:tcPr>
          <w:p w14:paraId="69894133" w14:textId="76E1FC53" w:rsidR="00D42588" w:rsidRPr="00D42588" w:rsidRDefault="00D42588" w:rsidP="005E7011">
            <w:pPr>
              <w:rPr>
                <w:rFonts w:ascii="Times New Roman" w:hAnsi="Times New Roman" w:cs="Times New Roman"/>
              </w:rPr>
            </w:pPr>
            <w:r w:rsidRPr="00D42588">
              <w:rPr>
                <w:rFonts w:ascii="Times New Roman" w:hAnsi="Times New Roman" w:cs="Times New Roman"/>
              </w:rPr>
              <w:t xml:space="preserve">Not treatment seeking; AND did not meet criteria in </w:t>
            </w:r>
            <w:sdt>
              <w:sdtPr>
                <w:rPr>
                  <w:rFonts w:ascii="Times New Roman" w:hAnsi="Times New Roman" w:cs="Times New Roman"/>
                  <w:color w:val="000000"/>
                </w:rPr>
                <w:tag w:val="MENDELEY_CITATION_v3_eyJjaXRhdGlvbklEIjoiTUVOREVMRVlfQ0lUQVRJT05fZTM3MjVhZWMtZTM4NS00MzkwLWI4NWUtMzM0MDlmNmVjZTQy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
                <w:id w:val="-1845630105"/>
                <w:placeholder>
                  <w:docPart w:val="DefaultPlaceholder_-1854013440"/>
                </w:placeholder>
              </w:sdtPr>
              <w:sdtContent>
                <w:r w:rsidRPr="00D42588">
                  <w:rPr>
                    <w:rFonts w:ascii="Times New Roman" w:hAnsi="Times New Roman" w:cs="Times New Roman"/>
                    <w:color w:val="000000"/>
                  </w:rPr>
                  <w:t>(Smith et al., 2013)</w:t>
                </w:r>
              </w:sdtContent>
            </w:sdt>
            <w:r w:rsidRPr="00D42588">
              <w:rPr>
                <w:rFonts w:ascii="Times New Roman" w:hAnsi="Times New Roman" w:cs="Times New Roman"/>
              </w:rPr>
              <w:t xml:space="preserve"> for probable single episode or recurrent depression; AND no hospital records of depression (F32, F33, F34); AND no self-reported depression (“1286” in UK Biobank Field 20002)</w:t>
            </w:r>
          </w:p>
        </w:tc>
      </w:tr>
    </w:tbl>
    <w:p w14:paraId="318839B5" w14:textId="77777777" w:rsidR="00D42588" w:rsidRPr="006E23B6" w:rsidRDefault="00D42588" w:rsidP="003E01EF">
      <w:pPr>
        <w:rPr>
          <w:rFonts w:ascii="Times New Roman" w:hAnsi="Times New Roman" w:cs="Times New Roman"/>
        </w:rPr>
      </w:pPr>
      <w:r>
        <w:rPr>
          <w:rFonts w:ascii="Times New Roman" w:hAnsi="Times New Roman" w:cs="Times New Roman"/>
        </w:rPr>
        <w:br w:type="column"/>
      </w:r>
      <w:r>
        <w:rPr>
          <w:rFonts w:ascii="Times New Roman" w:hAnsi="Times New Roman" w:cs="Times New Roman"/>
        </w:rPr>
        <w:lastRenderedPageBreak/>
        <w:t xml:space="preserve">Table S2. </w:t>
      </w:r>
      <w:r w:rsidRPr="006E23B6">
        <w:rPr>
          <w:rFonts w:ascii="Times New Roman" w:hAnsi="Times New Roman" w:cs="Times New Roman"/>
        </w:rPr>
        <w:t xml:space="preserve">Excluded ICD10 diagnoses </w:t>
      </w:r>
      <w:r>
        <w:rPr>
          <w:rFonts w:ascii="Times New Roman" w:hAnsi="Times New Roman" w:cs="Times New Roman"/>
        </w:rPr>
        <w:t xml:space="preserve">from lifetime depression phenotypes </w:t>
      </w:r>
      <w:r w:rsidRPr="006E23B6">
        <w:rPr>
          <w:rFonts w:ascii="Times New Roman" w:hAnsi="Times New Roman" w:cs="Times New Roman"/>
        </w:rPr>
        <w:t>per hospital records (UK Biobank Field 41270).</w:t>
      </w:r>
    </w:p>
    <w:p w14:paraId="521A99E9" w14:textId="77777777" w:rsidR="00D42588" w:rsidRPr="006E23B6" w:rsidRDefault="00D42588" w:rsidP="003E01EF">
      <w:pPr>
        <w:rPr>
          <w:rFonts w:ascii="Times New Roman" w:hAnsi="Times New Roman" w:cs="Times New Roman"/>
        </w:rPr>
      </w:pPr>
    </w:p>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5760"/>
      </w:tblGrid>
      <w:tr w:rsidR="00D42588" w:rsidRPr="006E23B6" w14:paraId="421AEC9B" w14:textId="77777777" w:rsidTr="006E23B6">
        <w:tc>
          <w:tcPr>
            <w:tcW w:w="2155" w:type="dxa"/>
            <w:tcBorders>
              <w:top w:val="single" w:sz="12" w:space="0" w:color="auto"/>
              <w:bottom w:val="single" w:sz="8" w:space="0" w:color="auto"/>
            </w:tcBorders>
          </w:tcPr>
          <w:p w14:paraId="618F7295"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ICD10 code/code blocks</w:t>
            </w:r>
          </w:p>
        </w:tc>
        <w:tc>
          <w:tcPr>
            <w:tcW w:w="5760" w:type="dxa"/>
            <w:tcBorders>
              <w:top w:val="single" w:sz="12" w:space="0" w:color="auto"/>
              <w:bottom w:val="single" w:sz="8" w:space="0" w:color="auto"/>
            </w:tcBorders>
          </w:tcPr>
          <w:p w14:paraId="572BB065"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Diagnosis</w:t>
            </w:r>
          </w:p>
        </w:tc>
      </w:tr>
      <w:tr w:rsidR="00D42588" w:rsidRPr="006E23B6" w14:paraId="00E26A77" w14:textId="77777777" w:rsidTr="006E23B6">
        <w:tc>
          <w:tcPr>
            <w:tcW w:w="2155" w:type="dxa"/>
            <w:tcBorders>
              <w:top w:val="single" w:sz="8" w:space="0" w:color="auto"/>
            </w:tcBorders>
          </w:tcPr>
          <w:p w14:paraId="1DF3CEF3"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C71</w:t>
            </w:r>
          </w:p>
        </w:tc>
        <w:tc>
          <w:tcPr>
            <w:tcW w:w="5760" w:type="dxa"/>
            <w:tcBorders>
              <w:top w:val="single" w:sz="8" w:space="0" w:color="auto"/>
            </w:tcBorders>
          </w:tcPr>
          <w:p w14:paraId="2D57158C"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Malignant neoplasm of brain</w:t>
            </w:r>
          </w:p>
        </w:tc>
      </w:tr>
      <w:tr w:rsidR="00D42588" w:rsidRPr="006E23B6" w14:paraId="3E5F6D2F" w14:textId="77777777" w:rsidTr="006E23B6">
        <w:tc>
          <w:tcPr>
            <w:tcW w:w="2155" w:type="dxa"/>
          </w:tcPr>
          <w:p w14:paraId="091AF91A"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F00</w:t>
            </w:r>
          </w:p>
        </w:tc>
        <w:tc>
          <w:tcPr>
            <w:tcW w:w="5760" w:type="dxa"/>
          </w:tcPr>
          <w:p w14:paraId="6AD311D1"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Dementia in Alzheimer</w:t>
            </w:r>
            <w:r>
              <w:rPr>
                <w:rFonts w:ascii="Times New Roman" w:hAnsi="Times New Roman" w:cs="Times New Roman"/>
              </w:rPr>
              <w:t>’</w:t>
            </w:r>
            <w:r w:rsidRPr="006E23B6">
              <w:rPr>
                <w:rFonts w:ascii="Times New Roman" w:hAnsi="Times New Roman" w:cs="Times New Roman"/>
              </w:rPr>
              <w:t>s disease</w:t>
            </w:r>
          </w:p>
        </w:tc>
      </w:tr>
      <w:tr w:rsidR="00D42588" w:rsidRPr="006E23B6" w14:paraId="5ECDABA0" w14:textId="77777777" w:rsidTr="006E23B6">
        <w:tc>
          <w:tcPr>
            <w:tcW w:w="2155" w:type="dxa"/>
          </w:tcPr>
          <w:p w14:paraId="6DEC75AB"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F01</w:t>
            </w:r>
          </w:p>
        </w:tc>
        <w:tc>
          <w:tcPr>
            <w:tcW w:w="5760" w:type="dxa"/>
          </w:tcPr>
          <w:p w14:paraId="236B19E8"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Vascular dementia</w:t>
            </w:r>
          </w:p>
        </w:tc>
      </w:tr>
      <w:tr w:rsidR="00D42588" w:rsidRPr="006E23B6" w14:paraId="30DF9EEE" w14:textId="77777777" w:rsidTr="006E23B6">
        <w:tc>
          <w:tcPr>
            <w:tcW w:w="2155" w:type="dxa"/>
          </w:tcPr>
          <w:p w14:paraId="133E0ADF"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F02</w:t>
            </w:r>
          </w:p>
        </w:tc>
        <w:tc>
          <w:tcPr>
            <w:tcW w:w="5760" w:type="dxa"/>
          </w:tcPr>
          <w:p w14:paraId="4E33B626"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Dementia in other diseases classified elsewhere</w:t>
            </w:r>
          </w:p>
        </w:tc>
      </w:tr>
      <w:tr w:rsidR="00D42588" w:rsidRPr="006E23B6" w14:paraId="3E72A6D4" w14:textId="77777777" w:rsidTr="006E23B6">
        <w:tc>
          <w:tcPr>
            <w:tcW w:w="2155" w:type="dxa"/>
          </w:tcPr>
          <w:p w14:paraId="0DE0E31C"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F03</w:t>
            </w:r>
          </w:p>
        </w:tc>
        <w:tc>
          <w:tcPr>
            <w:tcW w:w="5760" w:type="dxa"/>
          </w:tcPr>
          <w:p w14:paraId="07756A10"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Unspecified dementia</w:t>
            </w:r>
          </w:p>
        </w:tc>
      </w:tr>
      <w:tr w:rsidR="00D42588" w:rsidRPr="006E23B6" w14:paraId="09A25346" w14:textId="77777777" w:rsidTr="006E23B6">
        <w:tc>
          <w:tcPr>
            <w:tcW w:w="2155" w:type="dxa"/>
          </w:tcPr>
          <w:p w14:paraId="4F76E3A3"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F20-F29</w:t>
            </w:r>
          </w:p>
        </w:tc>
        <w:tc>
          <w:tcPr>
            <w:tcW w:w="5760" w:type="dxa"/>
          </w:tcPr>
          <w:p w14:paraId="1F07CF24"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Schizophrenia, schizotypal and delusional disorders</w:t>
            </w:r>
          </w:p>
        </w:tc>
      </w:tr>
      <w:tr w:rsidR="00D42588" w:rsidRPr="006E23B6" w14:paraId="131DEA43" w14:textId="77777777" w:rsidTr="006E23B6">
        <w:tc>
          <w:tcPr>
            <w:tcW w:w="2155" w:type="dxa"/>
          </w:tcPr>
          <w:p w14:paraId="33616AF0"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F31</w:t>
            </w:r>
          </w:p>
        </w:tc>
        <w:tc>
          <w:tcPr>
            <w:tcW w:w="5760" w:type="dxa"/>
          </w:tcPr>
          <w:p w14:paraId="3B50501B"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Bipolar affective disorder</w:t>
            </w:r>
          </w:p>
        </w:tc>
      </w:tr>
      <w:tr w:rsidR="00D42588" w:rsidRPr="006E23B6" w14:paraId="682F1918" w14:textId="77777777" w:rsidTr="006E23B6">
        <w:tc>
          <w:tcPr>
            <w:tcW w:w="2155" w:type="dxa"/>
          </w:tcPr>
          <w:p w14:paraId="7DB0C6A1"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G00-G09</w:t>
            </w:r>
          </w:p>
        </w:tc>
        <w:tc>
          <w:tcPr>
            <w:tcW w:w="5760" w:type="dxa"/>
          </w:tcPr>
          <w:p w14:paraId="01C11AD5"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Inflammatory diseases of the central nervous system</w:t>
            </w:r>
          </w:p>
        </w:tc>
      </w:tr>
      <w:tr w:rsidR="00D42588" w:rsidRPr="006E23B6" w14:paraId="3B01967B" w14:textId="77777777" w:rsidTr="006E23B6">
        <w:tc>
          <w:tcPr>
            <w:tcW w:w="2155" w:type="dxa"/>
          </w:tcPr>
          <w:p w14:paraId="71E2A501"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G10</w:t>
            </w:r>
          </w:p>
        </w:tc>
        <w:tc>
          <w:tcPr>
            <w:tcW w:w="5760" w:type="dxa"/>
          </w:tcPr>
          <w:p w14:paraId="1EE10ECD"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Huntington</w:t>
            </w:r>
            <w:r>
              <w:rPr>
                <w:rFonts w:ascii="Times New Roman" w:hAnsi="Times New Roman" w:cs="Times New Roman"/>
              </w:rPr>
              <w:t>’</w:t>
            </w:r>
            <w:r w:rsidRPr="006E23B6">
              <w:rPr>
                <w:rFonts w:ascii="Times New Roman" w:hAnsi="Times New Roman" w:cs="Times New Roman"/>
              </w:rPr>
              <w:t>s disease</w:t>
            </w:r>
          </w:p>
        </w:tc>
      </w:tr>
      <w:tr w:rsidR="00D42588" w:rsidRPr="006E23B6" w14:paraId="31B174E8" w14:textId="77777777" w:rsidTr="006E23B6">
        <w:tc>
          <w:tcPr>
            <w:tcW w:w="2155" w:type="dxa"/>
          </w:tcPr>
          <w:p w14:paraId="46F6B584"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G13</w:t>
            </w:r>
          </w:p>
        </w:tc>
        <w:tc>
          <w:tcPr>
            <w:tcW w:w="5760" w:type="dxa"/>
          </w:tcPr>
          <w:p w14:paraId="019E51B6"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Systemic atrophies primarily affecting central nervous system in diseases classified elsewhere</w:t>
            </w:r>
          </w:p>
        </w:tc>
      </w:tr>
      <w:tr w:rsidR="00D42588" w:rsidRPr="006E23B6" w14:paraId="0DBC0F7D" w14:textId="77777777" w:rsidTr="006E23B6">
        <w:tc>
          <w:tcPr>
            <w:tcW w:w="2155" w:type="dxa"/>
          </w:tcPr>
          <w:p w14:paraId="7FDEAE30"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G30-G32</w:t>
            </w:r>
          </w:p>
        </w:tc>
        <w:tc>
          <w:tcPr>
            <w:tcW w:w="5760" w:type="dxa"/>
          </w:tcPr>
          <w:p w14:paraId="1CCD5ED7"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Other degenerative diseases of the nervous system</w:t>
            </w:r>
          </w:p>
        </w:tc>
      </w:tr>
      <w:tr w:rsidR="00D42588" w:rsidRPr="006E23B6" w14:paraId="260C35D6" w14:textId="77777777" w:rsidTr="006E23B6">
        <w:tc>
          <w:tcPr>
            <w:tcW w:w="2155" w:type="dxa"/>
          </w:tcPr>
          <w:p w14:paraId="02AAD66D"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G35-G37</w:t>
            </w:r>
          </w:p>
        </w:tc>
        <w:tc>
          <w:tcPr>
            <w:tcW w:w="5760" w:type="dxa"/>
          </w:tcPr>
          <w:p w14:paraId="6EF0C6EC"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Demyelinating diseases of the central nervous system</w:t>
            </w:r>
          </w:p>
        </w:tc>
      </w:tr>
      <w:tr w:rsidR="00D42588" w:rsidRPr="006E23B6" w14:paraId="09C85E05" w14:textId="77777777" w:rsidTr="006E23B6">
        <w:tc>
          <w:tcPr>
            <w:tcW w:w="2155" w:type="dxa"/>
          </w:tcPr>
          <w:p w14:paraId="3D7A24F0"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G40</w:t>
            </w:r>
          </w:p>
        </w:tc>
        <w:tc>
          <w:tcPr>
            <w:tcW w:w="5760" w:type="dxa"/>
          </w:tcPr>
          <w:p w14:paraId="11E7EEFF"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Epilepsy</w:t>
            </w:r>
          </w:p>
        </w:tc>
      </w:tr>
      <w:tr w:rsidR="00D42588" w:rsidRPr="006E23B6" w14:paraId="49BBFE7D" w14:textId="77777777" w:rsidTr="006E23B6">
        <w:tc>
          <w:tcPr>
            <w:tcW w:w="2155" w:type="dxa"/>
            <w:tcBorders>
              <w:bottom w:val="nil"/>
            </w:tcBorders>
          </w:tcPr>
          <w:p w14:paraId="66CB8DD3"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G41</w:t>
            </w:r>
          </w:p>
        </w:tc>
        <w:tc>
          <w:tcPr>
            <w:tcW w:w="5760" w:type="dxa"/>
            <w:tcBorders>
              <w:bottom w:val="nil"/>
            </w:tcBorders>
          </w:tcPr>
          <w:p w14:paraId="2A0CD7B5"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Status epilepticus</w:t>
            </w:r>
          </w:p>
        </w:tc>
      </w:tr>
      <w:tr w:rsidR="00D42588" w:rsidRPr="006E23B6" w14:paraId="0347F6C2" w14:textId="77777777" w:rsidTr="006E23B6">
        <w:tc>
          <w:tcPr>
            <w:tcW w:w="2155" w:type="dxa"/>
            <w:tcBorders>
              <w:top w:val="nil"/>
              <w:bottom w:val="single" w:sz="8" w:space="0" w:color="auto"/>
            </w:tcBorders>
          </w:tcPr>
          <w:p w14:paraId="4C1EE30B"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G80</w:t>
            </w:r>
          </w:p>
        </w:tc>
        <w:tc>
          <w:tcPr>
            <w:tcW w:w="5760" w:type="dxa"/>
            <w:tcBorders>
              <w:top w:val="nil"/>
              <w:bottom w:val="single" w:sz="8" w:space="0" w:color="auto"/>
            </w:tcBorders>
          </w:tcPr>
          <w:p w14:paraId="57F8EA79"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Infantile cerebral palsy</w:t>
            </w:r>
          </w:p>
        </w:tc>
      </w:tr>
    </w:tbl>
    <w:p w14:paraId="7AD218EF" w14:textId="77777777" w:rsidR="00D42588" w:rsidRDefault="00D42588" w:rsidP="006E23B6">
      <w:pPr>
        <w:rPr>
          <w:rFonts w:ascii="Times New Roman" w:hAnsi="Times New Roman" w:cs="Times New Roman"/>
        </w:rPr>
      </w:pPr>
      <w:r>
        <w:rPr>
          <w:rFonts w:ascii="Times New Roman" w:hAnsi="Times New Roman" w:cs="Times New Roman"/>
        </w:rPr>
        <w:br w:type="column"/>
      </w:r>
      <w:r>
        <w:rPr>
          <w:rFonts w:ascii="Times New Roman" w:hAnsi="Times New Roman" w:cs="Times New Roman"/>
        </w:rPr>
        <w:lastRenderedPageBreak/>
        <w:t xml:space="preserve">Table S3.  </w:t>
      </w:r>
      <w:r w:rsidRPr="006E23B6">
        <w:rPr>
          <w:rFonts w:ascii="Times New Roman" w:hAnsi="Times New Roman" w:cs="Times New Roman"/>
        </w:rPr>
        <w:t xml:space="preserve">Excluded self-report diagnoses </w:t>
      </w:r>
      <w:r>
        <w:rPr>
          <w:rFonts w:ascii="Times New Roman" w:hAnsi="Times New Roman" w:cs="Times New Roman"/>
        </w:rPr>
        <w:t xml:space="preserve">from lifetime depression phenotypes </w:t>
      </w:r>
      <w:r w:rsidRPr="006E23B6">
        <w:rPr>
          <w:rFonts w:ascii="Times New Roman" w:hAnsi="Times New Roman" w:cs="Times New Roman"/>
        </w:rPr>
        <w:t>(UK Biobank Field 20002).</w:t>
      </w:r>
    </w:p>
    <w:p w14:paraId="69138C53" w14:textId="77777777" w:rsidR="00D42588" w:rsidRPr="006E23B6" w:rsidRDefault="00D42588" w:rsidP="006E23B6">
      <w:pPr>
        <w:rPr>
          <w:rFonts w:ascii="Times New Roman" w:hAnsi="Times New Roman" w:cs="Times New Roman"/>
        </w:rPr>
      </w:pPr>
    </w:p>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4410"/>
      </w:tblGrid>
      <w:tr w:rsidR="00D42588" w:rsidRPr="006E23B6" w14:paraId="3AF02618" w14:textId="77777777" w:rsidTr="006E23B6">
        <w:tc>
          <w:tcPr>
            <w:tcW w:w="1435" w:type="dxa"/>
            <w:tcBorders>
              <w:top w:val="single" w:sz="12" w:space="0" w:color="auto"/>
              <w:bottom w:val="single" w:sz="8" w:space="0" w:color="auto"/>
            </w:tcBorders>
          </w:tcPr>
          <w:p w14:paraId="2DFB3487"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Code</w:t>
            </w:r>
          </w:p>
        </w:tc>
        <w:tc>
          <w:tcPr>
            <w:tcW w:w="4410" w:type="dxa"/>
            <w:tcBorders>
              <w:top w:val="single" w:sz="12" w:space="0" w:color="auto"/>
              <w:bottom w:val="single" w:sz="8" w:space="0" w:color="auto"/>
            </w:tcBorders>
          </w:tcPr>
          <w:p w14:paraId="191AF9DC"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Diagnosis</w:t>
            </w:r>
          </w:p>
        </w:tc>
      </w:tr>
      <w:tr w:rsidR="00D42588" w:rsidRPr="006E23B6" w14:paraId="0CE75D02" w14:textId="77777777" w:rsidTr="006E23B6">
        <w:tc>
          <w:tcPr>
            <w:tcW w:w="1435" w:type="dxa"/>
            <w:tcBorders>
              <w:top w:val="single" w:sz="8" w:space="0" w:color="auto"/>
            </w:tcBorders>
          </w:tcPr>
          <w:p w14:paraId="29F230E6"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1244</w:t>
            </w:r>
          </w:p>
        </w:tc>
        <w:tc>
          <w:tcPr>
            <w:tcW w:w="4410" w:type="dxa"/>
            <w:tcBorders>
              <w:top w:val="single" w:sz="8" w:space="0" w:color="auto"/>
            </w:tcBorders>
          </w:tcPr>
          <w:p w14:paraId="4B4ABAA6"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infection of nervous system</w:t>
            </w:r>
          </w:p>
        </w:tc>
      </w:tr>
      <w:tr w:rsidR="00D42588" w:rsidRPr="006E23B6" w14:paraId="2EC01DF2" w14:textId="77777777" w:rsidTr="006E23B6">
        <w:tc>
          <w:tcPr>
            <w:tcW w:w="1435" w:type="dxa"/>
          </w:tcPr>
          <w:p w14:paraId="22E7BC04"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1245</w:t>
            </w:r>
          </w:p>
        </w:tc>
        <w:tc>
          <w:tcPr>
            <w:tcW w:w="4410" w:type="dxa"/>
          </w:tcPr>
          <w:p w14:paraId="2F24B853"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brain abscess/intracranial abscess</w:t>
            </w:r>
          </w:p>
        </w:tc>
      </w:tr>
      <w:tr w:rsidR="00D42588" w:rsidRPr="006E23B6" w14:paraId="14BD6A9D" w14:textId="77777777" w:rsidTr="006E23B6">
        <w:tc>
          <w:tcPr>
            <w:tcW w:w="1435" w:type="dxa"/>
          </w:tcPr>
          <w:p w14:paraId="1B49A5EE"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1246</w:t>
            </w:r>
          </w:p>
        </w:tc>
        <w:tc>
          <w:tcPr>
            <w:tcW w:w="4410" w:type="dxa"/>
          </w:tcPr>
          <w:p w14:paraId="736F6D34"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Encephalitis</w:t>
            </w:r>
          </w:p>
        </w:tc>
      </w:tr>
      <w:tr w:rsidR="00D42588" w:rsidRPr="006E23B6" w14:paraId="72CA31B5" w14:textId="77777777" w:rsidTr="006E23B6">
        <w:tc>
          <w:tcPr>
            <w:tcW w:w="1435" w:type="dxa"/>
          </w:tcPr>
          <w:p w14:paraId="41AFD324"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1247</w:t>
            </w:r>
          </w:p>
        </w:tc>
        <w:tc>
          <w:tcPr>
            <w:tcW w:w="4410" w:type="dxa"/>
          </w:tcPr>
          <w:p w14:paraId="1143D835"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Meningitis</w:t>
            </w:r>
          </w:p>
        </w:tc>
      </w:tr>
      <w:tr w:rsidR="00D42588" w:rsidRPr="006E23B6" w14:paraId="082A9C08" w14:textId="77777777" w:rsidTr="006E23B6">
        <w:tc>
          <w:tcPr>
            <w:tcW w:w="1435" w:type="dxa"/>
          </w:tcPr>
          <w:p w14:paraId="51E1DF65"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1248</w:t>
            </w:r>
          </w:p>
        </w:tc>
        <w:tc>
          <w:tcPr>
            <w:tcW w:w="4410" w:type="dxa"/>
          </w:tcPr>
          <w:p w14:paraId="6143FC15"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spinal abscess</w:t>
            </w:r>
          </w:p>
        </w:tc>
      </w:tr>
      <w:tr w:rsidR="00D42588" w:rsidRPr="006E23B6" w14:paraId="28C0F1C2" w14:textId="77777777" w:rsidTr="006E23B6">
        <w:tc>
          <w:tcPr>
            <w:tcW w:w="1435" w:type="dxa"/>
          </w:tcPr>
          <w:p w14:paraId="65B08FAF"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1249</w:t>
            </w:r>
          </w:p>
        </w:tc>
        <w:tc>
          <w:tcPr>
            <w:tcW w:w="4410" w:type="dxa"/>
          </w:tcPr>
          <w:p w14:paraId="41850FEE"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cranial nerve problem/palsy</w:t>
            </w:r>
          </w:p>
        </w:tc>
      </w:tr>
      <w:tr w:rsidR="00D42588" w:rsidRPr="006E23B6" w14:paraId="5F8E0919" w14:textId="77777777" w:rsidTr="006E23B6">
        <w:tc>
          <w:tcPr>
            <w:tcW w:w="1435" w:type="dxa"/>
          </w:tcPr>
          <w:p w14:paraId="0D076038"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1258</w:t>
            </w:r>
          </w:p>
        </w:tc>
        <w:tc>
          <w:tcPr>
            <w:tcW w:w="4410" w:type="dxa"/>
          </w:tcPr>
          <w:p w14:paraId="6F02F56B"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chronic/degenerative neurological problem</w:t>
            </w:r>
          </w:p>
        </w:tc>
      </w:tr>
      <w:tr w:rsidR="00D42588" w:rsidRPr="006E23B6" w14:paraId="329B3356" w14:textId="77777777" w:rsidTr="006E23B6">
        <w:tc>
          <w:tcPr>
            <w:tcW w:w="1435" w:type="dxa"/>
          </w:tcPr>
          <w:p w14:paraId="66FFEE41"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1261</w:t>
            </w:r>
          </w:p>
        </w:tc>
        <w:tc>
          <w:tcPr>
            <w:tcW w:w="4410" w:type="dxa"/>
          </w:tcPr>
          <w:p w14:paraId="03641C38"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multiple sclerosis</w:t>
            </w:r>
          </w:p>
        </w:tc>
      </w:tr>
      <w:tr w:rsidR="00D42588" w:rsidRPr="006E23B6" w14:paraId="08B2B219" w14:textId="77777777" w:rsidTr="006E23B6">
        <w:tc>
          <w:tcPr>
            <w:tcW w:w="1435" w:type="dxa"/>
          </w:tcPr>
          <w:p w14:paraId="070D3D6B"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1262</w:t>
            </w:r>
          </w:p>
        </w:tc>
        <w:tc>
          <w:tcPr>
            <w:tcW w:w="4410" w:type="dxa"/>
          </w:tcPr>
          <w:p w14:paraId="21F9D6D0" w14:textId="77777777" w:rsidR="00D42588" w:rsidRPr="006E23B6" w:rsidRDefault="00D42588" w:rsidP="005E7011">
            <w:pPr>
              <w:rPr>
                <w:rFonts w:ascii="Times New Roman" w:hAnsi="Times New Roman" w:cs="Times New Roman"/>
              </w:rPr>
            </w:pPr>
            <w:proofErr w:type="spellStart"/>
            <w:r w:rsidRPr="006E23B6">
              <w:rPr>
                <w:rFonts w:ascii="Times New Roman" w:hAnsi="Times New Roman" w:cs="Times New Roman"/>
              </w:rPr>
              <w:t>parkinsons</w:t>
            </w:r>
            <w:proofErr w:type="spellEnd"/>
            <w:r w:rsidRPr="006E23B6">
              <w:rPr>
                <w:rFonts w:ascii="Times New Roman" w:hAnsi="Times New Roman" w:cs="Times New Roman"/>
              </w:rPr>
              <w:t xml:space="preserve"> disease</w:t>
            </w:r>
          </w:p>
        </w:tc>
      </w:tr>
      <w:tr w:rsidR="00D42588" w:rsidRPr="006E23B6" w14:paraId="125C25C7" w14:textId="77777777" w:rsidTr="006E23B6">
        <w:tc>
          <w:tcPr>
            <w:tcW w:w="1435" w:type="dxa"/>
          </w:tcPr>
          <w:p w14:paraId="4A6715F7"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1263</w:t>
            </w:r>
          </w:p>
        </w:tc>
        <w:tc>
          <w:tcPr>
            <w:tcW w:w="4410" w:type="dxa"/>
          </w:tcPr>
          <w:p w14:paraId="6FC27700"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dementia/</w:t>
            </w:r>
            <w:proofErr w:type="spellStart"/>
            <w:r w:rsidRPr="006E23B6">
              <w:rPr>
                <w:rFonts w:ascii="Times New Roman" w:hAnsi="Times New Roman" w:cs="Times New Roman"/>
              </w:rPr>
              <w:t>alzheimers</w:t>
            </w:r>
            <w:proofErr w:type="spellEnd"/>
            <w:r w:rsidRPr="006E23B6">
              <w:rPr>
                <w:rFonts w:ascii="Times New Roman" w:hAnsi="Times New Roman" w:cs="Times New Roman"/>
              </w:rPr>
              <w:t>/cognitive impairment</w:t>
            </w:r>
          </w:p>
        </w:tc>
      </w:tr>
      <w:tr w:rsidR="00D42588" w:rsidRPr="006E23B6" w14:paraId="3B1BD384" w14:textId="77777777" w:rsidTr="006E23B6">
        <w:tc>
          <w:tcPr>
            <w:tcW w:w="1435" w:type="dxa"/>
          </w:tcPr>
          <w:p w14:paraId="7421F09F"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1264</w:t>
            </w:r>
          </w:p>
        </w:tc>
        <w:tc>
          <w:tcPr>
            <w:tcW w:w="4410" w:type="dxa"/>
          </w:tcPr>
          <w:p w14:paraId="5518FFD8"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Epilepsy</w:t>
            </w:r>
          </w:p>
        </w:tc>
      </w:tr>
      <w:tr w:rsidR="00D42588" w:rsidRPr="006E23B6" w14:paraId="602AA70E" w14:textId="77777777" w:rsidTr="006E23B6">
        <w:tc>
          <w:tcPr>
            <w:tcW w:w="1435" w:type="dxa"/>
          </w:tcPr>
          <w:p w14:paraId="358E44D2"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1289</w:t>
            </w:r>
          </w:p>
        </w:tc>
        <w:tc>
          <w:tcPr>
            <w:tcW w:w="4410" w:type="dxa"/>
          </w:tcPr>
          <w:p w14:paraId="2DF30C46"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Schizophrenia</w:t>
            </w:r>
          </w:p>
        </w:tc>
      </w:tr>
      <w:tr w:rsidR="00D42588" w:rsidRPr="006E23B6" w14:paraId="775892E5" w14:textId="77777777" w:rsidTr="006E23B6">
        <w:tc>
          <w:tcPr>
            <w:tcW w:w="1435" w:type="dxa"/>
          </w:tcPr>
          <w:p w14:paraId="5F57A4D1"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1291</w:t>
            </w:r>
          </w:p>
        </w:tc>
        <w:tc>
          <w:tcPr>
            <w:tcW w:w="4410" w:type="dxa"/>
          </w:tcPr>
          <w:p w14:paraId="405AD2DF"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mania/bipolar disorder/manic depression</w:t>
            </w:r>
          </w:p>
        </w:tc>
      </w:tr>
      <w:tr w:rsidR="00D42588" w:rsidRPr="006E23B6" w14:paraId="024940D0" w14:textId="77777777" w:rsidTr="006E23B6">
        <w:tc>
          <w:tcPr>
            <w:tcW w:w="1435" w:type="dxa"/>
          </w:tcPr>
          <w:p w14:paraId="1C084BE3"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1397</w:t>
            </w:r>
          </w:p>
        </w:tc>
        <w:tc>
          <w:tcPr>
            <w:tcW w:w="4410" w:type="dxa"/>
          </w:tcPr>
          <w:p w14:paraId="0553FE23"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other demyelinating disease (not multiple sclerosis)</w:t>
            </w:r>
          </w:p>
        </w:tc>
      </w:tr>
      <w:tr w:rsidR="00D42588" w:rsidRPr="006E23B6" w14:paraId="2D2CBAE1" w14:textId="77777777" w:rsidTr="006E23B6">
        <w:tc>
          <w:tcPr>
            <w:tcW w:w="1435" w:type="dxa"/>
            <w:tcBorders>
              <w:bottom w:val="nil"/>
            </w:tcBorders>
          </w:tcPr>
          <w:p w14:paraId="4F481299"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1433</w:t>
            </w:r>
          </w:p>
        </w:tc>
        <w:tc>
          <w:tcPr>
            <w:tcW w:w="4410" w:type="dxa"/>
            <w:tcBorders>
              <w:bottom w:val="nil"/>
            </w:tcBorders>
          </w:tcPr>
          <w:p w14:paraId="1AFE69C7"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cerebral palsy</w:t>
            </w:r>
          </w:p>
        </w:tc>
      </w:tr>
      <w:tr w:rsidR="00D42588" w:rsidRPr="006E23B6" w14:paraId="5EECD50A" w14:textId="77777777" w:rsidTr="006E23B6">
        <w:tc>
          <w:tcPr>
            <w:tcW w:w="1435" w:type="dxa"/>
            <w:tcBorders>
              <w:top w:val="nil"/>
              <w:bottom w:val="single" w:sz="8" w:space="0" w:color="auto"/>
            </w:tcBorders>
          </w:tcPr>
          <w:p w14:paraId="280A1D6F"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1526</w:t>
            </w:r>
          </w:p>
        </w:tc>
        <w:tc>
          <w:tcPr>
            <w:tcW w:w="4410" w:type="dxa"/>
            <w:tcBorders>
              <w:top w:val="nil"/>
              <w:bottom w:val="single" w:sz="8" w:space="0" w:color="auto"/>
            </w:tcBorders>
          </w:tcPr>
          <w:p w14:paraId="2718010B" w14:textId="77777777" w:rsidR="00D42588" w:rsidRPr="006E23B6" w:rsidRDefault="00D42588" w:rsidP="005E7011">
            <w:pPr>
              <w:rPr>
                <w:rFonts w:ascii="Times New Roman" w:hAnsi="Times New Roman" w:cs="Times New Roman"/>
              </w:rPr>
            </w:pPr>
            <w:r w:rsidRPr="006E23B6">
              <w:rPr>
                <w:rFonts w:ascii="Times New Roman" w:hAnsi="Times New Roman" w:cs="Times New Roman"/>
              </w:rPr>
              <w:t>polio / poliomyelitis</w:t>
            </w:r>
          </w:p>
        </w:tc>
      </w:tr>
    </w:tbl>
    <w:p w14:paraId="3EB5DCDD" w14:textId="77777777" w:rsidR="00D42588" w:rsidRDefault="00D42588" w:rsidP="00823F53">
      <w:pPr>
        <w:rPr>
          <w:rFonts w:ascii="Times New Roman" w:hAnsi="Times New Roman" w:cs="Times New Roman"/>
        </w:rPr>
      </w:pPr>
      <w:r>
        <w:rPr>
          <w:rFonts w:ascii="Times New Roman" w:hAnsi="Times New Roman" w:cs="Times New Roman"/>
        </w:rPr>
        <w:br w:type="column"/>
      </w:r>
      <w:r w:rsidRPr="00D54472">
        <w:rPr>
          <w:rFonts w:ascii="Times New Roman" w:hAnsi="Times New Roman" w:cs="Times New Roman"/>
        </w:rPr>
        <w:lastRenderedPageBreak/>
        <w:t>Table S</w:t>
      </w:r>
      <w:r>
        <w:rPr>
          <w:rFonts w:ascii="Times New Roman" w:hAnsi="Times New Roman" w:cs="Times New Roman"/>
        </w:rPr>
        <w:t>7</w:t>
      </w:r>
      <w:r w:rsidRPr="00D54472">
        <w:rPr>
          <w:rFonts w:ascii="Times New Roman" w:hAnsi="Times New Roman" w:cs="Times New Roman"/>
        </w:rPr>
        <w:t xml:space="preserve">. Neurological conditions excluded from sensitivity </w:t>
      </w:r>
      <w:proofErr w:type="gramStart"/>
      <w:r w:rsidRPr="00D54472">
        <w:rPr>
          <w:rFonts w:ascii="Times New Roman" w:hAnsi="Times New Roman" w:cs="Times New Roman"/>
        </w:rPr>
        <w:t>analyses</w:t>
      </w:r>
      <w:proofErr w:type="gramEnd"/>
    </w:p>
    <w:p w14:paraId="61E6EA44" w14:textId="77777777" w:rsidR="00D42588" w:rsidRPr="00D54472" w:rsidRDefault="00D42588" w:rsidP="00823F53">
      <w:pPr>
        <w:rPr>
          <w:rFonts w:ascii="Times New Roman" w:hAnsi="Times New Roman" w:cs="Times New Roman"/>
        </w:rPr>
      </w:pPr>
    </w:p>
    <w:tbl>
      <w:tblPr>
        <w:tblW w:w="9940" w:type="dxa"/>
        <w:tblLook w:val="04A0" w:firstRow="1" w:lastRow="0" w:firstColumn="1" w:lastColumn="0" w:noHBand="0" w:noVBand="1"/>
      </w:tblPr>
      <w:tblGrid>
        <w:gridCol w:w="1340"/>
        <w:gridCol w:w="8600"/>
      </w:tblGrid>
      <w:tr w:rsidR="00D42588" w:rsidRPr="00572623" w14:paraId="36BA60EE" w14:textId="77777777" w:rsidTr="00A87160">
        <w:trPr>
          <w:trHeight w:val="320"/>
        </w:trPr>
        <w:tc>
          <w:tcPr>
            <w:tcW w:w="1340" w:type="dxa"/>
            <w:tcBorders>
              <w:top w:val="single" w:sz="18" w:space="0" w:color="auto"/>
              <w:left w:val="nil"/>
              <w:bottom w:val="single" w:sz="4" w:space="0" w:color="auto"/>
              <w:right w:val="nil"/>
            </w:tcBorders>
            <w:shd w:val="clear" w:color="auto" w:fill="auto"/>
            <w:noWrap/>
            <w:vAlign w:val="bottom"/>
            <w:hideMark/>
          </w:tcPr>
          <w:p w14:paraId="72B626B0" w14:textId="77777777" w:rsidR="00D42588" w:rsidRPr="00572623" w:rsidRDefault="00D42588" w:rsidP="00425608">
            <w:pPr>
              <w:rPr>
                <w:rFonts w:ascii="Times New Roman" w:eastAsia="Times New Roman" w:hAnsi="Times New Roman" w:cs="Times New Roman"/>
                <w:b/>
                <w:bCs/>
                <w:color w:val="000000"/>
              </w:rPr>
            </w:pPr>
            <w:r w:rsidRPr="00572623">
              <w:rPr>
                <w:rFonts w:ascii="Times New Roman" w:eastAsia="Times New Roman" w:hAnsi="Times New Roman" w:cs="Times New Roman"/>
                <w:b/>
                <w:bCs/>
                <w:color w:val="000000"/>
              </w:rPr>
              <w:t>ICD 10 code</w:t>
            </w:r>
          </w:p>
        </w:tc>
        <w:tc>
          <w:tcPr>
            <w:tcW w:w="8600" w:type="dxa"/>
            <w:tcBorders>
              <w:top w:val="single" w:sz="18" w:space="0" w:color="auto"/>
              <w:left w:val="nil"/>
              <w:bottom w:val="single" w:sz="4" w:space="0" w:color="auto"/>
              <w:right w:val="nil"/>
            </w:tcBorders>
            <w:shd w:val="clear" w:color="auto" w:fill="auto"/>
            <w:noWrap/>
            <w:vAlign w:val="bottom"/>
            <w:hideMark/>
          </w:tcPr>
          <w:p w14:paraId="50F73508" w14:textId="77777777" w:rsidR="00D42588" w:rsidRPr="00572623" w:rsidRDefault="00D42588" w:rsidP="00425608">
            <w:pPr>
              <w:rPr>
                <w:rFonts w:ascii="Times New Roman" w:eastAsia="Times New Roman" w:hAnsi="Times New Roman" w:cs="Times New Roman"/>
                <w:b/>
                <w:bCs/>
                <w:color w:val="000000"/>
              </w:rPr>
            </w:pPr>
            <w:r w:rsidRPr="00572623">
              <w:rPr>
                <w:rFonts w:ascii="Times New Roman" w:eastAsia="Times New Roman" w:hAnsi="Times New Roman" w:cs="Times New Roman"/>
                <w:b/>
                <w:bCs/>
                <w:color w:val="000000"/>
              </w:rPr>
              <w:t>Description</w:t>
            </w:r>
          </w:p>
        </w:tc>
      </w:tr>
      <w:tr w:rsidR="00D42588" w:rsidRPr="00572623" w14:paraId="494B2C3D" w14:textId="77777777" w:rsidTr="00425608">
        <w:trPr>
          <w:trHeight w:val="320"/>
        </w:trPr>
        <w:tc>
          <w:tcPr>
            <w:tcW w:w="1340" w:type="dxa"/>
            <w:tcBorders>
              <w:top w:val="nil"/>
              <w:left w:val="nil"/>
              <w:bottom w:val="nil"/>
              <w:right w:val="nil"/>
            </w:tcBorders>
            <w:shd w:val="clear" w:color="auto" w:fill="auto"/>
            <w:noWrap/>
            <w:vAlign w:val="bottom"/>
            <w:hideMark/>
          </w:tcPr>
          <w:p w14:paraId="272548F4"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C70</w:t>
            </w:r>
          </w:p>
        </w:tc>
        <w:tc>
          <w:tcPr>
            <w:tcW w:w="8600" w:type="dxa"/>
            <w:tcBorders>
              <w:top w:val="nil"/>
              <w:left w:val="nil"/>
              <w:bottom w:val="nil"/>
              <w:right w:val="nil"/>
            </w:tcBorders>
            <w:shd w:val="clear" w:color="auto" w:fill="auto"/>
            <w:noWrap/>
            <w:vAlign w:val="bottom"/>
            <w:hideMark/>
          </w:tcPr>
          <w:p w14:paraId="5C6C7ED9"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malignant neoplasms of meninges</w:t>
            </w:r>
          </w:p>
        </w:tc>
      </w:tr>
      <w:tr w:rsidR="00D42588" w:rsidRPr="00572623" w14:paraId="102AF771" w14:textId="77777777" w:rsidTr="00425608">
        <w:trPr>
          <w:trHeight w:val="320"/>
        </w:trPr>
        <w:tc>
          <w:tcPr>
            <w:tcW w:w="1340" w:type="dxa"/>
            <w:tcBorders>
              <w:top w:val="nil"/>
              <w:left w:val="nil"/>
              <w:bottom w:val="nil"/>
              <w:right w:val="nil"/>
            </w:tcBorders>
            <w:shd w:val="clear" w:color="auto" w:fill="auto"/>
            <w:noWrap/>
            <w:vAlign w:val="bottom"/>
            <w:hideMark/>
          </w:tcPr>
          <w:p w14:paraId="63ECFF18"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C71</w:t>
            </w:r>
          </w:p>
        </w:tc>
        <w:tc>
          <w:tcPr>
            <w:tcW w:w="8600" w:type="dxa"/>
            <w:tcBorders>
              <w:top w:val="nil"/>
              <w:left w:val="nil"/>
              <w:bottom w:val="nil"/>
              <w:right w:val="nil"/>
            </w:tcBorders>
            <w:shd w:val="clear" w:color="auto" w:fill="auto"/>
            <w:noWrap/>
            <w:vAlign w:val="bottom"/>
            <w:hideMark/>
          </w:tcPr>
          <w:p w14:paraId="16031AE1"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malignant neoplasms of brain</w:t>
            </w:r>
          </w:p>
        </w:tc>
      </w:tr>
      <w:tr w:rsidR="00D42588" w:rsidRPr="00572623" w14:paraId="0E812CA5" w14:textId="77777777" w:rsidTr="00425608">
        <w:trPr>
          <w:trHeight w:val="320"/>
        </w:trPr>
        <w:tc>
          <w:tcPr>
            <w:tcW w:w="1340" w:type="dxa"/>
            <w:tcBorders>
              <w:top w:val="nil"/>
              <w:left w:val="nil"/>
              <w:bottom w:val="nil"/>
              <w:right w:val="nil"/>
            </w:tcBorders>
            <w:shd w:val="clear" w:color="auto" w:fill="auto"/>
            <w:noWrap/>
            <w:vAlign w:val="bottom"/>
            <w:hideMark/>
          </w:tcPr>
          <w:p w14:paraId="5B636B63"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C72</w:t>
            </w:r>
          </w:p>
        </w:tc>
        <w:tc>
          <w:tcPr>
            <w:tcW w:w="8600" w:type="dxa"/>
            <w:tcBorders>
              <w:top w:val="nil"/>
              <w:left w:val="nil"/>
              <w:bottom w:val="nil"/>
              <w:right w:val="nil"/>
            </w:tcBorders>
            <w:shd w:val="clear" w:color="auto" w:fill="auto"/>
            <w:noWrap/>
            <w:vAlign w:val="bottom"/>
            <w:hideMark/>
          </w:tcPr>
          <w:p w14:paraId="101B9DCB"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 xml:space="preserve">malignant neoplasm of spinal cord, cranial </w:t>
            </w:r>
            <w:proofErr w:type="gramStart"/>
            <w:r w:rsidRPr="00572623">
              <w:rPr>
                <w:rFonts w:ascii="Times New Roman" w:eastAsia="Times New Roman" w:hAnsi="Times New Roman" w:cs="Times New Roman"/>
                <w:color w:val="000000"/>
              </w:rPr>
              <w:t>nerves</w:t>
            </w:r>
            <w:proofErr w:type="gramEnd"/>
            <w:r w:rsidRPr="00572623">
              <w:rPr>
                <w:rFonts w:ascii="Times New Roman" w:eastAsia="Times New Roman" w:hAnsi="Times New Roman" w:cs="Times New Roman"/>
                <w:color w:val="000000"/>
              </w:rPr>
              <w:t xml:space="preserve"> and other parts of central nervous system</w:t>
            </w:r>
          </w:p>
        </w:tc>
      </w:tr>
      <w:tr w:rsidR="00D42588" w:rsidRPr="00572623" w14:paraId="1BB108AE" w14:textId="77777777" w:rsidTr="00425608">
        <w:trPr>
          <w:trHeight w:val="320"/>
        </w:trPr>
        <w:tc>
          <w:tcPr>
            <w:tcW w:w="1340" w:type="dxa"/>
            <w:tcBorders>
              <w:top w:val="nil"/>
              <w:left w:val="nil"/>
              <w:bottom w:val="nil"/>
              <w:right w:val="nil"/>
            </w:tcBorders>
            <w:shd w:val="clear" w:color="auto" w:fill="auto"/>
            <w:noWrap/>
            <w:vAlign w:val="bottom"/>
            <w:hideMark/>
          </w:tcPr>
          <w:p w14:paraId="0C9A7CC1"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F0</w:t>
            </w:r>
          </w:p>
        </w:tc>
        <w:tc>
          <w:tcPr>
            <w:tcW w:w="8600" w:type="dxa"/>
            <w:tcBorders>
              <w:top w:val="nil"/>
              <w:left w:val="nil"/>
              <w:bottom w:val="nil"/>
              <w:right w:val="nil"/>
            </w:tcBorders>
            <w:shd w:val="clear" w:color="auto" w:fill="auto"/>
            <w:noWrap/>
            <w:vAlign w:val="bottom"/>
            <w:hideMark/>
          </w:tcPr>
          <w:p w14:paraId="1DB09E2E"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Organic, including symptomatic, mental disorders</w:t>
            </w:r>
          </w:p>
        </w:tc>
      </w:tr>
      <w:tr w:rsidR="00D42588" w:rsidRPr="00572623" w14:paraId="36838F00" w14:textId="77777777" w:rsidTr="00425608">
        <w:trPr>
          <w:trHeight w:val="320"/>
        </w:trPr>
        <w:tc>
          <w:tcPr>
            <w:tcW w:w="1340" w:type="dxa"/>
            <w:tcBorders>
              <w:top w:val="nil"/>
              <w:left w:val="nil"/>
              <w:bottom w:val="nil"/>
              <w:right w:val="nil"/>
            </w:tcBorders>
            <w:shd w:val="clear" w:color="auto" w:fill="auto"/>
            <w:noWrap/>
            <w:vAlign w:val="bottom"/>
            <w:hideMark/>
          </w:tcPr>
          <w:p w14:paraId="71A6B700"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G0</w:t>
            </w:r>
          </w:p>
        </w:tc>
        <w:tc>
          <w:tcPr>
            <w:tcW w:w="8600" w:type="dxa"/>
            <w:tcBorders>
              <w:top w:val="nil"/>
              <w:left w:val="nil"/>
              <w:bottom w:val="nil"/>
              <w:right w:val="nil"/>
            </w:tcBorders>
            <w:shd w:val="clear" w:color="auto" w:fill="auto"/>
            <w:noWrap/>
            <w:vAlign w:val="bottom"/>
            <w:hideMark/>
          </w:tcPr>
          <w:p w14:paraId="23C77942"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inflammatory diseases of the central nervous system</w:t>
            </w:r>
          </w:p>
        </w:tc>
      </w:tr>
      <w:tr w:rsidR="00D42588" w:rsidRPr="00572623" w14:paraId="503840D6" w14:textId="77777777" w:rsidTr="00425608">
        <w:trPr>
          <w:trHeight w:val="320"/>
        </w:trPr>
        <w:tc>
          <w:tcPr>
            <w:tcW w:w="1340" w:type="dxa"/>
            <w:tcBorders>
              <w:top w:val="nil"/>
              <w:left w:val="nil"/>
              <w:bottom w:val="nil"/>
              <w:right w:val="nil"/>
            </w:tcBorders>
            <w:shd w:val="clear" w:color="auto" w:fill="auto"/>
            <w:noWrap/>
            <w:vAlign w:val="bottom"/>
            <w:hideMark/>
          </w:tcPr>
          <w:p w14:paraId="7011CB6A"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G20</w:t>
            </w:r>
          </w:p>
        </w:tc>
        <w:tc>
          <w:tcPr>
            <w:tcW w:w="8600" w:type="dxa"/>
            <w:tcBorders>
              <w:top w:val="nil"/>
              <w:left w:val="nil"/>
              <w:bottom w:val="nil"/>
              <w:right w:val="nil"/>
            </w:tcBorders>
            <w:shd w:val="clear" w:color="auto" w:fill="auto"/>
            <w:noWrap/>
            <w:vAlign w:val="bottom"/>
            <w:hideMark/>
          </w:tcPr>
          <w:p w14:paraId="75B5883B"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Parkinson</w:t>
            </w:r>
            <w:r>
              <w:rPr>
                <w:rFonts w:ascii="Times New Roman" w:eastAsia="Times New Roman" w:hAnsi="Times New Roman" w:cs="Times New Roman"/>
                <w:color w:val="000000"/>
              </w:rPr>
              <w:t>’</w:t>
            </w:r>
            <w:r w:rsidRPr="00572623">
              <w:rPr>
                <w:rFonts w:ascii="Times New Roman" w:eastAsia="Times New Roman" w:hAnsi="Times New Roman" w:cs="Times New Roman"/>
                <w:color w:val="000000"/>
              </w:rPr>
              <w:t>s disease</w:t>
            </w:r>
          </w:p>
        </w:tc>
      </w:tr>
      <w:tr w:rsidR="00D42588" w:rsidRPr="00572623" w14:paraId="13623EEC" w14:textId="77777777" w:rsidTr="00425608">
        <w:trPr>
          <w:trHeight w:val="320"/>
        </w:trPr>
        <w:tc>
          <w:tcPr>
            <w:tcW w:w="1340" w:type="dxa"/>
            <w:tcBorders>
              <w:top w:val="nil"/>
              <w:left w:val="nil"/>
              <w:bottom w:val="nil"/>
              <w:right w:val="nil"/>
            </w:tcBorders>
            <w:shd w:val="clear" w:color="auto" w:fill="auto"/>
            <w:noWrap/>
            <w:vAlign w:val="bottom"/>
            <w:hideMark/>
          </w:tcPr>
          <w:p w14:paraId="191C1FE5"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G30-32</w:t>
            </w:r>
          </w:p>
        </w:tc>
        <w:tc>
          <w:tcPr>
            <w:tcW w:w="8600" w:type="dxa"/>
            <w:tcBorders>
              <w:top w:val="nil"/>
              <w:left w:val="nil"/>
              <w:bottom w:val="nil"/>
              <w:right w:val="nil"/>
            </w:tcBorders>
            <w:shd w:val="clear" w:color="auto" w:fill="auto"/>
            <w:noWrap/>
            <w:vAlign w:val="bottom"/>
            <w:hideMark/>
          </w:tcPr>
          <w:p w14:paraId="670058F9"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Other degenerative diseases of the nervous system</w:t>
            </w:r>
          </w:p>
        </w:tc>
      </w:tr>
      <w:tr w:rsidR="00D42588" w:rsidRPr="00572623" w14:paraId="2266F48B" w14:textId="77777777" w:rsidTr="00425608">
        <w:trPr>
          <w:trHeight w:val="320"/>
        </w:trPr>
        <w:tc>
          <w:tcPr>
            <w:tcW w:w="1340" w:type="dxa"/>
            <w:tcBorders>
              <w:top w:val="nil"/>
              <w:left w:val="nil"/>
              <w:bottom w:val="nil"/>
              <w:right w:val="nil"/>
            </w:tcBorders>
            <w:shd w:val="clear" w:color="auto" w:fill="auto"/>
            <w:noWrap/>
            <w:vAlign w:val="bottom"/>
            <w:hideMark/>
          </w:tcPr>
          <w:p w14:paraId="3B149DE1"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G35-37</w:t>
            </w:r>
          </w:p>
        </w:tc>
        <w:tc>
          <w:tcPr>
            <w:tcW w:w="8600" w:type="dxa"/>
            <w:tcBorders>
              <w:top w:val="nil"/>
              <w:left w:val="nil"/>
              <w:bottom w:val="nil"/>
              <w:right w:val="nil"/>
            </w:tcBorders>
            <w:shd w:val="clear" w:color="auto" w:fill="auto"/>
            <w:noWrap/>
            <w:vAlign w:val="bottom"/>
            <w:hideMark/>
          </w:tcPr>
          <w:p w14:paraId="20F998C8"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Demyelinating diseases of the central nervous system</w:t>
            </w:r>
          </w:p>
        </w:tc>
      </w:tr>
      <w:tr w:rsidR="00D42588" w:rsidRPr="00572623" w14:paraId="56B8DCAB" w14:textId="77777777" w:rsidTr="00425608">
        <w:trPr>
          <w:trHeight w:val="320"/>
        </w:trPr>
        <w:tc>
          <w:tcPr>
            <w:tcW w:w="1340" w:type="dxa"/>
            <w:tcBorders>
              <w:top w:val="nil"/>
              <w:left w:val="nil"/>
              <w:bottom w:val="nil"/>
              <w:right w:val="nil"/>
            </w:tcBorders>
            <w:shd w:val="clear" w:color="auto" w:fill="auto"/>
            <w:noWrap/>
            <w:vAlign w:val="bottom"/>
            <w:hideMark/>
          </w:tcPr>
          <w:p w14:paraId="62C041B3"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G40</w:t>
            </w:r>
          </w:p>
        </w:tc>
        <w:tc>
          <w:tcPr>
            <w:tcW w:w="8600" w:type="dxa"/>
            <w:tcBorders>
              <w:top w:val="nil"/>
              <w:left w:val="nil"/>
              <w:bottom w:val="nil"/>
              <w:right w:val="nil"/>
            </w:tcBorders>
            <w:shd w:val="clear" w:color="auto" w:fill="auto"/>
            <w:noWrap/>
            <w:vAlign w:val="bottom"/>
            <w:hideMark/>
          </w:tcPr>
          <w:p w14:paraId="04A55BA1"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epilepsy</w:t>
            </w:r>
          </w:p>
        </w:tc>
      </w:tr>
      <w:tr w:rsidR="00D42588" w:rsidRPr="00572623" w14:paraId="09A55165" w14:textId="77777777" w:rsidTr="00425608">
        <w:trPr>
          <w:trHeight w:val="320"/>
        </w:trPr>
        <w:tc>
          <w:tcPr>
            <w:tcW w:w="1340" w:type="dxa"/>
            <w:tcBorders>
              <w:top w:val="nil"/>
              <w:left w:val="nil"/>
              <w:bottom w:val="nil"/>
              <w:right w:val="nil"/>
            </w:tcBorders>
            <w:shd w:val="clear" w:color="auto" w:fill="auto"/>
            <w:noWrap/>
            <w:vAlign w:val="bottom"/>
            <w:hideMark/>
          </w:tcPr>
          <w:p w14:paraId="0CF67A45"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I60</w:t>
            </w:r>
          </w:p>
        </w:tc>
        <w:tc>
          <w:tcPr>
            <w:tcW w:w="8600" w:type="dxa"/>
            <w:tcBorders>
              <w:top w:val="nil"/>
              <w:left w:val="nil"/>
              <w:bottom w:val="nil"/>
              <w:right w:val="nil"/>
            </w:tcBorders>
            <w:shd w:val="clear" w:color="auto" w:fill="auto"/>
            <w:noWrap/>
            <w:vAlign w:val="bottom"/>
            <w:hideMark/>
          </w:tcPr>
          <w:p w14:paraId="66BD5CFD"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 xml:space="preserve">subarachnoid </w:t>
            </w:r>
            <w:proofErr w:type="spellStart"/>
            <w:r w:rsidRPr="00572623">
              <w:rPr>
                <w:rFonts w:ascii="Times New Roman" w:eastAsia="Times New Roman" w:hAnsi="Times New Roman" w:cs="Times New Roman"/>
                <w:color w:val="000000"/>
              </w:rPr>
              <w:t>haemorrhage</w:t>
            </w:r>
            <w:proofErr w:type="spellEnd"/>
          </w:p>
        </w:tc>
      </w:tr>
      <w:tr w:rsidR="00D42588" w:rsidRPr="00572623" w14:paraId="37CDD565" w14:textId="77777777" w:rsidTr="00425608">
        <w:trPr>
          <w:trHeight w:val="320"/>
        </w:trPr>
        <w:tc>
          <w:tcPr>
            <w:tcW w:w="1340" w:type="dxa"/>
            <w:tcBorders>
              <w:top w:val="nil"/>
              <w:left w:val="nil"/>
              <w:bottom w:val="nil"/>
              <w:right w:val="nil"/>
            </w:tcBorders>
            <w:shd w:val="clear" w:color="auto" w:fill="auto"/>
            <w:noWrap/>
            <w:vAlign w:val="bottom"/>
            <w:hideMark/>
          </w:tcPr>
          <w:p w14:paraId="2630505B"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I61</w:t>
            </w:r>
          </w:p>
        </w:tc>
        <w:tc>
          <w:tcPr>
            <w:tcW w:w="8600" w:type="dxa"/>
            <w:tcBorders>
              <w:top w:val="nil"/>
              <w:left w:val="nil"/>
              <w:bottom w:val="nil"/>
              <w:right w:val="nil"/>
            </w:tcBorders>
            <w:shd w:val="clear" w:color="auto" w:fill="auto"/>
            <w:noWrap/>
            <w:vAlign w:val="bottom"/>
            <w:hideMark/>
          </w:tcPr>
          <w:p w14:paraId="26878389"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 xml:space="preserve">intracerebral </w:t>
            </w:r>
            <w:proofErr w:type="spellStart"/>
            <w:r w:rsidRPr="00572623">
              <w:rPr>
                <w:rFonts w:ascii="Times New Roman" w:eastAsia="Times New Roman" w:hAnsi="Times New Roman" w:cs="Times New Roman"/>
                <w:color w:val="000000"/>
              </w:rPr>
              <w:t>haemorrhage</w:t>
            </w:r>
            <w:proofErr w:type="spellEnd"/>
            <w:r w:rsidRPr="00572623">
              <w:rPr>
                <w:rFonts w:ascii="Times New Roman" w:eastAsia="Times New Roman" w:hAnsi="Times New Roman" w:cs="Times New Roman"/>
                <w:color w:val="000000"/>
              </w:rPr>
              <w:t xml:space="preserve"> </w:t>
            </w:r>
          </w:p>
        </w:tc>
      </w:tr>
      <w:tr w:rsidR="00D42588" w:rsidRPr="00572623" w14:paraId="01E5B76D" w14:textId="77777777" w:rsidTr="00425608">
        <w:trPr>
          <w:trHeight w:val="320"/>
        </w:trPr>
        <w:tc>
          <w:tcPr>
            <w:tcW w:w="1340" w:type="dxa"/>
            <w:tcBorders>
              <w:top w:val="nil"/>
              <w:left w:val="nil"/>
              <w:bottom w:val="nil"/>
              <w:right w:val="nil"/>
            </w:tcBorders>
            <w:shd w:val="clear" w:color="auto" w:fill="auto"/>
            <w:noWrap/>
            <w:vAlign w:val="bottom"/>
            <w:hideMark/>
          </w:tcPr>
          <w:p w14:paraId="6E804720"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I63</w:t>
            </w:r>
          </w:p>
        </w:tc>
        <w:tc>
          <w:tcPr>
            <w:tcW w:w="8600" w:type="dxa"/>
            <w:tcBorders>
              <w:top w:val="nil"/>
              <w:left w:val="nil"/>
              <w:bottom w:val="nil"/>
              <w:right w:val="nil"/>
            </w:tcBorders>
            <w:shd w:val="clear" w:color="auto" w:fill="auto"/>
            <w:noWrap/>
            <w:vAlign w:val="bottom"/>
            <w:hideMark/>
          </w:tcPr>
          <w:p w14:paraId="4A3582BF"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Cerebral infarction</w:t>
            </w:r>
          </w:p>
        </w:tc>
      </w:tr>
      <w:tr w:rsidR="00D42588" w:rsidRPr="00572623" w14:paraId="7D2EAE16" w14:textId="77777777" w:rsidTr="00425608">
        <w:trPr>
          <w:trHeight w:val="320"/>
        </w:trPr>
        <w:tc>
          <w:tcPr>
            <w:tcW w:w="1340" w:type="dxa"/>
            <w:tcBorders>
              <w:top w:val="nil"/>
              <w:left w:val="nil"/>
              <w:bottom w:val="nil"/>
              <w:right w:val="nil"/>
            </w:tcBorders>
            <w:shd w:val="clear" w:color="auto" w:fill="auto"/>
            <w:noWrap/>
            <w:vAlign w:val="bottom"/>
            <w:hideMark/>
          </w:tcPr>
          <w:p w14:paraId="64BA827F"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Q0</w:t>
            </w:r>
          </w:p>
        </w:tc>
        <w:tc>
          <w:tcPr>
            <w:tcW w:w="8600" w:type="dxa"/>
            <w:tcBorders>
              <w:top w:val="nil"/>
              <w:left w:val="nil"/>
              <w:bottom w:val="nil"/>
              <w:right w:val="nil"/>
            </w:tcBorders>
            <w:shd w:val="clear" w:color="auto" w:fill="auto"/>
            <w:noWrap/>
            <w:vAlign w:val="bottom"/>
            <w:hideMark/>
          </w:tcPr>
          <w:p w14:paraId="622D414A"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 xml:space="preserve">congenital malformations of the nervous system </w:t>
            </w:r>
          </w:p>
        </w:tc>
      </w:tr>
      <w:tr w:rsidR="00D42588" w:rsidRPr="00572623" w14:paraId="3310DFD0" w14:textId="77777777" w:rsidTr="00425608">
        <w:trPr>
          <w:trHeight w:val="320"/>
        </w:trPr>
        <w:tc>
          <w:tcPr>
            <w:tcW w:w="1340" w:type="dxa"/>
            <w:tcBorders>
              <w:top w:val="nil"/>
              <w:left w:val="nil"/>
              <w:bottom w:val="nil"/>
              <w:right w:val="nil"/>
            </w:tcBorders>
            <w:shd w:val="clear" w:color="auto" w:fill="auto"/>
            <w:noWrap/>
            <w:vAlign w:val="bottom"/>
            <w:hideMark/>
          </w:tcPr>
          <w:p w14:paraId="02D98C04"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R90</w:t>
            </w:r>
          </w:p>
        </w:tc>
        <w:tc>
          <w:tcPr>
            <w:tcW w:w="8600" w:type="dxa"/>
            <w:tcBorders>
              <w:top w:val="nil"/>
              <w:left w:val="nil"/>
              <w:bottom w:val="nil"/>
              <w:right w:val="nil"/>
            </w:tcBorders>
            <w:shd w:val="clear" w:color="auto" w:fill="auto"/>
            <w:noWrap/>
            <w:vAlign w:val="bottom"/>
            <w:hideMark/>
          </w:tcPr>
          <w:p w14:paraId="6EDD18E4"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abnormal findings on diagnostic imaging of the central nervous system</w:t>
            </w:r>
          </w:p>
        </w:tc>
      </w:tr>
      <w:tr w:rsidR="00D42588" w:rsidRPr="00572623" w14:paraId="48D10495" w14:textId="77777777" w:rsidTr="00425608">
        <w:trPr>
          <w:trHeight w:val="320"/>
        </w:trPr>
        <w:tc>
          <w:tcPr>
            <w:tcW w:w="1340" w:type="dxa"/>
            <w:tcBorders>
              <w:top w:val="nil"/>
              <w:left w:val="nil"/>
              <w:bottom w:val="nil"/>
              <w:right w:val="nil"/>
            </w:tcBorders>
            <w:shd w:val="clear" w:color="auto" w:fill="auto"/>
            <w:noWrap/>
            <w:vAlign w:val="bottom"/>
            <w:hideMark/>
          </w:tcPr>
          <w:p w14:paraId="2966F812"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R940</w:t>
            </w:r>
          </w:p>
        </w:tc>
        <w:tc>
          <w:tcPr>
            <w:tcW w:w="8600" w:type="dxa"/>
            <w:tcBorders>
              <w:top w:val="nil"/>
              <w:left w:val="nil"/>
              <w:bottom w:val="nil"/>
              <w:right w:val="nil"/>
            </w:tcBorders>
            <w:shd w:val="clear" w:color="auto" w:fill="auto"/>
            <w:noWrap/>
            <w:vAlign w:val="bottom"/>
            <w:hideMark/>
          </w:tcPr>
          <w:p w14:paraId="6E478548"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abnormal results of function studies of the central nervous system</w:t>
            </w:r>
          </w:p>
        </w:tc>
      </w:tr>
      <w:tr w:rsidR="00D42588" w:rsidRPr="00572623" w14:paraId="001DD0A7" w14:textId="77777777" w:rsidTr="00425608">
        <w:trPr>
          <w:trHeight w:val="320"/>
        </w:trPr>
        <w:tc>
          <w:tcPr>
            <w:tcW w:w="1340" w:type="dxa"/>
            <w:tcBorders>
              <w:top w:val="nil"/>
              <w:left w:val="nil"/>
              <w:bottom w:val="nil"/>
              <w:right w:val="nil"/>
            </w:tcBorders>
            <w:shd w:val="clear" w:color="auto" w:fill="auto"/>
            <w:noWrap/>
            <w:vAlign w:val="bottom"/>
            <w:hideMark/>
          </w:tcPr>
          <w:p w14:paraId="15A9917D"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S04</w:t>
            </w:r>
          </w:p>
        </w:tc>
        <w:tc>
          <w:tcPr>
            <w:tcW w:w="8600" w:type="dxa"/>
            <w:tcBorders>
              <w:top w:val="nil"/>
              <w:left w:val="nil"/>
              <w:bottom w:val="nil"/>
              <w:right w:val="nil"/>
            </w:tcBorders>
            <w:shd w:val="clear" w:color="auto" w:fill="auto"/>
            <w:noWrap/>
            <w:vAlign w:val="bottom"/>
            <w:hideMark/>
          </w:tcPr>
          <w:p w14:paraId="253F1538"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Injury of cranial nerves</w:t>
            </w:r>
          </w:p>
        </w:tc>
      </w:tr>
      <w:tr w:rsidR="00D42588" w:rsidRPr="00572623" w14:paraId="5507968C" w14:textId="77777777" w:rsidTr="00425608">
        <w:trPr>
          <w:trHeight w:val="320"/>
        </w:trPr>
        <w:tc>
          <w:tcPr>
            <w:tcW w:w="1340" w:type="dxa"/>
            <w:tcBorders>
              <w:top w:val="nil"/>
              <w:left w:val="nil"/>
              <w:bottom w:val="nil"/>
              <w:right w:val="nil"/>
            </w:tcBorders>
            <w:shd w:val="clear" w:color="auto" w:fill="auto"/>
            <w:noWrap/>
            <w:vAlign w:val="bottom"/>
            <w:hideMark/>
          </w:tcPr>
          <w:p w14:paraId="12DA38D7"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S06</w:t>
            </w:r>
          </w:p>
        </w:tc>
        <w:tc>
          <w:tcPr>
            <w:tcW w:w="8600" w:type="dxa"/>
            <w:tcBorders>
              <w:top w:val="nil"/>
              <w:left w:val="nil"/>
              <w:bottom w:val="nil"/>
              <w:right w:val="nil"/>
            </w:tcBorders>
            <w:shd w:val="clear" w:color="auto" w:fill="auto"/>
            <w:noWrap/>
            <w:vAlign w:val="bottom"/>
            <w:hideMark/>
          </w:tcPr>
          <w:p w14:paraId="58C33CFD"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Intracranial injury</w:t>
            </w:r>
          </w:p>
        </w:tc>
      </w:tr>
      <w:tr w:rsidR="00D42588" w:rsidRPr="00572623" w14:paraId="09C0133A" w14:textId="77777777" w:rsidTr="00425608">
        <w:trPr>
          <w:trHeight w:val="320"/>
        </w:trPr>
        <w:tc>
          <w:tcPr>
            <w:tcW w:w="1340" w:type="dxa"/>
            <w:tcBorders>
              <w:top w:val="nil"/>
              <w:left w:val="nil"/>
              <w:bottom w:val="nil"/>
              <w:right w:val="nil"/>
            </w:tcBorders>
            <w:shd w:val="clear" w:color="auto" w:fill="auto"/>
            <w:noWrap/>
            <w:vAlign w:val="bottom"/>
            <w:hideMark/>
          </w:tcPr>
          <w:p w14:paraId="1F2766B5"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S07</w:t>
            </w:r>
          </w:p>
        </w:tc>
        <w:tc>
          <w:tcPr>
            <w:tcW w:w="8600" w:type="dxa"/>
            <w:tcBorders>
              <w:top w:val="nil"/>
              <w:left w:val="nil"/>
              <w:bottom w:val="nil"/>
              <w:right w:val="nil"/>
            </w:tcBorders>
            <w:shd w:val="clear" w:color="auto" w:fill="auto"/>
            <w:noWrap/>
            <w:vAlign w:val="bottom"/>
            <w:hideMark/>
          </w:tcPr>
          <w:p w14:paraId="459BEC2B"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Crushing injury of head</w:t>
            </w:r>
          </w:p>
        </w:tc>
      </w:tr>
      <w:tr w:rsidR="00D42588" w:rsidRPr="00572623" w14:paraId="40D0C0BD" w14:textId="77777777" w:rsidTr="00425608">
        <w:trPr>
          <w:trHeight w:val="320"/>
        </w:trPr>
        <w:tc>
          <w:tcPr>
            <w:tcW w:w="1340" w:type="dxa"/>
            <w:tcBorders>
              <w:top w:val="nil"/>
              <w:left w:val="nil"/>
              <w:bottom w:val="nil"/>
              <w:right w:val="nil"/>
            </w:tcBorders>
            <w:shd w:val="clear" w:color="auto" w:fill="auto"/>
            <w:noWrap/>
            <w:vAlign w:val="bottom"/>
            <w:hideMark/>
          </w:tcPr>
          <w:p w14:paraId="28AE573D"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S08</w:t>
            </w:r>
          </w:p>
        </w:tc>
        <w:tc>
          <w:tcPr>
            <w:tcW w:w="8600" w:type="dxa"/>
            <w:tcBorders>
              <w:top w:val="nil"/>
              <w:left w:val="nil"/>
              <w:bottom w:val="nil"/>
              <w:right w:val="nil"/>
            </w:tcBorders>
            <w:shd w:val="clear" w:color="auto" w:fill="auto"/>
            <w:noWrap/>
            <w:vAlign w:val="bottom"/>
            <w:hideMark/>
          </w:tcPr>
          <w:p w14:paraId="4355775B"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Traumatic amputation of part of head</w:t>
            </w:r>
          </w:p>
        </w:tc>
      </w:tr>
      <w:tr w:rsidR="00D42588" w:rsidRPr="00572623" w14:paraId="09AB7B06" w14:textId="77777777" w:rsidTr="00425608">
        <w:trPr>
          <w:trHeight w:val="320"/>
        </w:trPr>
        <w:tc>
          <w:tcPr>
            <w:tcW w:w="1340" w:type="dxa"/>
            <w:tcBorders>
              <w:top w:val="nil"/>
              <w:left w:val="nil"/>
              <w:bottom w:val="single" w:sz="4" w:space="0" w:color="auto"/>
              <w:right w:val="nil"/>
            </w:tcBorders>
            <w:shd w:val="clear" w:color="auto" w:fill="auto"/>
            <w:noWrap/>
            <w:vAlign w:val="bottom"/>
            <w:hideMark/>
          </w:tcPr>
          <w:p w14:paraId="237EF4F8"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S09</w:t>
            </w:r>
          </w:p>
        </w:tc>
        <w:tc>
          <w:tcPr>
            <w:tcW w:w="8600" w:type="dxa"/>
            <w:tcBorders>
              <w:top w:val="nil"/>
              <w:left w:val="nil"/>
              <w:bottom w:val="single" w:sz="4" w:space="0" w:color="auto"/>
              <w:right w:val="nil"/>
            </w:tcBorders>
            <w:shd w:val="clear" w:color="auto" w:fill="auto"/>
            <w:noWrap/>
            <w:vAlign w:val="bottom"/>
            <w:hideMark/>
          </w:tcPr>
          <w:p w14:paraId="58888D8F" w14:textId="77777777" w:rsidR="00D42588" w:rsidRPr="00572623" w:rsidRDefault="00D42588" w:rsidP="00425608">
            <w:pPr>
              <w:rPr>
                <w:rFonts w:ascii="Times New Roman" w:eastAsia="Times New Roman" w:hAnsi="Times New Roman" w:cs="Times New Roman"/>
                <w:color w:val="000000"/>
              </w:rPr>
            </w:pPr>
            <w:r w:rsidRPr="00572623">
              <w:rPr>
                <w:rFonts w:ascii="Times New Roman" w:eastAsia="Times New Roman" w:hAnsi="Times New Roman" w:cs="Times New Roman"/>
                <w:color w:val="000000"/>
              </w:rPr>
              <w:t>Other and unspecified injuries of head</w:t>
            </w:r>
          </w:p>
        </w:tc>
      </w:tr>
    </w:tbl>
    <w:p w14:paraId="129B4104" w14:textId="77777777" w:rsidR="00D42588" w:rsidRDefault="00D42588" w:rsidP="00823F53">
      <w:pPr>
        <w:rPr>
          <w:rFonts w:ascii="Times New Roman" w:hAnsi="Times New Roman" w:cs="Times New Roman"/>
        </w:rPr>
      </w:pPr>
    </w:p>
    <w:p w14:paraId="6919F3E4" w14:textId="77777777" w:rsidR="00D42588" w:rsidRDefault="00D42588" w:rsidP="004F181E">
      <w:pPr>
        <w:spacing w:line="480" w:lineRule="auto"/>
        <w:rPr>
          <w:rFonts w:ascii="Times New Roman" w:hAnsi="Times New Roman" w:cs="Times New Roman"/>
          <w:b/>
          <w:bCs/>
        </w:rPr>
      </w:pPr>
      <w:r>
        <w:rPr>
          <w:rFonts w:ascii="Times New Roman" w:hAnsi="Times New Roman" w:cs="Times New Roman"/>
        </w:rPr>
        <w:br w:type="column"/>
      </w:r>
      <w:r>
        <w:rPr>
          <w:rFonts w:ascii="Times New Roman" w:hAnsi="Times New Roman" w:cs="Times New Roman"/>
          <w:b/>
          <w:bCs/>
        </w:rPr>
        <w:lastRenderedPageBreak/>
        <w:t>Supplementary Figure Legends</w:t>
      </w:r>
    </w:p>
    <w:p w14:paraId="23AE6FEF" w14:textId="77777777" w:rsidR="00D42588" w:rsidRDefault="00D42588" w:rsidP="004F181E">
      <w:pPr>
        <w:spacing w:line="480" w:lineRule="auto"/>
        <w:rPr>
          <w:rFonts w:ascii="Times New Roman" w:hAnsi="Times New Roman" w:cs="Times New Roman"/>
          <w:b/>
          <w:bCs/>
        </w:rPr>
      </w:pPr>
      <w:r w:rsidRPr="004B6001">
        <w:rPr>
          <w:rFonts w:ascii="Times New Roman" w:hAnsi="Times New Roman" w:cs="Times New Roman"/>
          <w:b/>
          <w:bCs/>
        </w:rPr>
        <w:t>Figure S</w:t>
      </w:r>
      <w:r>
        <w:rPr>
          <w:rFonts w:ascii="Times New Roman" w:hAnsi="Times New Roman" w:cs="Times New Roman"/>
          <w:b/>
          <w:bCs/>
        </w:rPr>
        <w:t>1</w:t>
      </w:r>
      <w:r>
        <w:rPr>
          <w:rFonts w:ascii="Times New Roman" w:hAnsi="Times New Roman" w:cs="Times New Roman"/>
        </w:rPr>
        <w:t xml:space="preserve">. </w:t>
      </w:r>
      <w:r w:rsidRPr="00741CA0">
        <w:rPr>
          <w:rFonts w:ascii="Times New Roman" w:hAnsi="Times New Roman" w:cs="Times New Roman"/>
        </w:rPr>
        <w:t xml:space="preserve">Distribution (a) and prevalence (b) of SLEs on v0 and v2. SLEs: stressful life events. </w:t>
      </w:r>
      <w:r>
        <w:rPr>
          <w:rFonts w:ascii="Times New Roman" w:hAnsi="Times New Roman" w:cs="Times New Roman"/>
        </w:rPr>
        <w:t>v</w:t>
      </w:r>
      <w:r w:rsidRPr="00741CA0">
        <w:rPr>
          <w:rFonts w:ascii="Times New Roman" w:hAnsi="Times New Roman" w:cs="Times New Roman"/>
        </w:rPr>
        <w:t xml:space="preserve">0: initial assessment visit. </w:t>
      </w:r>
      <w:r>
        <w:rPr>
          <w:rFonts w:ascii="Times New Roman" w:hAnsi="Times New Roman" w:cs="Times New Roman"/>
        </w:rPr>
        <w:t>v</w:t>
      </w:r>
      <w:r w:rsidRPr="00741CA0">
        <w:rPr>
          <w:rFonts w:ascii="Times New Roman" w:hAnsi="Times New Roman" w:cs="Times New Roman"/>
        </w:rPr>
        <w:t xml:space="preserve">2: imaging visit. </w:t>
      </w:r>
      <w:r w:rsidRPr="002E6FEF">
        <w:rPr>
          <w:rFonts w:ascii="Times New Roman" w:hAnsi="Times New Roman" w:cs="Times New Roman"/>
        </w:rPr>
        <w:t xml:space="preserve">SLEs larger than 3 </w:t>
      </w:r>
      <w:r>
        <w:rPr>
          <w:rFonts w:ascii="Times New Roman" w:hAnsi="Times New Roman" w:cs="Times New Roman"/>
        </w:rPr>
        <w:t xml:space="preserve">were recoded </w:t>
      </w:r>
      <w:r w:rsidRPr="002E6FEF">
        <w:rPr>
          <w:rFonts w:ascii="Times New Roman" w:hAnsi="Times New Roman" w:cs="Times New Roman"/>
        </w:rPr>
        <w:t>as 3 to reduce right skewness</w:t>
      </w:r>
      <w:r>
        <w:rPr>
          <w:rFonts w:ascii="Times New Roman" w:hAnsi="Times New Roman" w:cs="Times New Roman"/>
        </w:rPr>
        <w:t>.</w:t>
      </w:r>
    </w:p>
    <w:p w14:paraId="7608F232" w14:textId="77777777" w:rsidR="00D42588" w:rsidRPr="00121B9D" w:rsidRDefault="00D42588" w:rsidP="004F181E">
      <w:pPr>
        <w:spacing w:line="480" w:lineRule="auto"/>
        <w:rPr>
          <w:rFonts w:ascii="Times New Roman" w:hAnsi="Times New Roman" w:cs="Times New Roman"/>
        </w:rPr>
      </w:pPr>
      <w:r>
        <w:rPr>
          <w:rFonts w:ascii="Times New Roman" w:hAnsi="Times New Roman" w:cs="Times New Roman"/>
          <w:b/>
          <w:bCs/>
        </w:rPr>
        <w:t xml:space="preserve">Figure S2. </w:t>
      </w:r>
      <w:r w:rsidRPr="00121B9D">
        <w:rPr>
          <w:rFonts w:ascii="Times New Roman" w:hAnsi="Times New Roman" w:cs="Times New Roman"/>
        </w:rPr>
        <w:t xml:space="preserve">Group differences in depressive symptoms across lifetime depression phenotypes. </w:t>
      </w:r>
      <w:r>
        <w:rPr>
          <w:rFonts w:ascii="Times New Roman" w:hAnsi="Times New Roman" w:cs="Times New Roman"/>
        </w:rPr>
        <w:t>v</w:t>
      </w:r>
      <w:r w:rsidRPr="00741CA0">
        <w:rPr>
          <w:rFonts w:ascii="Times New Roman" w:hAnsi="Times New Roman" w:cs="Times New Roman"/>
        </w:rPr>
        <w:t xml:space="preserve">0: initial assessment visit. </w:t>
      </w:r>
      <w:r>
        <w:rPr>
          <w:rFonts w:ascii="Times New Roman" w:hAnsi="Times New Roman" w:cs="Times New Roman"/>
        </w:rPr>
        <w:t>v</w:t>
      </w:r>
      <w:r w:rsidRPr="00741CA0">
        <w:rPr>
          <w:rFonts w:ascii="Times New Roman" w:hAnsi="Times New Roman" w:cs="Times New Roman"/>
        </w:rPr>
        <w:t xml:space="preserve">2: imaging visit. </w:t>
      </w:r>
      <w:r w:rsidRPr="00121B9D">
        <w:rPr>
          <w:rFonts w:ascii="Times New Roman" w:hAnsi="Times New Roman" w:cs="Times New Roman"/>
        </w:rPr>
        <w:t>Error bars represent standard deviation. ***p</w:t>
      </w:r>
      <w:r>
        <w:rPr>
          <w:rFonts w:ascii="Times New Roman" w:hAnsi="Times New Roman" w:cs="Times New Roman"/>
        </w:rPr>
        <w:t xml:space="preserve"> </w:t>
      </w:r>
      <w:r w:rsidRPr="00121B9D">
        <w:rPr>
          <w:rFonts w:ascii="Times New Roman" w:hAnsi="Times New Roman" w:cs="Times New Roman"/>
        </w:rPr>
        <w:t>&lt;</w:t>
      </w:r>
      <w:r>
        <w:rPr>
          <w:rFonts w:ascii="Times New Roman" w:hAnsi="Times New Roman" w:cs="Times New Roman"/>
        </w:rPr>
        <w:t xml:space="preserve"> </w:t>
      </w:r>
      <w:r w:rsidRPr="00121B9D">
        <w:rPr>
          <w:rFonts w:ascii="Times New Roman" w:hAnsi="Times New Roman" w:cs="Times New Roman"/>
        </w:rPr>
        <w:t>0.001</w:t>
      </w:r>
      <w:r>
        <w:rPr>
          <w:rFonts w:ascii="Times New Roman" w:hAnsi="Times New Roman" w:cs="Times New Roman"/>
        </w:rPr>
        <w:t>.</w:t>
      </w:r>
    </w:p>
    <w:p w14:paraId="50406837" w14:textId="77777777" w:rsidR="00D42588" w:rsidRPr="00741CA0" w:rsidRDefault="00D42588" w:rsidP="004F181E">
      <w:pPr>
        <w:spacing w:line="480" w:lineRule="auto"/>
        <w:rPr>
          <w:rFonts w:ascii="Times New Roman" w:hAnsi="Times New Roman" w:cs="Times New Roman"/>
        </w:rPr>
      </w:pPr>
      <w:r w:rsidRPr="007C219F">
        <w:rPr>
          <w:rFonts w:ascii="Times New Roman" w:hAnsi="Times New Roman" w:cs="Times New Roman"/>
          <w:b/>
          <w:bCs/>
        </w:rPr>
        <w:t>Figure S</w:t>
      </w:r>
      <w:r>
        <w:rPr>
          <w:rFonts w:ascii="Times New Roman" w:hAnsi="Times New Roman" w:cs="Times New Roman"/>
          <w:b/>
          <w:bCs/>
        </w:rPr>
        <w:t>3</w:t>
      </w:r>
      <w:r w:rsidRPr="007C219F">
        <w:rPr>
          <w:rFonts w:ascii="Times New Roman" w:hAnsi="Times New Roman" w:cs="Times New Roman"/>
        </w:rPr>
        <w:t xml:space="preserve">. Distribution of depressive symptoms on v0 and v2. v0: initial assessment visit. v2: imaging visit. </w:t>
      </w:r>
      <w:r>
        <w:rPr>
          <w:rFonts w:ascii="Times New Roman" w:hAnsi="Times New Roman" w:cs="Times New Roman"/>
        </w:rPr>
        <w:t>Raw scores of</w:t>
      </w:r>
      <w:r w:rsidRPr="00C61536">
        <w:rPr>
          <w:rFonts w:ascii="Times New Roman" w:hAnsi="Times New Roman" w:cs="Times New Roman"/>
        </w:rPr>
        <w:t xml:space="preserve"> depressive symptoms </w:t>
      </w:r>
      <w:r>
        <w:rPr>
          <w:rFonts w:ascii="Times New Roman" w:hAnsi="Times New Roman" w:cs="Times New Roman"/>
        </w:rPr>
        <w:t xml:space="preserve">were transformed </w:t>
      </w:r>
      <w:r w:rsidRPr="00C61536">
        <w:rPr>
          <w:rFonts w:ascii="Times New Roman" w:hAnsi="Times New Roman" w:cs="Times New Roman"/>
        </w:rPr>
        <w:t>to a 4-point scale to correct for right skewness (0 = 0, 1 = 1-2; 2 = 3-5, 3 = 6 or more).</w:t>
      </w:r>
    </w:p>
    <w:p w14:paraId="51EAF027" w14:textId="77777777" w:rsidR="00D42588" w:rsidRPr="00741CA0" w:rsidRDefault="00D42588" w:rsidP="004F181E">
      <w:pPr>
        <w:spacing w:line="480" w:lineRule="auto"/>
        <w:rPr>
          <w:rFonts w:ascii="Times New Roman" w:hAnsi="Times New Roman" w:cs="Times New Roman"/>
        </w:rPr>
      </w:pPr>
      <w:r w:rsidRPr="00741CA0">
        <w:rPr>
          <w:rFonts w:ascii="Times New Roman" w:hAnsi="Times New Roman" w:cs="Times New Roman"/>
          <w:b/>
          <w:bCs/>
        </w:rPr>
        <w:t>Figure S</w:t>
      </w:r>
      <w:r>
        <w:rPr>
          <w:rFonts w:ascii="Times New Roman" w:hAnsi="Times New Roman" w:cs="Times New Roman"/>
          <w:b/>
          <w:bCs/>
        </w:rPr>
        <w:t>4</w:t>
      </w:r>
      <w:r w:rsidRPr="00741CA0">
        <w:rPr>
          <w:rFonts w:ascii="Times New Roman" w:hAnsi="Times New Roman" w:cs="Times New Roman"/>
          <w:b/>
          <w:bCs/>
        </w:rPr>
        <w:t>.</w:t>
      </w:r>
      <w:r w:rsidRPr="00741CA0">
        <w:rPr>
          <w:rFonts w:ascii="Times New Roman" w:hAnsi="Times New Roman" w:cs="Times New Roman"/>
        </w:rPr>
        <w:t xml:space="preserve"> </w:t>
      </w:r>
      <w:r w:rsidRPr="00572623">
        <w:rPr>
          <w:rFonts w:ascii="Times New Roman" w:hAnsi="Times New Roman" w:cs="Times New Roman"/>
        </w:rPr>
        <w:t>Alternative structural equation model showing bidirectional relationship between depressive symptoms and SLEs and a direct effect of SLEs reported on v0 on depressive symptoms on v2. SLEs: stressful life events. SE: standard error. v0: initial assessment visit. v2: imaging visit.</w:t>
      </w:r>
    </w:p>
    <w:p w14:paraId="3D0BF0C5" w14:textId="77777777" w:rsidR="00D42588" w:rsidRDefault="00D42588" w:rsidP="003A6F3A">
      <w:pPr>
        <w:rPr>
          <w:rFonts w:ascii="Times New Roman" w:hAnsi="Times New Roman" w:cs="Times New Roman"/>
        </w:rPr>
      </w:pPr>
      <w:r>
        <w:rPr>
          <w:rFonts w:ascii="Times New Roman" w:hAnsi="Times New Roman" w:cs="Times New Roman"/>
        </w:rPr>
        <w:br w:type="column"/>
      </w:r>
      <w:r>
        <w:rPr>
          <w:rFonts w:ascii="Times New Roman" w:hAnsi="Times New Roman" w:cs="Times New Roman"/>
        </w:rPr>
        <w:lastRenderedPageBreak/>
        <w:t>Figure S1</w:t>
      </w:r>
    </w:p>
    <w:p w14:paraId="0E207EED" w14:textId="77777777" w:rsidR="00D42588" w:rsidRDefault="00D42588" w:rsidP="003A6F3A">
      <w:pPr>
        <w:rPr>
          <w:rFonts w:ascii="Times New Roman" w:hAnsi="Times New Roman" w:cs="Times New Roman"/>
        </w:rPr>
      </w:pPr>
    </w:p>
    <w:p w14:paraId="0FB1F6E8" w14:textId="77777777" w:rsidR="00D42588" w:rsidRDefault="00D42588" w:rsidP="003A6F3A">
      <w:pPr>
        <w:rPr>
          <w:rFonts w:ascii="Times New Roman" w:hAnsi="Times New Roman" w:cs="Times New Roman"/>
        </w:rPr>
      </w:pPr>
      <w:r>
        <w:rPr>
          <w:rFonts w:eastAsiaTheme="minorHAnsi"/>
          <w:b/>
          <w:bCs/>
          <w:noProof/>
        </w:rPr>
        <w:drawing>
          <wp:inline distT="0" distB="0" distL="0" distR="0" wp14:anchorId="77BE61DD" wp14:editId="4378AB4E">
            <wp:extent cx="6560984" cy="2882347"/>
            <wp:effectExtent l="0" t="0" r="5080" b="63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6602" cy="2893601"/>
                    </a:xfrm>
                    <a:prstGeom prst="rect">
                      <a:avLst/>
                    </a:prstGeom>
                  </pic:spPr>
                </pic:pic>
              </a:graphicData>
            </a:graphic>
          </wp:inline>
        </w:drawing>
      </w:r>
    </w:p>
    <w:p w14:paraId="3959ED96" w14:textId="77777777" w:rsidR="00D42588" w:rsidRDefault="00D42588" w:rsidP="00823F53">
      <w:pPr>
        <w:rPr>
          <w:rFonts w:ascii="Times New Roman" w:hAnsi="Times New Roman" w:cs="Times New Roman"/>
        </w:rPr>
      </w:pPr>
      <w:r>
        <w:rPr>
          <w:rFonts w:ascii="Times New Roman" w:hAnsi="Times New Roman" w:cs="Times New Roman"/>
        </w:rPr>
        <w:br w:type="column"/>
      </w:r>
      <w:r>
        <w:rPr>
          <w:rFonts w:ascii="Times New Roman" w:hAnsi="Times New Roman" w:cs="Times New Roman"/>
        </w:rPr>
        <w:lastRenderedPageBreak/>
        <w:t>Figure S2</w:t>
      </w:r>
    </w:p>
    <w:p w14:paraId="49FC5C06" w14:textId="77777777" w:rsidR="00D42588" w:rsidRDefault="00D42588" w:rsidP="003A6F3A">
      <w:pPr>
        <w:rPr>
          <w:rFonts w:ascii="Times New Roman" w:hAnsi="Times New Roman" w:cs="Times New Roman"/>
        </w:rPr>
      </w:pPr>
      <w:r>
        <w:rPr>
          <w:rFonts w:ascii="Times New Roman" w:hAnsi="Times New Roman" w:cs="Times New Roman"/>
          <w:noProof/>
        </w:rPr>
        <w:drawing>
          <wp:inline distT="0" distB="0" distL="0" distR="0" wp14:anchorId="43C4E3A8" wp14:editId="735E8D3A">
            <wp:extent cx="5943600" cy="3651250"/>
            <wp:effectExtent l="0" t="0" r="0" b="6350"/>
            <wp:docPr id="1730303887" name="Picture 1"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3887" name="Picture 1" descr="A picture containing text, diagram, screenshot, 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51250"/>
                    </a:xfrm>
                    <a:prstGeom prst="rect">
                      <a:avLst/>
                    </a:prstGeom>
                  </pic:spPr>
                </pic:pic>
              </a:graphicData>
            </a:graphic>
          </wp:inline>
        </w:drawing>
      </w:r>
      <w:r>
        <w:rPr>
          <w:rFonts w:ascii="Times New Roman" w:hAnsi="Times New Roman" w:cs="Times New Roman"/>
        </w:rPr>
        <w:br w:type="column"/>
      </w:r>
    </w:p>
    <w:p w14:paraId="7163256C" w14:textId="77777777" w:rsidR="00D42588" w:rsidRDefault="00D42588" w:rsidP="00823F53">
      <w:pPr>
        <w:rPr>
          <w:rFonts w:ascii="Times New Roman" w:hAnsi="Times New Roman" w:cs="Times New Roman"/>
        </w:rPr>
      </w:pPr>
      <w:r>
        <w:rPr>
          <w:rFonts w:ascii="Times New Roman" w:hAnsi="Times New Roman" w:cs="Times New Roman"/>
        </w:rPr>
        <w:t>Figure S3</w:t>
      </w:r>
    </w:p>
    <w:p w14:paraId="039F98DF" w14:textId="77777777" w:rsidR="00D42588" w:rsidRDefault="00D42588" w:rsidP="00823F53">
      <w:pPr>
        <w:rPr>
          <w:rFonts w:ascii="Times New Roman" w:hAnsi="Times New Roman" w:cs="Times New Roman"/>
        </w:rPr>
      </w:pPr>
    </w:p>
    <w:p w14:paraId="1CB8676C" w14:textId="77777777" w:rsidR="00D42588" w:rsidRPr="00572623" w:rsidRDefault="00D42588" w:rsidP="00823F53">
      <w:pPr>
        <w:rPr>
          <w:rFonts w:ascii="Times New Roman" w:hAnsi="Times New Roman" w:cs="Times New Roman"/>
        </w:rPr>
      </w:pPr>
      <w:r>
        <w:rPr>
          <w:rFonts w:ascii="Times New Roman" w:hAnsi="Times New Roman" w:cs="Times New Roman"/>
          <w:noProof/>
        </w:rPr>
        <w:drawing>
          <wp:inline distT="0" distB="0" distL="0" distR="0" wp14:anchorId="0D5CEB2D" wp14:editId="40B6CFA0">
            <wp:extent cx="3937000" cy="3327400"/>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937000" cy="3327400"/>
                    </a:xfrm>
                    <a:prstGeom prst="rect">
                      <a:avLst/>
                    </a:prstGeom>
                  </pic:spPr>
                </pic:pic>
              </a:graphicData>
            </a:graphic>
          </wp:inline>
        </w:drawing>
      </w:r>
      <w:r>
        <w:rPr>
          <w:rFonts w:ascii="Times New Roman" w:hAnsi="Times New Roman" w:cs="Times New Roman"/>
        </w:rPr>
        <w:br w:type="column"/>
      </w:r>
      <w:r w:rsidRPr="00572623">
        <w:rPr>
          <w:rFonts w:ascii="Times New Roman" w:hAnsi="Times New Roman" w:cs="Times New Roman"/>
        </w:rPr>
        <w:lastRenderedPageBreak/>
        <w:t>Figure S</w:t>
      </w:r>
      <w:r>
        <w:rPr>
          <w:rFonts w:ascii="Times New Roman" w:hAnsi="Times New Roman" w:cs="Times New Roman"/>
        </w:rPr>
        <w:t>4</w:t>
      </w:r>
    </w:p>
    <w:p w14:paraId="69646DDA" w14:textId="77777777" w:rsidR="00D42588" w:rsidRPr="00572623" w:rsidRDefault="00D42588" w:rsidP="00823F53">
      <w:pPr>
        <w:rPr>
          <w:rFonts w:ascii="Times New Roman" w:hAnsi="Times New Roman" w:cs="Times New Roman"/>
          <w:b/>
          <w:bCs/>
        </w:rPr>
      </w:pPr>
    </w:p>
    <w:p w14:paraId="4CD7394F" w14:textId="77777777" w:rsidR="00D42588" w:rsidRPr="00572623" w:rsidRDefault="00D42588" w:rsidP="00823F53">
      <w:pPr>
        <w:rPr>
          <w:rFonts w:ascii="Times New Roman" w:hAnsi="Times New Roman" w:cs="Times New Roman"/>
        </w:rPr>
      </w:pPr>
      <w:r>
        <w:rPr>
          <w:rFonts w:ascii="Times New Roman" w:hAnsi="Times New Roman" w:cs="Times New Roman"/>
          <w:noProof/>
        </w:rPr>
        <w:drawing>
          <wp:inline distT="0" distB="0" distL="0" distR="0" wp14:anchorId="40480265" wp14:editId="2590AB4B">
            <wp:extent cx="5943600" cy="2876550"/>
            <wp:effectExtent l="0" t="0" r="0" b="63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sectPr w:rsidR="00D42588" w:rsidRPr="00572623" w:rsidSect="004B6001">
      <w:headerReference w:type="even" r:id="rId1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5598B" w14:textId="77777777" w:rsidR="004B40B2" w:rsidRDefault="004B40B2" w:rsidP="0071265A">
      <w:r>
        <w:separator/>
      </w:r>
    </w:p>
  </w:endnote>
  <w:endnote w:type="continuationSeparator" w:id="0">
    <w:p w14:paraId="3C5A75EE" w14:textId="77777777" w:rsidR="004B40B2" w:rsidRDefault="004B40B2" w:rsidP="0071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CB67B" w14:textId="77777777" w:rsidR="004B40B2" w:rsidRDefault="004B40B2" w:rsidP="0071265A">
      <w:r>
        <w:separator/>
      </w:r>
    </w:p>
  </w:footnote>
  <w:footnote w:type="continuationSeparator" w:id="0">
    <w:p w14:paraId="7A7B6A77" w14:textId="77777777" w:rsidR="004B40B2" w:rsidRDefault="004B40B2" w:rsidP="00712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745169"/>
      <w:docPartObj>
        <w:docPartGallery w:val="Page Numbers (Top of Page)"/>
        <w:docPartUnique/>
      </w:docPartObj>
    </w:sdtPr>
    <w:sdtContent>
      <w:p w14:paraId="1211855E" w14:textId="483DB712" w:rsidR="0071265A" w:rsidRDefault="0071265A" w:rsidP="005A2C5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5D79AB" w14:textId="77777777" w:rsidR="0071265A" w:rsidRDefault="0071265A" w:rsidP="0071265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5600980"/>
      <w:docPartObj>
        <w:docPartGallery w:val="Page Numbers (Top of Page)"/>
        <w:docPartUnique/>
      </w:docPartObj>
    </w:sdtPr>
    <w:sdtContent>
      <w:p w14:paraId="3C872233" w14:textId="600A6347" w:rsidR="0071265A" w:rsidRDefault="0071265A" w:rsidP="005A2C5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85C945" w14:textId="77777777" w:rsidR="0071265A" w:rsidRDefault="0071265A" w:rsidP="0071265A">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BB7"/>
    <w:rsid w:val="00003028"/>
    <w:rsid w:val="00027796"/>
    <w:rsid w:val="000344C3"/>
    <w:rsid w:val="00061C4F"/>
    <w:rsid w:val="000923B0"/>
    <w:rsid w:val="00095570"/>
    <w:rsid w:val="000A2F57"/>
    <w:rsid w:val="000C2667"/>
    <w:rsid w:val="0010778C"/>
    <w:rsid w:val="00121B9D"/>
    <w:rsid w:val="001306E3"/>
    <w:rsid w:val="00151AD8"/>
    <w:rsid w:val="00162C43"/>
    <w:rsid w:val="001909BB"/>
    <w:rsid w:val="001B0E41"/>
    <w:rsid w:val="001C0DB1"/>
    <w:rsid w:val="001D5B2F"/>
    <w:rsid w:val="001E680A"/>
    <w:rsid w:val="00220B84"/>
    <w:rsid w:val="002221FE"/>
    <w:rsid w:val="0025167A"/>
    <w:rsid w:val="00253EE4"/>
    <w:rsid w:val="002549B9"/>
    <w:rsid w:val="00271A1D"/>
    <w:rsid w:val="00294B44"/>
    <w:rsid w:val="002A20CE"/>
    <w:rsid w:val="002B590A"/>
    <w:rsid w:val="002C6923"/>
    <w:rsid w:val="002E16D7"/>
    <w:rsid w:val="002E250D"/>
    <w:rsid w:val="002E6FEF"/>
    <w:rsid w:val="00305576"/>
    <w:rsid w:val="003070DC"/>
    <w:rsid w:val="00310E4D"/>
    <w:rsid w:val="00324328"/>
    <w:rsid w:val="003429DC"/>
    <w:rsid w:val="003549CA"/>
    <w:rsid w:val="00372F04"/>
    <w:rsid w:val="00385E0E"/>
    <w:rsid w:val="0039541E"/>
    <w:rsid w:val="0039569B"/>
    <w:rsid w:val="00395758"/>
    <w:rsid w:val="00397CD2"/>
    <w:rsid w:val="003A4E96"/>
    <w:rsid w:val="003A6F3A"/>
    <w:rsid w:val="003B3BAB"/>
    <w:rsid w:val="003C58C1"/>
    <w:rsid w:val="003E01EF"/>
    <w:rsid w:val="003E05A4"/>
    <w:rsid w:val="00425608"/>
    <w:rsid w:val="00426A0C"/>
    <w:rsid w:val="00444165"/>
    <w:rsid w:val="00450B19"/>
    <w:rsid w:val="00473CD1"/>
    <w:rsid w:val="00484511"/>
    <w:rsid w:val="00492CC8"/>
    <w:rsid w:val="004952DD"/>
    <w:rsid w:val="004A5E81"/>
    <w:rsid w:val="004B40B2"/>
    <w:rsid w:val="004B6001"/>
    <w:rsid w:val="004C246E"/>
    <w:rsid w:val="004D2CD3"/>
    <w:rsid w:val="004D46D0"/>
    <w:rsid w:val="004F181E"/>
    <w:rsid w:val="00500855"/>
    <w:rsid w:val="00507CA8"/>
    <w:rsid w:val="00543198"/>
    <w:rsid w:val="00561E5E"/>
    <w:rsid w:val="00572623"/>
    <w:rsid w:val="005C230F"/>
    <w:rsid w:val="005C4565"/>
    <w:rsid w:val="005C6E64"/>
    <w:rsid w:val="005F40E1"/>
    <w:rsid w:val="006050B2"/>
    <w:rsid w:val="00612516"/>
    <w:rsid w:val="00644297"/>
    <w:rsid w:val="006911EF"/>
    <w:rsid w:val="006923D0"/>
    <w:rsid w:val="006A08A1"/>
    <w:rsid w:val="006C6560"/>
    <w:rsid w:val="006E23B6"/>
    <w:rsid w:val="0071265A"/>
    <w:rsid w:val="00726DE2"/>
    <w:rsid w:val="00734876"/>
    <w:rsid w:val="00741CA0"/>
    <w:rsid w:val="007604A4"/>
    <w:rsid w:val="007611BB"/>
    <w:rsid w:val="007A492B"/>
    <w:rsid w:val="007C219F"/>
    <w:rsid w:val="007E7EF4"/>
    <w:rsid w:val="007F3E1D"/>
    <w:rsid w:val="007F5759"/>
    <w:rsid w:val="008057C3"/>
    <w:rsid w:val="00815B91"/>
    <w:rsid w:val="00823F53"/>
    <w:rsid w:val="00826F51"/>
    <w:rsid w:val="0082755D"/>
    <w:rsid w:val="0084511D"/>
    <w:rsid w:val="00850FBC"/>
    <w:rsid w:val="008516F1"/>
    <w:rsid w:val="0085591F"/>
    <w:rsid w:val="00895534"/>
    <w:rsid w:val="008D11B7"/>
    <w:rsid w:val="008E30EF"/>
    <w:rsid w:val="008F3B5D"/>
    <w:rsid w:val="0090461D"/>
    <w:rsid w:val="0091259D"/>
    <w:rsid w:val="00915BB0"/>
    <w:rsid w:val="00936C53"/>
    <w:rsid w:val="009534C6"/>
    <w:rsid w:val="00960987"/>
    <w:rsid w:val="009748D7"/>
    <w:rsid w:val="009830D0"/>
    <w:rsid w:val="00983CFD"/>
    <w:rsid w:val="009A098A"/>
    <w:rsid w:val="009B297D"/>
    <w:rsid w:val="009B33D3"/>
    <w:rsid w:val="009F2D8D"/>
    <w:rsid w:val="00A11945"/>
    <w:rsid w:val="00A34368"/>
    <w:rsid w:val="00A87160"/>
    <w:rsid w:val="00AB1ACF"/>
    <w:rsid w:val="00AD6FCB"/>
    <w:rsid w:val="00B260D4"/>
    <w:rsid w:val="00B41279"/>
    <w:rsid w:val="00B45A41"/>
    <w:rsid w:val="00B67E58"/>
    <w:rsid w:val="00BC0AF3"/>
    <w:rsid w:val="00BC6FCB"/>
    <w:rsid w:val="00C11EB9"/>
    <w:rsid w:val="00C24205"/>
    <w:rsid w:val="00C25DC5"/>
    <w:rsid w:val="00C34C34"/>
    <w:rsid w:val="00C36F34"/>
    <w:rsid w:val="00C46A51"/>
    <w:rsid w:val="00C61536"/>
    <w:rsid w:val="00C662F9"/>
    <w:rsid w:val="00CA3ECE"/>
    <w:rsid w:val="00CD58AD"/>
    <w:rsid w:val="00CD6CA1"/>
    <w:rsid w:val="00CF3BB7"/>
    <w:rsid w:val="00D027D2"/>
    <w:rsid w:val="00D42588"/>
    <w:rsid w:val="00D54472"/>
    <w:rsid w:val="00DA03D3"/>
    <w:rsid w:val="00DD06DE"/>
    <w:rsid w:val="00E22BBA"/>
    <w:rsid w:val="00E230C4"/>
    <w:rsid w:val="00E72009"/>
    <w:rsid w:val="00E74981"/>
    <w:rsid w:val="00E7536B"/>
    <w:rsid w:val="00E826AB"/>
    <w:rsid w:val="00E94E98"/>
    <w:rsid w:val="00EB37A7"/>
    <w:rsid w:val="00EC2F0A"/>
    <w:rsid w:val="00EF28EE"/>
    <w:rsid w:val="00F16037"/>
    <w:rsid w:val="00F1690E"/>
    <w:rsid w:val="00F269DF"/>
    <w:rsid w:val="00F35A31"/>
    <w:rsid w:val="00FC5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AC99B"/>
  <w15:docId w15:val="{47872DBA-5D9C-194A-B4D1-E34C0CFD2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DA03D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DA03D3"/>
    <w:pPr>
      <w:spacing w:before="100" w:beforeAutospacing="1" w:after="100" w:afterAutospacing="1"/>
    </w:pPr>
    <w:rPr>
      <w:rFonts w:ascii="Arial" w:eastAsia="Times New Roman" w:hAnsi="Arial" w:cs="Arial"/>
      <w:sz w:val="20"/>
      <w:szCs w:val="20"/>
    </w:rPr>
  </w:style>
  <w:style w:type="paragraph" w:customStyle="1" w:styleId="xl64">
    <w:name w:val="xl64"/>
    <w:basedOn w:val="Normal"/>
    <w:rsid w:val="00DA03D3"/>
    <w:pPr>
      <w:spacing w:before="100" w:beforeAutospacing="1" w:after="100" w:afterAutospacing="1"/>
    </w:pPr>
    <w:rPr>
      <w:rFonts w:ascii="Arial" w:eastAsia="Times New Roman" w:hAnsi="Arial" w:cs="Arial"/>
      <w:sz w:val="20"/>
      <w:szCs w:val="20"/>
    </w:rPr>
  </w:style>
  <w:style w:type="paragraph" w:customStyle="1" w:styleId="xl65">
    <w:name w:val="xl65"/>
    <w:basedOn w:val="Normal"/>
    <w:rsid w:val="00DA03D3"/>
    <w:pPr>
      <w:spacing w:before="100" w:beforeAutospacing="1" w:after="100" w:afterAutospacing="1"/>
    </w:pPr>
    <w:rPr>
      <w:rFonts w:ascii="Arial" w:eastAsia="Times New Roman" w:hAnsi="Arial" w:cs="Arial"/>
      <w:b/>
      <w:bCs/>
      <w:sz w:val="20"/>
      <w:szCs w:val="20"/>
    </w:rPr>
  </w:style>
  <w:style w:type="paragraph" w:customStyle="1" w:styleId="xl66">
    <w:name w:val="xl66"/>
    <w:basedOn w:val="Normal"/>
    <w:rsid w:val="00DA03D3"/>
    <w:pPr>
      <w:pBdr>
        <w:top w:val="single" w:sz="8" w:space="0" w:color="auto"/>
      </w:pBdr>
      <w:spacing w:before="100" w:beforeAutospacing="1" w:after="100" w:afterAutospacing="1"/>
    </w:pPr>
    <w:rPr>
      <w:rFonts w:ascii="Arial" w:eastAsia="Times New Roman" w:hAnsi="Arial" w:cs="Arial"/>
      <w:b/>
      <w:bCs/>
      <w:sz w:val="20"/>
      <w:szCs w:val="20"/>
    </w:rPr>
  </w:style>
  <w:style w:type="paragraph" w:customStyle="1" w:styleId="xl67">
    <w:name w:val="xl67"/>
    <w:basedOn w:val="Normal"/>
    <w:rsid w:val="00DA03D3"/>
    <w:pPr>
      <w:pBdr>
        <w:top w:val="single" w:sz="8" w:space="0" w:color="auto"/>
      </w:pBdr>
      <w:spacing w:before="100" w:beforeAutospacing="1" w:after="100" w:afterAutospacing="1"/>
      <w:jc w:val="center"/>
    </w:pPr>
    <w:rPr>
      <w:rFonts w:ascii="Arial" w:eastAsia="Times New Roman" w:hAnsi="Arial" w:cs="Arial"/>
      <w:b/>
      <w:bCs/>
      <w:sz w:val="20"/>
      <w:szCs w:val="20"/>
    </w:rPr>
  </w:style>
  <w:style w:type="paragraph" w:customStyle="1" w:styleId="xl68">
    <w:name w:val="xl68"/>
    <w:basedOn w:val="Normal"/>
    <w:rsid w:val="00DA03D3"/>
    <w:pPr>
      <w:pBdr>
        <w:top w:val="single" w:sz="8" w:space="0" w:color="auto"/>
      </w:pBdr>
      <w:spacing w:before="100" w:beforeAutospacing="1" w:after="100" w:afterAutospacing="1"/>
      <w:jc w:val="center"/>
    </w:pPr>
    <w:rPr>
      <w:rFonts w:ascii="Arial" w:eastAsia="Times New Roman" w:hAnsi="Arial" w:cs="Arial"/>
      <w:sz w:val="20"/>
      <w:szCs w:val="20"/>
    </w:rPr>
  </w:style>
  <w:style w:type="paragraph" w:customStyle="1" w:styleId="xl69">
    <w:name w:val="xl69"/>
    <w:basedOn w:val="Normal"/>
    <w:rsid w:val="00DA03D3"/>
    <w:pPr>
      <w:pBdr>
        <w:bottom w:val="single" w:sz="4" w:space="0" w:color="auto"/>
      </w:pBdr>
      <w:spacing w:before="100" w:beforeAutospacing="1" w:after="100" w:afterAutospacing="1"/>
    </w:pPr>
    <w:rPr>
      <w:rFonts w:ascii="Arial" w:eastAsia="Times New Roman" w:hAnsi="Arial" w:cs="Arial"/>
      <w:b/>
      <w:bCs/>
      <w:sz w:val="20"/>
      <w:szCs w:val="20"/>
    </w:rPr>
  </w:style>
  <w:style w:type="paragraph" w:customStyle="1" w:styleId="xl70">
    <w:name w:val="xl70"/>
    <w:basedOn w:val="Normal"/>
    <w:rsid w:val="00DA03D3"/>
    <w:pPr>
      <w:pBdr>
        <w:top w:val="single" w:sz="4" w:space="0" w:color="auto"/>
        <w:bottom w:val="single" w:sz="4" w:space="0" w:color="auto"/>
      </w:pBdr>
      <w:spacing w:before="100" w:beforeAutospacing="1" w:after="100" w:afterAutospacing="1"/>
      <w:textAlignment w:val="top"/>
    </w:pPr>
    <w:rPr>
      <w:rFonts w:ascii="Arial" w:eastAsia="Times New Roman" w:hAnsi="Arial" w:cs="Arial"/>
      <w:sz w:val="16"/>
      <w:szCs w:val="16"/>
    </w:rPr>
  </w:style>
  <w:style w:type="paragraph" w:styleId="Header">
    <w:name w:val="header"/>
    <w:basedOn w:val="Normal"/>
    <w:link w:val="HeaderChar"/>
    <w:uiPriority w:val="99"/>
    <w:unhideWhenUsed/>
    <w:rsid w:val="0071265A"/>
    <w:pPr>
      <w:tabs>
        <w:tab w:val="center" w:pos="4680"/>
        <w:tab w:val="right" w:pos="9360"/>
      </w:tabs>
    </w:pPr>
  </w:style>
  <w:style w:type="character" w:customStyle="1" w:styleId="HeaderChar">
    <w:name w:val="Header Char"/>
    <w:basedOn w:val="DefaultParagraphFont"/>
    <w:link w:val="Header"/>
    <w:uiPriority w:val="99"/>
    <w:rsid w:val="0071265A"/>
    <w:rPr>
      <w:rFonts w:eastAsiaTheme="minorEastAsia"/>
    </w:rPr>
  </w:style>
  <w:style w:type="character" w:styleId="PageNumber">
    <w:name w:val="page number"/>
    <w:basedOn w:val="DefaultParagraphFont"/>
    <w:uiPriority w:val="99"/>
    <w:semiHidden/>
    <w:unhideWhenUsed/>
    <w:rsid w:val="0071265A"/>
  </w:style>
  <w:style w:type="paragraph" w:styleId="NormalWeb">
    <w:name w:val="Normal (Web)"/>
    <w:basedOn w:val="Normal"/>
    <w:uiPriority w:val="99"/>
    <w:semiHidden/>
    <w:unhideWhenUsed/>
    <w:rsid w:val="00741CA0"/>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C2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5DC5"/>
    <w:rPr>
      <w:rFonts w:eastAsiaTheme="minorEastAsia"/>
    </w:rPr>
  </w:style>
  <w:style w:type="character" w:customStyle="1" w:styleId="whyltd">
    <w:name w:val="whyltd"/>
    <w:basedOn w:val="DefaultParagraphFont"/>
    <w:rsid w:val="00E7536B"/>
  </w:style>
  <w:style w:type="character" w:styleId="PlaceholderText">
    <w:name w:val="Placeholder Text"/>
    <w:basedOn w:val="DefaultParagraphFont"/>
    <w:uiPriority w:val="99"/>
    <w:semiHidden/>
    <w:rsid w:val="00D425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29321">
      <w:bodyDiv w:val="1"/>
      <w:marLeft w:val="0"/>
      <w:marRight w:val="0"/>
      <w:marTop w:val="0"/>
      <w:marBottom w:val="0"/>
      <w:divBdr>
        <w:top w:val="none" w:sz="0" w:space="0" w:color="auto"/>
        <w:left w:val="none" w:sz="0" w:space="0" w:color="auto"/>
        <w:bottom w:val="none" w:sz="0" w:space="0" w:color="auto"/>
        <w:right w:val="none" w:sz="0" w:space="0" w:color="auto"/>
      </w:divBdr>
    </w:div>
    <w:div w:id="433862973">
      <w:bodyDiv w:val="1"/>
      <w:marLeft w:val="0"/>
      <w:marRight w:val="0"/>
      <w:marTop w:val="0"/>
      <w:marBottom w:val="0"/>
      <w:divBdr>
        <w:top w:val="none" w:sz="0" w:space="0" w:color="auto"/>
        <w:left w:val="none" w:sz="0" w:space="0" w:color="auto"/>
        <w:bottom w:val="none" w:sz="0" w:space="0" w:color="auto"/>
        <w:right w:val="none" w:sz="0" w:space="0" w:color="auto"/>
      </w:divBdr>
    </w:div>
    <w:div w:id="525943915">
      <w:bodyDiv w:val="1"/>
      <w:marLeft w:val="0"/>
      <w:marRight w:val="0"/>
      <w:marTop w:val="0"/>
      <w:marBottom w:val="0"/>
      <w:divBdr>
        <w:top w:val="none" w:sz="0" w:space="0" w:color="auto"/>
        <w:left w:val="none" w:sz="0" w:space="0" w:color="auto"/>
        <w:bottom w:val="none" w:sz="0" w:space="0" w:color="auto"/>
        <w:right w:val="none" w:sz="0" w:space="0" w:color="auto"/>
      </w:divBdr>
    </w:div>
    <w:div w:id="645747837">
      <w:bodyDiv w:val="1"/>
      <w:marLeft w:val="0"/>
      <w:marRight w:val="0"/>
      <w:marTop w:val="0"/>
      <w:marBottom w:val="0"/>
      <w:divBdr>
        <w:top w:val="none" w:sz="0" w:space="0" w:color="auto"/>
        <w:left w:val="none" w:sz="0" w:space="0" w:color="auto"/>
        <w:bottom w:val="none" w:sz="0" w:space="0" w:color="auto"/>
        <w:right w:val="none" w:sz="0" w:space="0" w:color="auto"/>
      </w:divBdr>
    </w:div>
    <w:div w:id="767119112">
      <w:bodyDiv w:val="1"/>
      <w:marLeft w:val="0"/>
      <w:marRight w:val="0"/>
      <w:marTop w:val="0"/>
      <w:marBottom w:val="0"/>
      <w:divBdr>
        <w:top w:val="none" w:sz="0" w:space="0" w:color="auto"/>
        <w:left w:val="none" w:sz="0" w:space="0" w:color="auto"/>
        <w:bottom w:val="none" w:sz="0" w:space="0" w:color="auto"/>
        <w:right w:val="none" w:sz="0" w:space="0" w:color="auto"/>
      </w:divBdr>
    </w:div>
    <w:div w:id="781647932">
      <w:bodyDiv w:val="1"/>
      <w:marLeft w:val="0"/>
      <w:marRight w:val="0"/>
      <w:marTop w:val="0"/>
      <w:marBottom w:val="0"/>
      <w:divBdr>
        <w:top w:val="none" w:sz="0" w:space="0" w:color="auto"/>
        <w:left w:val="none" w:sz="0" w:space="0" w:color="auto"/>
        <w:bottom w:val="none" w:sz="0" w:space="0" w:color="auto"/>
        <w:right w:val="none" w:sz="0" w:space="0" w:color="auto"/>
      </w:divBdr>
    </w:div>
    <w:div w:id="1124466805">
      <w:bodyDiv w:val="1"/>
      <w:marLeft w:val="0"/>
      <w:marRight w:val="0"/>
      <w:marTop w:val="0"/>
      <w:marBottom w:val="0"/>
      <w:divBdr>
        <w:top w:val="none" w:sz="0" w:space="0" w:color="auto"/>
        <w:left w:val="none" w:sz="0" w:space="0" w:color="auto"/>
        <w:bottom w:val="none" w:sz="0" w:space="0" w:color="auto"/>
        <w:right w:val="none" w:sz="0" w:space="0" w:color="auto"/>
      </w:divBdr>
      <w:divsChild>
        <w:div w:id="2037153349">
          <w:marLeft w:val="480"/>
          <w:marRight w:val="0"/>
          <w:marTop w:val="0"/>
          <w:marBottom w:val="0"/>
          <w:divBdr>
            <w:top w:val="none" w:sz="0" w:space="0" w:color="auto"/>
            <w:left w:val="none" w:sz="0" w:space="0" w:color="auto"/>
            <w:bottom w:val="none" w:sz="0" w:space="0" w:color="auto"/>
            <w:right w:val="none" w:sz="0" w:space="0" w:color="auto"/>
          </w:divBdr>
        </w:div>
      </w:divsChild>
    </w:div>
    <w:div w:id="1348485078">
      <w:bodyDiv w:val="1"/>
      <w:marLeft w:val="0"/>
      <w:marRight w:val="0"/>
      <w:marTop w:val="0"/>
      <w:marBottom w:val="0"/>
      <w:divBdr>
        <w:top w:val="none" w:sz="0" w:space="0" w:color="auto"/>
        <w:left w:val="none" w:sz="0" w:space="0" w:color="auto"/>
        <w:bottom w:val="none" w:sz="0" w:space="0" w:color="auto"/>
        <w:right w:val="none" w:sz="0" w:space="0" w:color="auto"/>
      </w:divBdr>
    </w:div>
    <w:div w:id="1677686990">
      <w:bodyDiv w:val="1"/>
      <w:marLeft w:val="0"/>
      <w:marRight w:val="0"/>
      <w:marTop w:val="0"/>
      <w:marBottom w:val="0"/>
      <w:divBdr>
        <w:top w:val="none" w:sz="0" w:space="0" w:color="auto"/>
        <w:left w:val="none" w:sz="0" w:space="0" w:color="auto"/>
        <w:bottom w:val="none" w:sz="0" w:space="0" w:color="auto"/>
        <w:right w:val="none" w:sz="0" w:space="0" w:color="auto"/>
      </w:divBdr>
    </w:div>
    <w:div w:id="1739092664">
      <w:bodyDiv w:val="1"/>
      <w:marLeft w:val="0"/>
      <w:marRight w:val="0"/>
      <w:marTop w:val="0"/>
      <w:marBottom w:val="0"/>
      <w:divBdr>
        <w:top w:val="none" w:sz="0" w:space="0" w:color="auto"/>
        <w:left w:val="none" w:sz="0" w:space="0" w:color="auto"/>
        <w:bottom w:val="none" w:sz="0" w:space="0" w:color="auto"/>
        <w:right w:val="none" w:sz="0" w:space="0" w:color="auto"/>
      </w:divBdr>
    </w:div>
    <w:div w:id="1753352964">
      <w:bodyDiv w:val="1"/>
      <w:marLeft w:val="0"/>
      <w:marRight w:val="0"/>
      <w:marTop w:val="0"/>
      <w:marBottom w:val="0"/>
      <w:divBdr>
        <w:top w:val="none" w:sz="0" w:space="0" w:color="auto"/>
        <w:left w:val="none" w:sz="0" w:space="0" w:color="auto"/>
        <w:bottom w:val="none" w:sz="0" w:space="0" w:color="auto"/>
        <w:right w:val="none" w:sz="0" w:space="0" w:color="auto"/>
      </w:divBdr>
    </w:div>
    <w:div w:id="1901013812">
      <w:bodyDiv w:val="1"/>
      <w:marLeft w:val="0"/>
      <w:marRight w:val="0"/>
      <w:marTop w:val="0"/>
      <w:marBottom w:val="0"/>
      <w:divBdr>
        <w:top w:val="none" w:sz="0" w:space="0" w:color="auto"/>
        <w:left w:val="none" w:sz="0" w:space="0" w:color="auto"/>
        <w:bottom w:val="none" w:sz="0" w:space="0" w:color="auto"/>
        <w:right w:val="none" w:sz="0" w:space="0" w:color="auto"/>
      </w:divBdr>
    </w:div>
    <w:div w:id="1960842393">
      <w:bodyDiv w:val="1"/>
      <w:marLeft w:val="0"/>
      <w:marRight w:val="0"/>
      <w:marTop w:val="0"/>
      <w:marBottom w:val="0"/>
      <w:divBdr>
        <w:top w:val="none" w:sz="0" w:space="0" w:color="auto"/>
        <w:left w:val="none" w:sz="0" w:space="0" w:color="auto"/>
        <w:bottom w:val="none" w:sz="0" w:space="0" w:color="auto"/>
        <w:right w:val="none" w:sz="0" w:space="0" w:color="auto"/>
      </w:divBdr>
    </w:div>
    <w:div w:id="2115049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CDB7F28-E50E-C242-9B79-FF377D7C7A21}"/>
      </w:docPartPr>
      <w:docPartBody>
        <w:p w:rsidR="00000000" w:rsidRDefault="00E97535">
          <w:r w:rsidRPr="005C530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535"/>
    <w:rsid w:val="006A2424"/>
    <w:rsid w:val="00E97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753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768F86-6475-2E47-BD09-0B68FC268FC2}">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e05f2ceb-739b-4efc-a745-2da02bc9ed81&quot;,&quot;citationItems&quot;:[{&quot;id&quot;:&quot;f3140455-3ec3-3bce-900d-4da911095d2d&quot;,&quot;itemData&quot;:{&quot;DOI&quot;:&quot;10.1371/journal.pone.0075362&quot;,&quot;ISSN&quot;:&quot;19326203&quot;,&quot;PMID&quot;:&quot;24282498&quot;,&quot;abstract&quot;:&quot;Objectives: UK Biobank is a landmark cohort of over 500,000 participants which will be used to investigate genetic and non-genetic risk factors for a wide range of adverse health outcomes. This is the first study to systematically assess the prevalence and validity of proposed criteria for probable mood disorders within the cohort (major depression and bipolar disorder). Methods: This was a descriptive epidemiological study of 172,751 individuals assessed for a lifetime history of mood disorder in relation to a range of demographic, social, lifestyle, personality and health-related factors. The main outcomes were prevalence of a probable lifetime (single) episode of major depression, probable recurrent major depressive disorder (moderate), probable recurrent major depressive disorder (severe), probable bipolar disorder and no history of mood disorder (comparison group). Outcomes were compared on age, gender, ethnicity, socioeconomic status, educational attainment, functioning, self-reported health status, current depressive symptoms, neuroticism score, smoking status and alcohol use. Results: Prevalence rates for probable single lifetime episode of major depression (6.4%), probable recurrent major depression (moderate) (12.2%), probable recurrent major depression (severe) (7.2%) and probable bipolar disorder (1.3%) were comparable to those found in other population studies. The proposed diagnostic criteria have promising validity, with a gradient in evidence from no mood disorder through major depression and probable bipolar disorder in terms of gender distribution, socioeconomic status, self-reported health rating, current depressive symptoms and smoking. Significance: The validity of our proposed criteria for probable major depression and probable bipolar disorder within this cohort are supported by these cross-sectional analyses. Our findings are likely to prove useful as a framework for a wide range of future genetic and non-genetic studies. © 2013 Smith et al.&quot;,&quot;author&quot;:[{&quot;dropping-particle&quot;:&quot;&quot;,&quot;family&quot;:&quot;Smith&quot;,&quot;given&quot;:&quot;Daniel J.&quot;,&quot;non-dropping-particle&quot;:&quot;&quot;,&quot;parse-names&quot;:false,&quot;suffix&quot;:&quot;&quot;},{&quot;dropping-particle&quot;:&quot;&quot;,&quot;family&quot;:&quot;Nicholl&quot;,&quot;given&quot;:&quot;Barbara I.&quot;,&quot;non-dropping-particle&quot;:&quot;&quot;,&quot;parse-names&quot;:false,&quot;suffix&quot;:&quot;&quot;},{&quot;dropping-particle&quot;:&quot;&quot;,&quot;family&quot;:&quot;Cullen&quot;,&quot;given&quot;:&quot;Breda&quot;,&quot;non-dropping-particle&quot;:&quot;&quot;,&quot;parse-names&quot;:false,&quot;suffix&quot;:&quot;&quot;},{&quot;dropping-particle&quot;:&quot;&quot;,&quot;family&quot;:&quot;Martin&quot;,&quot;given&quot;:&quot;Daniel&quot;,&quot;non-dropping-particle&quot;:&quot;&quot;,&quot;parse-names&quot;:false,&quot;suffix&quot;:&quot;&quot;},{&quot;dropping-particle&quot;:&quot;&quot;,&quot;family&quot;:&quot;Ul-Haq&quot;,&quot;given&quot;:&quot;Zia&quot;,&quot;non-dropping-particle&quot;:&quot;&quot;,&quot;parse-names&quot;:false,&quot;suffix&quot;:&quot;&quot;},{&quot;dropping-particle&quot;:&quot;&quot;,&quot;family&quot;:&quot;Evans&quot;,&quot;given&quot;:&quot;Jonathan&quot;,&quot;non-dropping-particle&quot;:&quot;&quot;,&quot;parse-names&quot;:false,&quot;suffix&quot;:&quot;&quot;},{&quot;dropping-particle&quot;:&quot;&quot;,&quot;family&quot;:&quot;Gill&quot;,&quot;given&quot;:&quot;Jason M.R.&quot;,&quot;non-dropping-particle&quot;:&quot;&quot;,&quot;parse-names&quot;:false,&quot;suffix&quot;:&quot;&quot;},{&quot;dropping-particle&quot;:&quot;&quot;,&quot;family&quot;:&quot;Roberts&quot;,&quot;given&quot;:&quot;Beverly&quot;,&quot;non-dropping-particle&quot;:&quot;&quot;,&quot;parse-names&quot;:false,&quot;suffix&quot;:&quot;&quot;},{&quot;dropping-particle&quot;:&quot;&quot;,&quot;family&quot;:&quot;Gallacher&quot;,&quot;given&quot;:&quot;John&quot;,&quot;non-dropping-particle&quot;:&quot;&quot;,&quot;parse-names&quot;:false,&quot;suffix&quot;:&quot;&quot;},{&quot;dropping-particle&quot;:&quot;&quot;,&quot;family&quot;:&quot;Mackay&quot;,&quot;given&quot;:&quot;Daniel&quot;,&quot;non-dropping-particle&quot;:&quot;&quot;,&quot;parse-names&quot;:false,&quot;suffix&quot;:&quot;&quot;},{&quot;dropping-particle&quot;:&quot;&quot;,&quot;family&quot;:&quot;Hotopf&quot;,&quot;given&quot;:&quot;Matthew&quot;,&quot;non-dropping-particle&quot;:&quot;&quot;,&quot;parse-names&quot;:false,&quot;suffix&quot;:&quot;&quot;},{&quot;dropping-particle&quot;:&quot;&quot;,&quot;family&quot;:&quot;Deary&quot;,&quot;given&quot;:&quot;Ian&quot;,&quot;non-dropping-particle&quot;:&quot;&quot;,&quot;parse-names&quot;:false,&quot;suffix&quot;:&quot;&quot;},{&quot;dropping-particle&quot;:&quot;&quot;,&quot;family&quot;:&quot;Craddock&quot;,&quot;given&quot;:&quot;Nick&quot;,&quot;non-dropping-particle&quot;:&quot;&quot;,&quot;parse-names&quot;:false,&quot;suffix&quot;:&quot;&quot;},{&quot;dropping-particle&quot;:&quot;&quot;,&quot;family&quot;:&quot;Pell&quot;,&quot;given&quot;:&quot;Jill P.&quot;,&quot;non-dropping-particle&quot;:&quot;&quot;,&quot;parse-names&quot;:false,&quot;suffix&quot;:&quot;&quot;}],&quot;container-title&quot;:&quot;PLoS ONE&quot;,&quot;id&quot;:&quot;f3140455-3ec3-3bce-900d-4da911095d2d&quot;,&quot;issue&quot;:&quot;11&quot;,&quot;issued&quot;:{&quot;date-parts&quot;:[[&quot;2013&quot;]]},&quot;page&quot;:&quot;1-8&quot;,&quot;title&quot;:&quot;Prevalence and characteristics of probable major depression and bipolar disorder within UK Biobank: Cross-sectional study of 172,751 participants&quot;,&quot;type&quot;:&quot;article-journal&quot;,&quot;volume&quot;:&quot;8&quot;},&quot;uris&quot;:[&quot;http://www.mendeley.com/documents/?uuid=ae4f0e28-692d-41ee-bb1c-f464e031ec3e&quot;],&quot;isTemporary&quot;:false,&quot;legacyDesktopId&quot;:&quot;ae4f0e28-692d-41ee-bb1c-f464e031ec3e&quot;}],&quot;properties&quot;:{&quot;noteIndex&quot;:0},&quot;isEdited&quot;:false,&quot;manualOverride&quot;:{&quot;citeprocText&quot;:&quot;(Smith et al., 2013)&quot;,&quot;isManuallyOverridden&quot;:false,&quot;manualOverrideText&quot;:&quot;&quot;},&quot;citationTag&quot;:&quot;MENDELEY_CITATION_v3_eyJjaXRhdGlvbklEIjoiTUVOREVMRVlfQ0lUQVRJT05fZTA1ZjJjZWItNzM5Yi00ZWZjLWE3NDUtMmRhMDJiYzllZDgx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quot;},{&quot;citationID&quot;:&quot;MENDELEY_CITATION_aee9af31-7f5a-46ef-872a-b2ce22ad5503&quot;,&quot;citationItems&quot;:[{&quot;id&quot;:&quot;f3140455-3ec3-3bce-900d-4da911095d2d&quot;,&quot;itemData&quot;:{&quot;DOI&quot;:&quot;10.1371/journal.pone.0075362&quot;,&quot;ISSN&quot;:&quot;19326203&quot;,&quot;PMID&quot;:&quot;24282498&quot;,&quot;abstract&quot;:&quot;Objectives: UK Biobank is a landmark cohort of over 500,000 participants which will be used to investigate genetic and non-genetic risk factors for a wide range of adverse health outcomes. This is the first study to systematically assess the prevalence and validity of proposed criteria for probable mood disorders within the cohort (major depression and bipolar disorder). Methods: This was a descriptive epidemiological study of 172,751 individuals assessed for a lifetime history of mood disorder in relation to a range of demographic, social, lifestyle, personality and health-related factors. The main outcomes were prevalence of a probable lifetime (single) episode of major depression, probable recurrent major depressive disorder (moderate), probable recurrent major depressive disorder (severe), probable bipolar disorder and no history of mood disorder (comparison group). Outcomes were compared on age, gender, ethnicity, socioeconomic status, educational attainment, functioning, self-reported health status, current depressive symptoms, neuroticism score, smoking status and alcohol use. Results: Prevalence rates for probable single lifetime episode of major depression (6.4%), probable recurrent major depression (moderate) (12.2%), probable recurrent major depression (severe) (7.2%) and probable bipolar disorder (1.3%) were comparable to those found in other population studies. The proposed diagnostic criteria have promising validity, with a gradient in evidence from no mood disorder through major depression and probable bipolar disorder in terms of gender distribution, socioeconomic status, self-reported health rating, current depressive symptoms and smoking. Significance: The validity of our proposed criteria for probable major depression and probable bipolar disorder within this cohort are supported by these cross-sectional analyses. Our findings are likely to prove useful as a framework for a wide range of future genetic and non-genetic studies. © 2013 Smith et al.&quot;,&quot;author&quot;:[{&quot;dropping-particle&quot;:&quot;&quot;,&quot;family&quot;:&quot;Smith&quot;,&quot;given&quot;:&quot;Daniel J.&quot;,&quot;non-dropping-particle&quot;:&quot;&quot;,&quot;parse-names&quot;:false,&quot;suffix&quot;:&quot;&quot;},{&quot;dropping-particle&quot;:&quot;&quot;,&quot;family&quot;:&quot;Nicholl&quot;,&quot;given&quot;:&quot;Barbara I.&quot;,&quot;non-dropping-particle&quot;:&quot;&quot;,&quot;parse-names&quot;:false,&quot;suffix&quot;:&quot;&quot;},{&quot;dropping-particle&quot;:&quot;&quot;,&quot;family&quot;:&quot;Cullen&quot;,&quot;given&quot;:&quot;Breda&quot;,&quot;non-dropping-particle&quot;:&quot;&quot;,&quot;parse-names&quot;:false,&quot;suffix&quot;:&quot;&quot;},{&quot;dropping-particle&quot;:&quot;&quot;,&quot;family&quot;:&quot;Martin&quot;,&quot;given&quot;:&quot;Daniel&quot;,&quot;non-dropping-particle&quot;:&quot;&quot;,&quot;parse-names&quot;:false,&quot;suffix&quot;:&quot;&quot;},{&quot;dropping-particle&quot;:&quot;&quot;,&quot;family&quot;:&quot;Ul-Haq&quot;,&quot;given&quot;:&quot;Zia&quot;,&quot;non-dropping-particle&quot;:&quot;&quot;,&quot;parse-names&quot;:false,&quot;suffix&quot;:&quot;&quot;},{&quot;dropping-particle&quot;:&quot;&quot;,&quot;family&quot;:&quot;Evans&quot;,&quot;given&quot;:&quot;Jonathan&quot;,&quot;non-dropping-particle&quot;:&quot;&quot;,&quot;parse-names&quot;:false,&quot;suffix&quot;:&quot;&quot;},{&quot;dropping-particle&quot;:&quot;&quot;,&quot;family&quot;:&quot;Gill&quot;,&quot;given&quot;:&quot;Jason M.R.&quot;,&quot;non-dropping-particle&quot;:&quot;&quot;,&quot;parse-names&quot;:false,&quot;suffix&quot;:&quot;&quot;},{&quot;dropping-particle&quot;:&quot;&quot;,&quot;family&quot;:&quot;Roberts&quot;,&quot;given&quot;:&quot;Beverly&quot;,&quot;non-dropping-particle&quot;:&quot;&quot;,&quot;parse-names&quot;:false,&quot;suffix&quot;:&quot;&quot;},{&quot;dropping-particle&quot;:&quot;&quot;,&quot;family&quot;:&quot;Gallacher&quot;,&quot;given&quot;:&quot;John&quot;,&quot;non-dropping-particle&quot;:&quot;&quot;,&quot;parse-names&quot;:false,&quot;suffix&quot;:&quot;&quot;},{&quot;dropping-particle&quot;:&quot;&quot;,&quot;family&quot;:&quot;Mackay&quot;,&quot;given&quot;:&quot;Daniel&quot;,&quot;non-dropping-particle&quot;:&quot;&quot;,&quot;parse-names&quot;:false,&quot;suffix&quot;:&quot;&quot;},{&quot;dropping-particle&quot;:&quot;&quot;,&quot;family&quot;:&quot;Hotopf&quot;,&quot;given&quot;:&quot;Matthew&quot;,&quot;non-dropping-particle&quot;:&quot;&quot;,&quot;parse-names&quot;:false,&quot;suffix&quot;:&quot;&quot;},{&quot;dropping-particle&quot;:&quot;&quot;,&quot;family&quot;:&quot;Deary&quot;,&quot;given&quot;:&quot;Ian&quot;,&quot;non-dropping-particle&quot;:&quot;&quot;,&quot;parse-names&quot;:false,&quot;suffix&quot;:&quot;&quot;},{&quot;dropping-particle&quot;:&quot;&quot;,&quot;family&quot;:&quot;Craddock&quot;,&quot;given&quot;:&quot;Nick&quot;,&quot;non-dropping-particle&quot;:&quot;&quot;,&quot;parse-names&quot;:false,&quot;suffix&quot;:&quot;&quot;},{&quot;dropping-particle&quot;:&quot;&quot;,&quot;family&quot;:&quot;Pell&quot;,&quot;given&quot;:&quot;Jill P.&quot;,&quot;non-dropping-particle&quot;:&quot;&quot;,&quot;parse-names&quot;:false,&quot;suffix&quot;:&quot;&quot;}],&quot;container-title&quot;:&quot;PLoS ONE&quot;,&quot;id&quot;:&quot;f3140455-3ec3-3bce-900d-4da911095d2d&quot;,&quot;issue&quot;:&quot;11&quot;,&quot;issued&quot;:{&quot;date-parts&quot;:[[&quot;2013&quot;]]},&quot;page&quot;:&quot;1-8&quot;,&quot;title&quot;:&quot;Prevalence and characteristics of probable major depression and bipolar disorder within UK Biobank: Cross-sectional study of 172,751 participants&quot;,&quot;type&quot;:&quot;article-journal&quot;,&quot;volume&quot;:&quot;8&quot;},&quot;uris&quot;:[&quot;http://www.mendeley.com/documents/?uuid=ae4f0e28-692d-41ee-bb1c-f464e031ec3e&quot;],&quot;isTemporary&quot;:false,&quot;legacyDesktopId&quot;:&quot;ae4f0e28-692d-41ee-bb1c-f464e031ec3e&quot;}],&quot;properties&quot;:{&quot;noteIndex&quot;:0},&quot;isEdited&quot;:false,&quot;manualOverride&quot;:{&quot;citeprocText&quot;:&quot;(Smith et al., 2013)&quot;,&quot;isManuallyOverridden&quot;:false,&quot;manualOverrideText&quot;:&quot;&quot;},&quot;citationTag&quot;:&quot;MENDELEY_CITATION_v3_eyJjaXRhdGlvbklEIjoiTUVOREVMRVlfQ0lUQVRJT05fYWVlOWFmMzEtN2Y1YS00NmVmLTg3MmEtYjJjZTIyYWQ1NTAz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quot;},{&quot;citationID&quot;:&quot;MENDELEY_CITATION_e5d87267-ab45-4291-ab4f-3c345989ab9d&quot;,&quot;citationItems&quot;:[{&quot;id&quot;:&quot;f3140455-3ec3-3bce-900d-4da911095d2d&quot;,&quot;itemData&quot;:{&quot;DOI&quot;:&quot;10.1371/journal.pone.0075362&quot;,&quot;ISSN&quot;:&quot;19326203&quot;,&quot;PMID&quot;:&quot;24282498&quot;,&quot;abstract&quot;:&quot;Objectives: UK Biobank is a landmark cohort of over 500,000 participants which will be used to investigate genetic and non-genetic risk factors for a wide range of adverse health outcomes. This is the first study to systematically assess the prevalence and validity of proposed criteria for probable mood disorders within the cohort (major depression and bipolar disorder). Methods: This was a descriptive epidemiological study of 172,751 individuals assessed for a lifetime history of mood disorder in relation to a range of demographic, social, lifestyle, personality and health-related factors. The main outcomes were prevalence of a probable lifetime (single) episode of major depression, probable recurrent major depressive disorder (moderate), probable recurrent major depressive disorder (severe), probable bipolar disorder and no history of mood disorder (comparison group). Outcomes were compared on age, gender, ethnicity, socioeconomic status, educational attainment, functioning, self-reported health status, current depressive symptoms, neuroticism score, smoking status and alcohol use. Results: Prevalence rates for probable single lifetime episode of major depression (6.4%), probable recurrent major depression (moderate) (12.2%), probable recurrent major depression (severe) (7.2%) and probable bipolar disorder (1.3%) were comparable to those found in other population studies. The proposed diagnostic criteria have promising validity, with a gradient in evidence from no mood disorder through major depression and probable bipolar disorder in terms of gender distribution, socioeconomic status, self-reported health rating, current depressive symptoms and smoking. Significance: The validity of our proposed criteria for probable major depression and probable bipolar disorder within this cohort are supported by these cross-sectional analyses. Our findings are likely to prove useful as a framework for a wide range of future genetic and non-genetic studies. © 2013 Smith et al.&quot;,&quot;author&quot;:[{&quot;dropping-particle&quot;:&quot;&quot;,&quot;family&quot;:&quot;Smith&quot;,&quot;given&quot;:&quot;Daniel J.&quot;,&quot;non-dropping-particle&quot;:&quot;&quot;,&quot;parse-names&quot;:false,&quot;suffix&quot;:&quot;&quot;},{&quot;dropping-particle&quot;:&quot;&quot;,&quot;family&quot;:&quot;Nicholl&quot;,&quot;given&quot;:&quot;Barbara I.&quot;,&quot;non-dropping-particle&quot;:&quot;&quot;,&quot;parse-names&quot;:false,&quot;suffix&quot;:&quot;&quot;},{&quot;dropping-particle&quot;:&quot;&quot;,&quot;family&quot;:&quot;Cullen&quot;,&quot;given&quot;:&quot;Breda&quot;,&quot;non-dropping-particle&quot;:&quot;&quot;,&quot;parse-names&quot;:false,&quot;suffix&quot;:&quot;&quot;},{&quot;dropping-particle&quot;:&quot;&quot;,&quot;family&quot;:&quot;Martin&quot;,&quot;given&quot;:&quot;Daniel&quot;,&quot;non-dropping-particle&quot;:&quot;&quot;,&quot;parse-names&quot;:false,&quot;suffix&quot;:&quot;&quot;},{&quot;dropping-particle&quot;:&quot;&quot;,&quot;family&quot;:&quot;Ul-Haq&quot;,&quot;given&quot;:&quot;Zia&quot;,&quot;non-dropping-particle&quot;:&quot;&quot;,&quot;parse-names&quot;:false,&quot;suffix&quot;:&quot;&quot;},{&quot;dropping-particle&quot;:&quot;&quot;,&quot;family&quot;:&quot;Evans&quot;,&quot;given&quot;:&quot;Jonathan&quot;,&quot;non-dropping-particle&quot;:&quot;&quot;,&quot;parse-names&quot;:false,&quot;suffix&quot;:&quot;&quot;},{&quot;dropping-particle&quot;:&quot;&quot;,&quot;family&quot;:&quot;Gill&quot;,&quot;given&quot;:&quot;Jason M.R.&quot;,&quot;non-dropping-particle&quot;:&quot;&quot;,&quot;parse-names&quot;:false,&quot;suffix&quot;:&quot;&quot;},{&quot;dropping-particle&quot;:&quot;&quot;,&quot;family&quot;:&quot;Roberts&quot;,&quot;given&quot;:&quot;Beverly&quot;,&quot;non-dropping-particle&quot;:&quot;&quot;,&quot;parse-names&quot;:false,&quot;suffix&quot;:&quot;&quot;},{&quot;dropping-particle&quot;:&quot;&quot;,&quot;family&quot;:&quot;Gallacher&quot;,&quot;given&quot;:&quot;John&quot;,&quot;non-dropping-particle&quot;:&quot;&quot;,&quot;parse-names&quot;:false,&quot;suffix&quot;:&quot;&quot;},{&quot;dropping-particle&quot;:&quot;&quot;,&quot;family&quot;:&quot;Mackay&quot;,&quot;given&quot;:&quot;Daniel&quot;,&quot;non-dropping-particle&quot;:&quot;&quot;,&quot;parse-names&quot;:false,&quot;suffix&quot;:&quot;&quot;},{&quot;dropping-particle&quot;:&quot;&quot;,&quot;family&quot;:&quot;Hotopf&quot;,&quot;given&quot;:&quot;Matthew&quot;,&quot;non-dropping-particle&quot;:&quot;&quot;,&quot;parse-names&quot;:false,&quot;suffix&quot;:&quot;&quot;},{&quot;dropping-particle&quot;:&quot;&quot;,&quot;family&quot;:&quot;Deary&quot;,&quot;given&quot;:&quot;Ian&quot;,&quot;non-dropping-particle&quot;:&quot;&quot;,&quot;parse-names&quot;:false,&quot;suffix&quot;:&quot;&quot;},{&quot;dropping-particle&quot;:&quot;&quot;,&quot;family&quot;:&quot;Craddock&quot;,&quot;given&quot;:&quot;Nick&quot;,&quot;non-dropping-particle&quot;:&quot;&quot;,&quot;parse-names&quot;:false,&quot;suffix&quot;:&quot;&quot;},{&quot;dropping-particle&quot;:&quot;&quot;,&quot;family&quot;:&quot;Pell&quot;,&quot;given&quot;:&quot;Jill P.&quot;,&quot;non-dropping-particle&quot;:&quot;&quot;,&quot;parse-names&quot;:false,&quot;suffix&quot;:&quot;&quot;}],&quot;container-title&quot;:&quot;PLoS ONE&quot;,&quot;id&quot;:&quot;f3140455-3ec3-3bce-900d-4da911095d2d&quot;,&quot;issue&quot;:&quot;11&quot;,&quot;issued&quot;:{&quot;date-parts&quot;:[[&quot;2013&quot;]]},&quot;page&quot;:&quot;1-8&quot;,&quot;title&quot;:&quot;Prevalence and characteristics of probable major depression and bipolar disorder within UK Biobank: Cross-sectional study of 172,751 participants&quot;,&quot;type&quot;:&quot;article-journal&quot;,&quot;volume&quot;:&quot;8&quot;},&quot;uris&quot;:[&quot;http://www.mendeley.com/documents/?uuid=ae4f0e28-692d-41ee-bb1c-f464e031ec3e&quot;],&quot;isTemporary&quot;:false,&quot;legacyDesktopId&quot;:&quot;ae4f0e28-692d-41ee-bb1c-f464e031ec3e&quot;}],&quot;properties&quot;:{&quot;noteIndex&quot;:0},&quot;isEdited&quot;:false,&quot;manualOverride&quot;:{&quot;citeprocText&quot;:&quot;(Smith et al., 2013)&quot;,&quot;isManuallyOverridden&quot;:false,&quot;manualOverrideText&quot;:&quot;&quot;},&quot;citationTag&quot;:&quot;MENDELEY_CITATION_v3_eyJjaXRhdGlvbklEIjoiTUVOREVMRVlfQ0lUQVRJT05fZTVkODcyNjctYWI0NS00MjkxLWFiNGYtM2MzNDU5ODlhYjlk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quot;},{&quot;citationID&quot;:&quot;MENDELEY_CITATION_bd5a35b4-c7a5-4888-ac70-b12c70f9431b&quot;,&quot;citationItems&quot;:[{&quot;id&quot;:&quot;f3140455-3ec3-3bce-900d-4da911095d2d&quot;,&quot;itemData&quot;:{&quot;DOI&quot;:&quot;10.1371/journal.pone.0075362&quot;,&quot;ISSN&quot;:&quot;19326203&quot;,&quot;PMID&quot;:&quot;24282498&quot;,&quot;abstract&quot;:&quot;Objectives: UK Biobank is a landmark cohort of over 500,000 participants which will be used to investigate genetic and non-genetic risk factors for a wide range of adverse health outcomes. This is the first study to systematically assess the prevalence and validity of proposed criteria for probable mood disorders within the cohort (major depression and bipolar disorder). Methods: This was a descriptive epidemiological study of 172,751 individuals assessed for a lifetime history of mood disorder in relation to a range of demographic, social, lifestyle, personality and health-related factors. The main outcomes were prevalence of a probable lifetime (single) episode of major depression, probable recurrent major depressive disorder (moderate), probable recurrent major depressive disorder (severe), probable bipolar disorder and no history of mood disorder (comparison group). Outcomes were compared on age, gender, ethnicity, socioeconomic status, educational attainment, functioning, self-reported health status, current depressive symptoms, neuroticism score, smoking status and alcohol use. Results: Prevalence rates for probable single lifetime episode of major depression (6.4%), probable recurrent major depression (moderate) (12.2%), probable recurrent major depression (severe) (7.2%) and probable bipolar disorder (1.3%) were comparable to those found in other population studies. The proposed diagnostic criteria have promising validity, with a gradient in evidence from no mood disorder through major depression and probable bipolar disorder in terms of gender distribution, socioeconomic status, self-reported health rating, current depressive symptoms and smoking. Significance: The validity of our proposed criteria for probable major depression and probable bipolar disorder within this cohort are supported by these cross-sectional analyses. Our findings are likely to prove useful as a framework for a wide range of future genetic and non-genetic studies. © 2013 Smith et al.&quot;,&quot;author&quot;:[{&quot;dropping-particle&quot;:&quot;&quot;,&quot;family&quot;:&quot;Smith&quot;,&quot;given&quot;:&quot;Daniel J.&quot;,&quot;non-dropping-particle&quot;:&quot;&quot;,&quot;parse-names&quot;:false,&quot;suffix&quot;:&quot;&quot;},{&quot;dropping-particle&quot;:&quot;&quot;,&quot;family&quot;:&quot;Nicholl&quot;,&quot;given&quot;:&quot;Barbara I.&quot;,&quot;non-dropping-particle&quot;:&quot;&quot;,&quot;parse-names&quot;:false,&quot;suffix&quot;:&quot;&quot;},{&quot;dropping-particle&quot;:&quot;&quot;,&quot;family&quot;:&quot;Cullen&quot;,&quot;given&quot;:&quot;Breda&quot;,&quot;non-dropping-particle&quot;:&quot;&quot;,&quot;parse-names&quot;:false,&quot;suffix&quot;:&quot;&quot;},{&quot;dropping-particle&quot;:&quot;&quot;,&quot;family&quot;:&quot;Martin&quot;,&quot;given&quot;:&quot;Daniel&quot;,&quot;non-dropping-particle&quot;:&quot;&quot;,&quot;parse-names&quot;:false,&quot;suffix&quot;:&quot;&quot;},{&quot;dropping-particle&quot;:&quot;&quot;,&quot;family&quot;:&quot;Ul-Haq&quot;,&quot;given&quot;:&quot;Zia&quot;,&quot;non-dropping-particle&quot;:&quot;&quot;,&quot;parse-names&quot;:false,&quot;suffix&quot;:&quot;&quot;},{&quot;dropping-particle&quot;:&quot;&quot;,&quot;family&quot;:&quot;Evans&quot;,&quot;given&quot;:&quot;Jonathan&quot;,&quot;non-dropping-particle&quot;:&quot;&quot;,&quot;parse-names&quot;:false,&quot;suffix&quot;:&quot;&quot;},{&quot;dropping-particle&quot;:&quot;&quot;,&quot;family&quot;:&quot;Gill&quot;,&quot;given&quot;:&quot;Jason M.R.&quot;,&quot;non-dropping-particle&quot;:&quot;&quot;,&quot;parse-names&quot;:false,&quot;suffix&quot;:&quot;&quot;},{&quot;dropping-particle&quot;:&quot;&quot;,&quot;family&quot;:&quot;Roberts&quot;,&quot;given&quot;:&quot;Beverly&quot;,&quot;non-dropping-particle&quot;:&quot;&quot;,&quot;parse-names&quot;:false,&quot;suffix&quot;:&quot;&quot;},{&quot;dropping-particle&quot;:&quot;&quot;,&quot;family&quot;:&quot;Gallacher&quot;,&quot;given&quot;:&quot;John&quot;,&quot;non-dropping-particle&quot;:&quot;&quot;,&quot;parse-names&quot;:false,&quot;suffix&quot;:&quot;&quot;},{&quot;dropping-particle&quot;:&quot;&quot;,&quot;family&quot;:&quot;Mackay&quot;,&quot;given&quot;:&quot;Daniel&quot;,&quot;non-dropping-particle&quot;:&quot;&quot;,&quot;parse-names&quot;:false,&quot;suffix&quot;:&quot;&quot;},{&quot;dropping-particle&quot;:&quot;&quot;,&quot;family&quot;:&quot;Hotopf&quot;,&quot;given&quot;:&quot;Matthew&quot;,&quot;non-dropping-particle&quot;:&quot;&quot;,&quot;parse-names&quot;:false,&quot;suffix&quot;:&quot;&quot;},{&quot;dropping-particle&quot;:&quot;&quot;,&quot;family&quot;:&quot;Deary&quot;,&quot;given&quot;:&quot;Ian&quot;,&quot;non-dropping-particle&quot;:&quot;&quot;,&quot;parse-names&quot;:false,&quot;suffix&quot;:&quot;&quot;},{&quot;dropping-particle&quot;:&quot;&quot;,&quot;family&quot;:&quot;Craddock&quot;,&quot;given&quot;:&quot;Nick&quot;,&quot;non-dropping-particle&quot;:&quot;&quot;,&quot;parse-names&quot;:false,&quot;suffix&quot;:&quot;&quot;},{&quot;dropping-particle&quot;:&quot;&quot;,&quot;family&quot;:&quot;Pell&quot;,&quot;given&quot;:&quot;Jill P.&quot;,&quot;non-dropping-particle&quot;:&quot;&quot;,&quot;parse-names&quot;:false,&quot;suffix&quot;:&quot;&quot;}],&quot;container-title&quot;:&quot;PLoS ONE&quot;,&quot;id&quot;:&quot;f3140455-3ec3-3bce-900d-4da911095d2d&quot;,&quot;issue&quot;:&quot;11&quot;,&quot;issued&quot;:{&quot;date-parts&quot;:[[&quot;2013&quot;]]},&quot;page&quot;:&quot;1-8&quot;,&quot;title&quot;:&quot;Prevalence and characteristics of probable major depression and bipolar disorder within UK Biobank: Cross-sectional study of 172,751 participants&quot;,&quot;type&quot;:&quot;article-journal&quot;,&quot;volume&quot;:&quot;8&quot;},&quot;uris&quot;:[&quot;http://www.mendeley.com/documents/?uuid=ae4f0e28-692d-41ee-bb1c-f464e031ec3e&quot;],&quot;isTemporary&quot;:false,&quot;legacyDesktopId&quot;:&quot;ae4f0e28-692d-41ee-bb1c-f464e031ec3e&quot;}],&quot;properties&quot;:{&quot;noteIndex&quot;:0},&quot;isEdited&quot;:false,&quot;manualOverride&quot;:{&quot;citeprocText&quot;:&quot;(Smith et al., 2013)&quot;,&quot;isManuallyOverridden&quot;:false,&quot;manualOverrideText&quot;:&quot;&quot;},&quot;citationTag&quot;:&quot;MENDELEY_CITATION_v3_eyJjaXRhdGlvbklEIjoiTUVOREVMRVlfQ0lUQVRJT05fYmQ1YTM1YjQtYzdhNS00ODg4LWFjNzAtYjEyYzcwZjk0MzFi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quot;},{&quot;citationID&quot;:&quot;MENDELEY_CITATION_c7966966-74e9-4bf5-8090-e3f711abc632&quot;,&quot;citationItems&quot;:[{&quot;id&quot;:&quot;f3140455-3ec3-3bce-900d-4da911095d2d&quot;,&quot;itemData&quot;:{&quot;DOI&quot;:&quot;10.1371/journal.pone.0075362&quot;,&quot;ISSN&quot;:&quot;19326203&quot;,&quot;PMID&quot;:&quot;24282498&quot;,&quot;abstract&quot;:&quot;Objectives: UK Biobank is a landmark cohort of over 500,000 participants which will be used to investigate genetic and non-genetic risk factors for a wide range of adverse health outcomes. This is the first study to systematically assess the prevalence and validity of proposed criteria for probable mood disorders within the cohort (major depression and bipolar disorder). Methods: This was a descriptive epidemiological study of 172,751 individuals assessed for a lifetime history of mood disorder in relation to a range of demographic, social, lifestyle, personality and health-related factors. The main outcomes were prevalence of a probable lifetime (single) episode of major depression, probable recurrent major depressive disorder (moderate), probable recurrent major depressive disorder (severe), probable bipolar disorder and no history of mood disorder (comparison group). Outcomes were compared on age, gender, ethnicity, socioeconomic status, educational attainment, functioning, self-reported health status, current depressive symptoms, neuroticism score, smoking status and alcohol use. Results: Prevalence rates for probable single lifetime episode of major depression (6.4%), probable recurrent major depression (moderate) (12.2%), probable recurrent major depression (severe) (7.2%) and probable bipolar disorder (1.3%) were comparable to those found in other population studies. The proposed diagnostic criteria have promising validity, with a gradient in evidence from no mood disorder through major depression and probable bipolar disorder in terms of gender distribution, socioeconomic status, self-reported health rating, current depressive symptoms and smoking. Significance: The validity of our proposed criteria for probable major depression and probable bipolar disorder within this cohort are supported by these cross-sectional analyses. Our findings are likely to prove useful as a framework for a wide range of future genetic and non-genetic studies. © 2013 Smith et al.&quot;,&quot;author&quot;:[{&quot;dropping-particle&quot;:&quot;&quot;,&quot;family&quot;:&quot;Smith&quot;,&quot;given&quot;:&quot;Daniel J.&quot;,&quot;non-dropping-particle&quot;:&quot;&quot;,&quot;parse-names&quot;:false,&quot;suffix&quot;:&quot;&quot;},{&quot;dropping-particle&quot;:&quot;&quot;,&quot;family&quot;:&quot;Nicholl&quot;,&quot;given&quot;:&quot;Barbara I.&quot;,&quot;non-dropping-particle&quot;:&quot;&quot;,&quot;parse-names&quot;:false,&quot;suffix&quot;:&quot;&quot;},{&quot;dropping-particle&quot;:&quot;&quot;,&quot;family&quot;:&quot;Cullen&quot;,&quot;given&quot;:&quot;Breda&quot;,&quot;non-dropping-particle&quot;:&quot;&quot;,&quot;parse-names&quot;:false,&quot;suffix&quot;:&quot;&quot;},{&quot;dropping-particle&quot;:&quot;&quot;,&quot;family&quot;:&quot;Martin&quot;,&quot;given&quot;:&quot;Daniel&quot;,&quot;non-dropping-particle&quot;:&quot;&quot;,&quot;parse-names&quot;:false,&quot;suffix&quot;:&quot;&quot;},{&quot;dropping-particle&quot;:&quot;&quot;,&quot;family&quot;:&quot;Ul-Haq&quot;,&quot;given&quot;:&quot;Zia&quot;,&quot;non-dropping-particle&quot;:&quot;&quot;,&quot;parse-names&quot;:false,&quot;suffix&quot;:&quot;&quot;},{&quot;dropping-particle&quot;:&quot;&quot;,&quot;family&quot;:&quot;Evans&quot;,&quot;given&quot;:&quot;Jonathan&quot;,&quot;non-dropping-particle&quot;:&quot;&quot;,&quot;parse-names&quot;:false,&quot;suffix&quot;:&quot;&quot;},{&quot;dropping-particle&quot;:&quot;&quot;,&quot;family&quot;:&quot;Gill&quot;,&quot;given&quot;:&quot;Jason M.R.&quot;,&quot;non-dropping-particle&quot;:&quot;&quot;,&quot;parse-names&quot;:false,&quot;suffix&quot;:&quot;&quot;},{&quot;dropping-particle&quot;:&quot;&quot;,&quot;family&quot;:&quot;Roberts&quot;,&quot;given&quot;:&quot;Beverly&quot;,&quot;non-dropping-particle&quot;:&quot;&quot;,&quot;parse-names&quot;:false,&quot;suffix&quot;:&quot;&quot;},{&quot;dropping-particle&quot;:&quot;&quot;,&quot;family&quot;:&quot;Gallacher&quot;,&quot;given&quot;:&quot;John&quot;,&quot;non-dropping-particle&quot;:&quot;&quot;,&quot;parse-names&quot;:false,&quot;suffix&quot;:&quot;&quot;},{&quot;dropping-particle&quot;:&quot;&quot;,&quot;family&quot;:&quot;Mackay&quot;,&quot;given&quot;:&quot;Daniel&quot;,&quot;non-dropping-particle&quot;:&quot;&quot;,&quot;parse-names&quot;:false,&quot;suffix&quot;:&quot;&quot;},{&quot;dropping-particle&quot;:&quot;&quot;,&quot;family&quot;:&quot;Hotopf&quot;,&quot;given&quot;:&quot;Matthew&quot;,&quot;non-dropping-particle&quot;:&quot;&quot;,&quot;parse-names&quot;:false,&quot;suffix&quot;:&quot;&quot;},{&quot;dropping-particle&quot;:&quot;&quot;,&quot;family&quot;:&quot;Deary&quot;,&quot;given&quot;:&quot;Ian&quot;,&quot;non-dropping-particle&quot;:&quot;&quot;,&quot;parse-names&quot;:false,&quot;suffix&quot;:&quot;&quot;},{&quot;dropping-particle&quot;:&quot;&quot;,&quot;family&quot;:&quot;Craddock&quot;,&quot;given&quot;:&quot;Nick&quot;,&quot;non-dropping-particle&quot;:&quot;&quot;,&quot;parse-names&quot;:false,&quot;suffix&quot;:&quot;&quot;},{&quot;dropping-particle&quot;:&quot;&quot;,&quot;family&quot;:&quot;Pell&quot;,&quot;given&quot;:&quot;Jill P.&quot;,&quot;non-dropping-particle&quot;:&quot;&quot;,&quot;parse-names&quot;:false,&quot;suffix&quot;:&quot;&quot;}],&quot;container-title&quot;:&quot;PLoS ONE&quot;,&quot;id&quot;:&quot;f3140455-3ec3-3bce-900d-4da911095d2d&quot;,&quot;issue&quot;:&quot;11&quot;,&quot;issued&quot;:{&quot;date-parts&quot;:[[&quot;2013&quot;]]},&quot;page&quot;:&quot;1-8&quot;,&quot;title&quot;:&quot;Prevalence and characteristics of probable major depression and bipolar disorder within UK Biobank: Cross-sectional study of 172,751 participants&quot;,&quot;type&quot;:&quot;article-journal&quot;,&quot;volume&quot;:&quot;8&quot;},&quot;uris&quot;:[&quot;http://www.mendeley.com/documents/?uuid=ae4f0e28-692d-41ee-bb1c-f464e031ec3e&quot;],&quot;isTemporary&quot;:false,&quot;legacyDesktopId&quot;:&quot;ae4f0e28-692d-41ee-bb1c-f464e031ec3e&quot;}],&quot;properties&quot;:{&quot;noteIndex&quot;:0},&quot;isEdited&quot;:false,&quot;manualOverride&quot;:{&quot;citeprocText&quot;:&quot;(Smith et al., 2013)&quot;,&quot;isManuallyOverridden&quot;:false,&quot;manualOverrideText&quot;:&quot;&quot;},&quot;citationTag&quot;:&quot;MENDELEY_CITATION_v3_eyJjaXRhdGlvbklEIjoiTUVOREVMRVlfQ0lUQVRJT05fYzc5NjY5NjYtNzRlOS00YmY1LTgwOTAtZTNmNzExYWJjNjMy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quot;},{&quot;citationID&quot;:&quot;MENDELEY_CITATION_65bfb2af-b7d5-45c9-8c76-839e3355b27b&quot;,&quot;citationItems&quot;:[{&quot;id&quot;:&quot;f3140455-3ec3-3bce-900d-4da911095d2d&quot;,&quot;itemData&quot;:{&quot;DOI&quot;:&quot;10.1371/journal.pone.0075362&quot;,&quot;ISSN&quot;:&quot;19326203&quot;,&quot;PMID&quot;:&quot;24282498&quot;,&quot;abstract&quot;:&quot;Objectives: UK Biobank is a landmark cohort of over 500,000 participants which will be used to investigate genetic and non-genetic risk factors for a wide range of adverse health outcomes. This is the first study to systematically assess the prevalence and validity of proposed criteria for probable mood disorders within the cohort (major depression and bipolar disorder). Methods: This was a descriptive epidemiological study of 172,751 individuals assessed for a lifetime history of mood disorder in relation to a range of demographic, social, lifestyle, personality and health-related factors. The main outcomes were prevalence of a probable lifetime (single) episode of major depression, probable recurrent major depressive disorder (moderate), probable recurrent major depressive disorder (severe), probable bipolar disorder and no history of mood disorder (comparison group). Outcomes were compared on age, gender, ethnicity, socioeconomic status, educational attainment, functioning, self-reported health status, current depressive symptoms, neuroticism score, smoking status and alcohol use. Results: Prevalence rates for probable single lifetime episode of major depression (6.4%), probable recurrent major depression (moderate) (12.2%), probable recurrent major depression (severe) (7.2%) and probable bipolar disorder (1.3%) were comparable to those found in other population studies. The proposed diagnostic criteria have promising validity, with a gradient in evidence from no mood disorder through major depression and probable bipolar disorder in terms of gender distribution, socioeconomic status, self-reported health rating, current depressive symptoms and smoking. Significance: The validity of our proposed criteria for probable major depression and probable bipolar disorder within this cohort are supported by these cross-sectional analyses. Our findings are likely to prove useful as a framework for a wide range of future genetic and non-genetic studies. © 2013 Smith et al.&quot;,&quot;author&quot;:[{&quot;dropping-particle&quot;:&quot;&quot;,&quot;family&quot;:&quot;Smith&quot;,&quot;given&quot;:&quot;Daniel J.&quot;,&quot;non-dropping-particle&quot;:&quot;&quot;,&quot;parse-names&quot;:false,&quot;suffix&quot;:&quot;&quot;},{&quot;dropping-particle&quot;:&quot;&quot;,&quot;family&quot;:&quot;Nicholl&quot;,&quot;given&quot;:&quot;Barbara I.&quot;,&quot;non-dropping-particle&quot;:&quot;&quot;,&quot;parse-names&quot;:false,&quot;suffix&quot;:&quot;&quot;},{&quot;dropping-particle&quot;:&quot;&quot;,&quot;family&quot;:&quot;Cullen&quot;,&quot;given&quot;:&quot;Breda&quot;,&quot;non-dropping-particle&quot;:&quot;&quot;,&quot;parse-names&quot;:false,&quot;suffix&quot;:&quot;&quot;},{&quot;dropping-particle&quot;:&quot;&quot;,&quot;family&quot;:&quot;Martin&quot;,&quot;given&quot;:&quot;Daniel&quot;,&quot;non-dropping-particle&quot;:&quot;&quot;,&quot;parse-names&quot;:false,&quot;suffix&quot;:&quot;&quot;},{&quot;dropping-particle&quot;:&quot;&quot;,&quot;family&quot;:&quot;Ul-Haq&quot;,&quot;given&quot;:&quot;Zia&quot;,&quot;non-dropping-particle&quot;:&quot;&quot;,&quot;parse-names&quot;:false,&quot;suffix&quot;:&quot;&quot;},{&quot;dropping-particle&quot;:&quot;&quot;,&quot;family&quot;:&quot;Evans&quot;,&quot;given&quot;:&quot;Jonathan&quot;,&quot;non-dropping-particle&quot;:&quot;&quot;,&quot;parse-names&quot;:false,&quot;suffix&quot;:&quot;&quot;},{&quot;dropping-particle&quot;:&quot;&quot;,&quot;family&quot;:&quot;Gill&quot;,&quot;given&quot;:&quot;Jason M.R.&quot;,&quot;non-dropping-particle&quot;:&quot;&quot;,&quot;parse-names&quot;:false,&quot;suffix&quot;:&quot;&quot;},{&quot;dropping-particle&quot;:&quot;&quot;,&quot;family&quot;:&quot;Roberts&quot;,&quot;given&quot;:&quot;Beverly&quot;,&quot;non-dropping-particle&quot;:&quot;&quot;,&quot;parse-names&quot;:false,&quot;suffix&quot;:&quot;&quot;},{&quot;dropping-particle&quot;:&quot;&quot;,&quot;family&quot;:&quot;Gallacher&quot;,&quot;given&quot;:&quot;John&quot;,&quot;non-dropping-particle&quot;:&quot;&quot;,&quot;parse-names&quot;:false,&quot;suffix&quot;:&quot;&quot;},{&quot;dropping-particle&quot;:&quot;&quot;,&quot;family&quot;:&quot;Mackay&quot;,&quot;given&quot;:&quot;Daniel&quot;,&quot;non-dropping-particle&quot;:&quot;&quot;,&quot;parse-names&quot;:false,&quot;suffix&quot;:&quot;&quot;},{&quot;dropping-particle&quot;:&quot;&quot;,&quot;family&quot;:&quot;Hotopf&quot;,&quot;given&quot;:&quot;Matthew&quot;,&quot;non-dropping-particle&quot;:&quot;&quot;,&quot;parse-names&quot;:false,&quot;suffix&quot;:&quot;&quot;},{&quot;dropping-particle&quot;:&quot;&quot;,&quot;family&quot;:&quot;Deary&quot;,&quot;given&quot;:&quot;Ian&quot;,&quot;non-dropping-particle&quot;:&quot;&quot;,&quot;parse-names&quot;:false,&quot;suffix&quot;:&quot;&quot;},{&quot;dropping-particle&quot;:&quot;&quot;,&quot;family&quot;:&quot;Craddock&quot;,&quot;given&quot;:&quot;Nick&quot;,&quot;non-dropping-particle&quot;:&quot;&quot;,&quot;parse-names&quot;:false,&quot;suffix&quot;:&quot;&quot;},{&quot;dropping-particle&quot;:&quot;&quot;,&quot;family&quot;:&quot;Pell&quot;,&quot;given&quot;:&quot;Jill P.&quot;,&quot;non-dropping-particle&quot;:&quot;&quot;,&quot;parse-names&quot;:false,&quot;suffix&quot;:&quot;&quot;}],&quot;container-title&quot;:&quot;PLoS ONE&quot;,&quot;id&quot;:&quot;f3140455-3ec3-3bce-900d-4da911095d2d&quot;,&quot;issue&quot;:&quot;11&quot;,&quot;issued&quot;:{&quot;date-parts&quot;:[[&quot;2013&quot;]]},&quot;page&quot;:&quot;1-8&quot;,&quot;title&quot;:&quot;Prevalence and characteristics of probable major depression and bipolar disorder within UK Biobank: Cross-sectional study of 172,751 participants&quot;,&quot;type&quot;:&quot;article-journal&quot;,&quot;volume&quot;:&quot;8&quot;},&quot;uris&quot;:[&quot;http://www.mendeley.com/documents/?uuid=ae4f0e28-692d-41ee-bb1c-f464e031ec3e&quot;],&quot;isTemporary&quot;:false,&quot;legacyDesktopId&quot;:&quot;ae4f0e28-692d-41ee-bb1c-f464e031ec3e&quot;}],&quot;properties&quot;:{&quot;noteIndex&quot;:0},&quot;isEdited&quot;:false,&quot;manualOverride&quot;:{&quot;citeprocText&quot;:&quot;(Smith et al., 2013)&quot;,&quot;isManuallyOverridden&quot;:false,&quot;manualOverrideText&quot;:&quot;&quot;},&quot;citationTag&quot;:&quot;MENDELEY_CITATION_v3_eyJjaXRhdGlvbklEIjoiTUVOREVMRVlfQ0lUQVRJT05fNjViZmIyYWYtYjdkNS00NWM5LThjNzYtODM5ZTMzNTViMjdi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quot;},{&quot;citationID&quot;:&quot;MENDELEY_CITATION_310c3337-1221-4ba7-9e0c-1b6f1c7754d2&quot;,&quot;citationItems&quot;:[{&quot;id&quot;:&quot;f3140455-3ec3-3bce-900d-4da911095d2d&quot;,&quot;itemData&quot;:{&quot;DOI&quot;:&quot;10.1371/journal.pone.0075362&quot;,&quot;ISSN&quot;:&quot;19326203&quot;,&quot;PMID&quot;:&quot;24282498&quot;,&quot;abstract&quot;:&quot;Objectives: UK Biobank is a landmark cohort of over 500,000 participants which will be used to investigate genetic and non-genetic risk factors for a wide range of adverse health outcomes. This is the first study to systematically assess the prevalence and validity of proposed criteria for probable mood disorders within the cohort (major depression and bipolar disorder). Methods: This was a descriptive epidemiological study of 172,751 individuals assessed for a lifetime history of mood disorder in relation to a range of demographic, social, lifestyle, personality and health-related factors. The main outcomes were prevalence of a probable lifetime (single) episode of major depression, probable recurrent major depressive disorder (moderate), probable recurrent major depressive disorder (severe), probable bipolar disorder and no history of mood disorder (comparison group). Outcomes were compared on age, gender, ethnicity, socioeconomic status, educational attainment, functioning, self-reported health status, current depressive symptoms, neuroticism score, smoking status and alcohol use. Results: Prevalence rates for probable single lifetime episode of major depression (6.4%), probable recurrent major depression (moderate) (12.2%), probable recurrent major depression (severe) (7.2%) and probable bipolar disorder (1.3%) were comparable to those found in other population studies. The proposed diagnostic criteria have promising validity, with a gradient in evidence from no mood disorder through major depression and probable bipolar disorder in terms of gender distribution, socioeconomic status, self-reported health rating, current depressive symptoms and smoking. Significance: The validity of our proposed criteria for probable major depression and probable bipolar disorder within this cohort are supported by these cross-sectional analyses. Our findings are likely to prove useful as a framework for a wide range of future genetic and non-genetic studies. © 2013 Smith et al.&quot;,&quot;author&quot;:[{&quot;dropping-particle&quot;:&quot;&quot;,&quot;family&quot;:&quot;Smith&quot;,&quot;given&quot;:&quot;Daniel J.&quot;,&quot;non-dropping-particle&quot;:&quot;&quot;,&quot;parse-names&quot;:false,&quot;suffix&quot;:&quot;&quot;},{&quot;dropping-particle&quot;:&quot;&quot;,&quot;family&quot;:&quot;Nicholl&quot;,&quot;given&quot;:&quot;Barbara I.&quot;,&quot;non-dropping-particle&quot;:&quot;&quot;,&quot;parse-names&quot;:false,&quot;suffix&quot;:&quot;&quot;},{&quot;dropping-particle&quot;:&quot;&quot;,&quot;family&quot;:&quot;Cullen&quot;,&quot;given&quot;:&quot;Breda&quot;,&quot;non-dropping-particle&quot;:&quot;&quot;,&quot;parse-names&quot;:false,&quot;suffix&quot;:&quot;&quot;},{&quot;dropping-particle&quot;:&quot;&quot;,&quot;family&quot;:&quot;Martin&quot;,&quot;given&quot;:&quot;Daniel&quot;,&quot;non-dropping-particle&quot;:&quot;&quot;,&quot;parse-names&quot;:false,&quot;suffix&quot;:&quot;&quot;},{&quot;dropping-particle&quot;:&quot;&quot;,&quot;family&quot;:&quot;Ul-Haq&quot;,&quot;given&quot;:&quot;Zia&quot;,&quot;non-dropping-particle&quot;:&quot;&quot;,&quot;parse-names&quot;:false,&quot;suffix&quot;:&quot;&quot;},{&quot;dropping-particle&quot;:&quot;&quot;,&quot;family&quot;:&quot;Evans&quot;,&quot;given&quot;:&quot;Jonathan&quot;,&quot;non-dropping-particle&quot;:&quot;&quot;,&quot;parse-names&quot;:false,&quot;suffix&quot;:&quot;&quot;},{&quot;dropping-particle&quot;:&quot;&quot;,&quot;family&quot;:&quot;Gill&quot;,&quot;given&quot;:&quot;Jason M.R.&quot;,&quot;non-dropping-particle&quot;:&quot;&quot;,&quot;parse-names&quot;:false,&quot;suffix&quot;:&quot;&quot;},{&quot;dropping-particle&quot;:&quot;&quot;,&quot;family&quot;:&quot;Roberts&quot;,&quot;given&quot;:&quot;Beverly&quot;,&quot;non-dropping-particle&quot;:&quot;&quot;,&quot;parse-names&quot;:false,&quot;suffix&quot;:&quot;&quot;},{&quot;dropping-particle&quot;:&quot;&quot;,&quot;family&quot;:&quot;Gallacher&quot;,&quot;given&quot;:&quot;John&quot;,&quot;non-dropping-particle&quot;:&quot;&quot;,&quot;parse-names&quot;:false,&quot;suffix&quot;:&quot;&quot;},{&quot;dropping-particle&quot;:&quot;&quot;,&quot;family&quot;:&quot;Mackay&quot;,&quot;given&quot;:&quot;Daniel&quot;,&quot;non-dropping-particle&quot;:&quot;&quot;,&quot;parse-names&quot;:false,&quot;suffix&quot;:&quot;&quot;},{&quot;dropping-particle&quot;:&quot;&quot;,&quot;family&quot;:&quot;Hotopf&quot;,&quot;given&quot;:&quot;Matthew&quot;,&quot;non-dropping-particle&quot;:&quot;&quot;,&quot;parse-names&quot;:false,&quot;suffix&quot;:&quot;&quot;},{&quot;dropping-particle&quot;:&quot;&quot;,&quot;family&quot;:&quot;Deary&quot;,&quot;given&quot;:&quot;Ian&quot;,&quot;non-dropping-particle&quot;:&quot;&quot;,&quot;parse-names&quot;:false,&quot;suffix&quot;:&quot;&quot;},{&quot;dropping-particle&quot;:&quot;&quot;,&quot;family&quot;:&quot;Craddock&quot;,&quot;given&quot;:&quot;Nick&quot;,&quot;non-dropping-particle&quot;:&quot;&quot;,&quot;parse-names&quot;:false,&quot;suffix&quot;:&quot;&quot;},{&quot;dropping-particle&quot;:&quot;&quot;,&quot;family&quot;:&quot;Pell&quot;,&quot;given&quot;:&quot;Jill P.&quot;,&quot;non-dropping-particle&quot;:&quot;&quot;,&quot;parse-names&quot;:false,&quot;suffix&quot;:&quot;&quot;}],&quot;container-title&quot;:&quot;PLoS ONE&quot;,&quot;id&quot;:&quot;f3140455-3ec3-3bce-900d-4da911095d2d&quot;,&quot;issue&quot;:&quot;11&quot;,&quot;issued&quot;:{&quot;date-parts&quot;:[[&quot;2013&quot;]]},&quot;page&quot;:&quot;1-8&quot;,&quot;title&quot;:&quot;Prevalence and characteristics of probable major depression and bipolar disorder within UK Biobank: Cross-sectional study of 172,751 participants&quot;,&quot;type&quot;:&quot;article-journal&quot;,&quot;volume&quot;:&quot;8&quot;},&quot;uris&quot;:[&quot;http://www.mendeley.com/documents/?uuid=ae4f0e28-692d-41ee-bb1c-f464e031ec3e&quot;],&quot;isTemporary&quot;:false,&quot;legacyDesktopId&quot;:&quot;ae4f0e28-692d-41ee-bb1c-f464e031ec3e&quot;}],&quot;properties&quot;:{&quot;noteIndex&quot;:0},&quot;isEdited&quot;:false,&quot;manualOverride&quot;:{&quot;citeprocText&quot;:&quot;(Smith et al., 2013)&quot;,&quot;isManuallyOverridden&quot;:false,&quot;manualOverrideText&quot;:&quot;&quot;},&quot;citationTag&quot;:&quot;MENDELEY_CITATION_v3_eyJjaXRhdGlvbklEIjoiTUVOREVMRVlfQ0lUQVRJT05fMzEwYzMzMzctMTIyMS00YmE3LTllMGMtMWI2ZjFjNzc1NGQy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quot;},{&quot;citationID&quot;:&quot;MENDELEY_CITATION_e3725aec-e385-4390-b85e-33409f6ece42&quot;,&quot;citationItems&quot;:[{&quot;id&quot;:&quot;f3140455-3ec3-3bce-900d-4da911095d2d&quot;,&quot;itemData&quot;:{&quot;DOI&quot;:&quot;10.1371/journal.pone.0075362&quot;,&quot;ISSN&quot;:&quot;19326203&quot;,&quot;PMID&quot;:&quot;24282498&quot;,&quot;abstract&quot;:&quot;Objectives: UK Biobank is a landmark cohort of over 500,000 participants which will be used to investigate genetic and non-genetic risk factors for a wide range of adverse health outcomes. This is the first study to systematically assess the prevalence and validity of proposed criteria for probable mood disorders within the cohort (major depression and bipolar disorder). Methods: This was a descriptive epidemiological study of 172,751 individuals assessed for a lifetime history of mood disorder in relation to a range of demographic, social, lifestyle, personality and health-related factors. The main outcomes were prevalence of a probable lifetime (single) episode of major depression, probable recurrent major depressive disorder (moderate), probable recurrent major depressive disorder (severe), probable bipolar disorder and no history of mood disorder (comparison group). Outcomes were compared on age, gender, ethnicity, socioeconomic status, educational attainment, functioning, self-reported health status, current depressive symptoms, neuroticism score, smoking status and alcohol use. Results: Prevalence rates for probable single lifetime episode of major depression (6.4%), probable recurrent major depression (moderate) (12.2%), probable recurrent major depression (severe) (7.2%) and probable bipolar disorder (1.3%) were comparable to those found in other population studies. The proposed diagnostic criteria have promising validity, with a gradient in evidence from no mood disorder through major depression and probable bipolar disorder in terms of gender distribution, socioeconomic status, self-reported health rating, current depressive symptoms and smoking. Significance: The validity of our proposed criteria for probable major depression and probable bipolar disorder within this cohort are supported by these cross-sectional analyses. Our findings are likely to prove useful as a framework for a wide range of future genetic and non-genetic studies. © 2013 Smith et al.&quot;,&quot;author&quot;:[{&quot;dropping-particle&quot;:&quot;&quot;,&quot;family&quot;:&quot;Smith&quot;,&quot;given&quot;:&quot;Daniel J.&quot;,&quot;non-dropping-particle&quot;:&quot;&quot;,&quot;parse-names&quot;:false,&quot;suffix&quot;:&quot;&quot;},{&quot;dropping-particle&quot;:&quot;&quot;,&quot;family&quot;:&quot;Nicholl&quot;,&quot;given&quot;:&quot;Barbara I.&quot;,&quot;non-dropping-particle&quot;:&quot;&quot;,&quot;parse-names&quot;:false,&quot;suffix&quot;:&quot;&quot;},{&quot;dropping-particle&quot;:&quot;&quot;,&quot;family&quot;:&quot;Cullen&quot;,&quot;given&quot;:&quot;Breda&quot;,&quot;non-dropping-particle&quot;:&quot;&quot;,&quot;parse-names&quot;:false,&quot;suffix&quot;:&quot;&quot;},{&quot;dropping-particle&quot;:&quot;&quot;,&quot;family&quot;:&quot;Martin&quot;,&quot;given&quot;:&quot;Daniel&quot;,&quot;non-dropping-particle&quot;:&quot;&quot;,&quot;parse-names&quot;:false,&quot;suffix&quot;:&quot;&quot;},{&quot;dropping-particle&quot;:&quot;&quot;,&quot;family&quot;:&quot;Ul-Haq&quot;,&quot;given&quot;:&quot;Zia&quot;,&quot;non-dropping-particle&quot;:&quot;&quot;,&quot;parse-names&quot;:false,&quot;suffix&quot;:&quot;&quot;},{&quot;dropping-particle&quot;:&quot;&quot;,&quot;family&quot;:&quot;Evans&quot;,&quot;given&quot;:&quot;Jonathan&quot;,&quot;non-dropping-particle&quot;:&quot;&quot;,&quot;parse-names&quot;:false,&quot;suffix&quot;:&quot;&quot;},{&quot;dropping-particle&quot;:&quot;&quot;,&quot;family&quot;:&quot;Gill&quot;,&quot;given&quot;:&quot;Jason M.R.&quot;,&quot;non-dropping-particle&quot;:&quot;&quot;,&quot;parse-names&quot;:false,&quot;suffix&quot;:&quot;&quot;},{&quot;dropping-particle&quot;:&quot;&quot;,&quot;family&quot;:&quot;Roberts&quot;,&quot;given&quot;:&quot;Beverly&quot;,&quot;non-dropping-particle&quot;:&quot;&quot;,&quot;parse-names&quot;:false,&quot;suffix&quot;:&quot;&quot;},{&quot;dropping-particle&quot;:&quot;&quot;,&quot;family&quot;:&quot;Gallacher&quot;,&quot;given&quot;:&quot;John&quot;,&quot;non-dropping-particle&quot;:&quot;&quot;,&quot;parse-names&quot;:false,&quot;suffix&quot;:&quot;&quot;},{&quot;dropping-particle&quot;:&quot;&quot;,&quot;family&quot;:&quot;Mackay&quot;,&quot;given&quot;:&quot;Daniel&quot;,&quot;non-dropping-particle&quot;:&quot;&quot;,&quot;parse-names&quot;:false,&quot;suffix&quot;:&quot;&quot;},{&quot;dropping-particle&quot;:&quot;&quot;,&quot;family&quot;:&quot;Hotopf&quot;,&quot;given&quot;:&quot;Matthew&quot;,&quot;non-dropping-particle&quot;:&quot;&quot;,&quot;parse-names&quot;:false,&quot;suffix&quot;:&quot;&quot;},{&quot;dropping-particle&quot;:&quot;&quot;,&quot;family&quot;:&quot;Deary&quot;,&quot;given&quot;:&quot;Ian&quot;,&quot;non-dropping-particle&quot;:&quot;&quot;,&quot;parse-names&quot;:false,&quot;suffix&quot;:&quot;&quot;},{&quot;dropping-particle&quot;:&quot;&quot;,&quot;family&quot;:&quot;Craddock&quot;,&quot;given&quot;:&quot;Nick&quot;,&quot;non-dropping-particle&quot;:&quot;&quot;,&quot;parse-names&quot;:false,&quot;suffix&quot;:&quot;&quot;},{&quot;dropping-particle&quot;:&quot;&quot;,&quot;family&quot;:&quot;Pell&quot;,&quot;given&quot;:&quot;Jill P.&quot;,&quot;non-dropping-particle&quot;:&quot;&quot;,&quot;parse-names&quot;:false,&quot;suffix&quot;:&quot;&quot;}],&quot;container-title&quot;:&quot;PLoS ONE&quot;,&quot;id&quot;:&quot;f3140455-3ec3-3bce-900d-4da911095d2d&quot;,&quot;issue&quot;:&quot;11&quot;,&quot;issued&quot;:{&quot;date-parts&quot;:[[&quot;2013&quot;]]},&quot;page&quot;:&quot;1-8&quot;,&quot;title&quot;:&quot;Prevalence and characteristics of probable major depression and bipolar disorder within UK Biobank: Cross-sectional study of 172,751 participants&quot;,&quot;type&quot;:&quot;article-journal&quot;,&quot;volume&quot;:&quot;8&quot;},&quot;uris&quot;:[&quot;http://www.mendeley.com/documents/?uuid=ae4f0e28-692d-41ee-bb1c-f464e031ec3e&quot;],&quot;isTemporary&quot;:false,&quot;legacyDesktopId&quot;:&quot;ae4f0e28-692d-41ee-bb1c-f464e031ec3e&quot;}],&quot;properties&quot;:{&quot;noteIndex&quot;:0},&quot;isEdited&quot;:false,&quot;manualOverride&quot;:{&quot;citeprocText&quot;:&quot;(Smith et al., 2013)&quot;,&quot;isManuallyOverridden&quot;:false,&quot;manualOverrideText&quot;:&quot;&quot;},&quot;citationTag&quot;:&quot;MENDELEY_CITATION_v3_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&quot;}]"/>
    <we:property name="MENDELEY_CITATIONS_STYLE" value="{&quot;id&quot;:&quot;https://www.zotero.org/styles/apa-6th-edition&quot;,&quot;title&quot;:&quot;American Psychological Association 6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A901E-E6FE-404D-8689-4114D69E7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1208</Words>
  <Characters>7203</Characters>
  <Application>Microsoft Office Word</Application>
  <DocSecurity>0</DocSecurity>
  <Lines>248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Yizhou Ma</dc:creator>
  <cp:keywords/>
  <dc:description/>
  <cp:lastModifiedBy>Yizhou Ma</cp:lastModifiedBy>
  <cp:revision>5</cp:revision>
  <dcterms:created xsi:type="dcterms:W3CDTF">2023-07-12T14:57:00Z</dcterms:created>
  <dcterms:modified xsi:type="dcterms:W3CDTF">2023-09-05T10:45:00Z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http://csl.mendeley.com/styles/474125551/BrainConnectivity</vt:lpwstr>
  </property>
  <property fmtid="{D5CDD505-2E9C-101B-9397-08002B2CF9AE}" pid="7" name="Mendeley Recent Style Name 2_1">
    <vt:lpwstr>Elsevier - Harvard (with titles) - Yizhou Ma</vt:lpwstr>
  </property>
  <property fmtid="{D5CDD505-2E9C-101B-9397-08002B2CF9AE}" pid="8" name="Mendeley Recent Style Id 3_1">
    <vt:lpwstr>http://www.zotero.org/styles/modern-humanities-research-association</vt:lpwstr>
  </property>
  <property fmtid="{D5CDD505-2E9C-101B-9397-08002B2CF9AE}" pid="9" name="Mendeley Recent Style Name 3_1">
    <vt:lpwstr>Modern Humanities Research Association 3rd edition (note with bibliography)</vt:lpwstr>
  </property>
  <property fmtid="{D5CDD505-2E9C-101B-9397-08002B2CF9AE}" pid="10" name="Mendeley Recent Style Id 4_1">
    <vt:lpwstr>http://www.zotero.org/styles/modern-language-association</vt:lpwstr>
  </property>
  <property fmtid="{D5CDD505-2E9C-101B-9397-08002B2CF9AE}" pid="11" name="Mendeley Recent Style Name 4_1">
    <vt:lpwstr>Modern Language Association 8th edition</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http://www.zotero.org/styles/neuroimage</vt:lpwstr>
  </property>
  <property fmtid="{D5CDD505-2E9C-101B-9397-08002B2CF9AE}" pid="15" name="Mendeley Recent Style Name 6_1">
    <vt:lpwstr>NeuroImage</vt:lpwstr>
  </property>
  <property fmtid="{D5CDD505-2E9C-101B-9397-08002B2CF9AE}" pid="16" name="Mendeley Recent Style Id 7_1">
    <vt:lpwstr>http://www.zotero.org/styles/neuropsychopharmacology</vt:lpwstr>
  </property>
  <property fmtid="{D5CDD505-2E9C-101B-9397-08002B2CF9AE}" pid="17" name="Mendeley Recent Style Name 7_1">
    <vt:lpwstr>Neuropsychopharmacology</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http://www.zotero.org/styles/the-american-journal-of-psychiatry</vt:lpwstr>
  </property>
  <property fmtid="{D5CDD505-2E9C-101B-9397-08002B2CF9AE}" pid="21" name="Mendeley Recent Style Name 9_1">
    <vt:lpwstr>The American Journal of Psychiatry</vt:lpwstr>
  </property>
  <property fmtid="{D5CDD505-2E9C-101B-9397-08002B2CF9AE}" pid="22" name="Mendeley Document_1">
    <vt:lpwstr>True</vt:lpwstr>
  </property>
  <property fmtid="{D5CDD505-2E9C-101B-9397-08002B2CF9AE}" pid="23" name="Mendeley Unique User Id_1">
    <vt:lpwstr>3416574c-7d17-392e-9ca8-6f5261815391</vt:lpwstr>
  </property>
  <property fmtid="{D5CDD505-2E9C-101B-9397-08002B2CF9AE}" pid="24" name="Mendeley Citation Style_1">
    <vt:lpwstr>http://www.zotero.org/styles/nature</vt:lpwstr>
  </property>
</Properties>
</file>