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ind w:left="142"/>
        <w:jc w:val="center"/>
        <w:rPr>
          <w:rFonts w:ascii="Times New Roman" w:hAnsi="Times New Roman" w:cs="Times New Roman"/>
          <w:sz w:val="24"/>
        </w:rPr>
      </w:pPr>
      <w:bookmarkStart w:id="0" w:name="_Toc103179931"/>
      <w:r>
        <w:rPr>
          <w:rFonts w:ascii="Times New Roman" w:hAnsi="Times New Roman" w:cs="Times New Roman"/>
          <w:sz w:val="24"/>
        </w:rPr>
        <w:t>Online Supplementary</w:t>
      </w:r>
    </w:p>
    <w:p>
      <w:pPr>
        <w:spacing w:line="480" w:lineRule="auto"/>
        <w:jc w:val="left"/>
        <w:rPr>
          <w:rFonts w:ascii="Times New Roman Bold" w:hAnsi="Times New Roman Bold" w:eastAsia="Times New Roman" w:cs="Times New Roman Bold"/>
          <w:b/>
          <w:bCs/>
        </w:rPr>
      </w:pPr>
      <w:r>
        <w:rPr>
          <w:rFonts w:ascii="Times New Roman Bold" w:hAnsi="Times New Roman Bold" w:cs="Times New Roman Bold"/>
          <w:b/>
          <w:bCs/>
          <w:sz w:val="24"/>
        </w:rPr>
        <w:t>Image acquisition</w:t>
      </w:r>
    </w:p>
    <w:p>
      <w:pPr>
        <w:keepNext w:val="0"/>
        <w:keepLines w:val="0"/>
        <w:pageBreakBefore w:val="0"/>
        <w:widowControl w:val="0"/>
        <w:kinsoku/>
        <w:wordWrap/>
        <w:overflowPunct/>
        <w:topLinePunct w:val="0"/>
        <w:autoSpaceDE/>
        <w:autoSpaceDN/>
        <w:bidi w:val="0"/>
        <w:adjustRightInd/>
        <w:snapToGrid/>
        <w:spacing w:after="160"/>
        <w:jc w:val="left"/>
        <w:textAlignment w:val="auto"/>
        <w:rPr>
          <w:rFonts w:ascii="Times New Roman" w:hAnsi="Times New Roman" w:cs="Times New Roman"/>
          <w:sz w:val="24"/>
        </w:rPr>
      </w:pPr>
      <w:r>
        <w:rPr>
          <w:rFonts w:ascii="Times New Roman" w:hAnsi="Times New Roman" w:cs="Times New Roman"/>
          <w:sz w:val="24"/>
        </w:rPr>
        <w:t>Whole-brain resting-state functional images were acquired along 32 axial slices with an echo-planar imaging sequence (repetition time = 2000 ms, echo time = 30 ms, flip angle = 90°, matrix = 64 × 64, field of view = 22 cm, voxel size = 3.5 × 3.5 × 4 mm, slice thickness = 3 mm, slice gap = 1 mm), aligned along the anterior commissure–posterior commissure line. Scan duration was 6 minutes for 24 pairs of twins and 7.5 minutes for 84 pairs of twins. During the scanning procedure, the participants were instructed to keep their eyes closed and think of nothing, without falling asleep. For spatial normalization, high-resolution T1-weighted anatomical images were acquired axially using a 3D gradient-echo pulse sequence (repetition time = 2,530 ms, echo time = 3.37 ms, flip angle = 7°, matrix = 256 × 192, slice thickness = 1.33 mm).</w:t>
      </w:r>
    </w:p>
    <w:p>
      <w:pPr>
        <w:spacing w:after="160"/>
        <w:jc w:val="left"/>
        <w:rPr>
          <w:rFonts w:hint="eastAsia" w:ascii="Times New Roman Bold" w:hAnsi="Times New Roman Bold" w:cs="Times New Roman Bold"/>
          <w:b/>
          <w:bCs/>
          <w:sz w:val="24"/>
        </w:rPr>
      </w:pPr>
      <w:r>
        <w:rPr>
          <w:rFonts w:ascii="Times New Roman Bold" w:hAnsi="Times New Roman Bold" w:cs="Times New Roman Bold"/>
          <w:b/>
          <w:bCs/>
          <w:sz w:val="24"/>
        </w:rPr>
        <w:t>Image preprocessing</w:t>
      </w:r>
    </w:p>
    <w:p>
      <w:pPr>
        <w:spacing w:after="160"/>
        <w:jc w:val="left"/>
        <w:rPr>
          <w:rFonts w:ascii="Times New Roman" w:hAnsi="Times New Roman" w:cs="Times New Roman"/>
          <w:sz w:val="24"/>
        </w:rPr>
      </w:pPr>
      <w:r>
        <w:rPr>
          <w:rFonts w:ascii="Times New Roman" w:hAnsi="Times New Roman" w:cs="Times New Roman"/>
          <w:sz w:val="24"/>
        </w:rPr>
        <w:t xml:space="preserve">In brief, preprocessing steps included: slice timing correction; outlier detection of functional volumes; motion correction; co-registration of the anatomical image to the mean functional image; segmentation of the anatomical image into cerebrospinal fluid (CSF), white matter, and gray matter, and normalization to the standard Montreal Neurological Institute template. Subsequently, smoothing was performed using a 6-mm isotropic full-width at half-maximum Gaussian kernel to enhance the signal-to-noise ratio. After smoothing, we applied linear regression of potential confounding effects in the BOLD signal. Six time-series of head movement on translational axes of X, Y, and Z and rotational axes of pitch, roll, and yaw were obtained as confounding variables. In addition to these six head motion parameters, we concluded the various expansion terms to yield 18 additional variables to attempt to correct head motion at individual-subject level (Friston et al. 1996). For further removal of potential putative nuisance signals of white matter and CSF, an aCompCor method was applied for removing noise components from white matter and cerebrospinal areas. Within each area, five potential noise components (Chai et al. 2012) are estimated: the first computed as the average BOLD signal, and the next four computed as the first four components in a Principal Component Analysis of the covariance within the subspace orthogonal to the average BOLD signal and all other potential confounding effects. Global </w:t>
      </w:r>
      <w:r>
        <w:rPr>
          <w:rFonts w:hint="eastAsia" w:ascii="Times New Roman" w:hAnsi="Times New Roman" w:cs="Times New Roman"/>
          <w:sz w:val="24"/>
          <w:lang w:eastAsia="zh-Hans"/>
        </w:rPr>
        <w:t>s</w:t>
      </w:r>
      <w:r>
        <w:rPr>
          <w:rFonts w:ascii="Times New Roman" w:hAnsi="Times New Roman" w:cs="Times New Roman"/>
          <w:sz w:val="24"/>
        </w:rPr>
        <w:t xml:space="preserve">ignal </w:t>
      </w:r>
      <w:r>
        <w:rPr>
          <w:rFonts w:hint="eastAsia" w:ascii="Times New Roman" w:hAnsi="Times New Roman" w:cs="Times New Roman"/>
          <w:sz w:val="24"/>
          <w:lang w:eastAsia="zh-Hans"/>
        </w:rPr>
        <w:t>r</w:t>
      </w:r>
      <w:r>
        <w:rPr>
          <w:rFonts w:ascii="Times New Roman" w:hAnsi="Times New Roman" w:cs="Times New Roman"/>
          <w:sz w:val="24"/>
        </w:rPr>
        <w:t xml:space="preserve">egression is also used to consider the average BOLD signal (across the entire brain) as a potential confounding effect. After denoising step, </w:t>
      </w:r>
      <w:r>
        <w:rPr>
          <w:rFonts w:hint="eastAsia" w:ascii="Times New Roman" w:hAnsi="Times New Roman" w:cs="Times New Roman"/>
          <w:sz w:val="24"/>
          <w:lang w:eastAsia="zh-Hans"/>
        </w:rPr>
        <w:t>t</w:t>
      </w:r>
      <w:r>
        <w:rPr>
          <w:rFonts w:ascii="Times New Roman" w:hAnsi="Times New Roman" w:cs="Times New Roman"/>
          <w:sz w:val="24"/>
        </w:rPr>
        <w:t>emporal frequencies below 0.008 Hz or above 0.1 Hz were removed from BOLD signal using a discrete cosine transform windowing operation to minimize border effects.</w:t>
      </w:r>
    </w:p>
    <w:p>
      <w:pPr>
        <w:spacing w:after="160"/>
        <w:jc w:val="left"/>
        <w:rPr>
          <w:rFonts w:ascii="Times New Roman" w:hAnsi="Times New Roman" w:cs="Times New Roman"/>
          <w:sz w:val="24"/>
        </w:rPr>
      </w:pPr>
      <w:bookmarkStart w:id="1" w:name="_Toc865032951"/>
      <w:bookmarkStart w:id="2" w:name="_Toc1276469554"/>
      <w:r>
        <w:rPr>
          <w:rFonts w:ascii="Times New Roman Bold" w:hAnsi="Times New Roman Bold" w:cs="Times New Roman Bold"/>
          <w:b/>
          <w:bCs/>
          <w:sz w:val="24"/>
        </w:rPr>
        <w:t>Network analysis</w:t>
      </w:r>
      <w:bookmarkEnd w:id="1"/>
      <w:bookmarkEnd w:id="2"/>
    </w:p>
    <w:p>
      <w:pPr>
        <w:spacing w:after="160"/>
        <w:jc w:val="left"/>
        <w:rPr>
          <w:rFonts w:ascii="Times New Roman" w:hAnsi="Times New Roman" w:cs="Times New Roman"/>
          <w:sz w:val="24"/>
        </w:rPr>
      </w:pPr>
      <w:r>
        <w:rPr>
          <w:rFonts w:ascii="Times New Roman" w:hAnsi="Times New Roman" w:cs="Times New Roman"/>
          <w:sz w:val="24"/>
        </w:rPr>
        <w:t>For each ROI within a network, we placed a 6-mm sphere around the coordinates of peak activation for each discrete cluster within the left and right hemisphere masks. The first eigenvariate of voxelwise raw time-series in each ROI was subtracted and de-meaned in each participant. Within-network resting-state functional connectivity was quantified using the correlation of the time-series of each ROI with all other ROIs in the network using Pearson’s r. Between-network connectivity was quantified using Pearson’s r of all the correlations between each ROI of one network and all ROIs in other networks. Thereafter, we converted r values to Z-scores using Fisher’s r to Z transformation. Finally, we averaged the Z-scores of all possible connections to compute a total network value reflecting the connectivity of all possible nodes within and between networks.</w:t>
      </w:r>
    </w:p>
    <w:p>
      <w:pPr>
        <w:spacing w:after="160"/>
        <w:jc w:val="left"/>
        <w:rPr>
          <w:rFonts w:hint="default" w:ascii="Times New Roman Bold" w:hAnsi="Times New Roman Bold" w:cs="Times New Roman Bold"/>
          <w:b/>
          <w:bCs/>
          <w:color w:val="2E75B6" w:themeColor="accent5" w:themeShade="BF"/>
          <w:sz w:val="24"/>
        </w:rPr>
      </w:pPr>
      <w:r>
        <w:rPr>
          <w:rFonts w:hint="default" w:ascii="Times New Roman Bold" w:hAnsi="Times New Roman Bold" w:cs="Times New Roman Bold"/>
          <w:b/>
          <w:bCs/>
          <w:color w:val="2E75B6" w:themeColor="accent5" w:themeShade="BF"/>
          <w:sz w:val="24"/>
        </w:rPr>
        <w:t>The effect of gene markers of differential susceptibility on brain network integration</w:t>
      </w:r>
    </w:p>
    <w:p>
      <w:pPr>
        <w:spacing w:after="160"/>
        <w:jc w:val="left"/>
        <w:rPr>
          <w:rFonts w:hint="eastAsia" w:ascii="Times New Roman" w:hAnsi="Times New Roman" w:cs="Times New Roman"/>
          <w:color w:val="2E75B6" w:themeColor="accent5" w:themeShade="BF"/>
          <w:sz w:val="24"/>
        </w:rPr>
      </w:pPr>
      <w:r>
        <w:rPr>
          <w:rFonts w:ascii="Times New Roman" w:hAnsi="Times New Roman" w:cs="Times New Roman"/>
          <w:color w:val="2E75B6" w:themeColor="accent5" w:themeShade="BF"/>
          <w:sz w:val="24"/>
        </w:rPr>
        <w:t>Genomic DNA was extracted from the saliva samples of the participants. According to the manufacturer’s recommendations, a single-base primer extension assay (ABI PRISM SNaPshot Multiple</w:t>
      </w:r>
      <w:bookmarkStart w:id="7" w:name="_GoBack"/>
      <w:bookmarkEnd w:id="7"/>
      <w:r>
        <w:rPr>
          <w:rFonts w:ascii="Times New Roman" w:hAnsi="Times New Roman" w:cs="Times New Roman"/>
          <w:color w:val="2E75B6" w:themeColor="accent5" w:themeShade="BF"/>
          <w:sz w:val="24"/>
        </w:rPr>
        <w:t>x kit; ABI, Foster City, CA, USA) was performed for genotyping of polymorphisms in sensitive genes (Kim &amp; Misra, 2007). Genotype data were processed using GeneScan Analysis version 3.7 and Genotyper version 3.7 (Applied Biosystems, Carlsbad, CA, USA).</w:t>
      </w:r>
      <w:r>
        <w:rPr>
          <w:rFonts w:hint="default" w:ascii="Times New Roman" w:hAnsi="Times New Roman" w:cs="Times New Roman"/>
          <w:color w:val="2E75B6" w:themeColor="accent5" w:themeShade="BF"/>
          <w:sz w:val="24"/>
        </w:rPr>
        <w:t xml:space="preserve"> </w:t>
      </w:r>
      <w:r>
        <w:rPr>
          <w:rFonts w:ascii="Times New Roman" w:hAnsi="Times New Roman" w:cs="Times New Roman"/>
          <w:color w:val="2E75B6" w:themeColor="accent5" w:themeShade="BF"/>
          <w:sz w:val="24"/>
        </w:rPr>
        <w:t>Based on past research, the following alleles were considered to confer differential susceptibility in adolescents: the valine (Val) allele of the Val66Met polymorphism (rs6265) in BDNF (Chen</w:t>
      </w:r>
      <w:r>
        <w:rPr>
          <w:rFonts w:hint="eastAsia" w:ascii="Times New Roman" w:hAnsi="Times New Roman" w:cs="Times New Roman"/>
          <w:color w:val="2E75B6" w:themeColor="accent5" w:themeShade="BF"/>
          <w:sz w:val="24"/>
        </w:rPr>
        <w:t xml:space="preserve">, Yu, Liu, </w:t>
      </w:r>
      <w:r>
        <w:rPr>
          <w:rFonts w:hint="default" w:ascii="Times New Roman" w:hAnsi="Times New Roman" w:cs="Times New Roman"/>
          <w:color w:val="2E75B6" w:themeColor="accent5" w:themeShade="BF"/>
          <w:sz w:val="24"/>
        </w:rPr>
        <w:t xml:space="preserve">&amp; </w:t>
      </w:r>
      <w:r>
        <w:rPr>
          <w:rFonts w:hint="eastAsia" w:ascii="Times New Roman" w:hAnsi="Times New Roman" w:cs="Times New Roman"/>
          <w:color w:val="2E75B6" w:themeColor="accent5" w:themeShade="BF"/>
          <w:sz w:val="24"/>
        </w:rPr>
        <w:t xml:space="preserve">Zhang, </w:t>
      </w:r>
      <w:r>
        <w:rPr>
          <w:rFonts w:ascii="Times New Roman" w:hAnsi="Times New Roman" w:cs="Times New Roman"/>
          <w:color w:val="2E75B6" w:themeColor="accent5" w:themeShade="BF"/>
          <w:sz w:val="24"/>
        </w:rPr>
        <w:t xml:space="preserve">2015; </w:t>
      </w:r>
      <w:r>
        <w:rPr>
          <w:rFonts w:hint="eastAsia" w:ascii="Times New Roman" w:hAnsi="Times New Roman" w:cs="Times New Roman"/>
          <w:color w:val="2E75B6" w:themeColor="accent5" w:themeShade="BF"/>
          <w:sz w:val="24"/>
        </w:rPr>
        <w:t>Zhang</w:t>
      </w:r>
      <w:r>
        <w:rPr>
          <w:rFonts w:hint="default" w:ascii="Times New Roman" w:hAnsi="Times New Roman" w:cs="Times New Roman"/>
          <w:color w:val="2E75B6" w:themeColor="accent5" w:themeShade="BF"/>
          <w:sz w:val="24"/>
        </w:rPr>
        <w:t xml:space="preserve"> et al.,</w:t>
      </w:r>
      <w:r>
        <w:rPr>
          <w:rFonts w:hint="eastAsia" w:ascii="Times New Roman" w:hAnsi="Times New Roman" w:cs="Times New Roman"/>
          <w:color w:val="2E75B6" w:themeColor="accent5" w:themeShade="BF"/>
          <w:sz w:val="24"/>
        </w:rPr>
        <w:t xml:space="preserve"> 2016</w:t>
      </w:r>
      <w:r>
        <w:rPr>
          <w:rFonts w:ascii="Times New Roman" w:hAnsi="Times New Roman" w:cs="Times New Roman"/>
          <w:color w:val="2E75B6" w:themeColor="accent5" w:themeShade="BF"/>
          <w:sz w:val="24"/>
        </w:rPr>
        <w:t>), the short allele (S) of the serotonin-transporter-linked promoter region polymorphism (rs25531) in 5-HTT (</w:t>
      </w:r>
      <w:r>
        <w:rPr>
          <w:rFonts w:hint="eastAsia" w:ascii="Times New Roman" w:hAnsi="Times New Roman" w:cs="Times New Roman"/>
          <w:color w:val="2E75B6" w:themeColor="accent5" w:themeShade="BF"/>
          <w:sz w:val="24"/>
        </w:rPr>
        <w:t>Li, Berk, &amp; Lee, 2013</w:t>
      </w:r>
      <w:r>
        <w:rPr>
          <w:rFonts w:ascii="Times New Roman" w:hAnsi="Times New Roman" w:cs="Times New Roman"/>
          <w:color w:val="2E75B6" w:themeColor="accent5" w:themeShade="BF"/>
          <w:sz w:val="24"/>
        </w:rPr>
        <w:t xml:space="preserve">; </w:t>
      </w:r>
      <w:r>
        <w:rPr>
          <w:rFonts w:hint="eastAsia" w:ascii="Times New Roman" w:hAnsi="Times New Roman" w:cs="Times New Roman"/>
          <w:color w:val="2E75B6" w:themeColor="accent5" w:themeShade="BF"/>
          <w:sz w:val="24"/>
        </w:rPr>
        <w:t>Starr, Hammen, Brennan, &amp; Najman, 2013</w:t>
      </w:r>
      <w:r>
        <w:rPr>
          <w:rFonts w:ascii="Times New Roman" w:hAnsi="Times New Roman" w:cs="Times New Roman"/>
          <w:color w:val="2E75B6" w:themeColor="accent5" w:themeShade="BF"/>
          <w:sz w:val="24"/>
        </w:rPr>
        <w:t xml:space="preserve">; Stocker et al., 2017; </w:t>
      </w:r>
      <w:r>
        <w:rPr>
          <w:rFonts w:hint="eastAsia" w:ascii="Times New Roman" w:hAnsi="Times New Roman" w:cs="Times New Roman"/>
          <w:color w:val="2E75B6" w:themeColor="accent5" w:themeShade="BF"/>
          <w:sz w:val="24"/>
        </w:rPr>
        <w:t>Taylor</w:t>
      </w:r>
      <w:r>
        <w:rPr>
          <w:rFonts w:hint="default" w:ascii="Times New Roman" w:hAnsi="Times New Roman" w:cs="Times New Roman"/>
          <w:color w:val="2E75B6" w:themeColor="accent5" w:themeShade="BF"/>
          <w:sz w:val="24"/>
        </w:rPr>
        <w:t xml:space="preserve"> </w:t>
      </w:r>
      <w:r>
        <w:rPr>
          <w:rFonts w:hint="eastAsia" w:ascii="Times New Roman" w:hAnsi="Times New Roman" w:cs="Times New Roman"/>
          <w:color w:val="2E75B6" w:themeColor="accent5" w:themeShade="BF"/>
          <w:sz w:val="24"/>
          <w:lang w:val="en-US" w:eastAsia="zh-Hans"/>
        </w:rPr>
        <w:t>et</w:t>
      </w:r>
      <w:r>
        <w:rPr>
          <w:rFonts w:hint="default" w:ascii="Times New Roman" w:hAnsi="Times New Roman" w:cs="Times New Roman"/>
          <w:color w:val="2E75B6" w:themeColor="accent5" w:themeShade="BF"/>
          <w:sz w:val="24"/>
          <w:lang w:eastAsia="zh-Hans"/>
        </w:rPr>
        <w:t xml:space="preserve"> al.,</w:t>
      </w:r>
      <w:r>
        <w:rPr>
          <w:rFonts w:hint="eastAsia" w:ascii="Times New Roman" w:hAnsi="Times New Roman" w:cs="Times New Roman"/>
          <w:color w:val="2E75B6" w:themeColor="accent5" w:themeShade="BF"/>
          <w:sz w:val="24"/>
        </w:rPr>
        <w:t xml:space="preserve"> 2006</w:t>
      </w:r>
      <w:r>
        <w:rPr>
          <w:rFonts w:ascii="Times New Roman" w:hAnsi="Times New Roman" w:cs="Times New Roman"/>
          <w:color w:val="2E75B6" w:themeColor="accent5" w:themeShade="BF"/>
          <w:sz w:val="24"/>
        </w:rPr>
        <w:t>), and the methionine (Met) allele of the Val158Met polymorphism (rs4680) in COMT (Stocker et al., 2017; Zhang et al., 2016).</w:t>
      </w:r>
    </w:p>
    <w:p>
      <w:pPr>
        <w:ind w:firstLine="420" w:firstLineChars="0"/>
        <w:jc w:val="left"/>
        <w:rPr>
          <w:rFonts w:ascii="Times New Roman" w:hAnsi="Times New Roman" w:cs="Times New Roman"/>
          <w:color w:val="2E75B6" w:themeColor="accent5" w:themeShade="BF"/>
          <w:sz w:val="24"/>
        </w:rPr>
      </w:pPr>
      <w:r>
        <w:rPr>
          <w:rFonts w:ascii="Times New Roman" w:hAnsi="Times New Roman" w:cs="Times New Roman"/>
          <w:color w:val="2E75B6" w:themeColor="accent5" w:themeShade="BF"/>
          <w:sz w:val="24"/>
        </w:rPr>
        <w:t xml:space="preserve">The Mann–Whitney </w:t>
      </w:r>
      <w:r>
        <w:rPr>
          <w:rFonts w:hint="default" w:ascii="Times New Roman Italic" w:hAnsi="Times New Roman Italic" w:cs="Times New Roman Italic"/>
          <w:i/>
          <w:iCs/>
          <w:color w:val="2E75B6" w:themeColor="accent5" w:themeShade="BF"/>
          <w:sz w:val="24"/>
        </w:rPr>
        <w:t>U</w:t>
      </w:r>
      <w:r>
        <w:rPr>
          <w:rFonts w:ascii="Times New Roman" w:hAnsi="Times New Roman" w:cs="Times New Roman"/>
          <w:color w:val="2E75B6" w:themeColor="accent5" w:themeShade="BF"/>
          <w:sz w:val="24"/>
        </w:rPr>
        <w:t xml:space="preserve">-test was performed using SPSS software version 24 (IBM Corp; Armonk, NY, USA) to identify whether the gene markers (i.e., </w:t>
      </w:r>
      <w:r>
        <w:rPr>
          <w:rFonts w:hint="default" w:ascii="Times New Roman Italic" w:hAnsi="Times New Roman Italic" w:cs="Times New Roman Italic"/>
          <w:i/>
          <w:iCs/>
          <w:color w:val="2E75B6" w:themeColor="accent5" w:themeShade="BF"/>
          <w:sz w:val="24"/>
        </w:rPr>
        <w:t>BDNF</w:t>
      </w:r>
      <w:r>
        <w:rPr>
          <w:rFonts w:ascii="Times New Roman" w:hAnsi="Times New Roman" w:cs="Times New Roman"/>
          <w:color w:val="2E75B6" w:themeColor="accent5" w:themeShade="BF"/>
          <w:sz w:val="24"/>
        </w:rPr>
        <w:t xml:space="preserve">, </w:t>
      </w:r>
      <w:r>
        <w:rPr>
          <w:rFonts w:hint="default" w:ascii="Times New Roman Italic" w:hAnsi="Times New Roman Italic" w:cs="Times New Roman Italic"/>
          <w:i/>
          <w:iCs/>
          <w:color w:val="2E75B6" w:themeColor="accent5" w:themeShade="BF"/>
          <w:sz w:val="24"/>
        </w:rPr>
        <w:t>5-HTT</w:t>
      </w:r>
      <w:r>
        <w:rPr>
          <w:rFonts w:ascii="Times New Roman" w:hAnsi="Times New Roman" w:cs="Times New Roman"/>
          <w:color w:val="2E75B6" w:themeColor="accent5" w:themeShade="BF"/>
          <w:sz w:val="24"/>
        </w:rPr>
        <w:t xml:space="preserve">, and </w:t>
      </w:r>
      <w:r>
        <w:rPr>
          <w:rFonts w:hint="default" w:ascii="Times New Roman Italic" w:hAnsi="Times New Roman Italic" w:cs="Times New Roman Italic"/>
          <w:i/>
          <w:iCs/>
          <w:color w:val="2E75B6" w:themeColor="accent5" w:themeShade="BF"/>
          <w:sz w:val="24"/>
        </w:rPr>
        <w:t>COMT</w:t>
      </w:r>
      <w:r>
        <w:rPr>
          <w:rFonts w:ascii="Times New Roman" w:hAnsi="Times New Roman" w:cs="Times New Roman"/>
          <w:color w:val="2E75B6" w:themeColor="accent5" w:themeShade="BF"/>
          <w:sz w:val="24"/>
        </w:rPr>
        <w:t xml:space="preserve">) had an effect on the differential susceptibility-related brain network integration in middle adolescence. Adolescents with one or two susceptibility gene(s) were grouped to test for inter-group differences. Results showed that adolescents with the Val allele in </w:t>
      </w:r>
      <w:r>
        <w:rPr>
          <w:rFonts w:ascii="Times New Roman" w:hAnsi="Times New Roman" w:cs="Times New Roman"/>
          <w:i/>
          <w:iCs/>
          <w:color w:val="2E75B6" w:themeColor="accent5" w:themeShade="BF"/>
          <w:sz w:val="24"/>
        </w:rPr>
        <w:t xml:space="preserve">BDNF </w:t>
      </w:r>
      <w:r>
        <w:rPr>
          <w:rFonts w:ascii="Times New Roman" w:hAnsi="Times New Roman" w:cs="Times New Roman"/>
          <w:color w:val="2E75B6" w:themeColor="accent5" w:themeShade="BF"/>
          <w:sz w:val="24"/>
        </w:rPr>
        <w:t xml:space="preserve">exhibited significantly lower connectivity in the central executive network than did those who were homozygous for the Met allele (U = 1,270.00, p = 0.007), which survived the FDR correction. No significant differences were observed for </w:t>
      </w:r>
      <w:r>
        <w:rPr>
          <w:rFonts w:hint="default" w:ascii="Times New Roman Italic" w:hAnsi="Times New Roman Italic" w:cs="Times New Roman Italic"/>
          <w:i/>
          <w:iCs/>
          <w:color w:val="2E75B6" w:themeColor="accent5" w:themeShade="BF"/>
          <w:sz w:val="24"/>
        </w:rPr>
        <w:t>5-HTT</w:t>
      </w:r>
      <w:r>
        <w:rPr>
          <w:rFonts w:ascii="Times New Roman" w:hAnsi="Times New Roman" w:cs="Times New Roman"/>
          <w:color w:val="2E75B6" w:themeColor="accent5" w:themeShade="BF"/>
          <w:sz w:val="24"/>
        </w:rPr>
        <w:t xml:space="preserve"> and </w:t>
      </w:r>
      <w:r>
        <w:rPr>
          <w:rFonts w:hint="default" w:ascii="Times New Roman Italic" w:hAnsi="Times New Roman Italic" w:cs="Times New Roman Italic"/>
          <w:i/>
          <w:iCs/>
          <w:color w:val="2E75B6" w:themeColor="accent5" w:themeShade="BF"/>
          <w:sz w:val="24"/>
        </w:rPr>
        <w:t>COMT</w:t>
      </w:r>
      <w:r>
        <w:rPr>
          <w:rFonts w:ascii="Times New Roman" w:hAnsi="Times New Roman" w:cs="Times New Roman"/>
          <w:color w:val="2E75B6" w:themeColor="accent5" w:themeShade="BF"/>
          <w:sz w:val="24"/>
        </w:rPr>
        <w:t xml:space="preserve"> variants. In agreement with the twin model results, there were no significant effects of </w:t>
      </w:r>
      <w:r>
        <w:rPr>
          <w:rFonts w:ascii="Times New Roman" w:hAnsi="Times New Roman" w:cs="Times New Roman"/>
          <w:i/>
          <w:iCs/>
          <w:color w:val="2E75B6" w:themeColor="accent5" w:themeShade="BF"/>
          <w:sz w:val="24"/>
        </w:rPr>
        <w:t>BDNF</w:t>
      </w:r>
      <w:r>
        <w:rPr>
          <w:rFonts w:ascii="Times New Roman" w:hAnsi="Times New Roman" w:cs="Times New Roman"/>
          <w:color w:val="2E75B6" w:themeColor="accent5" w:themeShade="BF"/>
          <w:sz w:val="24"/>
        </w:rPr>
        <w:t xml:space="preserve">, </w:t>
      </w:r>
      <w:r>
        <w:rPr>
          <w:rFonts w:ascii="Times New Roman" w:hAnsi="Times New Roman" w:cs="Times New Roman"/>
          <w:i/>
          <w:iCs/>
          <w:color w:val="2E75B6" w:themeColor="accent5" w:themeShade="BF"/>
          <w:sz w:val="24"/>
        </w:rPr>
        <w:t>5-HTT</w:t>
      </w:r>
      <w:r>
        <w:rPr>
          <w:rFonts w:ascii="Times New Roman" w:hAnsi="Times New Roman" w:cs="Times New Roman"/>
          <w:color w:val="2E75B6" w:themeColor="accent5" w:themeShade="BF"/>
          <w:sz w:val="24"/>
        </w:rPr>
        <w:t xml:space="preserve">, and </w:t>
      </w:r>
      <w:r>
        <w:rPr>
          <w:rFonts w:ascii="Times New Roman" w:hAnsi="Times New Roman" w:cs="Times New Roman"/>
          <w:i/>
          <w:iCs/>
          <w:color w:val="2E75B6" w:themeColor="accent5" w:themeShade="BF"/>
          <w:sz w:val="24"/>
        </w:rPr>
        <w:t>COMT</w:t>
      </w:r>
      <w:r>
        <w:rPr>
          <w:rFonts w:ascii="Times New Roman" w:hAnsi="Times New Roman" w:cs="Times New Roman"/>
          <w:color w:val="2E75B6" w:themeColor="accent5" w:themeShade="BF"/>
          <w:sz w:val="24"/>
        </w:rPr>
        <w:t xml:space="preserve"> on the interaction between the anterior salience network and the default mode network (online Supplementary Table S4).</w:t>
      </w:r>
    </w:p>
    <w:p>
      <w:pPr>
        <w:spacing w:after="160"/>
        <w:ind w:firstLine="420"/>
        <w:jc w:val="left"/>
        <w:rPr>
          <w:rFonts w:ascii="Times New Roman" w:hAnsi="Times New Roman" w:cs="Times New Roman"/>
          <w:color w:val="2E75B6" w:themeColor="accent5" w:themeShade="BF"/>
          <w:sz w:val="24"/>
        </w:rPr>
      </w:pPr>
      <w:r>
        <w:rPr>
          <w:rFonts w:ascii="Times New Roman" w:hAnsi="Times New Roman" w:cs="Times New Roman"/>
          <w:color w:val="2E75B6" w:themeColor="accent5" w:themeShade="BF"/>
          <w:sz w:val="24"/>
        </w:rPr>
        <w:t xml:space="preserve">We also created the polygenic susceptibility score to indicate the composite genetic susceptibility and examined its relationship with central executive network. We estimated the polygenic scores by simple summing, as in prior investigations (Stocker et al., 2017). Each polymorphism was assigned a score of “0” if no sensitivity allele was found at that locus, “1” if one of the alleles was found, and “2” if two of these alleles were found. Finally, these scores were added together to generate an index of polygenic susceptibility score, which ranged from 0 to 6 in our group (mean = 3.57; </w:t>
      </w:r>
      <w:r>
        <w:rPr>
          <w:rFonts w:ascii="Times New Roman Italic" w:hAnsi="Times New Roman Italic" w:cs="Times New Roman Italic"/>
          <w:i/>
          <w:iCs/>
          <w:color w:val="2E75B6" w:themeColor="accent5" w:themeShade="BF"/>
          <w:sz w:val="24"/>
        </w:rPr>
        <w:t xml:space="preserve">SD </w:t>
      </w:r>
      <w:r>
        <w:rPr>
          <w:rFonts w:ascii="Times New Roman" w:hAnsi="Times New Roman" w:cs="Times New Roman"/>
          <w:color w:val="2E75B6" w:themeColor="accent5" w:themeShade="BF"/>
          <w:sz w:val="24"/>
        </w:rPr>
        <w:t xml:space="preserve">= 1.15). A mixed linear model was used to examine the relationship between polygenic susceptibility score and central executive network connectivity: polygenic susceptibility score as the independent variable, network connectivity as the dependent variable, family as nested variables, sex, age, birth order, and stressful life events as covariates. Results showed that the relationship between polygenic scores and </w:t>
      </w:r>
      <w:r>
        <w:rPr>
          <w:rFonts w:hint="default" w:ascii="Times New Roman" w:hAnsi="Times New Roman" w:cs="Times New Roman"/>
          <w:color w:val="2E75B6" w:themeColor="accent5" w:themeShade="BF"/>
          <w:sz w:val="24"/>
        </w:rPr>
        <w:t>c</w:t>
      </w:r>
      <w:r>
        <w:rPr>
          <w:rFonts w:ascii="Times New Roman" w:hAnsi="Times New Roman" w:cs="Times New Roman"/>
          <w:color w:val="2E75B6" w:themeColor="accent5" w:themeShade="BF"/>
          <w:sz w:val="24"/>
        </w:rPr>
        <w:t xml:space="preserve">entral executive network connectivity is significant, </w:t>
      </w:r>
      <w:r>
        <w:rPr>
          <w:rFonts w:ascii="Times New Roman" w:hAnsi="Times New Roman" w:cs="Times New Roman"/>
          <w:i/>
          <w:iCs/>
          <w:color w:val="2E75B6" w:themeColor="accent5" w:themeShade="BF"/>
          <w:sz w:val="24"/>
        </w:rPr>
        <w:t>β</w:t>
      </w:r>
      <w:r>
        <w:rPr>
          <w:rFonts w:ascii="Times New Roman" w:hAnsi="Times New Roman" w:cs="Times New Roman"/>
          <w:color w:val="2E75B6" w:themeColor="accent5" w:themeShade="BF"/>
          <w:sz w:val="24"/>
        </w:rPr>
        <w:t xml:space="preserve"> = −0.183, </w:t>
      </w:r>
      <w:r>
        <w:rPr>
          <w:rFonts w:ascii="Times New Roman" w:hAnsi="Times New Roman" w:cs="Times New Roman"/>
          <w:i/>
          <w:iCs/>
          <w:color w:val="2E75B6" w:themeColor="accent5" w:themeShade="BF"/>
          <w:sz w:val="24"/>
        </w:rPr>
        <w:t>p</w:t>
      </w:r>
      <w:r>
        <w:rPr>
          <w:rFonts w:ascii="Times New Roman" w:hAnsi="Times New Roman" w:cs="Times New Roman"/>
          <w:color w:val="2E75B6" w:themeColor="accent5" w:themeShade="BF"/>
          <w:sz w:val="24"/>
        </w:rPr>
        <w:t xml:space="preserve"> &lt; .05, indicating that the higher the polygenic susceptibility score of adolescents, the lower the functional connectivity of central executive network.</w:t>
      </w:r>
    </w:p>
    <w:p>
      <w:pPr>
        <w:rPr>
          <w:rFonts w:ascii="Times New Roman" w:hAnsi="Times New Roman" w:cs="Times New Roman"/>
          <w:sz w:val="24"/>
        </w:rPr>
      </w:pPr>
      <w:r>
        <w:rPr>
          <w:rFonts w:ascii="Times New Roman" w:hAnsi="Times New Roman" w:cs="Times New Roman"/>
          <w:sz w:val="24"/>
        </w:rPr>
        <w:br w:type="page"/>
      </w:r>
    </w:p>
    <w:p>
      <w:pPr>
        <w:spacing w:after="160"/>
        <w:jc w:val="center"/>
        <w:rPr>
          <w:rFonts w:ascii="Times New Roman" w:hAnsi="Times New Roman" w:cs="Times New Roman"/>
          <w:sz w:val="24"/>
          <w:lang w:eastAsia="zh-Hans"/>
        </w:rPr>
      </w:pPr>
      <w:r>
        <w:rPr>
          <w:rFonts w:hint="eastAsia" w:ascii="Times New Roman" w:hAnsi="Times New Roman" w:cs="Times New Roman"/>
          <w:sz w:val="24"/>
          <w:lang w:eastAsia="zh-Hans"/>
        </w:rPr>
        <w:t>References</w:t>
      </w:r>
    </w:p>
    <w:p>
      <w:pPr>
        <w:spacing w:after="160"/>
        <w:ind w:left="480" w:hanging="480" w:hangingChars="200"/>
        <w:jc w:val="left"/>
        <w:rPr>
          <w:rFonts w:ascii="Times New Roman" w:hAnsi="Times New Roman" w:cs="Times New Roman"/>
          <w:sz w:val="24"/>
        </w:rPr>
      </w:pPr>
      <w:r>
        <w:rPr>
          <w:rFonts w:ascii="Times New Roman" w:hAnsi="Times New Roman" w:cs="Times New Roman"/>
          <w:sz w:val="24"/>
        </w:rPr>
        <w:t xml:space="preserve">Chai, X. J., Castañón, A. N., Öngür, D., &amp; Whitfield-Gabrieli, S. (2012). Anticorrelations in resting state networks without global signal regression. </w:t>
      </w:r>
      <w:r>
        <w:rPr>
          <w:rFonts w:ascii="Times New Roman Italic" w:hAnsi="Times New Roman Italic" w:cs="Times New Roman Italic"/>
          <w:i/>
          <w:iCs/>
          <w:sz w:val="24"/>
        </w:rPr>
        <w:t>Neuroimage, 59</w:t>
      </w:r>
      <w:r>
        <w:rPr>
          <w:rFonts w:ascii="Times New Roman" w:hAnsi="Times New Roman" w:cs="Times New Roman"/>
          <w:sz w:val="24"/>
        </w:rPr>
        <w:t>(2), 1420</w:t>
      </w:r>
      <w:r>
        <w:rPr>
          <w:rFonts w:ascii="Times New Roman Regular" w:hAnsi="Times New Roman Regular" w:eastAsia="Times New Roman Regular" w:cs="Times New Roman Regular"/>
          <w:kern w:val="2"/>
          <w:szCs w:val="24"/>
          <w:lang w:val="en-US" w:eastAsia="zh-CN" w:bidi="ar"/>
        </w:rPr>
        <w:t>–</w:t>
      </w:r>
      <w:r>
        <w:rPr>
          <w:rFonts w:ascii="Times New Roman" w:hAnsi="Times New Roman" w:cs="Times New Roman"/>
          <w:sz w:val="24"/>
        </w:rPr>
        <w:t>1428</w:t>
      </w:r>
    </w:p>
    <w:p>
      <w:pPr>
        <w:spacing w:after="160"/>
        <w:ind w:left="480" w:hanging="480" w:hangingChars="200"/>
        <w:jc w:val="left"/>
        <w:rPr>
          <w:rFonts w:hint="eastAsia" w:ascii="Times New Roman" w:hAnsi="Times New Roman" w:cs="Times New Roman"/>
          <w:sz w:val="24"/>
        </w:rPr>
      </w:pPr>
      <w:r>
        <w:rPr>
          <w:rFonts w:hint="eastAsia" w:ascii="Times New Roman" w:hAnsi="Times New Roman" w:cs="Times New Roman"/>
          <w:sz w:val="24"/>
        </w:rPr>
        <w:t xml:space="preserve">Chen, J., Yu, J., Liu, Y., Zhang, L., &amp; Zhang, J. (2015). BDNF Val66Met, stress, and positive mothering: differential susceptibility model of adolescent trait anxiety. </w:t>
      </w:r>
      <w:r>
        <w:rPr>
          <w:rFonts w:hint="default" w:ascii="Times New Roman Italic" w:hAnsi="Times New Roman Italic" w:cs="Times New Roman Italic"/>
          <w:i/>
          <w:iCs/>
          <w:sz w:val="24"/>
        </w:rPr>
        <w:t>Journal of Anxiety Disorders, 34</w:t>
      </w:r>
      <w:r>
        <w:rPr>
          <w:rFonts w:hint="eastAsia" w:ascii="Times New Roman" w:hAnsi="Times New Roman" w:cs="Times New Roman"/>
          <w:sz w:val="24"/>
        </w:rPr>
        <w:t>, 68</w:t>
      </w:r>
      <w:r>
        <w:rPr>
          <w:rFonts w:ascii="Times New Roman Regular" w:hAnsi="Times New Roman Regular" w:eastAsia="Times New Roman Regular" w:cs="Times New Roman Regular"/>
          <w:kern w:val="2"/>
          <w:szCs w:val="24"/>
          <w:lang w:val="en-US" w:eastAsia="zh-CN" w:bidi="ar"/>
        </w:rPr>
        <w:t>–</w:t>
      </w:r>
      <w:r>
        <w:rPr>
          <w:rFonts w:hint="eastAsia" w:ascii="Times New Roman" w:hAnsi="Times New Roman" w:cs="Times New Roman"/>
          <w:sz w:val="24"/>
        </w:rPr>
        <w:t>75.</w:t>
      </w:r>
    </w:p>
    <w:p>
      <w:pPr>
        <w:spacing w:after="160"/>
        <w:ind w:left="480" w:hanging="480" w:hangingChars="200"/>
        <w:jc w:val="left"/>
        <w:rPr>
          <w:rFonts w:ascii="Times New Roman" w:hAnsi="Times New Roman" w:cs="Times New Roman"/>
          <w:sz w:val="24"/>
        </w:rPr>
      </w:pPr>
      <w:r>
        <w:rPr>
          <w:rFonts w:ascii="Times New Roman" w:hAnsi="Times New Roman" w:cs="Times New Roman"/>
          <w:sz w:val="24"/>
        </w:rPr>
        <w:t xml:space="preserve">Friston, K. J., Williams, S., Howard, R., Frackowiak, R. S., &amp; Turner, R. (1996). Movement-related effects in fMRI time-series. </w:t>
      </w:r>
      <w:r>
        <w:rPr>
          <w:rFonts w:ascii="Times New Roman Italic" w:hAnsi="Times New Roman Italic" w:cs="Times New Roman Italic"/>
          <w:i/>
          <w:iCs/>
          <w:sz w:val="24"/>
        </w:rPr>
        <w:t>Magnetic resonance in medicine, 35</w:t>
      </w:r>
      <w:r>
        <w:rPr>
          <w:rFonts w:ascii="Times New Roman" w:hAnsi="Times New Roman" w:cs="Times New Roman"/>
          <w:sz w:val="24"/>
        </w:rPr>
        <w:t>(3), 346–355.</w:t>
      </w:r>
    </w:p>
    <w:p>
      <w:pPr>
        <w:spacing w:after="160"/>
        <w:ind w:left="480" w:hanging="480" w:hangingChars="200"/>
        <w:jc w:val="left"/>
        <w:rPr>
          <w:rFonts w:hint="eastAsia" w:ascii="Times New Roman" w:hAnsi="Times New Roman" w:cs="Times New Roman"/>
          <w:sz w:val="24"/>
        </w:rPr>
      </w:pPr>
      <w:r>
        <w:rPr>
          <w:rFonts w:hint="eastAsia" w:ascii="Times New Roman" w:hAnsi="Times New Roman" w:cs="Times New Roman"/>
          <w:sz w:val="24"/>
        </w:rPr>
        <w:t xml:space="preserve">Kim, S., &amp; Misra, A. (2007). SNP genotyping: technologies and biomedical applications. </w:t>
      </w:r>
      <w:r>
        <w:rPr>
          <w:rFonts w:hint="default" w:ascii="Times New Roman Italic" w:hAnsi="Times New Roman Italic" w:cs="Times New Roman Italic"/>
          <w:i/>
          <w:iCs/>
          <w:sz w:val="24"/>
        </w:rPr>
        <w:t>Annual Review of Biomedical Engineering, 9</w:t>
      </w:r>
      <w:r>
        <w:rPr>
          <w:rFonts w:hint="eastAsia" w:ascii="Times New Roman" w:hAnsi="Times New Roman" w:cs="Times New Roman"/>
          <w:sz w:val="24"/>
        </w:rPr>
        <w:t>, 289</w:t>
      </w:r>
      <w:r>
        <w:rPr>
          <w:rFonts w:ascii="Times New Roman Regular" w:hAnsi="Times New Roman Regular" w:eastAsia="Times New Roman Regular" w:cs="Times New Roman Regular"/>
          <w:kern w:val="2"/>
          <w:szCs w:val="24"/>
          <w:lang w:val="en-US" w:eastAsia="zh-CN" w:bidi="ar"/>
        </w:rPr>
        <w:t>–</w:t>
      </w:r>
      <w:r>
        <w:rPr>
          <w:rFonts w:hint="eastAsia" w:ascii="Times New Roman" w:hAnsi="Times New Roman" w:cs="Times New Roman"/>
          <w:sz w:val="24"/>
        </w:rPr>
        <w:t>320.</w:t>
      </w:r>
    </w:p>
    <w:p>
      <w:pPr>
        <w:spacing w:after="160"/>
        <w:ind w:left="480" w:hanging="480" w:hangingChars="200"/>
        <w:jc w:val="left"/>
        <w:rPr>
          <w:rFonts w:hint="eastAsia" w:ascii="Times New Roman" w:hAnsi="Times New Roman" w:cs="Times New Roman"/>
          <w:sz w:val="24"/>
        </w:rPr>
      </w:pPr>
      <w:r>
        <w:rPr>
          <w:rFonts w:hint="eastAsia" w:ascii="Times New Roman" w:hAnsi="Times New Roman" w:cs="Times New Roman"/>
          <w:sz w:val="24"/>
        </w:rPr>
        <w:t xml:space="preserve">Li, J. J., Berk, M. S., &amp; Lee, S. S. (2013). Differential susceptibility in longitudinal models of gene-environment interaction for adolescent depression. </w:t>
      </w:r>
      <w:r>
        <w:rPr>
          <w:rFonts w:hint="default" w:ascii="Times New Roman Italic" w:hAnsi="Times New Roman Italic" w:cs="Times New Roman Italic"/>
          <w:i/>
          <w:iCs/>
          <w:sz w:val="24"/>
        </w:rPr>
        <w:t>Development &amp; Psychopathology, 25</w:t>
      </w:r>
      <w:r>
        <w:rPr>
          <w:rFonts w:hint="eastAsia" w:ascii="Times New Roman" w:hAnsi="Times New Roman" w:cs="Times New Roman"/>
          <w:sz w:val="24"/>
        </w:rPr>
        <w:t>(4 Pt 1), 991</w:t>
      </w:r>
      <w:r>
        <w:rPr>
          <w:rFonts w:ascii="Times New Roman Regular" w:hAnsi="Times New Roman Regular" w:eastAsia="Times New Roman Regular" w:cs="Times New Roman Regular"/>
          <w:kern w:val="2"/>
          <w:szCs w:val="24"/>
          <w:lang w:val="en-US" w:eastAsia="zh-CN" w:bidi="ar"/>
        </w:rPr>
        <w:t>–</w:t>
      </w:r>
      <w:r>
        <w:rPr>
          <w:rFonts w:hint="eastAsia" w:ascii="Times New Roman" w:hAnsi="Times New Roman" w:cs="Times New Roman"/>
          <w:sz w:val="24"/>
        </w:rPr>
        <w:t>1003.</w:t>
      </w:r>
    </w:p>
    <w:p>
      <w:pPr>
        <w:keepNext w:val="0"/>
        <w:keepLines w:val="0"/>
        <w:pageBreakBefore w:val="0"/>
        <w:widowControl w:val="0"/>
        <w:kinsoku/>
        <w:wordWrap/>
        <w:overflowPunct/>
        <w:topLinePunct w:val="0"/>
        <w:autoSpaceDE/>
        <w:autoSpaceDN/>
        <w:bidi w:val="0"/>
        <w:adjustRightInd/>
        <w:snapToGrid/>
        <w:spacing w:after="160"/>
        <w:ind w:left="0" w:hanging="480" w:hangingChars="200"/>
        <w:jc w:val="left"/>
        <w:textAlignment w:val="auto"/>
        <w:rPr>
          <w:rFonts w:hint="eastAsia" w:ascii="Times New Roman" w:hAnsi="Times New Roman" w:cs="Times New Roman"/>
          <w:sz w:val="24"/>
        </w:rPr>
      </w:pPr>
      <w:r>
        <w:rPr>
          <w:rFonts w:hint="eastAsia" w:ascii="Times New Roman" w:hAnsi="Times New Roman" w:cs="Times New Roman"/>
          <w:sz w:val="24"/>
        </w:rPr>
        <w:t xml:space="preserve">Starr, L. R., Hammen, C., Brennan, P. A., &amp; Najman, J. M. (2013). Relational security moderates the effect of serotonin transporter gene polymorphism (5-HTTLPR) on stress generation and depression among adolescents. </w:t>
      </w:r>
      <w:r>
        <w:rPr>
          <w:rFonts w:hint="default" w:ascii="Times New Roman Italic" w:hAnsi="Times New Roman Italic" w:cs="Times New Roman Italic"/>
          <w:i/>
          <w:iCs/>
          <w:sz w:val="24"/>
        </w:rPr>
        <w:t>Journal of Abnormal Child Psychology, 41</w:t>
      </w:r>
      <w:r>
        <w:rPr>
          <w:rFonts w:hint="eastAsia" w:ascii="Times New Roman" w:hAnsi="Times New Roman" w:cs="Times New Roman"/>
          <w:sz w:val="24"/>
        </w:rPr>
        <w:t>(3), 379</w:t>
      </w:r>
      <w:r>
        <w:rPr>
          <w:rFonts w:ascii="Times New Roman Regular" w:hAnsi="Times New Roman Regular" w:eastAsia="Times New Roman Regular" w:cs="Times New Roman Regular"/>
          <w:kern w:val="2"/>
          <w:szCs w:val="24"/>
          <w:lang w:val="en-US" w:eastAsia="zh-CN" w:bidi="ar"/>
        </w:rPr>
        <w:t>–</w:t>
      </w:r>
      <w:r>
        <w:rPr>
          <w:rFonts w:hint="eastAsia" w:ascii="Times New Roman" w:hAnsi="Times New Roman" w:cs="Times New Roman"/>
          <w:sz w:val="24"/>
        </w:rPr>
        <w:t>388.</w:t>
      </w:r>
    </w:p>
    <w:p>
      <w:pPr>
        <w:spacing w:after="160"/>
        <w:ind w:left="480" w:hanging="480" w:hangingChars="200"/>
        <w:jc w:val="left"/>
        <w:rPr>
          <w:rFonts w:ascii="Times New Roman" w:hAnsi="Times New Roman" w:cs="Times New Roman"/>
          <w:sz w:val="24"/>
        </w:rPr>
      </w:pPr>
      <w:r>
        <w:rPr>
          <w:rFonts w:ascii="Times New Roman" w:hAnsi="Times New Roman" w:cs="Times New Roman"/>
          <w:sz w:val="24"/>
        </w:rPr>
        <w:t xml:space="preserve">Stocker, C. M., Masarik, A. S., Widaman, K. F., Reeb, B. T., Boardman, J. D., Smolen, A., ... Conger, K. J. (2017). Parenting and adolescents’ psychological adjustment: longitudinal moderation by adolescents’ genetic sensitivity. </w:t>
      </w:r>
      <w:r>
        <w:rPr>
          <w:rFonts w:ascii="Times New Roman Italic" w:hAnsi="Times New Roman Italic" w:cs="Times New Roman Italic"/>
          <w:i/>
          <w:iCs/>
          <w:sz w:val="24"/>
        </w:rPr>
        <w:t>Development &amp; Psychopathology, 29</w:t>
      </w:r>
      <w:r>
        <w:rPr>
          <w:rFonts w:ascii="Times New Roman" w:hAnsi="Times New Roman" w:cs="Times New Roman"/>
          <w:sz w:val="24"/>
        </w:rPr>
        <w:t>(4), 1289–1304.</w:t>
      </w:r>
    </w:p>
    <w:p>
      <w:pPr>
        <w:spacing w:after="160"/>
        <w:ind w:left="480" w:hanging="480" w:hangingChars="200"/>
        <w:jc w:val="left"/>
        <w:rPr>
          <w:rFonts w:ascii="Times New Roman" w:hAnsi="Times New Roman" w:cs="Times New Roman"/>
          <w:sz w:val="24"/>
        </w:rPr>
      </w:pPr>
      <w:r>
        <w:rPr>
          <w:rFonts w:hint="eastAsia" w:ascii="Times New Roman" w:hAnsi="Times New Roman" w:cs="Times New Roman"/>
          <w:sz w:val="24"/>
        </w:rPr>
        <w:t xml:space="preserve">Taylor, S. E., Way, B. M., Welch, W. T., Hilmert, C. J., Lehman, B. J., &amp; Eisenberger, N. I. (2006). Early family environment, current adversity, the serotonin transporter promoter polymorphism, and depressive symptomatology. </w:t>
      </w:r>
      <w:r>
        <w:rPr>
          <w:rFonts w:hint="default" w:ascii="Times New Roman Italic" w:hAnsi="Times New Roman Italic" w:cs="Times New Roman Italic"/>
          <w:i/>
          <w:iCs/>
          <w:sz w:val="24"/>
        </w:rPr>
        <w:t>Biological Psychiatry, 60</w:t>
      </w:r>
      <w:r>
        <w:rPr>
          <w:rFonts w:hint="eastAsia" w:ascii="Times New Roman" w:hAnsi="Times New Roman" w:cs="Times New Roman"/>
          <w:sz w:val="24"/>
        </w:rPr>
        <w:t>(7), 671</w:t>
      </w:r>
      <w:r>
        <w:rPr>
          <w:rFonts w:ascii="Times New Roman" w:hAnsi="Times New Roman" w:cs="Times New Roman"/>
          <w:sz w:val="24"/>
        </w:rPr>
        <w:t>–</w:t>
      </w:r>
      <w:r>
        <w:rPr>
          <w:rFonts w:hint="eastAsia" w:ascii="Times New Roman" w:hAnsi="Times New Roman" w:cs="Times New Roman"/>
          <w:sz w:val="24"/>
        </w:rPr>
        <w:t>676.</w:t>
      </w:r>
    </w:p>
    <w:p>
      <w:pPr>
        <w:spacing w:after="160"/>
        <w:ind w:left="480" w:hanging="480" w:hangingChars="200"/>
        <w:jc w:val="left"/>
        <w:rPr>
          <w:rFonts w:hint="default" w:ascii="Times New Roman" w:hAnsi="Times New Roman" w:cs="Times New Roman"/>
          <w:sz w:val="24"/>
        </w:rPr>
      </w:pPr>
      <w:r>
        <w:rPr>
          <w:rFonts w:hint="eastAsia" w:ascii="Times New Roman" w:hAnsi="Times New Roman" w:cs="Times New Roman"/>
          <w:sz w:val="24"/>
        </w:rPr>
        <w:t xml:space="preserve">Zhang, L., Li, Z., Chen, J., Li, X., Zhang, J., &amp; Belsky, J. (2016). The BDNF Val66Met polymorphism interacts with maternal parenting influencing adolescent depressive symptoms: evidence of differential susceptibility model. </w:t>
      </w:r>
      <w:r>
        <w:rPr>
          <w:rFonts w:hint="default" w:ascii="Times New Roman Italic" w:hAnsi="Times New Roman Italic" w:cs="Times New Roman Italic"/>
          <w:i/>
          <w:iCs/>
          <w:sz w:val="24"/>
        </w:rPr>
        <w:t>Journal of Youth &amp; Adolescence, 45</w:t>
      </w:r>
      <w:r>
        <w:rPr>
          <w:rFonts w:hint="eastAsia" w:ascii="Times New Roman" w:hAnsi="Times New Roman" w:cs="Times New Roman"/>
          <w:sz w:val="24"/>
        </w:rPr>
        <w:t>(3), 471</w:t>
      </w:r>
      <w:r>
        <w:rPr>
          <w:rFonts w:ascii="Times New Roman Regular" w:hAnsi="Times New Roman Regular" w:eastAsia="Times New Roman Regular" w:cs="Times New Roman Regular"/>
          <w:kern w:val="2"/>
          <w:szCs w:val="24"/>
          <w:lang w:val="en-US" w:eastAsia="zh-CN" w:bidi="ar"/>
        </w:rPr>
        <w:t>–</w:t>
      </w:r>
      <w:r>
        <w:rPr>
          <w:rFonts w:hint="eastAsia" w:ascii="Times New Roman" w:hAnsi="Times New Roman" w:cs="Times New Roman"/>
          <w:sz w:val="24"/>
        </w:rPr>
        <w:t>483</w:t>
      </w:r>
      <w:r>
        <w:rPr>
          <w:rFonts w:hint="default" w:ascii="Times New Roman" w:hAnsi="Times New Roman" w:cs="Times New Roman"/>
          <w:sz w:val="24"/>
        </w:rPr>
        <w:t>.</w:t>
      </w:r>
    </w:p>
    <w:p>
      <w:pPr>
        <w:spacing w:after="160"/>
        <w:ind w:left="480" w:hanging="480" w:hangingChars="200"/>
        <w:jc w:val="left"/>
        <w:rPr>
          <w:rFonts w:ascii="Times New Roman" w:hAnsi="Times New Roman" w:cs="Times New Roman"/>
          <w:sz w:val="22"/>
          <w:szCs w:val="22"/>
        </w:rPr>
      </w:pPr>
      <w:r>
        <w:rPr>
          <w:rFonts w:ascii="Times New Roman" w:hAnsi="Times New Roman" w:cs="Times New Roman"/>
          <w:sz w:val="24"/>
        </w:rPr>
        <w:br w:type="page"/>
      </w:r>
    </w:p>
    <w:p>
      <w:pPr>
        <w:pStyle w:val="2"/>
        <w:spacing w:before="0" w:after="160" w:line="240" w:lineRule="auto"/>
        <w:jc w:val="left"/>
        <w:rPr>
          <w:rFonts w:ascii="Times New Roman" w:hAnsi="Times New Roman" w:cs="Times New Roman"/>
          <w:b w:val="0"/>
          <w:bCs w:val="0"/>
          <w:sz w:val="24"/>
        </w:rPr>
      </w:pPr>
      <w:r>
        <w:rPr>
          <w:rFonts w:ascii="Times New Roman" w:hAnsi="Times New Roman" w:cs="Times New Roman"/>
          <w:b w:val="0"/>
          <w:bCs w:val="0"/>
          <w:sz w:val="24"/>
        </w:rPr>
        <w:t>Table S1</w:t>
      </w:r>
    </w:p>
    <w:p>
      <w:pPr>
        <w:pStyle w:val="2"/>
        <w:spacing w:before="0" w:after="160" w:line="240" w:lineRule="auto"/>
        <w:jc w:val="left"/>
        <w:rPr>
          <w:rFonts w:hint="eastAsia" w:ascii="Times New Roman Italic" w:hAnsi="Times New Roman Italic" w:cs="Times New Roman Italic"/>
          <w:b w:val="0"/>
          <w:bCs w:val="0"/>
          <w:i/>
          <w:iCs/>
          <w:sz w:val="24"/>
        </w:rPr>
      </w:pPr>
      <w:r>
        <w:rPr>
          <w:rFonts w:ascii="Times New Roman Italic" w:hAnsi="Times New Roman Italic" w:cs="Times New Roman Italic"/>
          <w:b w:val="0"/>
          <w:bCs w:val="0"/>
          <w:i/>
          <w:iCs/>
          <w:sz w:val="24"/>
        </w:rPr>
        <w:t>Regions-of-Interest for the intrinsic brain networks</w:t>
      </w:r>
    </w:p>
    <w:tbl>
      <w:tblPr>
        <w:tblStyle w:val="11"/>
        <w:tblW w:w="0" w:type="auto"/>
        <w:tblInd w:w="108"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297"/>
        <w:gridCol w:w="2798"/>
        <w:gridCol w:w="3093"/>
      </w:tblGrid>
      <w:tr>
        <w:trPr>
          <w:trHeight w:val="397" w:hRule="exact"/>
        </w:trPr>
        <w:tc>
          <w:tcPr>
            <w:tcW w:w="2297" w:type="dxa"/>
            <w:tcBorders>
              <w:tl2br w:val="nil"/>
              <w:tr2bl w:val="nil"/>
            </w:tcBorders>
            <w:vAlign w:val="center"/>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Network</w:t>
            </w:r>
          </w:p>
        </w:tc>
        <w:tc>
          <w:tcPr>
            <w:tcW w:w="2798" w:type="dxa"/>
            <w:tcBorders>
              <w:tl2br w:val="nil"/>
              <w:tr2bl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MNI Coordinates (x, y, z)</w:t>
            </w:r>
          </w:p>
        </w:tc>
        <w:tc>
          <w:tcPr>
            <w:tcW w:w="3093" w:type="dxa"/>
            <w:tcBorders>
              <w:tl2br w:val="nil"/>
              <w:tr2bl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Label</w:t>
            </w:r>
          </w:p>
        </w:tc>
      </w:tr>
      <w:tr>
        <w:trPr>
          <w:trHeight w:val="397" w:hRule="exact"/>
        </w:trPr>
        <w:tc>
          <w:tcPr>
            <w:tcW w:w="2297" w:type="dxa"/>
            <w:vMerge w:val="restart"/>
            <w:tcBorders>
              <w:tl2br w:val="nil"/>
              <w:tr2bl w:val="nil"/>
            </w:tcBorders>
            <w:vAlign w:val="center"/>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Central Executive Network</w:t>
            </w:r>
          </w:p>
        </w:tc>
        <w:tc>
          <w:tcPr>
            <w:tcW w:w="2798" w:type="dxa"/>
            <w:tcBorders>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-42,-63,46</w:t>
            </w:r>
          </w:p>
        </w:tc>
        <w:tc>
          <w:tcPr>
            <w:tcW w:w="3093" w:type="dxa"/>
            <w:tcBorders>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L inferior parietal lobule</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-32,23,49</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L middle frontal gyrus</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-40,48,-01</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L middle frontal gyrus</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-59,-42,-12</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L middle temporal gyrus</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-07,34,43</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L medial frontal gyrus</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38,26,42</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R middle frontal gyrus</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48,-54,47</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R inferior parietal lobule</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38,54,01</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R middle frontal gyrus</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13,02,14</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R caudate</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06,37,46</w:t>
            </w:r>
          </w:p>
        </w:tc>
        <w:tc>
          <w:tcPr>
            <w:tcW w:w="3093" w:type="dxa"/>
            <w:tcBorders>
              <w:top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R medial frontal gyrus</w:t>
            </w:r>
          </w:p>
        </w:tc>
      </w:tr>
      <w:tr>
        <w:trPr>
          <w:trHeight w:val="397" w:hRule="exact"/>
        </w:trPr>
        <w:tc>
          <w:tcPr>
            <w:tcW w:w="2297" w:type="dxa"/>
            <w:vMerge w:val="restart"/>
            <w:tcBorders>
              <w:tl2br w:val="nil"/>
              <w:tr2bl w:val="nil"/>
            </w:tcBorders>
            <w:vAlign w:val="center"/>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Anterior Salience Network</w:t>
            </w:r>
          </w:p>
        </w:tc>
        <w:tc>
          <w:tcPr>
            <w:tcW w:w="2798" w:type="dxa"/>
            <w:tcBorders>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-06,17,47</w:t>
            </w:r>
          </w:p>
        </w:tc>
        <w:tc>
          <w:tcPr>
            <w:tcW w:w="3093" w:type="dxa"/>
            <w:tcBorders>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L dorsal anterior cingulate cortex</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-31,47,22</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L middle frontal gyrus</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-42,14,-03</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L anterior insula</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06,17,47</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R dorsal anterior cingulate cortex</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28,46,26</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R middle frontal gyrus</w:t>
            </w:r>
          </w:p>
        </w:tc>
      </w:tr>
      <w:tr>
        <w:trPr>
          <w:trHeight w:val="397" w:hRule="exact"/>
        </w:trPr>
        <w:tc>
          <w:tcPr>
            <w:tcW w:w="2297" w:type="dxa"/>
            <w:vMerge w:val="continue"/>
            <w:tcBorders>
              <w:tl2br w:val="nil"/>
              <w:tr2bl w:val="nil"/>
            </w:tcBorders>
            <w:vAlign w:val="center"/>
          </w:tcPr>
          <w:p>
            <w:pPr>
              <w:jc w:val="center"/>
              <w:rPr>
                <w:rFonts w:ascii="Times New Roman" w:hAnsi="Times New Roman" w:eastAsia="宋体" w:cs="Times New Roman"/>
                <w:kern w:val="0"/>
                <w:sz w:val="22"/>
                <w:szCs w:val="22"/>
              </w:rPr>
            </w:pPr>
          </w:p>
        </w:tc>
        <w:tc>
          <w:tcPr>
            <w:tcW w:w="2798" w:type="dxa"/>
            <w:tcBorders>
              <w:top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42,14,-03</w:t>
            </w:r>
          </w:p>
        </w:tc>
        <w:tc>
          <w:tcPr>
            <w:tcW w:w="3093" w:type="dxa"/>
            <w:tcBorders>
              <w:top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R anterior insula</w:t>
            </w:r>
          </w:p>
        </w:tc>
      </w:tr>
      <w:tr>
        <w:trPr>
          <w:trHeight w:val="397" w:hRule="exact"/>
        </w:trPr>
        <w:tc>
          <w:tcPr>
            <w:tcW w:w="2297" w:type="dxa"/>
            <w:vMerge w:val="restart"/>
            <w:tcBorders>
              <w:tl2br w:val="nil"/>
              <w:tr2bl w:val="nil"/>
            </w:tcBorders>
            <w:vAlign w:val="center"/>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Default Mode Network</w:t>
            </w:r>
          </w:p>
        </w:tc>
        <w:tc>
          <w:tcPr>
            <w:tcW w:w="2798" w:type="dxa"/>
            <w:tcBorders>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-04,-52,32</w:t>
            </w:r>
          </w:p>
        </w:tc>
        <w:tc>
          <w:tcPr>
            <w:tcW w:w="3093" w:type="dxa"/>
            <w:tcBorders>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L posterior cingulate cortex</w:t>
            </w:r>
          </w:p>
        </w:tc>
      </w:tr>
      <w:tr>
        <w:trPr>
          <w:trHeight w:val="397" w:hRule="exact"/>
        </w:trPr>
        <w:tc>
          <w:tcPr>
            <w:tcW w:w="2297" w:type="dxa"/>
            <w:vMerge w:val="continue"/>
            <w:tcBorders>
              <w:tl2br w:val="nil"/>
              <w:tr2bl w:val="nil"/>
            </w:tcBorders>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-05,55,-13</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L ventromedial prefrontal cortex</w:t>
            </w:r>
          </w:p>
        </w:tc>
      </w:tr>
      <w:tr>
        <w:trPr>
          <w:trHeight w:val="397" w:hRule="exact"/>
        </w:trPr>
        <w:tc>
          <w:tcPr>
            <w:tcW w:w="2297" w:type="dxa"/>
            <w:vMerge w:val="continue"/>
            <w:tcBorders>
              <w:tl2br w:val="nil"/>
              <w:tr2bl w:val="nil"/>
            </w:tcBorders>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-49,-62,34</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L temporoparietal junction</w:t>
            </w:r>
          </w:p>
        </w:tc>
      </w:tr>
      <w:tr>
        <w:trPr>
          <w:trHeight w:val="397" w:hRule="exact"/>
        </w:trPr>
        <w:tc>
          <w:tcPr>
            <w:tcW w:w="2297" w:type="dxa"/>
            <w:vMerge w:val="continue"/>
            <w:tcBorders>
              <w:tl2br w:val="nil"/>
              <w:tr2bl w:val="nil"/>
            </w:tcBorders>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04,-53,35</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R posterior cingulate cortex</w:t>
            </w:r>
          </w:p>
        </w:tc>
      </w:tr>
      <w:tr>
        <w:trPr>
          <w:trHeight w:val="397" w:hRule="exact"/>
        </w:trPr>
        <w:tc>
          <w:tcPr>
            <w:tcW w:w="2297" w:type="dxa"/>
            <w:vMerge w:val="continue"/>
            <w:tcBorders>
              <w:tl2br w:val="nil"/>
              <w:tr2bl w:val="nil"/>
            </w:tcBorders>
          </w:tcPr>
          <w:p>
            <w:pPr>
              <w:jc w:val="center"/>
              <w:rPr>
                <w:rFonts w:ascii="Times New Roman" w:hAnsi="Times New Roman" w:eastAsia="宋体" w:cs="Times New Roman"/>
                <w:kern w:val="0"/>
                <w:sz w:val="22"/>
                <w:szCs w:val="22"/>
              </w:rPr>
            </w:pPr>
          </w:p>
        </w:tc>
        <w:tc>
          <w:tcPr>
            <w:tcW w:w="2798"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05,55,-13</w:t>
            </w:r>
          </w:p>
        </w:tc>
        <w:tc>
          <w:tcPr>
            <w:tcW w:w="3093" w:type="dxa"/>
            <w:tcBorders>
              <w:top w:val="nil"/>
              <w:bottom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R ventromedial prefrontal cortex</w:t>
            </w:r>
          </w:p>
        </w:tc>
      </w:tr>
      <w:tr>
        <w:trPr>
          <w:trHeight w:val="397" w:hRule="exact"/>
        </w:trPr>
        <w:tc>
          <w:tcPr>
            <w:tcW w:w="2297" w:type="dxa"/>
            <w:vMerge w:val="continue"/>
            <w:tcBorders>
              <w:tl2br w:val="nil"/>
              <w:tr2bl w:val="nil"/>
            </w:tcBorders>
          </w:tcPr>
          <w:p>
            <w:pPr>
              <w:jc w:val="center"/>
              <w:rPr>
                <w:rFonts w:ascii="Times New Roman" w:hAnsi="Times New Roman" w:eastAsia="宋体" w:cs="Times New Roman"/>
                <w:kern w:val="0"/>
                <w:sz w:val="22"/>
                <w:szCs w:val="22"/>
              </w:rPr>
            </w:pPr>
          </w:p>
        </w:tc>
        <w:tc>
          <w:tcPr>
            <w:tcW w:w="2798" w:type="dxa"/>
            <w:tcBorders>
              <w:top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50,-57,36</w:t>
            </w:r>
          </w:p>
        </w:tc>
        <w:tc>
          <w:tcPr>
            <w:tcW w:w="3093" w:type="dxa"/>
            <w:tcBorders>
              <w:top w:val="nil"/>
            </w:tcBorders>
          </w:tcPr>
          <w:p>
            <w:pPr>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R temporoparietal junction</w:t>
            </w:r>
          </w:p>
        </w:tc>
      </w:tr>
    </w:tbl>
    <w:p>
      <w:pPr>
        <w:rPr>
          <w:rFonts w:ascii="Times New Roman" w:hAnsi="Times New Roman" w:cs="Times New Roman"/>
        </w:rPr>
      </w:pPr>
      <w:r>
        <w:rPr>
          <w:rFonts w:ascii="Times New Roman Italic" w:hAnsi="Times New Roman Italic" w:cs="Times New Roman Italic"/>
          <w:i/>
          <w:iCs/>
        </w:rPr>
        <w:t>Note.</w:t>
      </w:r>
      <w:r>
        <w:rPr>
          <w:rFonts w:ascii="Times New Roman" w:hAnsi="Times New Roman" w:cs="Times New Roman"/>
        </w:rPr>
        <w:t xml:space="preserve"> L: Left; R: Right</w:t>
      </w:r>
      <w:bookmarkEnd w:id="0"/>
    </w:p>
    <w:p>
      <w:pPr>
        <w:pStyle w:val="2"/>
        <w:spacing w:before="0" w:after="312" w:afterLines="100" w:line="240" w:lineRule="auto"/>
        <w:jc w:val="center"/>
        <w:rPr>
          <w:rFonts w:ascii="Times New Roman" w:hAnsi="Times New Roman" w:cs="Times New Roman"/>
          <w:b w:val="0"/>
          <w:bCs w:val="0"/>
          <w:sz w:val="24"/>
        </w:rPr>
        <w:sectPr>
          <w:headerReference r:id="rId3" w:type="default"/>
          <w:footerReference r:id="rId4" w:type="default"/>
          <w:pgSz w:w="11906" w:h="16838"/>
          <w:pgMar w:top="1440" w:right="1800" w:bottom="1440" w:left="1800" w:header="851" w:footer="992" w:gutter="0"/>
          <w:cols w:space="0" w:num="1"/>
          <w:docGrid w:type="lines" w:linePitch="312" w:charSpace="0"/>
        </w:sectPr>
      </w:pPr>
    </w:p>
    <w:p>
      <w:pPr>
        <w:pStyle w:val="2"/>
        <w:spacing w:before="0" w:after="160" w:line="240" w:lineRule="auto"/>
        <w:jc w:val="left"/>
        <w:rPr>
          <w:rFonts w:ascii="Times New Roman" w:hAnsi="Times New Roman" w:cs="Times New Roman"/>
          <w:b w:val="0"/>
          <w:bCs w:val="0"/>
          <w:sz w:val="24"/>
          <w:szCs w:val="24"/>
        </w:rPr>
      </w:pPr>
      <w:bookmarkStart w:id="3" w:name="_Toc103179934"/>
      <w:r>
        <w:rPr>
          <w:rFonts w:ascii="Times New Roman" w:hAnsi="Times New Roman" w:cs="Times New Roman"/>
          <w:b w:val="0"/>
          <w:bCs w:val="0"/>
          <w:sz w:val="24"/>
          <w:szCs w:val="24"/>
        </w:rPr>
        <w:t xml:space="preserve">Table </w:t>
      </w:r>
      <w:bookmarkEnd w:id="3"/>
      <w:r>
        <w:rPr>
          <w:rFonts w:ascii="Times New Roman" w:hAnsi="Times New Roman" w:cs="Times New Roman"/>
          <w:b w:val="0"/>
          <w:bCs w:val="0"/>
          <w:sz w:val="24"/>
          <w:szCs w:val="24"/>
        </w:rPr>
        <w:t>S2.</w:t>
      </w:r>
    </w:p>
    <w:p>
      <w:pPr>
        <w:pStyle w:val="2"/>
        <w:spacing w:before="0" w:after="160" w:line="240" w:lineRule="auto"/>
        <w:jc w:val="left"/>
        <w:rPr>
          <w:rFonts w:hint="eastAsia" w:ascii="Times New Roman Italic" w:hAnsi="Times New Roman Italic" w:cs="Times New Roman Italic"/>
          <w:b w:val="0"/>
          <w:bCs w:val="0"/>
          <w:i/>
          <w:iCs/>
          <w:sz w:val="24"/>
          <w:szCs w:val="24"/>
        </w:rPr>
      </w:pPr>
      <w:r>
        <w:rPr>
          <w:rFonts w:ascii="Times New Roman Italic" w:hAnsi="Times New Roman Italic" w:cs="Times New Roman Italic"/>
          <w:b w:val="0"/>
          <w:bCs w:val="0"/>
          <w:i/>
          <w:iCs/>
          <w:sz w:val="24"/>
          <w:szCs w:val="24"/>
        </w:rPr>
        <w:t>Results for all the interactions between parenting environments and</w:t>
      </w:r>
      <w:r>
        <w:rPr>
          <w:rFonts w:ascii="Times New Roman Italic" w:hAnsi="Times New Roman Italic" w:cs="Times New Roman Italic"/>
          <w:b w:val="0"/>
          <w:bCs w:val="0"/>
          <w:i/>
          <w:iCs/>
          <w:sz w:val="24"/>
          <w:szCs w:val="24"/>
          <w:lang w:eastAsia="zh-Hans"/>
        </w:rPr>
        <w:t xml:space="preserve"> brain network integration.</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7"/>
        <w:gridCol w:w="1114"/>
        <w:gridCol w:w="1013"/>
        <w:gridCol w:w="1034"/>
      </w:tblGrid>
      <w:tr>
        <w:trPr>
          <w:trHeight w:val="322" w:hRule="exact"/>
          <w:jc w:val="center"/>
        </w:trPr>
        <w:tc>
          <w:tcPr>
            <w:tcW w:w="3457" w:type="dxa"/>
            <w:tcBorders>
              <w:top w:val="single" w:color="auto" w:sz="12" w:space="0"/>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Interactions</w:t>
            </w:r>
          </w:p>
        </w:tc>
        <w:tc>
          <w:tcPr>
            <w:tcW w:w="1114" w:type="dxa"/>
            <w:tcBorders>
              <w:top w:val="single" w:color="auto" w:sz="12" w:space="0"/>
              <w:left w:val="nil"/>
              <w:right w:val="nil"/>
            </w:tcBorders>
          </w:tcPr>
          <w:p>
            <w:pPr>
              <w:jc w:val="left"/>
              <w:rPr>
                <w:rFonts w:hint="eastAsia" w:ascii="Times New Roman Italic" w:hAnsi="Times New Roman Italic" w:eastAsia="宋体" w:cs="Times New Roman Italic"/>
                <w:i/>
                <w:iCs/>
                <w:kern w:val="0"/>
                <w:sz w:val="22"/>
                <w:szCs w:val="22"/>
              </w:rPr>
            </w:pPr>
            <w:r>
              <w:rPr>
                <w:rFonts w:ascii="Times New Roman Italic" w:hAnsi="Times New Roman Italic" w:eastAsia="宋体" w:cs="Times New Roman Italic"/>
                <w:i/>
                <w:iCs/>
                <w:kern w:val="0"/>
                <w:sz w:val="22"/>
                <w:szCs w:val="22"/>
              </w:rPr>
              <w:t>df</w:t>
            </w:r>
          </w:p>
        </w:tc>
        <w:tc>
          <w:tcPr>
            <w:tcW w:w="1013" w:type="dxa"/>
            <w:tcBorders>
              <w:top w:val="single" w:color="auto" w:sz="12" w:space="0"/>
              <w:left w:val="nil"/>
              <w:right w:val="nil"/>
            </w:tcBorders>
          </w:tcPr>
          <w:p>
            <w:pPr>
              <w:jc w:val="left"/>
              <w:rPr>
                <w:rFonts w:hint="eastAsia" w:ascii="Times New Roman Italic" w:hAnsi="Times New Roman Italic" w:eastAsia="宋体" w:cs="Times New Roman Italic"/>
                <w:i/>
                <w:iCs/>
                <w:kern w:val="0"/>
                <w:sz w:val="22"/>
                <w:szCs w:val="22"/>
              </w:rPr>
            </w:pPr>
            <w:r>
              <w:rPr>
                <w:rFonts w:ascii="Times New Roman Italic" w:hAnsi="Times New Roman Italic" w:cs="Times New Roman Italic"/>
                <w:i/>
                <w:iCs/>
                <w:sz w:val="22"/>
                <w:szCs w:val="22"/>
              </w:rPr>
              <w:t>β</w:t>
            </w:r>
          </w:p>
        </w:tc>
        <w:tc>
          <w:tcPr>
            <w:tcW w:w="1034" w:type="dxa"/>
            <w:tcBorders>
              <w:top w:val="single" w:color="auto" w:sz="12" w:space="0"/>
              <w:left w:val="nil"/>
              <w:right w:val="nil"/>
            </w:tcBorders>
          </w:tcPr>
          <w:p>
            <w:pPr>
              <w:jc w:val="left"/>
              <w:rPr>
                <w:rFonts w:hint="eastAsia" w:ascii="Times New Roman Italic" w:hAnsi="Times New Roman Italic" w:eastAsia="宋体" w:cs="Times New Roman Italic"/>
                <w:i/>
                <w:iCs/>
                <w:kern w:val="0"/>
                <w:sz w:val="22"/>
                <w:szCs w:val="22"/>
              </w:rPr>
            </w:pPr>
            <w:r>
              <w:rPr>
                <w:rFonts w:ascii="Times New Roman Italic" w:hAnsi="Times New Roman Italic" w:eastAsia="宋体" w:cs="Times New Roman Italic"/>
                <w:i/>
                <w:iCs/>
                <w:kern w:val="0"/>
                <w:sz w:val="22"/>
                <w:szCs w:val="22"/>
              </w:rPr>
              <w:t>p</w:t>
            </w:r>
          </w:p>
        </w:tc>
      </w:tr>
      <w:tr>
        <w:trPr>
          <w:trHeight w:val="275" w:hRule="exact"/>
          <w:jc w:val="center"/>
        </w:trPr>
        <w:tc>
          <w:tcPr>
            <w:tcW w:w="3457"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Maternal hostility*CEN</w:t>
            </w:r>
          </w:p>
        </w:tc>
        <w:tc>
          <w:tcPr>
            <w:tcW w:w="1114"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101.705</w:t>
            </w:r>
          </w:p>
        </w:tc>
        <w:tc>
          <w:tcPr>
            <w:tcW w:w="1013"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−0.086</w:t>
            </w:r>
          </w:p>
        </w:tc>
        <w:tc>
          <w:tcPr>
            <w:tcW w:w="1034"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0.009</w:t>
            </w:r>
          </w:p>
        </w:tc>
      </w:tr>
      <w:tr>
        <w:trPr>
          <w:trHeight w:val="275" w:hRule="exact"/>
          <w:jc w:val="center"/>
        </w:trPr>
        <w:tc>
          <w:tcPr>
            <w:tcW w:w="3457"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Paternal hostility*CEN</w:t>
            </w:r>
          </w:p>
        </w:tc>
        <w:tc>
          <w:tcPr>
            <w:tcW w:w="111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162.200</w:t>
            </w:r>
          </w:p>
        </w:tc>
        <w:tc>
          <w:tcPr>
            <w:tcW w:w="1013" w:type="dxa"/>
            <w:tcBorders>
              <w:top w:val="nil"/>
              <w:left w:val="nil"/>
              <w:bottom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0.025</w:t>
            </w:r>
          </w:p>
        </w:tc>
        <w:tc>
          <w:tcPr>
            <w:tcW w:w="103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0.133</w:t>
            </w:r>
          </w:p>
        </w:tc>
      </w:tr>
      <w:tr>
        <w:trPr>
          <w:trHeight w:val="275" w:hRule="exact"/>
          <w:jc w:val="center"/>
        </w:trPr>
        <w:tc>
          <w:tcPr>
            <w:tcW w:w="3457"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Maternal warm*CEN</w:t>
            </w:r>
          </w:p>
        </w:tc>
        <w:tc>
          <w:tcPr>
            <w:tcW w:w="111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108.207</w:t>
            </w:r>
          </w:p>
        </w:tc>
        <w:tc>
          <w:tcPr>
            <w:tcW w:w="1013" w:type="dxa"/>
            <w:tcBorders>
              <w:top w:val="nil"/>
              <w:left w:val="nil"/>
              <w:bottom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0.054</w:t>
            </w:r>
          </w:p>
        </w:tc>
        <w:tc>
          <w:tcPr>
            <w:tcW w:w="103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0.187</w:t>
            </w:r>
          </w:p>
        </w:tc>
      </w:tr>
      <w:tr>
        <w:trPr>
          <w:trHeight w:val="275" w:hRule="exact"/>
          <w:jc w:val="center"/>
        </w:trPr>
        <w:tc>
          <w:tcPr>
            <w:tcW w:w="3457"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Paternal warm*CEN</w:t>
            </w:r>
          </w:p>
        </w:tc>
        <w:tc>
          <w:tcPr>
            <w:tcW w:w="1114"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107.123</w:t>
            </w:r>
          </w:p>
        </w:tc>
        <w:tc>
          <w:tcPr>
            <w:tcW w:w="1013" w:type="dxa"/>
            <w:tcBorders>
              <w:top w:val="nil"/>
              <w:left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0.044</w:t>
            </w:r>
          </w:p>
        </w:tc>
        <w:tc>
          <w:tcPr>
            <w:tcW w:w="1034"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0.292</w:t>
            </w:r>
          </w:p>
        </w:tc>
      </w:tr>
      <w:tr>
        <w:trPr>
          <w:trHeight w:val="275" w:hRule="exact"/>
          <w:jc w:val="center"/>
        </w:trPr>
        <w:tc>
          <w:tcPr>
            <w:tcW w:w="3457"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Maternal hostility*aSN</w:t>
            </w:r>
          </w:p>
        </w:tc>
        <w:tc>
          <w:tcPr>
            <w:tcW w:w="1114"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117.469</w:t>
            </w:r>
          </w:p>
        </w:tc>
        <w:tc>
          <w:tcPr>
            <w:tcW w:w="1013"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−0.037</w:t>
            </w:r>
          </w:p>
        </w:tc>
        <w:tc>
          <w:tcPr>
            <w:tcW w:w="1034"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0.408</w:t>
            </w:r>
          </w:p>
        </w:tc>
      </w:tr>
      <w:tr>
        <w:trPr>
          <w:trHeight w:val="278" w:hRule="exact"/>
          <w:jc w:val="center"/>
        </w:trPr>
        <w:tc>
          <w:tcPr>
            <w:tcW w:w="3457"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Paternal hostility*aSN</w:t>
            </w:r>
          </w:p>
        </w:tc>
        <w:tc>
          <w:tcPr>
            <w:tcW w:w="111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113.120</w:t>
            </w:r>
          </w:p>
        </w:tc>
        <w:tc>
          <w:tcPr>
            <w:tcW w:w="1013" w:type="dxa"/>
            <w:tcBorders>
              <w:top w:val="nil"/>
              <w:left w:val="nil"/>
              <w:bottom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0.075</w:t>
            </w:r>
          </w:p>
        </w:tc>
        <w:tc>
          <w:tcPr>
            <w:tcW w:w="103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0.034</w:t>
            </w:r>
          </w:p>
        </w:tc>
      </w:tr>
      <w:tr>
        <w:trPr>
          <w:trHeight w:val="275" w:hRule="exact"/>
          <w:jc w:val="center"/>
        </w:trPr>
        <w:tc>
          <w:tcPr>
            <w:tcW w:w="3457"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Maternal warm*aSN</w:t>
            </w:r>
          </w:p>
        </w:tc>
        <w:tc>
          <w:tcPr>
            <w:tcW w:w="111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108.500</w:t>
            </w:r>
          </w:p>
        </w:tc>
        <w:tc>
          <w:tcPr>
            <w:tcW w:w="1013"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−0.015</w:t>
            </w:r>
          </w:p>
        </w:tc>
        <w:tc>
          <w:tcPr>
            <w:tcW w:w="103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0.668</w:t>
            </w:r>
          </w:p>
        </w:tc>
      </w:tr>
      <w:tr>
        <w:trPr>
          <w:trHeight w:val="275" w:hRule="exact"/>
          <w:jc w:val="center"/>
        </w:trPr>
        <w:tc>
          <w:tcPr>
            <w:tcW w:w="3457"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Paternal warm*aSN</w:t>
            </w:r>
          </w:p>
        </w:tc>
        <w:tc>
          <w:tcPr>
            <w:tcW w:w="1114"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109.329</w:t>
            </w:r>
          </w:p>
        </w:tc>
        <w:tc>
          <w:tcPr>
            <w:tcW w:w="1013"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−0.030</w:t>
            </w:r>
          </w:p>
        </w:tc>
        <w:tc>
          <w:tcPr>
            <w:tcW w:w="1034"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0.460</w:t>
            </w:r>
          </w:p>
        </w:tc>
      </w:tr>
      <w:tr>
        <w:trPr>
          <w:trHeight w:val="275" w:hRule="exact"/>
          <w:jc w:val="center"/>
        </w:trPr>
        <w:tc>
          <w:tcPr>
            <w:tcW w:w="3457"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Maternal hostility*aSNDMN</w:t>
            </w:r>
          </w:p>
        </w:tc>
        <w:tc>
          <w:tcPr>
            <w:tcW w:w="1114"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107.362</w:t>
            </w:r>
          </w:p>
        </w:tc>
        <w:tc>
          <w:tcPr>
            <w:tcW w:w="1013" w:type="dxa"/>
            <w:tcBorders>
              <w:left w:val="nil"/>
              <w:bottom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0.028</w:t>
            </w:r>
          </w:p>
        </w:tc>
        <w:tc>
          <w:tcPr>
            <w:tcW w:w="1034"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0.431</w:t>
            </w:r>
          </w:p>
        </w:tc>
      </w:tr>
      <w:tr>
        <w:trPr>
          <w:trHeight w:val="275" w:hRule="exact"/>
          <w:jc w:val="center"/>
        </w:trPr>
        <w:tc>
          <w:tcPr>
            <w:tcW w:w="3457"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Paternal hostility*aSNDMN</w:t>
            </w:r>
          </w:p>
        </w:tc>
        <w:tc>
          <w:tcPr>
            <w:tcW w:w="111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103.845</w:t>
            </w:r>
          </w:p>
        </w:tc>
        <w:tc>
          <w:tcPr>
            <w:tcW w:w="1013"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−0.093</w:t>
            </w:r>
          </w:p>
        </w:tc>
        <w:tc>
          <w:tcPr>
            <w:tcW w:w="103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0.009</w:t>
            </w:r>
          </w:p>
        </w:tc>
      </w:tr>
      <w:tr>
        <w:trPr>
          <w:trHeight w:val="275" w:hRule="exact"/>
          <w:jc w:val="center"/>
        </w:trPr>
        <w:tc>
          <w:tcPr>
            <w:tcW w:w="3457"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Maternal warm*aSNDMN</w:t>
            </w:r>
          </w:p>
        </w:tc>
        <w:tc>
          <w:tcPr>
            <w:tcW w:w="111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100.684</w:t>
            </w:r>
          </w:p>
        </w:tc>
        <w:tc>
          <w:tcPr>
            <w:tcW w:w="1013" w:type="dxa"/>
            <w:tcBorders>
              <w:top w:val="nil"/>
              <w:left w:val="nil"/>
              <w:bottom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0.015</w:t>
            </w:r>
          </w:p>
        </w:tc>
        <w:tc>
          <w:tcPr>
            <w:tcW w:w="103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0.632</w:t>
            </w:r>
          </w:p>
        </w:tc>
      </w:tr>
      <w:tr>
        <w:trPr>
          <w:trHeight w:val="275" w:hRule="exact"/>
          <w:jc w:val="center"/>
        </w:trPr>
        <w:tc>
          <w:tcPr>
            <w:tcW w:w="3457"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Paternal warm*aSNDMN</w:t>
            </w:r>
          </w:p>
        </w:tc>
        <w:tc>
          <w:tcPr>
            <w:tcW w:w="1114" w:type="dxa"/>
            <w:tcBorders>
              <w:top w:val="nil"/>
              <w:left w:val="nil"/>
              <w:right w:val="nil"/>
            </w:tcBorders>
          </w:tcPr>
          <w:p>
            <w:pPr>
              <w:ind w:firstLine="110" w:firstLineChars="5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96.860</w:t>
            </w:r>
          </w:p>
        </w:tc>
        <w:tc>
          <w:tcPr>
            <w:tcW w:w="1013" w:type="dxa"/>
            <w:tcBorders>
              <w:top w:val="nil"/>
              <w:left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0.051</w:t>
            </w:r>
          </w:p>
        </w:tc>
        <w:tc>
          <w:tcPr>
            <w:tcW w:w="1034"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0.134</w:t>
            </w:r>
          </w:p>
        </w:tc>
      </w:tr>
      <w:tr>
        <w:trPr>
          <w:trHeight w:val="275" w:hRule="exact"/>
          <w:jc w:val="center"/>
        </w:trPr>
        <w:tc>
          <w:tcPr>
            <w:tcW w:w="3457"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Maternal hostility*DMN</w:t>
            </w:r>
          </w:p>
        </w:tc>
        <w:tc>
          <w:tcPr>
            <w:tcW w:w="1114"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115.790</w:t>
            </w:r>
          </w:p>
        </w:tc>
        <w:tc>
          <w:tcPr>
            <w:tcW w:w="1013"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−0.014</w:t>
            </w:r>
          </w:p>
        </w:tc>
        <w:tc>
          <w:tcPr>
            <w:tcW w:w="1034"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0.694</w:t>
            </w:r>
          </w:p>
        </w:tc>
      </w:tr>
      <w:tr>
        <w:trPr>
          <w:trHeight w:val="275" w:hRule="exact"/>
          <w:jc w:val="center"/>
        </w:trPr>
        <w:tc>
          <w:tcPr>
            <w:tcW w:w="3457"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Paternal hostility*DMN</w:t>
            </w:r>
          </w:p>
        </w:tc>
        <w:tc>
          <w:tcPr>
            <w:tcW w:w="111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111.087</w:t>
            </w:r>
          </w:p>
        </w:tc>
        <w:tc>
          <w:tcPr>
            <w:tcW w:w="1013" w:type="dxa"/>
            <w:tcBorders>
              <w:top w:val="nil"/>
              <w:left w:val="nil"/>
              <w:bottom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0.046</w:t>
            </w:r>
          </w:p>
        </w:tc>
        <w:tc>
          <w:tcPr>
            <w:tcW w:w="103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0.164</w:t>
            </w:r>
          </w:p>
        </w:tc>
      </w:tr>
      <w:tr>
        <w:trPr>
          <w:trHeight w:val="275" w:hRule="exact"/>
          <w:jc w:val="center"/>
        </w:trPr>
        <w:tc>
          <w:tcPr>
            <w:tcW w:w="3457"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Maternal warm*DMN</w:t>
            </w:r>
          </w:p>
        </w:tc>
        <w:tc>
          <w:tcPr>
            <w:tcW w:w="111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120.984</w:t>
            </w:r>
          </w:p>
        </w:tc>
        <w:tc>
          <w:tcPr>
            <w:tcW w:w="1013" w:type="dxa"/>
            <w:tcBorders>
              <w:top w:val="nil"/>
              <w:left w:val="nil"/>
              <w:bottom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0.003</w:t>
            </w:r>
          </w:p>
        </w:tc>
        <w:tc>
          <w:tcPr>
            <w:tcW w:w="103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0.939</w:t>
            </w:r>
          </w:p>
        </w:tc>
      </w:tr>
      <w:tr>
        <w:trPr>
          <w:trHeight w:val="275" w:hRule="exact"/>
          <w:jc w:val="center"/>
        </w:trPr>
        <w:tc>
          <w:tcPr>
            <w:tcW w:w="3457"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Paternal warm*DMN</w:t>
            </w:r>
          </w:p>
        </w:tc>
        <w:tc>
          <w:tcPr>
            <w:tcW w:w="1114"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114.860</w:t>
            </w:r>
          </w:p>
        </w:tc>
        <w:tc>
          <w:tcPr>
            <w:tcW w:w="1013" w:type="dxa"/>
            <w:tcBorders>
              <w:top w:val="nil"/>
              <w:left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0.007</w:t>
            </w:r>
          </w:p>
        </w:tc>
        <w:tc>
          <w:tcPr>
            <w:tcW w:w="1034"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0.831</w:t>
            </w:r>
          </w:p>
        </w:tc>
      </w:tr>
      <w:tr>
        <w:trPr>
          <w:trHeight w:val="275" w:hRule="exact"/>
          <w:jc w:val="center"/>
        </w:trPr>
        <w:tc>
          <w:tcPr>
            <w:tcW w:w="3457"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Maternal hostility*CENaSN</w:t>
            </w:r>
          </w:p>
        </w:tc>
        <w:tc>
          <w:tcPr>
            <w:tcW w:w="1114" w:type="dxa"/>
            <w:tcBorders>
              <w:left w:val="nil"/>
              <w:bottom w:val="nil"/>
              <w:right w:val="nil"/>
            </w:tcBorders>
          </w:tcPr>
          <w:p>
            <w:pPr>
              <w:ind w:firstLine="110" w:firstLineChars="5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97.634</w:t>
            </w:r>
          </w:p>
        </w:tc>
        <w:tc>
          <w:tcPr>
            <w:tcW w:w="1013"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−0.013</w:t>
            </w:r>
          </w:p>
        </w:tc>
        <w:tc>
          <w:tcPr>
            <w:tcW w:w="1034"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0.722</w:t>
            </w:r>
          </w:p>
        </w:tc>
      </w:tr>
      <w:tr>
        <w:trPr>
          <w:trHeight w:val="275" w:hRule="exact"/>
          <w:jc w:val="center"/>
        </w:trPr>
        <w:tc>
          <w:tcPr>
            <w:tcW w:w="3457"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Paternal hostility*CENaSN</w:t>
            </w:r>
          </w:p>
        </w:tc>
        <w:tc>
          <w:tcPr>
            <w:tcW w:w="111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107.450</w:t>
            </w:r>
          </w:p>
        </w:tc>
        <w:tc>
          <w:tcPr>
            <w:tcW w:w="1013"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−0.016</w:t>
            </w:r>
          </w:p>
        </w:tc>
        <w:tc>
          <w:tcPr>
            <w:tcW w:w="103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0.639</w:t>
            </w:r>
          </w:p>
        </w:tc>
      </w:tr>
      <w:tr>
        <w:trPr>
          <w:trHeight w:val="275" w:hRule="exact"/>
          <w:jc w:val="center"/>
        </w:trPr>
        <w:tc>
          <w:tcPr>
            <w:tcW w:w="3457"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Maternal warm*CENaSN</w:t>
            </w:r>
          </w:p>
        </w:tc>
        <w:tc>
          <w:tcPr>
            <w:tcW w:w="111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103.332</w:t>
            </w:r>
          </w:p>
        </w:tc>
        <w:tc>
          <w:tcPr>
            <w:tcW w:w="1013" w:type="dxa"/>
            <w:tcBorders>
              <w:top w:val="nil"/>
              <w:left w:val="nil"/>
              <w:bottom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0.012</w:t>
            </w:r>
          </w:p>
        </w:tc>
        <w:tc>
          <w:tcPr>
            <w:tcW w:w="103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0.708</w:t>
            </w:r>
          </w:p>
        </w:tc>
      </w:tr>
      <w:tr>
        <w:trPr>
          <w:trHeight w:val="275" w:hRule="exact"/>
          <w:jc w:val="center"/>
        </w:trPr>
        <w:tc>
          <w:tcPr>
            <w:tcW w:w="3457"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Paternal warm*CENaSN</w:t>
            </w:r>
          </w:p>
        </w:tc>
        <w:tc>
          <w:tcPr>
            <w:tcW w:w="1114"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101.971</w:t>
            </w:r>
          </w:p>
        </w:tc>
        <w:tc>
          <w:tcPr>
            <w:tcW w:w="1013" w:type="dxa"/>
            <w:tcBorders>
              <w:top w:val="nil"/>
              <w:left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0.057</w:t>
            </w:r>
          </w:p>
        </w:tc>
        <w:tc>
          <w:tcPr>
            <w:tcW w:w="1034"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0.068</w:t>
            </w:r>
          </w:p>
        </w:tc>
      </w:tr>
      <w:tr>
        <w:trPr>
          <w:trHeight w:val="275" w:hRule="exact"/>
          <w:jc w:val="center"/>
        </w:trPr>
        <w:tc>
          <w:tcPr>
            <w:tcW w:w="3457"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Maternal hostility*CENDMN</w:t>
            </w:r>
          </w:p>
        </w:tc>
        <w:tc>
          <w:tcPr>
            <w:tcW w:w="1114"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103.728</w:t>
            </w:r>
          </w:p>
        </w:tc>
        <w:tc>
          <w:tcPr>
            <w:tcW w:w="1013"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−0.015</w:t>
            </w:r>
          </w:p>
        </w:tc>
        <w:tc>
          <w:tcPr>
            <w:tcW w:w="1034"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0.646</w:t>
            </w:r>
          </w:p>
        </w:tc>
      </w:tr>
      <w:tr>
        <w:trPr>
          <w:trHeight w:val="275" w:hRule="exact"/>
          <w:jc w:val="center"/>
        </w:trPr>
        <w:tc>
          <w:tcPr>
            <w:tcW w:w="3457"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Paternal hostility*CENDMN</w:t>
            </w:r>
          </w:p>
        </w:tc>
        <w:tc>
          <w:tcPr>
            <w:tcW w:w="111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108.491</w:t>
            </w:r>
          </w:p>
        </w:tc>
        <w:tc>
          <w:tcPr>
            <w:tcW w:w="1013" w:type="dxa"/>
            <w:tcBorders>
              <w:top w:val="nil"/>
              <w:left w:val="nil"/>
              <w:bottom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0.032</w:t>
            </w:r>
          </w:p>
        </w:tc>
        <w:tc>
          <w:tcPr>
            <w:tcW w:w="103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0.362</w:t>
            </w:r>
          </w:p>
        </w:tc>
      </w:tr>
      <w:tr>
        <w:trPr>
          <w:trHeight w:val="275" w:hRule="exact"/>
          <w:jc w:val="center"/>
        </w:trPr>
        <w:tc>
          <w:tcPr>
            <w:tcW w:w="3457"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Maternal warm*CENDMN</w:t>
            </w:r>
          </w:p>
        </w:tc>
        <w:tc>
          <w:tcPr>
            <w:tcW w:w="111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117.200</w:t>
            </w:r>
          </w:p>
        </w:tc>
        <w:tc>
          <w:tcPr>
            <w:tcW w:w="1013" w:type="dxa"/>
            <w:tcBorders>
              <w:top w:val="nil"/>
              <w:left w:val="nil"/>
              <w:bottom w:val="nil"/>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0.003</w:t>
            </w:r>
          </w:p>
        </w:tc>
        <w:tc>
          <w:tcPr>
            <w:tcW w:w="1034"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0.922</w:t>
            </w:r>
          </w:p>
        </w:tc>
      </w:tr>
      <w:tr>
        <w:trPr>
          <w:trHeight w:val="297" w:hRule="exact"/>
          <w:jc w:val="center"/>
        </w:trPr>
        <w:tc>
          <w:tcPr>
            <w:tcW w:w="3457" w:type="dxa"/>
            <w:tcBorders>
              <w:top w:val="nil"/>
              <w:left w:val="nil"/>
              <w:bottom w:val="single" w:color="auto" w:sz="12" w:space="0"/>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Paternal warm*CENDMN</w:t>
            </w:r>
          </w:p>
        </w:tc>
        <w:tc>
          <w:tcPr>
            <w:tcW w:w="1114" w:type="dxa"/>
            <w:tcBorders>
              <w:top w:val="nil"/>
              <w:left w:val="nil"/>
              <w:bottom w:val="single" w:color="auto" w:sz="12" w:space="0"/>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110.908</w:t>
            </w:r>
          </w:p>
        </w:tc>
        <w:tc>
          <w:tcPr>
            <w:tcW w:w="1013" w:type="dxa"/>
            <w:tcBorders>
              <w:top w:val="nil"/>
              <w:left w:val="nil"/>
              <w:bottom w:val="single" w:color="auto" w:sz="12" w:space="0"/>
              <w:right w:val="nil"/>
            </w:tcBorders>
          </w:tcPr>
          <w:p>
            <w:pPr>
              <w:ind w:firstLine="154" w:firstLineChars="7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0.035</w:t>
            </w:r>
          </w:p>
        </w:tc>
        <w:tc>
          <w:tcPr>
            <w:tcW w:w="1034" w:type="dxa"/>
            <w:tcBorders>
              <w:top w:val="nil"/>
              <w:left w:val="nil"/>
              <w:bottom w:val="single" w:color="auto" w:sz="12" w:space="0"/>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0.281</w:t>
            </w:r>
          </w:p>
        </w:tc>
      </w:tr>
    </w:tbl>
    <w:p>
      <w:pPr>
        <w:jc w:val="left"/>
        <w:rPr>
          <w:rFonts w:ascii="Times New Roman" w:hAnsi="Times New Roman" w:cs="Times New Roman"/>
          <w:sz w:val="24"/>
        </w:rPr>
      </w:pPr>
      <w:r>
        <w:rPr>
          <w:rFonts w:ascii="Times New Roman Italic" w:hAnsi="Times New Roman Italic" w:cs="Times New Roman Italic"/>
          <w:i/>
          <w:iCs/>
          <w:sz w:val="24"/>
        </w:rPr>
        <w:t xml:space="preserve">Note. </w:t>
      </w:r>
      <w:r>
        <w:rPr>
          <w:rFonts w:ascii="Times New Roman" w:hAnsi="Times New Roman" w:cs="Times New Roman"/>
          <w:sz w:val="24"/>
        </w:rPr>
        <w:t>CEN, central executive network; aSN, anterior salience network; aSNDMN, the connectivity between the anterior salience network and default mode network; DMN, default mode network; CENaSN, the connectivity between the central executive network and anterior salience network; CENDMN, the connectivity between the central executive network and default mode network.</w:t>
      </w:r>
    </w:p>
    <w:p>
      <w:pPr>
        <w:jc w:val="left"/>
        <w:outlineLvl w:val="0"/>
        <w:rPr>
          <w:rFonts w:ascii="Times New Roman" w:hAnsi="Times New Roman" w:cs="Times New Roman"/>
          <w:sz w:val="20"/>
          <w:szCs w:val="20"/>
        </w:rPr>
        <w:sectPr>
          <w:pgSz w:w="11906" w:h="16838"/>
          <w:pgMar w:top="1440" w:right="1800" w:bottom="1440" w:left="1800" w:header="851" w:footer="992" w:gutter="0"/>
          <w:cols w:space="0" w:num="1"/>
          <w:docGrid w:type="lines" w:linePitch="312" w:charSpace="0"/>
        </w:sectPr>
      </w:pPr>
    </w:p>
    <w:p>
      <w:pPr>
        <w:pStyle w:val="2"/>
        <w:spacing w:before="0" w:after="160" w:line="240" w:lineRule="auto"/>
        <w:jc w:val="left"/>
        <w:rPr>
          <w:rFonts w:ascii="Times New Roman" w:hAnsi="Times New Roman" w:cs="Times New Roman"/>
          <w:b w:val="0"/>
          <w:bCs w:val="0"/>
          <w:sz w:val="24"/>
        </w:rPr>
      </w:pPr>
      <w:bookmarkStart w:id="4" w:name="_Toc103179937"/>
      <w:bookmarkStart w:id="5" w:name="_Toc103179932"/>
      <w:bookmarkStart w:id="6" w:name="_Toc103179938"/>
      <w:r>
        <w:rPr>
          <w:rFonts w:ascii="Times New Roman" w:hAnsi="Times New Roman" w:cs="Times New Roman"/>
          <w:b w:val="0"/>
          <w:bCs w:val="0"/>
          <w:sz w:val="24"/>
        </w:rPr>
        <w:t>Table S3.</w:t>
      </w:r>
    </w:p>
    <w:p>
      <w:pPr>
        <w:pStyle w:val="2"/>
        <w:spacing w:before="0" w:after="160" w:line="240" w:lineRule="auto"/>
        <w:jc w:val="left"/>
        <w:rPr>
          <w:rFonts w:ascii="Times New Roman" w:hAnsi="Times New Roman" w:cs="Times New Roman"/>
        </w:rPr>
      </w:pPr>
      <w:r>
        <w:rPr>
          <w:rFonts w:ascii="Times New Roman Italic" w:hAnsi="Times New Roman Italic" w:cs="Times New Roman Italic"/>
          <w:b w:val="0"/>
          <w:bCs w:val="0"/>
          <w:i/>
          <w:iCs/>
          <w:sz w:val="24"/>
          <w:szCs w:val="24"/>
        </w:rPr>
        <w:t>Parameter estimates for competitive univariate biometric models of CEN and aSNDMN connectivity</w:t>
      </w:r>
    </w:p>
    <w:tbl>
      <w:tblPr>
        <w:tblStyle w:val="11"/>
        <w:tblW w:w="822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85"/>
        <w:gridCol w:w="889"/>
        <w:gridCol w:w="1267"/>
        <w:gridCol w:w="778"/>
        <w:gridCol w:w="1209"/>
      </w:tblGrid>
      <w:tr>
        <w:trPr>
          <w:trHeight w:val="323" w:hRule="atLeast"/>
        </w:trPr>
        <w:tc>
          <w:tcPr>
            <w:tcW w:w="4085" w:type="dxa"/>
            <w:tcBorders>
              <w:top w:val="single" w:color="auto" w:sz="4" w:space="0"/>
              <w:left w:val="nil"/>
              <w:bottom w:val="single" w:color="auto" w:sz="4" w:space="0"/>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Functional brain network connectivity</w:t>
            </w:r>
          </w:p>
        </w:tc>
        <w:tc>
          <w:tcPr>
            <w:tcW w:w="889" w:type="dxa"/>
            <w:tcBorders>
              <w:top w:val="single" w:color="auto" w:sz="4" w:space="0"/>
              <w:left w:val="nil"/>
              <w:bottom w:val="single" w:color="auto" w:sz="4" w:space="0"/>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Model</w:t>
            </w:r>
          </w:p>
        </w:tc>
        <w:tc>
          <w:tcPr>
            <w:tcW w:w="1267" w:type="dxa"/>
            <w:tcBorders>
              <w:top w:val="single" w:color="auto" w:sz="4" w:space="0"/>
              <w:left w:val="nil"/>
              <w:bottom w:val="single" w:color="auto" w:sz="4" w:space="0"/>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−2logL</w:t>
            </w:r>
          </w:p>
        </w:tc>
        <w:tc>
          <w:tcPr>
            <w:tcW w:w="778" w:type="dxa"/>
            <w:tcBorders>
              <w:top w:val="single" w:color="auto" w:sz="4" w:space="0"/>
              <w:left w:val="nil"/>
              <w:bottom w:val="single" w:color="auto" w:sz="4" w:space="0"/>
              <w:right w:val="nil"/>
            </w:tcBorders>
            <w:vAlign w:val="center"/>
          </w:tcPr>
          <w:p>
            <w:pPr>
              <w:jc w:val="left"/>
              <w:rPr>
                <w:rFonts w:ascii="Times New Roman" w:hAnsi="Times New Roman" w:eastAsia="Times New Roman" w:cs="Times New Roman"/>
                <w:sz w:val="24"/>
              </w:rPr>
            </w:pPr>
            <w:r>
              <w:rPr>
                <w:rFonts w:ascii="Times New Roman Italic" w:hAnsi="Times New Roman Italic" w:eastAsia="Times New Roman" w:cs="Times New Roman Italic"/>
                <w:i/>
                <w:iCs/>
                <w:sz w:val="24"/>
              </w:rPr>
              <w:t>df</w:t>
            </w:r>
          </w:p>
        </w:tc>
        <w:tc>
          <w:tcPr>
            <w:tcW w:w="1209" w:type="dxa"/>
            <w:tcBorders>
              <w:top w:val="single" w:color="auto" w:sz="4" w:space="0"/>
              <w:left w:val="nil"/>
              <w:bottom w:val="single" w:color="auto" w:sz="4" w:space="0"/>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AIC</w:t>
            </w:r>
          </w:p>
        </w:tc>
      </w:tr>
      <w:tr>
        <w:trPr>
          <w:trHeight w:val="323" w:hRule="atLeast"/>
        </w:trPr>
        <w:tc>
          <w:tcPr>
            <w:tcW w:w="4085" w:type="dxa"/>
            <w:vMerge w:val="restart"/>
            <w:tcBorders>
              <w:top w:val="nil"/>
              <w:left w:val="nil"/>
              <w:bottom w:val="single" w:color="auto" w:sz="4" w:space="0"/>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CEN</w:t>
            </w:r>
          </w:p>
        </w:tc>
        <w:tc>
          <w:tcPr>
            <w:tcW w:w="889" w:type="dxa"/>
            <w:tcBorders>
              <w:top w:val="single" w:color="auto" w:sz="4" w:space="0"/>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ACE</w:t>
            </w:r>
          </w:p>
        </w:tc>
        <w:tc>
          <w:tcPr>
            <w:tcW w:w="1267" w:type="dxa"/>
            <w:tcBorders>
              <w:top w:val="single" w:color="auto" w:sz="4" w:space="0"/>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−314.929</w:t>
            </w:r>
          </w:p>
        </w:tc>
        <w:tc>
          <w:tcPr>
            <w:tcW w:w="778" w:type="dxa"/>
            <w:tcBorders>
              <w:top w:val="single" w:color="auto" w:sz="4" w:space="0"/>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172</w:t>
            </w:r>
          </w:p>
        </w:tc>
        <w:tc>
          <w:tcPr>
            <w:tcW w:w="1209" w:type="dxa"/>
            <w:tcBorders>
              <w:top w:val="single" w:color="auto" w:sz="4" w:space="0"/>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−658.929</w:t>
            </w:r>
          </w:p>
        </w:tc>
      </w:tr>
      <w:tr>
        <w:trPr>
          <w:trHeight w:val="323" w:hRule="atLeast"/>
        </w:trPr>
        <w:tc>
          <w:tcPr>
            <w:tcW w:w="4085" w:type="dxa"/>
            <w:vMerge w:val="continue"/>
            <w:tcBorders>
              <w:top w:val="nil"/>
              <w:left w:val="nil"/>
              <w:bottom w:val="single" w:color="auto" w:sz="4" w:space="0"/>
              <w:right w:val="nil"/>
            </w:tcBorders>
            <w:vAlign w:val="center"/>
          </w:tcPr>
          <w:p>
            <w:pPr>
              <w:rPr>
                <w:rFonts w:ascii="Times New Roman" w:hAnsi="Times New Roman" w:eastAsia="Times New Roman" w:cs="Times New Roman"/>
                <w:sz w:val="24"/>
              </w:rPr>
            </w:pPr>
          </w:p>
        </w:tc>
        <w:tc>
          <w:tcPr>
            <w:tcW w:w="889" w:type="dxa"/>
            <w:tcBorders>
              <w:top w:val="nil"/>
              <w:left w:val="nil"/>
              <w:bottom w:val="nil"/>
              <w:right w:val="nil"/>
            </w:tcBorders>
            <w:vAlign w:val="center"/>
          </w:tcPr>
          <w:p>
            <w:pPr>
              <w:jc w:val="left"/>
              <w:rPr>
                <w:rFonts w:ascii="Times New Roman Bold" w:hAnsi="Times New Roman Bold" w:eastAsia="Times New Roman" w:cs="Times New Roman Bold"/>
                <w:b/>
                <w:bCs/>
                <w:sz w:val="24"/>
              </w:rPr>
            </w:pPr>
            <w:r>
              <w:rPr>
                <w:rFonts w:ascii="Times New Roman Bold" w:hAnsi="Times New Roman Bold" w:eastAsia="Times New Roman" w:cs="Times New Roman Bold"/>
                <w:b/>
                <w:bCs/>
                <w:sz w:val="24"/>
              </w:rPr>
              <w:t>AE</w:t>
            </w:r>
          </w:p>
        </w:tc>
        <w:tc>
          <w:tcPr>
            <w:tcW w:w="1267" w:type="dxa"/>
            <w:tcBorders>
              <w:top w:val="nil"/>
              <w:left w:val="nil"/>
              <w:bottom w:val="nil"/>
              <w:right w:val="nil"/>
            </w:tcBorders>
            <w:vAlign w:val="center"/>
          </w:tcPr>
          <w:p>
            <w:pPr>
              <w:jc w:val="left"/>
              <w:rPr>
                <w:rFonts w:ascii="Times New Roman Bold" w:hAnsi="Times New Roman Bold" w:eastAsia="Times New Roman" w:cs="Times New Roman Bold"/>
                <w:b/>
                <w:bCs/>
                <w:sz w:val="24"/>
              </w:rPr>
            </w:pPr>
            <w:r>
              <w:rPr>
                <w:rFonts w:ascii="Times New Roman Bold" w:hAnsi="Times New Roman Bold" w:eastAsia="Times New Roman" w:cs="Times New Roman Bold"/>
                <w:b/>
                <w:bCs/>
                <w:sz w:val="24"/>
              </w:rPr>
              <w:t>−314.929</w:t>
            </w:r>
          </w:p>
        </w:tc>
        <w:tc>
          <w:tcPr>
            <w:tcW w:w="778" w:type="dxa"/>
            <w:tcBorders>
              <w:top w:val="nil"/>
              <w:left w:val="nil"/>
              <w:bottom w:val="nil"/>
              <w:right w:val="nil"/>
            </w:tcBorders>
            <w:vAlign w:val="center"/>
          </w:tcPr>
          <w:p>
            <w:pPr>
              <w:jc w:val="left"/>
              <w:rPr>
                <w:rFonts w:ascii="Times New Roman Bold" w:hAnsi="Times New Roman Bold" w:eastAsia="Times New Roman" w:cs="Times New Roman Bold"/>
                <w:b/>
                <w:bCs/>
                <w:sz w:val="24"/>
              </w:rPr>
            </w:pPr>
            <w:r>
              <w:rPr>
                <w:rFonts w:ascii="Times New Roman Bold" w:hAnsi="Times New Roman Bold" w:eastAsia="Times New Roman" w:cs="Times New Roman Bold"/>
                <w:b/>
                <w:bCs/>
                <w:sz w:val="24"/>
              </w:rPr>
              <w:t>173</w:t>
            </w:r>
          </w:p>
        </w:tc>
        <w:tc>
          <w:tcPr>
            <w:tcW w:w="1209" w:type="dxa"/>
            <w:tcBorders>
              <w:top w:val="nil"/>
              <w:left w:val="nil"/>
              <w:bottom w:val="nil"/>
              <w:right w:val="nil"/>
            </w:tcBorders>
            <w:vAlign w:val="center"/>
          </w:tcPr>
          <w:p>
            <w:pPr>
              <w:jc w:val="left"/>
              <w:rPr>
                <w:rFonts w:ascii="Times New Roman Bold" w:hAnsi="Times New Roman Bold" w:eastAsia="Times New Roman" w:cs="Times New Roman Bold"/>
                <w:b/>
                <w:bCs/>
                <w:sz w:val="24"/>
              </w:rPr>
            </w:pPr>
            <w:r>
              <w:rPr>
                <w:rFonts w:ascii="Times New Roman Bold" w:hAnsi="Times New Roman Bold" w:eastAsia="Times New Roman" w:cs="Times New Roman Bold"/>
                <w:b/>
                <w:bCs/>
                <w:sz w:val="24"/>
              </w:rPr>
              <w:t>−660.929</w:t>
            </w:r>
          </w:p>
        </w:tc>
      </w:tr>
      <w:tr>
        <w:trPr>
          <w:trHeight w:val="323" w:hRule="atLeast"/>
        </w:trPr>
        <w:tc>
          <w:tcPr>
            <w:tcW w:w="4085" w:type="dxa"/>
            <w:vMerge w:val="continue"/>
            <w:tcBorders>
              <w:top w:val="nil"/>
              <w:left w:val="nil"/>
              <w:bottom w:val="single" w:color="auto" w:sz="4" w:space="0"/>
              <w:right w:val="nil"/>
            </w:tcBorders>
            <w:vAlign w:val="center"/>
          </w:tcPr>
          <w:p>
            <w:pPr>
              <w:rPr>
                <w:rFonts w:ascii="Times New Roman" w:hAnsi="Times New Roman" w:eastAsia="Times New Roman" w:cs="Times New Roman"/>
                <w:sz w:val="24"/>
              </w:rPr>
            </w:pPr>
          </w:p>
        </w:tc>
        <w:tc>
          <w:tcPr>
            <w:tcW w:w="889"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CE</w:t>
            </w:r>
          </w:p>
        </w:tc>
        <w:tc>
          <w:tcPr>
            <w:tcW w:w="1267"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−313.502</w:t>
            </w:r>
          </w:p>
        </w:tc>
        <w:tc>
          <w:tcPr>
            <w:tcW w:w="778"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173</w:t>
            </w:r>
          </w:p>
        </w:tc>
        <w:tc>
          <w:tcPr>
            <w:tcW w:w="1209"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−659.502</w:t>
            </w:r>
          </w:p>
        </w:tc>
      </w:tr>
      <w:tr>
        <w:trPr>
          <w:trHeight w:val="323" w:hRule="atLeast"/>
        </w:trPr>
        <w:tc>
          <w:tcPr>
            <w:tcW w:w="4085" w:type="dxa"/>
            <w:vMerge w:val="continue"/>
            <w:tcBorders>
              <w:top w:val="nil"/>
              <w:left w:val="nil"/>
              <w:bottom w:val="single" w:color="auto" w:sz="4" w:space="0"/>
              <w:right w:val="nil"/>
            </w:tcBorders>
            <w:vAlign w:val="center"/>
          </w:tcPr>
          <w:p>
            <w:pPr>
              <w:rPr>
                <w:rFonts w:ascii="Times New Roman" w:hAnsi="Times New Roman" w:eastAsia="Times New Roman" w:cs="Times New Roman"/>
                <w:sz w:val="24"/>
              </w:rPr>
            </w:pPr>
          </w:p>
        </w:tc>
        <w:tc>
          <w:tcPr>
            <w:tcW w:w="889" w:type="dxa"/>
            <w:tcBorders>
              <w:top w:val="nil"/>
              <w:left w:val="nil"/>
              <w:bottom w:val="single" w:color="auto" w:sz="4" w:space="0"/>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E</w:t>
            </w:r>
          </w:p>
        </w:tc>
        <w:tc>
          <w:tcPr>
            <w:tcW w:w="1267" w:type="dxa"/>
            <w:tcBorders>
              <w:top w:val="nil"/>
              <w:left w:val="nil"/>
              <w:bottom w:val="single" w:color="auto" w:sz="4" w:space="0"/>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−312.379</w:t>
            </w:r>
          </w:p>
        </w:tc>
        <w:tc>
          <w:tcPr>
            <w:tcW w:w="778" w:type="dxa"/>
            <w:tcBorders>
              <w:top w:val="nil"/>
              <w:left w:val="nil"/>
              <w:bottom w:val="single" w:color="auto" w:sz="4" w:space="0"/>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174</w:t>
            </w:r>
          </w:p>
        </w:tc>
        <w:tc>
          <w:tcPr>
            <w:tcW w:w="1209" w:type="dxa"/>
            <w:tcBorders>
              <w:top w:val="nil"/>
              <w:left w:val="nil"/>
              <w:bottom w:val="single" w:color="auto" w:sz="4" w:space="0"/>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−660.379</w:t>
            </w:r>
          </w:p>
        </w:tc>
      </w:tr>
      <w:tr>
        <w:trPr>
          <w:trHeight w:val="323" w:hRule="atLeast"/>
        </w:trPr>
        <w:tc>
          <w:tcPr>
            <w:tcW w:w="4085" w:type="dxa"/>
            <w:vMerge w:val="restart"/>
            <w:tcBorders>
              <w:top w:val="nil"/>
              <w:left w:val="nil"/>
              <w:bottom w:val="single" w:color="auto" w:sz="4" w:space="0"/>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aSNDMN</w:t>
            </w:r>
          </w:p>
        </w:tc>
        <w:tc>
          <w:tcPr>
            <w:tcW w:w="889"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ACE</w:t>
            </w:r>
          </w:p>
        </w:tc>
        <w:tc>
          <w:tcPr>
            <w:tcW w:w="1267"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−171.783</w:t>
            </w:r>
          </w:p>
        </w:tc>
        <w:tc>
          <w:tcPr>
            <w:tcW w:w="778"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172</w:t>
            </w:r>
          </w:p>
        </w:tc>
        <w:tc>
          <w:tcPr>
            <w:tcW w:w="1209"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−515.783</w:t>
            </w:r>
          </w:p>
        </w:tc>
      </w:tr>
      <w:tr>
        <w:trPr>
          <w:trHeight w:val="323" w:hRule="atLeast"/>
        </w:trPr>
        <w:tc>
          <w:tcPr>
            <w:tcW w:w="4085" w:type="dxa"/>
            <w:vMerge w:val="continue"/>
            <w:tcBorders>
              <w:top w:val="nil"/>
              <w:left w:val="nil"/>
              <w:bottom w:val="single" w:color="auto" w:sz="4" w:space="0"/>
              <w:right w:val="nil"/>
            </w:tcBorders>
            <w:vAlign w:val="center"/>
          </w:tcPr>
          <w:p>
            <w:pPr>
              <w:rPr>
                <w:rFonts w:ascii="Times New Roman" w:hAnsi="Times New Roman" w:eastAsia="Times New Roman" w:cs="Times New Roman"/>
                <w:sz w:val="24"/>
              </w:rPr>
            </w:pPr>
          </w:p>
        </w:tc>
        <w:tc>
          <w:tcPr>
            <w:tcW w:w="889"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AE</w:t>
            </w:r>
          </w:p>
        </w:tc>
        <w:tc>
          <w:tcPr>
            <w:tcW w:w="1267"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−171.783</w:t>
            </w:r>
          </w:p>
        </w:tc>
        <w:tc>
          <w:tcPr>
            <w:tcW w:w="778"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173</w:t>
            </w:r>
          </w:p>
        </w:tc>
        <w:tc>
          <w:tcPr>
            <w:tcW w:w="1209"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−517.783</w:t>
            </w:r>
          </w:p>
        </w:tc>
      </w:tr>
      <w:tr>
        <w:trPr>
          <w:trHeight w:val="323" w:hRule="atLeast"/>
        </w:trPr>
        <w:tc>
          <w:tcPr>
            <w:tcW w:w="4085" w:type="dxa"/>
            <w:vMerge w:val="continue"/>
            <w:tcBorders>
              <w:top w:val="nil"/>
              <w:left w:val="nil"/>
              <w:bottom w:val="single" w:color="auto" w:sz="4" w:space="0"/>
              <w:right w:val="nil"/>
            </w:tcBorders>
            <w:vAlign w:val="center"/>
          </w:tcPr>
          <w:p>
            <w:pPr>
              <w:rPr>
                <w:rFonts w:ascii="Times New Roman" w:hAnsi="Times New Roman" w:eastAsia="Times New Roman" w:cs="Times New Roman"/>
                <w:sz w:val="24"/>
              </w:rPr>
            </w:pPr>
          </w:p>
        </w:tc>
        <w:tc>
          <w:tcPr>
            <w:tcW w:w="889"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CE</w:t>
            </w:r>
          </w:p>
        </w:tc>
        <w:tc>
          <w:tcPr>
            <w:tcW w:w="1267"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−171.594</w:t>
            </w:r>
          </w:p>
        </w:tc>
        <w:tc>
          <w:tcPr>
            <w:tcW w:w="778"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173</w:t>
            </w:r>
          </w:p>
        </w:tc>
        <w:tc>
          <w:tcPr>
            <w:tcW w:w="1209" w:type="dxa"/>
            <w:tcBorders>
              <w:top w:val="nil"/>
              <w:left w:val="nil"/>
              <w:bottom w:val="nil"/>
              <w:right w:val="nil"/>
            </w:tcBorders>
            <w:vAlign w:val="center"/>
          </w:tcPr>
          <w:p>
            <w:pPr>
              <w:jc w:val="left"/>
              <w:rPr>
                <w:rFonts w:ascii="Times New Roman" w:hAnsi="Times New Roman" w:eastAsia="Times New Roman" w:cs="Times New Roman"/>
                <w:sz w:val="24"/>
              </w:rPr>
            </w:pPr>
            <w:r>
              <w:rPr>
                <w:rFonts w:ascii="Times New Roman" w:hAnsi="Times New Roman" w:eastAsia="Times New Roman" w:cs="Times New Roman"/>
                <w:sz w:val="24"/>
              </w:rPr>
              <w:t>−517.594</w:t>
            </w:r>
          </w:p>
        </w:tc>
      </w:tr>
      <w:tr>
        <w:trPr>
          <w:trHeight w:val="323" w:hRule="atLeast"/>
        </w:trPr>
        <w:tc>
          <w:tcPr>
            <w:tcW w:w="4085" w:type="dxa"/>
            <w:vMerge w:val="continue"/>
            <w:tcBorders>
              <w:top w:val="nil"/>
              <w:left w:val="nil"/>
              <w:bottom w:val="single" w:color="auto" w:sz="4" w:space="0"/>
              <w:right w:val="nil"/>
            </w:tcBorders>
            <w:vAlign w:val="center"/>
          </w:tcPr>
          <w:p>
            <w:pPr>
              <w:rPr>
                <w:rFonts w:ascii="Times New Roman" w:hAnsi="Times New Roman" w:eastAsia="Times New Roman" w:cs="Times New Roman"/>
                <w:sz w:val="24"/>
              </w:rPr>
            </w:pPr>
          </w:p>
        </w:tc>
        <w:tc>
          <w:tcPr>
            <w:tcW w:w="889" w:type="dxa"/>
            <w:tcBorders>
              <w:top w:val="nil"/>
              <w:left w:val="nil"/>
              <w:bottom w:val="single" w:color="auto" w:sz="4" w:space="0"/>
              <w:right w:val="nil"/>
            </w:tcBorders>
            <w:vAlign w:val="center"/>
          </w:tcPr>
          <w:p>
            <w:pPr>
              <w:jc w:val="left"/>
              <w:rPr>
                <w:rFonts w:ascii="Times New Roman Bold" w:hAnsi="Times New Roman Bold" w:eastAsia="Times New Roman" w:cs="Times New Roman Bold"/>
                <w:b/>
                <w:bCs/>
                <w:sz w:val="24"/>
              </w:rPr>
            </w:pPr>
            <w:r>
              <w:rPr>
                <w:rFonts w:ascii="Times New Roman Bold" w:hAnsi="Times New Roman Bold" w:eastAsia="Times New Roman" w:cs="Times New Roman Bold"/>
                <w:b/>
                <w:bCs/>
                <w:sz w:val="24"/>
              </w:rPr>
              <w:t>E</w:t>
            </w:r>
          </w:p>
        </w:tc>
        <w:tc>
          <w:tcPr>
            <w:tcW w:w="1267" w:type="dxa"/>
            <w:tcBorders>
              <w:top w:val="nil"/>
              <w:left w:val="nil"/>
              <w:bottom w:val="single" w:color="auto" w:sz="4" w:space="0"/>
              <w:right w:val="nil"/>
            </w:tcBorders>
            <w:vAlign w:val="center"/>
          </w:tcPr>
          <w:p>
            <w:pPr>
              <w:jc w:val="left"/>
              <w:rPr>
                <w:rFonts w:ascii="Times New Roman Bold" w:hAnsi="Times New Roman Bold" w:eastAsia="Times New Roman" w:cs="Times New Roman Bold"/>
                <w:b/>
                <w:bCs/>
                <w:sz w:val="24"/>
              </w:rPr>
            </w:pPr>
            <w:r>
              <w:rPr>
                <w:rFonts w:ascii="Times New Roman Bold" w:hAnsi="Times New Roman Bold" w:eastAsia="Times New Roman" w:cs="Times New Roman Bold"/>
                <w:b/>
                <w:bCs/>
                <w:sz w:val="24"/>
              </w:rPr>
              <w:t>−170.761</w:t>
            </w:r>
          </w:p>
        </w:tc>
        <w:tc>
          <w:tcPr>
            <w:tcW w:w="778" w:type="dxa"/>
            <w:tcBorders>
              <w:top w:val="nil"/>
              <w:left w:val="nil"/>
              <w:bottom w:val="single" w:color="auto" w:sz="4" w:space="0"/>
              <w:right w:val="nil"/>
            </w:tcBorders>
            <w:vAlign w:val="center"/>
          </w:tcPr>
          <w:p>
            <w:pPr>
              <w:jc w:val="left"/>
              <w:rPr>
                <w:rFonts w:ascii="Times New Roman Bold" w:hAnsi="Times New Roman Bold" w:eastAsia="Times New Roman" w:cs="Times New Roman Bold"/>
                <w:b/>
                <w:bCs/>
                <w:sz w:val="24"/>
              </w:rPr>
            </w:pPr>
            <w:r>
              <w:rPr>
                <w:rFonts w:ascii="Times New Roman Bold" w:hAnsi="Times New Roman Bold" w:eastAsia="Times New Roman" w:cs="Times New Roman Bold"/>
                <w:b/>
                <w:bCs/>
                <w:sz w:val="24"/>
              </w:rPr>
              <w:t>174</w:t>
            </w:r>
          </w:p>
        </w:tc>
        <w:tc>
          <w:tcPr>
            <w:tcW w:w="1209" w:type="dxa"/>
            <w:tcBorders>
              <w:top w:val="nil"/>
              <w:left w:val="nil"/>
              <w:bottom w:val="single" w:color="auto" w:sz="4" w:space="0"/>
              <w:right w:val="nil"/>
            </w:tcBorders>
            <w:vAlign w:val="center"/>
          </w:tcPr>
          <w:p>
            <w:pPr>
              <w:jc w:val="left"/>
              <w:rPr>
                <w:rFonts w:ascii="Times New Roman Bold" w:hAnsi="Times New Roman Bold" w:eastAsia="Times New Roman" w:cs="Times New Roman Bold"/>
                <w:b/>
                <w:bCs/>
                <w:sz w:val="24"/>
              </w:rPr>
            </w:pPr>
            <w:r>
              <w:rPr>
                <w:rFonts w:ascii="Times New Roman Bold" w:hAnsi="Times New Roman Bold" w:eastAsia="Times New Roman" w:cs="Times New Roman Bold"/>
                <w:b/>
                <w:bCs/>
                <w:sz w:val="24"/>
              </w:rPr>
              <w:t>−518.761</w:t>
            </w:r>
          </w:p>
        </w:tc>
      </w:tr>
    </w:tbl>
    <w:p>
      <w:pPr>
        <w:jc w:val="left"/>
        <w:rPr>
          <w:rFonts w:ascii="Times New Roman" w:hAnsi="Times New Roman" w:cs="Times New Roman"/>
          <w:vertAlign w:val="superscript"/>
        </w:rPr>
      </w:pPr>
      <w:r>
        <w:rPr>
          <w:rFonts w:ascii="Times New Roman Italic" w:hAnsi="Times New Roman Italic" w:cs="Times New Roman Italic"/>
          <w:i/>
          <w:iCs/>
          <w:sz w:val="24"/>
          <w:lang w:eastAsia="zh-Hans"/>
        </w:rPr>
        <w:t xml:space="preserve">Note. </w:t>
      </w:r>
      <w:r>
        <w:rPr>
          <w:rFonts w:ascii="Times New Roman" w:hAnsi="Times New Roman" w:cs="Times New Roman"/>
          <w:sz w:val="24"/>
        </w:rPr>
        <w:t>A, additive genetic factors; C, shared environmental factors; E, unique environmental factors. CEN, central executive network; aSN</w:t>
      </w:r>
      <w:r>
        <w:rPr>
          <w:rFonts w:hint="eastAsia" w:ascii="Times New Roman" w:hAnsi="Times New Roman" w:cs="Times New Roman"/>
          <w:sz w:val="24"/>
          <w:lang w:eastAsia="zh-Hans"/>
        </w:rPr>
        <w:t>DMN</w:t>
      </w:r>
      <w:r>
        <w:rPr>
          <w:rFonts w:ascii="Times New Roman" w:hAnsi="Times New Roman" w:cs="Times New Roman"/>
          <w:sz w:val="24"/>
        </w:rPr>
        <w:t>, the interaction between the anterior salience network and default mode network; AIC, Akaike information criterion. The AE model (i.e., in bold) with the lowest AIC is the best-fitting model for CEN connectivity. The E model (i.e., in bold) with the lowest AIC is the best-fitting model for aSNDMN connectivity.</w:t>
      </w:r>
    </w:p>
    <w:p/>
    <w:p>
      <w:pPr>
        <w:rPr>
          <w:rFonts w:ascii="Times New Roman" w:hAnsi="Times New Roman" w:cs="Times New Roman"/>
          <w:i/>
          <w:iCs/>
          <w:sz w:val="24"/>
        </w:rPr>
      </w:pPr>
      <w:r>
        <w:rPr>
          <w:rFonts w:ascii="Times New Roman" w:hAnsi="Times New Roman" w:cs="Times New Roman"/>
          <w:i/>
          <w:iCs/>
          <w:sz w:val="24"/>
        </w:rPr>
        <w:br w:type="page"/>
      </w:r>
    </w:p>
    <w:p>
      <w:pPr>
        <w:pStyle w:val="2"/>
        <w:spacing w:before="0" w:after="160" w:line="240" w:lineRule="auto"/>
        <w:jc w:val="left"/>
        <w:rPr>
          <w:rFonts w:ascii="Times New Roman" w:hAnsi="Times New Roman" w:cs="Times New Roman"/>
          <w:b w:val="0"/>
          <w:bCs w:val="0"/>
          <w:sz w:val="24"/>
          <w:lang w:eastAsia="zh-Hans"/>
        </w:rPr>
      </w:pPr>
      <w:r>
        <w:rPr>
          <w:rFonts w:hint="eastAsia" w:ascii="Times New Roman" w:hAnsi="Times New Roman" w:cs="Times New Roman"/>
          <w:b w:val="0"/>
          <w:bCs w:val="0"/>
          <w:sz w:val="24"/>
          <w:lang w:eastAsia="zh-Hans"/>
        </w:rPr>
        <w:t>Table</w:t>
      </w:r>
      <w:r>
        <w:rPr>
          <w:rFonts w:ascii="Times New Roman" w:hAnsi="Times New Roman" w:cs="Times New Roman"/>
          <w:b w:val="0"/>
          <w:bCs w:val="0"/>
          <w:sz w:val="24"/>
          <w:lang w:eastAsia="zh-Hans"/>
        </w:rPr>
        <w:t xml:space="preserve"> </w:t>
      </w:r>
      <w:r>
        <w:rPr>
          <w:rFonts w:hint="eastAsia" w:ascii="Times New Roman" w:hAnsi="Times New Roman" w:cs="Times New Roman"/>
          <w:b w:val="0"/>
          <w:bCs w:val="0"/>
          <w:sz w:val="24"/>
          <w:lang w:eastAsia="zh-Hans"/>
        </w:rPr>
        <w:t>S</w:t>
      </w:r>
      <w:r>
        <w:rPr>
          <w:rFonts w:ascii="Times New Roman" w:hAnsi="Times New Roman" w:cs="Times New Roman"/>
          <w:b w:val="0"/>
          <w:bCs w:val="0"/>
          <w:sz w:val="24"/>
          <w:lang w:eastAsia="zh-Hans"/>
        </w:rPr>
        <w:t>4</w:t>
      </w:r>
    </w:p>
    <w:p>
      <w:pPr>
        <w:pStyle w:val="2"/>
        <w:spacing w:before="0" w:after="160" w:line="240" w:lineRule="auto"/>
        <w:jc w:val="left"/>
        <w:rPr>
          <w:rFonts w:ascii="Times New Roman" w:hAnsi="Times New Roman" w:cs="Times New Roman"/>
          <w:b w:val="0"/>
          <w:bCs w:val="0"/>
          <w:i/>
          <w:iCs/>
          <w:sz w:val="24"/>
        </w:rPr>
      </w:pPr>
      <w:r>
        <w:rPr>
          <w:rFonts w:ascii="Times New Roman" w:hAnsi="Times New Roman" w:cs="Times New Roman"/>
          <w:b w:val="0"/>
          <w:bCs w:val="0"/>
          <w:i/>
          <w:iCs/>
          <w:sz w:val="24"/>
        </w:rPr>
        <w:t xml:space="preserve">Results for the Mann–Whitney </w:t>
      </w:r>
      <w:r>
        <w:rPr>
          <w:rFonts w:ascii="Times New Roman Italic" w:hAnsi="Times New Roman Italic" w:cs="Times New Roman Italic"/>
          <w:b w:val="0"/>
          <w:bCs w:val="0"/>
          <w:i/>
          <w:iCs/>
          <w:sz w:val="24"/>
        </w:rPr>
        <w:t>U</w:t>
      </w:r>
      <w:r>
        <w:rPr>
          <w:rFonts w:ascii="Times New Roman" w:hAnsi="Times New Roman" w:cs="Times New Roman"/>
          <w:b w:val="0"/>
          <w:bCs w:val="0"/>
          <w:i/>
          <w:iCs/>
          <w:sz w:val="24"/>
        </w:rPr>
        <w:t>-test</w:t>
      </w:r>
      <w:bookmarkEnd w:id="4"/>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2134"/>
        <w:gridCol w:w="2538"/>
      </w:tblGrid>
      <w:tr>
        <w:trPr>
          <w:trHeight w:val="388" w:hRule="atLeast"/>
          <w:jc w:val="center"/>
        </w:trPr>
        <w:tc>
          <w:tcPr>
            <w:tcW w:w="2266" w:type="dxa"/>
            <w:tcBorders>
              <w:top w:val="single" w:color="auto" w:sz="12" w:space="0"/>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Tests</w:t>
            </w:r>
          </w:p>
        </w:tc>
        <w:tc>
          <w:tcPr>
            <w:tcW w:w="2134" w:type="dxa"/>
            <w:tcBorders>
              <w:top w:val="single" w:color="auto" w:sz="12" w:space="0"/>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Groups</w:t>
            </w:r>
          </w:p>
        </w:tc>
        <w:tc>
          <w:tcPr>
            <w:tcW w:w="2538" w:type="dxa"/>
            <w:tcBorders>
              <w:top w:val="single" w:color="auto" w:sz="12" w:space="0"/>
              <w:left w:val="nil"/>
              <w:right w:val="nil"/>
            </w:tcBorders>
          </w:tcPr>
          <w:p>
            <w:pPr>
              <w:jc w:val="left"/>
              <w:rPr>
                <w:rFonts w:ascii="Times New Roman" w:hAnsi="Times New Roman" w:eastAsia="宋体" w:cs="Times New Roman"/>
                <w:kern w:val="0"/>
                <w:sz w:val="22"/>
                <w:szCs w:val="22"/>
              </w:rPr>
            </w:pPr>
            <w:r>
              <w:rPr>
                <w:rFonts w:ascii="Times New Roman Italic" w:hAnsi="Times New Roman Italic" w:eastAsia="宋体" w:cs="Times New Roman Italic"/>
                <w:i/>
                <w:iCs/>
                <w:kern w:val="0"/>
                <w:sz w:val="22"/>
                <w:szCs w:val="22"/>
              </w:rPr>
              <w:t>p</w:t>
            </w:r>
          </w:p>
        </w:tc>
      </w:tr>
      <w:tr>
        <w:trPr>
          <w:trHeight w:val="314" w:hRule="atLeast"/>
          <w:jc w:val="center"/>
        </w:trPr>
        <w:tc>
          <w:tcPr>
            <w:tcW w:w="2266" w:type="dxa"/>
            <w:vMerge w:val="restart"/>
            <w:tcBorders>
              <w:left w:val="nil"/>
              <w:right w:val="nil"/>
            </w:tcBorders>
            <w:vAlign w:val="center"/>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CEN</w:t>
            </w:r>
          </w:p>
        </w:tc>
        <w:tc>
          <w:tcPr>
            <w:tcW w:w="2134" w:type="dxa"/>
            <w:tcBorders>
              <w:left w:val="nil"/>
              <w:bottom w:val="nil"/>
              <w:right w:val="nil"/>
            </w:tcBorders>
          </w:tcPr>
          <w:p>
            <w:pPr>
              <w:jc w:val="left"/>
              <w:rPr>
                <w:rFonts w:hint="eastAsia" w:ascii="Times New Roman Italic" w:hAnsi="Times New Roman Italic" w:eastAsia="宋体" w:cs="Times New Roman Italic"/>
                <w:i/>
                <w:iCs/>
                <w:kern w:val="0"/>
                <w:sz w:val="22"/>
                <w:szCs w:val="22"/>
              </w:rPr>
            </w:pPr>
            <w:r>
              <w:rPr>
                <w:rFonts w:ascii="Times New Roman Italic" w:hAnsi="Times New Roman Italic" w:eastAsia="宋体" w:cs="Times New Roman Italic"/>
                <w:i/>
                <w:iCs/>
                <w:kern w:val="0"/>
                <w:sz w:val="22"/>
                <w:szCs w:val="22"/>
              </w:rPr>
              <w:t>BDNF</w:t>
            </w:r>
          </w:p>
        </w:tc>
        <w:tc>
          <w:tcPr>
            <w:tcW w:w="2538"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0.007</w:t>
            </w:r>
          </w:p>
        </w:tc>
      </w:tr>
      <w:tr>
        <w:trPr>
          <w:trHeight w:val="314" w:hRule="atLeast"/>
          <w:jc w:val="center"/>
        </w:trPr>
        <w:tc>
          <w:tcPr>
            <w:tcW w:w="2266" w:type="dxa"/>
            <w:vMerge w:val="continue"/>
            <w:tcBorders>
              <w:left w:val="nil"/>
              <w:right w:val="nil"/>
            </w:tcBorders>
          </w:tcPr>
          <w:p>
            <w:pPr>
              <w:jc w:val="left"/>
              <w:rPr>
                <w:rFonts w:ascii="Times New Roman" w:hAnsi="Times New Roman" w:eastAsia="宋体" w:cs="Times New Roman"/>
                <w:kern w:val="0"/>
                <w:sz w:val="22"/>
                <w:szCs w:val="22"/>
              </w:rPr>
            </w:pPr>
          </w:p>
        </w:tc>
        <w:tc>
          <w:tcPr>
            <w:tcW w:w="2134" w:type="dxa"/>
            <w:tcBorders>
              <w:top w:val="nil"/>
              <w:left w:val="nil"/>
              <w:bottom w:val="nil"/>
              <w:right w:val="nil"/>
            </w:tcBorders>
          </w:tcPr>
          <w:p>
            <w:pPr>
              <w:jc w:val="left"/>
              <w:rPr>
                <w:rFonts w:hint="eastAsia" w:ascii="Times New Roman Italic" w:hAnsi="Times New Roman Italic" w:eastAsia="宋体" w:cs="Times New Roman Italic"/>
                <w:i/>
                <w:iCs/>
                <w:kern w:val="0"/>
                <w:sz w:val="22"/>
                <w:szCs w:val="22"/>
              </w:rPr>
            </w:pPr>
            <w:r>
              <w:rPr>
                <w:rFonts w:ascii="Times New Roman Italic" w:hAnsi="Times New Roman Italic" w:eastAsia="宋体" w:cs="Times New Roman Italic"/>
                <w:i/>
                <w:iCs/>
                <w:kern w:val="0"/>
                <w:sz w:val="22"/>
                <w:szCs w:val="22"/>
              </w:rPr>
              <w:t>5-HTT</w:t>
            </w:r>
          </w:p>
        </w:tc>
        <w:tc>
          <w:tcPr>
            <w:tcW w:w="2538"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0.166</w:t>
            </w:r>
          </w:p>
        </w:tc>
      </w:tr>
      <w:tr>
        <w:trPr>
          <w:trHeight w:val="314" w:hRule="atLeast"/>
          <w:jc w:val="center"/>
        </w:trPr>
        <w:tc>
          <w:tcPr>
            <w:tcW w:w="2266" w:type="dxa"/>
            <w:vMerge w:val="continue"/>
            <w:tcBorders>
              <w:left w:val="nil"/>
              <w:right w:val="nil"/>
            </w:tcBorders>
          </w:tcPr>
          <w:p>
            <w:pPr>
              <w:jc w:val="left"/>
              <w:rPr>
                <w:rFonts w:ascii="Times New Roman" w:hAnsi="Times New Roman" w:eastAsia="宋体" w:cs="Times New Roman"/>
                <w:kern w:val="0"/>
                <w:sz w:val="22"/>
                <w:szCs w:val="22"/>
              </w:rPr>
            </w:pPr>
          </w:p>
        </w:tc>
        <w:tc>
          <w:tcPr>
            <w:tcW w:w="2134" w:type="dxa"/>
            <w:tcBorders>
              <w:top w:val="nil"/>
              <w:left w:val="nil"/>
              <w:right w:val="nil"/>
            </w:tcBorders>
          </w:tcPr>
          <w:p>
            <w:pPr>
              <w:jc w:val="left"/>
              <w:rPr>
                <w:rFonts w:hint="eastAsia" w:ascii="Times New Roman Italic" w:hAnsi="Times New Roman Italic" w:eastAsia="宋体" w:cs="Times New Roman Italic"/>
                <w:i/>
                <w:iCs/>
                <w:kern w:val="0"/>
                <w:sz w:val="22"/>
                <w:szCs w:val="22"/>
              </w:rPr>
            </w:pPr>
            <w:r>
              <w:rPr>
                <w:rFonts w:ascii="Times New Roman Italic" w:hAnsi="Times New Roman Italic" w:eastAsia="宋体" w:cs="Times New Roman Italic"/>
                <w:i/>
                <w:iCs/>
                <w:kern w:val="0"/>
                <w:sz w:val="22"/>
                <w:szCs w:val="22"/>
              </w:rPr>
              <w:t>COMT</w:t>
            </w:r>
          </w:p>
        </w:tc>
        <w:tc>
          <w:tcPr>
            <w:tcW w:w="2538" w:type="dxa"/>
            <w:tcBorders>
              <w:top w:val="nil"/>
              <w:left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0.309</w:t>
            </w:r>
          </w:p>
        </w:tc>
      </w:tr>
      <w:tr>
        <w:trPr>
          <w:trHeight w:val="314" w:hRule="atLeast"/>
          <w:jc w:val="center"/>
        </w:trPr>
        <w:tc>
          <w:tcPr>
            <w:tcW w:w="2266" w:type="dxa"/>
            <w:vMerge w:val="restart"/>
            <w:tcBorders>
              <w:left w:val="nil"/>
              <w:bottom w:val="nil"/>
              <w:right w:val="nil"/>
            </w:tcBorders>
            <w:vAlign w:val="center"/>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aSNDMN</w:t>
            </w:r>
          </w:p>
        </w:tc>
        <w:tc>
          <w:tcPr>
            <w:tcW w:w="2134" w:type="dxa"/>
            <w:tcBorders>
              <w:left w:val="nil"/>
              <w:bottom w:val="nil"/>
              <w:right w:val="nil"/>
            </w:tcBorders>
          </w:tcPr>
          <w:p>
            <w:pPr>
              <w:jc w:val="left"/>
              <w:rPr>
                <w:rFonts w:hint="eastAsia" w:ascii="Times New Roman Italic" w:hAnsi="Times New Roman Italic" w:eastAsia="宋体" w:cs="Times New Roman Italic"/>
                <w:i/>
                <w:iCs/>
                <w:kern w:val="0"/>
                <w:sz w:val="22"/>
                <w:szCs w:val="22"/>
              </w:rPr>
            </w:pPr>
            <w:r>
              <w:rPr>
                <w:rFonts w:ascii="Times New Roman Italic" w:hAnsi="Times New Roman Italic" w:eastAsia="宋体" w:cs="Times New Roman Italic"/>
                <w:i/>
                <w:iCs/>
                <w:sz w:val="22"/>
                <w:szCs w:val="22"/>
              </w:rPr>
              <w:t>5-HTT</w:t>
            </w:r>
          </w:p>
        </w:tc>
        <w:tc>
          <w:tcPr>
            <w:tcW w:w="2538" w:type="dxa"/>
            <w:tcBorders>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sz w:val="22"/>
                <w:szCs w:val="22"/>
              </w:rPr>
              <w:t>0.066</w:t>
            </w:r>
          </w:p>
        </w:tc>
      </w:tr>
      <w:tr>
        <w:trPr>
          <w:trHeight w:val="304" w:hRule="atLeast"/>
          <w:jc w:val="center"/>
        </w:trPr>
        <w:tc>
          <w:tcPr>
            <w:tcW w:w="2266" w:type="dxa"/>
            <w:vMerge w:val="continue"/>
            <w:tcBorders>
              <w:top w:val="nil"/>
              <w:left w:val="nil"/>
              <w:bottom w:val="nil"/>
              <w:right w:val="nil"/>
            </w:tcBorders>
          </w:tcPr>
          <w:p>
            <w:pPr>
              <w:jc w:val="left"/>
              <w:rPr>
                <w:rFonts w:ascii="Times New Roman" w:hAnsi="Times New Roman" w:eastAsia="宋体" w:cs="Times New Roman"/>
                <w:kern w:val="0"/>
                <w:sz w:val="22"/>
                <w:szCs w:val="22"/>
              </w:rPr>
            </w:pPr>
          </w:p>
        </w:tc>
        <w:tc>
          <w:tcPr>
            <w:tcW w:w="2134" w:type="dxa"/>
            <w:tcBorders>
              <w:top w:val="nil"/>
              <w:left w:val="nil"/>
              <w:bottom w:val="nil"/>
              <w:right w:val="nil"/>
            </w:tcBorders>
          </w:tcPr>
          <w:p>
            <w:pPr>
              <w:jc w:val="left"/>
              <w:rPr>
                <w:rFonts w:hint="eastAsia" w:ascii="Times New Roman Italic" w:hAnsi="Times New Roman Italic" w:eastAsia="宋体" w:cs="Times New Roman Italic"/>
                <w:i/>
                <w:iCs/>
                <w:kern w:val="0"/>
                <w:sz w:val="22"/>
                <w:szCs w:val="22"/>
              </w:rPr>
            </w:pPr>
            <w:r>
              <w:rPr>
                <w:rFonts w:ascii="Times New Roman Italic" w:hAnsi="Times New Roman Italic" w:eastAsia="宋体" w:cs="Times New Roman Italic"/>
                <w:i/>
                <w:iCs/>
                <w:sz w:val="22"/>
                <w:szCs w:val="22"/>
              </w:rPr>
              <w:t>BDNF</w:t>
            </w:r>
          </w:p>
        </w:tc>
        <w:tc>
          <w:tcPr>
            <w:tcW w:w="2538" w:type="dxa"/>
            <w:tcBorders>
              <w:top w:val="nil"/>
              <w:left w:val="nil"/>
              <w:bottom w:val="nil"/>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sz w:val="22"/>
                <w:szCs w:val="22"/>
              </w:rPr>
              <w:t>0.465</w:t>
            </w:r>
          </w:p>
        </w:tc>
      </w:tr>
      <w:tr>
        <w:trPr>
          <w:trHeight w:val="333" w:hRule="atLeast"/>
          <w:jc w:val="center"/>
        </w:trPr>
        <w:tc>
          <w:tcPr>
            <w:tcW w:w="2266" w:type="dxa"/>
            <w:vMerge w:val="continue"/>
            <w:tcBorders>
              <w:top w:val="nil"/>
              <w:left w:val="nil"/>
              <w:bottom w:val="single" w:color="auto" w:sz="12" w:space="0"/>
              <w:right w:val="nil"/>
            </w:tcBorders>
          </w:tcPr>
          <w:p>
            <w:pPr>
              <w:jc w:val="left"/>
              <w:rPr>
                <w:rFonts w:ascii="Times New Roman" w:hAnsi="Times New Roman" w:eastAsia="宋体" w:cs="Times New Roman"/>
                <w:kern w:val="0"/>
                <w:sz w:val="22"/>
                <w:szCs w:val="22"/>
              </w:rPr>
            </w:pPr>
          </w:p>
        </w:tc>
        <w:tc>
          <w:tcPr>
            <w:tcW w:w="2134" w:type="dxa"/>
            <w:tcBorders>
              <w:top w:val="nil"/>
              <w:left w:val="nil"/>
              <w:bottom w:val="single" w:color="auto" w:sz="12" w:space="0"/>
              <w:right w:val="nil"/>
            </w:tcBorders>
          </w:tcPr>
          <w:p>
            <w:pPr>
              <w:jc w:val="left"/>
              <w:rPr>
                <w:rFonts w:hint="eastAsia" w:ascii="Times New Roman Italic" w:hAnsi="Times New Roman Italic" w:eastAsia="宋体" w:cs="Times New Roman Italic"/>
                <w:i/>
                <w:iCs/>
                <w:kern w:val="0"/>
                <w:sz w:val="22"/>
                <w:szCs w:val="22"/>
              </w:rPr>
            </w:pPr>
            <w:r>
              <w:rPr>
                <w:rFonts w:ascii="Times New Roman Italic" w:hAnsi="Times New Roman Italic" w:eastAsia="宋体" w:cs="Times New Roman Italic"/>
                <w:i/>
                <w:iCs/>
                <w:sz w:val="22"/>
                <w:szCs w:val="22"/>
              </w:rPr>
              <w:t>COMT</w:t>
            </w:r>
          </w:p>
        </w:tc>
        <w:tc>
          <w:tcPr>
            <w:tcW w:w="2538" w:type="dxa"/>
            <w:tcBorders>
              <w:top w:val="nil"/>
              <w:left w:val="nil"/>
              <w:bottom w:val="single" w:color="auto" w:sz="12" w:space="0"/>
              <w:right w:val="nil"/>
            </w:tcBorders>
          </w:tcPr>
          <w:p>
            <w:pPr>
              <w:jc w:val="left"/>
              <w:rPr>
                <w:rFonts w:ascii="Times New Roman" w:hAnsi="Times New Roman" w:eastAsia="宋体" w:cs="Times New Roman"/>
                <w:kern w:val="0"/>
                <w:sz w:val="22"/>
                <w:szCs w:val="22"/>
              </w:rPr>
            </w:pPr>
            <w:r>
              <w:rPr>
                <w:rFonts w:ascii="Times New Roman" w:hAnsi="Times New Roman" w:eastAsia="宋体" w:cs="Times New Roman"/>
                <w:sz w:val="22"/>
                <w:szCs w:val="22"/>
              </w:rPr>
              <w:t>0.603</w:t>
            </w:r>
          </w:p>
        </w:tc>
      </w:tr>
    </w:tbl>
    <w:p>
      <w:pPr>
        <w:pStyle w:val="2"/>
        <w:spacing w:before="0" w:after="0" w:line="240" w:lineRule="auto"/>
        <w:jc w:val="left"/>
        <w:rPr>
          <w:rFonts w:ascii="Times New Roman" w:hAnsi="Times New Roman" w:cs="Times New Roman"/>
          <w:b w:val="0"/>
          <w:bCs w:val="0"/>
          <w:sz w:val="22"/>
          <w:szCs w:val="22"/>
        </w:rPr>
      </w:pPr>
      <w:r>
        <w:rPr>
          <w:rFonts w:ascii="Times New Roman" w:hAnsi="Times New Roman" w:cs="Times New Roman"/>
          <w:b w:val="0"/>
          <w:bCs w:val="0"/>
          <w:sz w:val="24"/>
        </w:rPr>
        <w:t>CEN, central executive network; aSN</w:t>
      </w:r>
      <w:r>
        <w:rPr>
          <w:rFonts w:hint="eastAsia" w:ascii="Times New Roman" w:hAnsi="Times New Roman" w:cs="Times New Roman"/>
          <w:b w:val="0"/>
          <w:bCs w:val="0"/>
          <w:sz w:val="24"/>
          <w:lang w:eastAsia="zh-Hans"/>
        </w:rPr>
        <w:t>DMN</w:t>
      </w:r>
      <w:r>
        <w:rPr>
          <w:rFonts w:ascii="Times New Roman" w:hAnsi="Times New Roman" w:cs="Times New Roman"/>
          <w:b w:val="0"/>
          <w:bCs w:val="0"/>
          <w:sz w:val="24"/>
        </w:rPr>
        <w:t>, the interaction between the anterior salience network and default mode network</w:t>
      </w:r>
      <w:bookmarkEnd w:id="5"/>
      <w:r>
        <w:rPr>
          <w:rFonts w:ascii="Times New Roman" w:hAnsi="Times New Roman" w:cs="Times New Roman"/>
          <w:b w:val="0"/>
          <w:bCs w:val="0"/>
          <w:sz w:val="24"/>
        </w:rPr>
        <w:t>.</w:t>
      </w:r>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DejaVu Sans">
    <w:altName w:val="苹方-简"/>
    <w:panose1 w:val="020B0604020202020204"/>
    <w:charset w:val="00"/>
    <w:family w:val="roman"/>
    <w:pitch w:val="default"/>
    <w:sig w:usb0="00000000" w:usb1="00000000" w:usb2="00000008" w:usb3="00000000" w:csb0="000001FF" w:csb1="00000000"/>
  </w:font>
  <w:font w:name="苹方-简">
    <w:panose1 w:val="020B0400000000000000"/>
    <w:charset w:val="86"/>
    <w:family w:val="auto"/>
    <w:pitch w:val="default"/>
    <w:sig w:usb0="00000000" w:usb1="00000000" w:usb2="00000000" w:usb3="00000000" w:csb0="00160000" w:csb1="00000000"/>
  </w:font>
  <w:font w:name="Times New Roman Bold">
    <w:panose1 w:val="02020603050405020304"/>
    <w:charset w:val="00"/>
    <w:family w:val="auto"/>
    <w:pitch w:val="default"/>
    <w:sig w:usb0="00000000" w:usb1="00000000" w:usb2="00000000" w:usb3="00000000" w:csb0="00000000" w:csb1="00000000"/>
  </w:font>
  <w:font w:name="Times New Roman Italic">
    <w:panose1 w:val="02020603050405020304"/>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2"/>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82"/>
    <w:rsid w:val="000114C3"/>
    <w:rsid w:val="000669AF"/>
    <w:rsid w:val="00090F82"/>
    <w:rsid w:val="000912AD"/>
    <w:rsid w:val="001155DA"/>
    <w:rsid w:val="00190DFA"/>
    <w:rsid w:val="00197830"/>
    <w:rsid w:val="001F5806"/>
    <w:rsid w:val="00254B3C"/>
    <w:rsid w:val="00294758"/>
    <w:rsid w:val="00296817"/>
    <w:rsid w:val="002A7DBA"/>
    <w:rsid w:val="003724C7"/>
    <w:rsid w:val="003F7AE9"/>
    <w:rsid w:val="004523EB"/>
    <w:rsid w:val="00483CFF"/>
    <w:rsid w:val="00487013"/>
    <w:rsid w:val="005A307D"/>
    <w:rsid w:val="005B07E2"/>
    <w:rsid w:val="005C6FC8"/>
    <w:rsid w:val="005C7DE3"/>
    <w:rsid w:val="005D0E4C"/>
    <w:rsid w:val="005E4CE5"/>
    <w:rsid w:val="005F17E6"/>
    <w:rsid w:val="00674E5E"/>
    <w:rsid w:val="006B52B5"/>
    <w:rsid w:val="00732591"/>
    <w:rsid w:val="0077757A"/>
    <w:rsid w:val="007F38F8"/>
    <w:rsid w:val="00870E1B"/>
    <w:rsid w:val="00872A48"/>
    <w:rsid w:val="008B0B1C"/>
    <w:rsid w:val="008E5D9C"/>
    <w:rsid w:val="00907C4D"/>
    <w:rsid w:val="00947F43"/>
    <w:rsid w:val="00990094"/>
    <w:rsid w:val="009A3DE1"/>
    <w:rsid w:val="00A0726A"/>
    <w:rsid w:val="00A37629"/>
    <w:rsid w:val="00A95039"/>
    <w:rsid w:val="00AA7749"/>
    <w:rsid w:val="00B11F4B"/>
    <w:rsid w:val="00B62707"/>
    <w:rsid w:val="00BE57FC"/>
    <w:rsid w:val="00C06FFF"/>
    <w:rsid w:val="00C535F5"/>
    <w:rsid w:val="00C8546B"/>
    <w:rsid w:val="00C933E1"/>
    <w:rsid w:val="00CE7F59"/>
    <w:rsid w:val="00D301BE"/>
    <w:rsid w:val="00D33EE3"/>
    <w:rsid w:val="00D858DD"/>
    <w:rsid w:val="00D9541F"/>
    <w:rsid w:val="00DE3F92"/>
    <w:rsid w:val="00E93AE2"/>
    <w:rsid w:val="00EA2354"/>
    <w:rsid w:val="00F654B8"/>
    <w:rsid w:val="00F744D1"/>
    <w:rsid w:val="00F851CC"/>
    <w:rsid w:val="00FB0EFA"/>
    <w:rsid w:val="00FD4BED"/>
    <w:rsid w:val="00FE080C"/>
    <w:rsid w:val="00FF5CCD"/>
    <w:rsid w:val="1AFF5BD5"/>
    <w:rsid w:val="1FFFA50D"/>
    <w:rsid w:val="276D1E15"/>
    <w:rsid w:val="29CB28F2"/>
    <w:rsid w:val="2F7DD9AE"/>
    <w:rsid w:val="33ED6902"/>
    <w:rsid w:val="3DBC81E6"/>
    <w:rsid w:val="3DF38951"/>
    <w:rsid w:val="46F77D35"/>
    <w:rsid w:val="4E9246E8"/>
    <w:rsid w:val="51BEADE7"/>
    <w:rsid w:val="57FF542F"/>
    <w:rsid w:val="66FA1927"/>
    <w:rsid w:val="676340A4"/>
    <w:rsid w:val="67FFC2FC"/>
    <w:rsid w:val="6FC762F9"/>
    <w:rsid w:val="6FF6A5BD"/>
    <w:rsid w:val="777B7663"/>
    <w:rsid w:val="77D1872E"/>
    <w:rsid w:val="77FD176E"/>
    <w:rsid w:val="7B34E385"/>
    <w:rsid w:val="7B9FFCAF"/>
    <w:rsid w:val="7BBEC3DF"/>
    <w:rsid w:val="7BF1DD84"/>
    <w:rsid w:val="7CB727CE"/>
    <w:rsid w:val="7CFE8355"/>
    <w:rsid w:val="7DCB29FF"/>
    <w:rsid w:val="7DFB9017"/>
    <w:rsid w:val="7DFE3268"/>
    <w:rsid w:val="7EEFE63C"/>
    <w:rsid w:val="7EFF6127"/>
    <w:rsid w:val="7EFFA491"/>
    <w:rsid w:val="7F6FF19B"/>
    <w:rsid w:val="7F9758EA"/>
    <w:rsid w:val="7FBBEA87"/>
    <w:rsid w:val="7FBF655F"/>
    <w:rsid w:val="7FD73592"/>
    <w:rsid w:val="7FEEB36F"/>
    <w:rsid w:val="7FFB1868"/>
    <w:rsid w:val="7FFB5617"/>
    <w:rsid w:val="8A762DD7"/>
    <w:rsid w:val="A7F74D67"/>
    <w:rsid w:val="AB78F3E2"/>
    <w:rsid w:val="ADF8E289"/>
    <w:rsid w:val="AEFFA226"/>
    <w:rsid w:val="B3EF5A98"/>
    <w:rsid w:val="B6354A38"/>
    <w:rsid w:val="B6E7934D"/>
    <w:rsid w:val="B7FF8EF5"/>
    <w:rsid w:val="BDFDB16A"/>
    <w:rsid w:val="BEFB67A5"/>
    <w:rsid w:val="BF77AEEA"/>
    <w:rsid w:val="CDFFEF70"/>
    <w:rsid w:val="D0FE8B4A"/>
    <w:rsid w:val="D5FF55FD"/>
    <w:rsid w:val="DCFF8FFE"/>
    <w:rsid w:val="DD7FE50D"/>
    <w:rsid w:val="DEBD47F3"/>
    <w:rsid w:val="DF9BD310"/>
    <w:rsid w:val="DFCA1CF7"/>
    <w:rsid w:val="E1F7552F"/>
    <w:rsid w:val="E6A77478"/>
    <w:rsid w:val="EBE30C5D"/>
    <w:rsid w:val="EDFD36FB"/>
    <w:rsid w:val="EF9309F5"/>
    <w:rsid w:val="F7DD33B6"/>
    <w:rsid w:val="FAD7CE6A"/>
    <w:rsid w:val="FBADD1CF"/>
    <w:rsid w:val="FBFECB69"/>
    <w:rsid w:val="FC977E7B"/>
    <w:rsid w:val="FCEB7EA2"/>
    <w:rsid w:val="FD9E0E74"/>
    <w:rsid w:val="FEFD7BCC"/>
    <w:rsid w:val="FF4EB8A2"/>
    <w:rsid w:val="FFD5ACD1"/>
    <w:rsid w:val="FFFF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footer"/>
    <w:basedOn w:val="1"/>
    <w:link w:val="23"/>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6">
    <w:name w:val="toc 1"/>
    <w:basedOn w:val="1"/>
    <w:next w:val="1"/>
    <w:qFormat/>
    <w:uiPriority w:val="39"/>
  </w:style>
  <w:style w:type="paragraph" w:styleId="7">
    <w:name w:val="toc 2"/>
    <w:basedOn w:val="1"/>
    <w:next w:val="1"/>
    <w:qFormat/>
    <w:uiPriority w:val="39"/>
    <w:pPr>
      <w:ind w:left="420" w:leftChars="200"/>
    </w:p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paragraph" w:styleId="9">
    <w:name w:val="annotation subject"/>
    <w:basedOn w:val="3"/>
    <w:next w:val="3"/>
    <w:link w:val="22"/>
    <w:unhideWhenUsed/>
    <w:qFormat/>
    <w:uiPriority w:val="99"/>
    <w:pPr>
      <w:jc w:val="both"/>
    </w:pPr>
    <w:rPr>
      <w:b/>
      <w:bCs/>
      <w:sz w:val="20"/>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styleId="14">
    <w:name w:val="page number"/>
    <w:basedOn w:val="12"/>
    <w:unhideWhenUsed/>
    <w:qFormat/>
    <w:uiPriority w:val="99"/>
  </w:style>
  <w:style w:type="character" w:styleId="15">
    <w:name w:val="FollowedHyperlink"/>
    <w:basedOn w:val="12"/>
    <w:unhideWhenUsed/>
    <w:qFormat/>
    <w:uiPriority w:val="99"/>
    <w:rPr>
      <w:color w:val="954F72" w:themeColor="followedHyperlink"/>
      <w:u w:val="single"/>
      <w14:textFill>
        <w14:solidFill>
          <w14:schemeClr w14:val="folHlink"/>
        </w14:solidFill>
      </w14:textFill>
    </w:rPr>
  </w:style>
  <w:style w:type="character" w:styleId="16">
    <w:name w:val="Emphasis"/>
    <w:basedOn w:val="12"/>
    <w:qFormat/>
    <w:uiPriority w:val="20"/>
    <w:rPr>
      <w:i/>
    </w:rPr>
  </w:style>
  <w:style w:type="character" w:styleId="17">
    <w:name w:val="Hyperlink"/>
    <w:basedOn w:val="12"/>
    <w:qFormat/>
    <w:uiPriority w:val="99"/>
    <w:rPr>
      <w:color w:val="0000FF"/>
      <w:u w:val="single"/>
    </w:rPr>
  </w:style>
  <w:style w:type="character" w:styleId="18">
    <w:name w:val="annotation reference"/>
    <w:basedOn w:val="12"/>
    <w:qFormat/>
    <w:uiPriority w:val="0"/>
    <w:rPr>
      <w:sz w:val="21"/>
      <w:szCs w:val="21"/>
    </w:rPr>
  </w:style>
  <w:style w:type="character" w:customStyle="1" w:styleId="19">
    <w:name w:val="批注文字 字符"/>
    <w:basedOn w:val="12"/>
    <w:link w:val="3"/>
    <w:qFormat/>
    <w:uiPriority w:val="0"/>
  </w:style>
  <w:style w:type="character" w:customStyle="1" w:styleId="20">
    <w:name w:val="占位符文本1"/>
    <w:basedOn w:val="12"/>
    <w:semiHidden/>
    <w:qFormat/>
    <w:uiPriority w:val="99"/>
    <w:rPr>
      <w:color w:val="808080"/>
    </w:rPr>
  </w:style>
  <w:style w:type="paragraph" w:customStyle="1" w:styleId="21">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2">
    <w:name w:val="批注主题 字符"/>
    <w:basedOn w:val="19"/>
    <w:link w:val="9"/>
    <w:semiHidden/>
    <w:qFormat/>
    <w:uiPriority w:val="99"/>
    <w:rPr>
      <w:b/>
      <w:bCs/>
      <w:sz w:val="20"/>
      <w:szCs w:val="20"/>
    </w:rPr>
  </w:style>
  <w:style w:type="character" w:customStyle="1" w:styleId="23">
    <w:name w:val="页脚 字符"/>
    <w:basedOn w:val="12"/>
    <w:link w:val="4"/>
    <w:qFormat/>
    <w:uiPriority w:val="99"/>
    <w:rPr>
      <w:sz w:val="18"/>
      <w:szCs w:val="18"/>
    </w:rPr>
  </w:style>
  <w:style w:type="character" w:customStyle="1" w:styleId="24">
    <w:name w:val="标题 1 字符"/>
    <w:basedOn w:val="12"/>
    <w:link w:val="2"/>
    <w:qFormat/>
    <w:uiPriority w:val="9"/>
    <w:rPr>
      <w:b/>
      <w:bCs/>
      <w:kern w:val="44"/>
      <w:sz w:val="44"/>
      <w:szCs w:val="44"/>
    </w:rPr>
  </w:style>
  <w:style w:type="character" w:customStyle="1" w:styleId="25">
    <w:name w:val="占位符文本11"/>
    <w:basedOn w:val="12"/>
    <w:semiHidden/>
    <w:qFormat/>
    <w:uiPriority w:val="99"/>
    <w:rPr>
      <w:color w:val="808080"/>
    </w:rPr>
  </w:style>
  <w:style w:type="paragraph" w:customStyle="1" w:styleId="26">
    <w:name w:val="列表段落1"/>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1692</Words>
  <Characters>9646</Characters>
  <Lines>80</Lines>
  <Paragraphs>22</Paragraphs>
  <TotalTime>1</TotalTime>
  <ScaleCrop>false</ScaleCrop>
  <LinksUpToDate>false</LinksUpToDate>
  <CharactersWithSpaces>11316</CharactersWithSpaces>
  <Application>WPS Office_5.1.1.7662_F1E327BC-269C-435d-A152-05C5408002CA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2023-07-11T01:02:00Z</dcterms:created>
  <dc:creator>Author</dc:creator>
  <cp:lastModifiedBy>晴亭</cp:lastModifiedBy>
  <cp:lastPrinted>2022-05-21T05:27:00Z</cp:lastPrinted>
  <dcterms:modified xsi:type="dcterms:W3CDTF">2023-07-20T15:42:17Z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http://csl.mendeley.com/styles/658094571/american-medical-association-3</vt:lpwstr>
  </property>
  <property fmtid="{D5CDD505-2E9C-101B-9397-08002B2CF9AE}" pid="5" name="Mendeley Recent Style Name 1_1">
    <vt:lpwstr>American Medical Association 11th edition - qingwen ding</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KSOProductBuildVer">
    <vt:lpwstr>2052-5.1.1.7662</vt:lpwstr>
  </property>
  <property fmtid="{D5CDD505-2E9C-101B-9397-08002B2CF9AE}" pid="23" name="ICV">
    <vt:lpwstr>E27B0BA9E28E7A79E254B664F9503C09</vt:lpwstr>
  </property>
</Properties>
</file>