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1A83D271" w14:textId="51FDB4EA" w:rsidR="002A2CA5" w:rsidRPr="002A2CA5" w:rsidRDefault="002A2CA5" w:rsidP="00E56776">
      <w:pPr>
        <w:pStyle w:val="Untertitel"/>
        <w:spacing w:line="360" w:lineRule="auto"/>
        <w:jc w:val="center"/>
        <w:rPr>
          <w:rFonts w:asciiTheme="majorHAnsi" w:eastAsia="Calibri" w:hAnsiTheme="majorHAnsi" w:cstheme="majorHAnsi"/>
          <w:i w:val="0"/>
          <w:color w:val="auto"/>
          <w:sz w:val="28"/>
          <w:szCs w:val="36"/>
        </w:rPr>
      </w:pPr>
      <w:r w:rsidRPr="002A2CA5">
        <w:rPr>
          <w:rFonts w:asciiTheme="majorHAnsi" w:eastAsia="Calibri" w:hAnsiTheme="majorHAnsi" w:cstheme="majorHAnsi"/>
          <w:i w:val="0"/>
          <w:color w:val="auto"/>
          <w:sz w:val="28"/>
          <w:szCs w:val="36"/>
        </w:rPr>
        <w:t>Supplementary Information</w:t>
      </w:r>
    </w:p>
    <w:p w14:paraId="0DC77A1E" w14:textId="4CDCF3A4" w:rsidR="00F638B4" w:rsidRPr="00E56776" w:rsidRDefault="0069550E" w:rsidP="00E56776">
      <w:pPr>
        <w:pStyle w:val="Untertitel"/>
        <w:spacing w:line="360" w:lineRule="auto"/>
        <w:jc w:val="center"/>
        <w:rPr>
          <w:rFonts w:asciiTheme="majorHAnsi" w:eastAsia="Calibri" w:hAnsiTheme="majorHAnsi" w:cstheme="majorHAnsi"/>
          <w:b/>
          <w:i w:val="0"/>
          <w:color w:val="auto"/>
          <w:sz w:val="36"/>
          <w:szCs w:val="36"/>
        </w:rPr>
      </w:pPr>
      <w:r w:rsidRPr="00E56776">
        <w:rPr>
          <w:rFonts w:asciiTheme="majorHAnsi" w:eastAsia="Calibri" w:hAnsiTheme="majorHAnsi" w:cstheme="majorHAnsi"/>
          <w:b/>
          <w:i w:val="0"/>
          <w:color w:val="auto"/>
          <w:sz w:val="36"/>
          <w:szCs w:val="36"/>
        </w:rPr>
        <w:t>Predicting long</w:t>
      </w:r>
      <w:r w:rsidR="0057165A" w:rsidRPr="00E56776">
        <w:rPr>
          <w:rFonts w:asciiTheme="majorHAnsi" w:eastAsia="Calibri" w:hAnsiTheme="majorHAnsi" w:cstheme="majorHAnsi"/>
          <w:b/>
          <w:i w:val="0"/>
          <w:color w:val="auto"/>
          <w:sz w:val="36"/>
          <w:szCs w:val="36"/>
        </w:rPr>
        <w:t>-</w:t>
      </w:r>
      <w:r w:rsidRPr="00E56776">
        <w:rPr>
          <w:rFonts w:asciiTheme="majorHAnsi" w:eastAsia="Calibri" w:hAnsiTheme="majorHAnsi" w:cstheme="majorHAnsi"/>
          <w:b/>
          <w:i w:val="0"/>
          <w:color w:val="auto"/>
          <w:sz w:val="36"/>
          <w:szCs w:val="36"/>
        </w:rPr>
        <w:t xml:space="preserve">term outcome in </w:t>
      </w:r>
      <w:r w:rsidR="0057165A" w:rsidRPr="00E56776">
        <w:rPr>
          <w:rFonts w:asciiTheme="majorHAnsi" w:eastAsia="Calibri" w:hAnsiTheme="majorHAnsi" w:cstheme="majorHAnsi"/>
          <w:b/>
          <w:i w:val="0"/>
          <w:color w:val="auto"/>
          <w:sz w:val="36"/>
          <w:szCs w:val="36"/>
        </w:rPr>
        <w:t>anorexia nervosa</w:t>
      </w:r>
      <w:r w:rsidRPr="00E56776">
        <w:rPr>
          <w:rFonts w:asciiTheme="majorHAnsi" w:eastAsia="Calibri" w:hAnsiTheme="majorHAnsi" w:cstheme="majorHAnsi"/>
          <w:b/>
          <w:i w:val="0"/>
          <w:color w:val="auto"/>
          <w:sz w:val="36"/>
          <w:szCs w:val="36"/>
        </w:rPr>
        <w:t xml:space="preserve">: </w:t>
      </w:r>
      <w:r w:rsidR="002A2CA5" w:rsidRPr="00E56776">
        <w:rPr>
          <w:rFonts w:asciiTheme="majorHAnsi" w:eastAsia="Calibri" w:hAnsiTheme="majorHAnsi" w:cstheme="majorHAnsi"/>
          <w:b/>
          <w:i w:val="0"/>
          <w:color w:val="auto"/>
          <w:sz w:val="36"/>
          <w:szCs w:val="36"/>
        </w:rPr>
        <w:t>a</w:t>
      </w:r>
      <w:r w:rsidRPr="00E56776">
        <w:rPr>
          <w:rFonts w:asciiTheme="majorHAnsi" w:eastAsia="Calibri" w:hAnsiTheme="majorHAnsi" w:cstheme="majorHAnsi"/>
          <w:b/>
          <w:i w:val="0"/>
          <w:color w:val="auto"/>
          <w:sz w:val="36"/>
          <w:szCs w:val="36"/>
        </w:rPr>
        <w:t xml:space="preserve"> machine learning analysis of brain structure at different stages of weight recovery</w:t>
      </w:r>
    </w:p>
    <w:p w14:paraId="6096A06A" w14:textId="588E8E15" w:rsidR="002A2CA5" w:rsidRPr="002A2CA5" w:rsidRDefault="002A2CA5" w:rsidP="00E56776">
      <w:pPr>
        <w:spacing w:line="360" w:lineRule="auto"/>
      </w:pPr>
    </w:p>
    <w:p w14:paraId="408114DE" w14:textId="77777777" w:rsidR="002A2CA5" w:rsidRPr="00EC736E" w:rsidRDefault="002A2CA5" w:rsidP="00E56776">
      <w:pPr>
        <w:spacing w:line="360" w:lineRule="auto"/>
        <w:jc w:val="center"/>
        <w:rPr>
          <w:rFonts w:asciiTheme="majorHAnsi" w:hAnsiTheme="majorHAnsi" w:cstheme="majorHAnsi"/>
        </w:rPr>
      </w:pPr>
      <w:r w:rsidRPr="00EC736E">
        <w:rPr>
          <w:rFonts w:asciiTheme="majorHAnsi" w:hAnsiTheme="majorHAnsi" w:cstheme="majorHAnsi"/>
        </w:rPr>
        <w:t>Dominic Arold</w:t>
      </w:r>
      <w:r w:rsidRPr="00EC736E">
        <w:rPr>
          <w:rFonts w:asciiTheme="majorHAnsi" w:hAnsiTheme="majorHAnsi" w:cstheme="majorHAnsi"/>
          <w:vertAlign w:val="superscript"/>
        </w:rPr>
        <w:t>1</w:t>
      </w:r>
      <w:r w:rsidRPr="00EC736E">
        <w:rPr>
          <w:rFonts w:asciiTheme="majorHAnsi" w:hAnsiTheme="majorHAnsi" w:cstheme="majorHAnsi"/>
        </w:rPr>
        <w:t xml:space="preserve">, </w:t>
      </w:r>
      <w:r>
        <w:rPr>
          <w:rFonts w:asciiTheme="majorHAnsi" w:hAnsiTheme="majorHAnsi" w:cstheme="majorHAnsi"/>
        </w:rPr>
        <w:t>Fabio Bernardoni</w:t>
      </w:r>
      <w:r w:rsidRPr="00EC736E">
        <w:rPr>
          <w:rFonts w:asciiTheme="majorHAnsi" w:hAnsiTheme="majorHAnsi" w:cstheme="majorHAnsi"/>
          <w:vertAlign w:val="superscript"/>
        </w:rPr>
        <w:t>1</w:t>
      </w:r>
      <w:r>
        <w:rPr>
          <w:rFonts w:asciiTheme="majorHAnsi" w:hAnsiTheme="majorHAnsi" w:cstheme="majorHAnsi"/>
        </w:rPr>
        <w:t>, Daniel Geisler</w:t>
      </w:r>
      <w:r w:rsidRPr="00EC736E">
        <w:rPr>
          <w:rFonts w:asciiTheme="majorHAnsi" w:hAnsiTheme="majorHAnsi" w:cstheme="majorHAnsi"/>
          <w:vertAlign w:val="superscript"/>
        </w:rPr>
        <w:t>1</w:t>
      </w:r>
      <w:r>
        <w:rPr>
          <w:rFonts w:asciiTheme="majorHAnsi" w:hAnsiTheme="majorHAnsi" w:cstheme="majorHAnsi"/>
        </w:rPr>
        <w:t>, Arne Doose</w:t>
      </w:r>
      <w:r w:rsidRPr="00EC736E">
        <w:rPr>
          <w:rFonts w:asciiTheme="majorHAnsi" w:hAnsiTheme="majorHAnsi" w:cstheme="majorHAnsi"/>
          <w:vertAlign w:val="superscript"/>
        </w:rPr>
        <w:t>1</w:t>
      </w:r>
      <w:r>
        <w:rPr>
          <w:rFonts w:asciiTheme="majorHAnsi" w:hAnsiTheme="majorHAnsi" w:cstheme="majorHAnsi"/>
        </w:rPr>
        <w:t xml:space="preserve">, </w:t>
      </w:r>
      <w:r w:rsidRPr="00EC736E">
        <w:rPr>
          <w:rFonts w:asciiTheme="majorHAnsi" w:hAnsiTheme="majorHAnsi" w:cstheme="majorHAnsi"/>
        </w:rPr>
        <w:t>Volkan Uen</w:t>
      </w:r>
      <w:r w:rsidRPr="00EC736E">
        <w:rPr>
          <w:rFonts w:asciiTheme="majorHAnsi" w:hAnsiTheme="majorHAnsi" w:cstheme="majorHAnsi"/>
          <w:vertAlign w:val="superscript"/>
        </w:rPr>
        <w:t>1</w:t>
      </w:r>
      <w:r>
        <w:rPr>
          <w:rFonts w:asciiTheme="majorHAnsi" w:hAnsiTheme="majorHAnsi" w:cstheme="majorHAnsi"/>
        </w:rPr>
        <w:t>, Ilka Boehm</w:t>
      </w:r>
      <w:r w:rsidRPr="00EC736E">
        <w:rPr>
          <w:rFonts w:asciiTheme="majorHAnsi" w:hAnsiTheme="majorHAnsi" w:cstheme="majorHAnsi"/>
          <w:vertAlign w:val="superscript"/>
        </w:rPr>
        <w:t>1</w:t>
      </w:r>
      <w:r w:rsidRPr="00EC736E">
        <w:rPr>
          <w:rFonts w:asciiTheme="majorHAnsi" w:hAnsiTheme="majorHAnsi" w:cstheme="majorHAnsi"/>
        </w:rPr>
        <w:t xml:space="preserve">, </w:t>
      </w:r>
      <w:proofErr w:type="spellStart"/>
      <w:r>
        <w:rPr>
          <w:rFonts w:asciiTheme="majorHAnsi" w:hAnsiTheme="majorHAnsi" w:cstheme="majorHAnsi"/>
        </w:rPr>
        <w:t>Veit</w:t>
      </w:r>
      <w:proofErr w:type="spellEnd"/>
      <w:r>
        <w:rPr>
          <w:rFonts w:asciiTheme="majorHAnsi" w:hAnsiTheme="majorHAnsi" w:cstheme="majorHAnsi"/>
        </w:rPr>
        <w:t xml:space="preserve"> Roessner</w:t>
      </w:r>
      <w:r w:rsidRPr="00A126C8">
        <w:rPr>
          <w:rFonts w:asciiTheme="majorHAnsi" w:hAnsiTheme="majorHAnsi" w:cstheme="majorHAnsi"/>
          <w:vertAlign w:val="superscript"/>
        </w:rPr>
        <w:t>2</w:t>
      </w:r>
      <w:r w:rsidRPr="00EC736E">
        <w:rPr>
          <w:rFonts w:asciiTheme="majorHAnsi" w:hAnsiTheme="majorHAnsi" w:cstheme="majorHAnsi"/>
        </w:rPr>
        <w:t>,</w:t>
      </w:r>
      <w:r>
        <w:rPr>
          <w:rFonts w:asciiTheme="majorHAnsi" w:hAnsiTheme="majorHAnsi" w:cstheme="majorHAnsi"/>
        </w:rPr>
        <w:t xml:space="preserve"> </w:t>
      </w:r>
      <w:r w:rsidRPr="00EC736E">
        <w:rPr>
          <w:rFonts w:asciiTheme="majorHAnsi" w:hAnsiTheme="majorHAnsi" w:cstheme="majorHAnsi"/>
        </w:rPr>
        <w:t xml:space="preserve">Joseph </w:t>
      </w:r>
      <w:r>
        <w:rPr>
          <w:rFonts w:asciiTheme="majorHAnsi" w:hAnsiTheme="majorHAnsi" w:cstheme="majorHAnsi"/>
        </w:rPr>
        <w:t>A. King</w:t>
      </w:r>
      <w:r w:rsidRPr="00EC736E">
        <w:rPr>
          <w:rFonts w:asciiTheme="majorHAnsi" w:hAnsiTheme="majorHAnsi" w:cstheme="majorHAnsi"/>
          <w:vertAlign w:val="superscript"/>
        </w:rPr>
        <w:t>1</w:t>
      </w:r>
      <w:r w:rsidRPr="00EC736E">
        <w:rPr>
          <w:rFonts w:asciiTheme="majorHAnsi" w:hAnsiTheme="majorHAnsi" w:cstheme="majorHAnsi"/>
        </w:rPr>
        <w:t xml:space="preserve">, </w:t>
      </w:r>
      <w:r>
        <w:rPr>
          <w:rFonts w:asciiTheme="majorHAnsi" w:hAnsiTheme="majorHAnsi" w:cstheme="majorHAnsi"/>
        </w:rPr>
        <w:t>Stefan Ehrlich</w:t>
      </w:r>
      <w:r w:rsidRPr="00EC736E">
        <w:rPr>
          <w:rFonts w:asciiTheme="majorHAnsi" w:hAnsiTheme="majorHAnsi" w:cstheme="majorHAnsi"/>
          <w:vertAlign w:val="superscript"/>
        </w:rPr>
        <w:t>1,</w:t>
      </w:r>
      <w:r>
        <w:rPr>
          <w:rFonts w:asciiTheme="majorHAnsi" w:hAnsiTheme="majorHAnsi" w:cstheme="majorHAnsi"/>
          <w:vertAlign w:val="superscript"/>
        </w:rPr>
        <w:t>3</w:t>
      </w:r>
    </w:p>
    <w:p w14:paraId="330A5F31" w14:textId="2DD6A5FD" w:rsidR="002A2CA5" w:rsidRDefault="002A2CA5" w:rsidP="00E56776">
      <w:pPr>
        <w:spacing w:after="0" w:line="360" w:lineRule="auto"/>
        <w:jc w:val="center"/>
        <w:rPr>
          <w:rFonts w:asciiTheme="majorHAnsi" w:hAnsiTheme="majorHAnsi" w:cstheme="majorHAnsi"/>
          <w:sz w:val="20"/>
          <w:szCs w:val="20"/>
        </w:rPr>
      </w:pPr>
      <w:r w:rsidRPr="00986E47">
        <w:rPr>
          <w:rFonts w:asciiTheme="majorHAnsi" w:hAnsiTheme="majorHAnsi" w:cstheme="majorHAnsi"/>
          <w:sz w:val="20"/>
          <w:szCs w:val="20"/>
          <w:vertAlign w:val="superscript"/>
        </w:rPr>
        <w:t>1</w:t>
      </w:r>
      <w:r w:rsidRPr="00986E47">
        <w:rPr>
          <w:rFonts w:asciiTheme="majorHAnsi" w:hAnsiTheme="majorHAnsi" w:cstheme="majorHAnsi"/>
          <w:sz w:val="20"/>
          <w:szCs w:val="20"/>
        </w:rPr>
        <w:t>Division of Psychological and Social Medicine and Developmental Neuroscience</w:t>
      </w:r>
      <w:r w:rsidR="00CC22B2">
        <w:rPr>
          <w:rFonts w:asciiTheme="majorHAnsi" w:hAnsiTheme="majorHAnsi" w:cstheme="majorHAnsi"/>
          <w:sz w:val="20"/>
          <w:szCs w:val="20"/>
        </w:rPr>
        <w:t>s</w:t>
      </w:r>
      <w:r w:rsidRPr="00986E47">
        <w:rPr>
          <w:rFonts w:asciiTheme="majorHAnsi" w:hAnsiTheme="majorHAnsi" w:cstheme="majorHAnsi"/>
          <w:sz w:val="20"/>
          <w:szCs w:val="20"/>
        </w:rPr>
        <w:t xml:space="preserve">, Faculty of Medicine, </w:t>
      </w:r>
      <w:proofErr w:type="spellStart"/>
      <w:r w:rsidRPr="00986E47">
        <w:rPr>
          <w:rFonts w:asciiTheme="majorHAnsi" w:hAnsiTheme="majorHAnsi" w:cstheme="majorHAnsi"/>
          <w:sz w:val="20"/>
          <w:szCs w:val="20"/>
        </w:rPr>
        <w:t>Technische</w:t>
      </w:r>
      <w:proofErr w:type="spellEnd"/>
      <w:r w:rsidRPr="00986E47">
        <w:rPr>
          <w:rFonts w:asciiTheme="majorHAnsi" w:hAnsiTheme="majorHAnsi" w:cstheme="majorHAnsi"/>
          <w:sz w:val="20"/>
          <w:szCs w:val="20"/>
        </w:rPr>
        <w:t xml:space="preserve"> Universität Dresden, Dresden, Germany</w:t>
      </w:r>
    </w:p>
    <w:p w14:paraId="2FF2ACC6" w14:textId="77777777" w:rsidR="002A2CA5" w:rsidRPr="00986E47" w:rsidRDefault="002A2CA5" w:rsidP="00E56776">
      <w:pPr>
        <w:spacing w:after="0" w:line="360" w:lineRule="auto"/>
        <w:jc w:val="center"/>
        <w:rPr>
          <w:rFonts w:asciiTheme="majorHAnsi" w:hAnsiTheme="majorHAnsi" w:cstheme="majorHAnsi"/>
          <w:sz w:val="20"/>
          <w:szCs w:val="20"/>
        </w:rPr>
      </w:pPr>
      <w:r w:rsidRPr="00986E47">
        <w:rPr>
          <w:rFonts w:asciiTheme="majorHAnsi" w:hAnsiTheme="majorHAnsi" w:cstheme="majorHAnsi"/>
          <w:sz w:val="20"/>
          <w:szCs w:val="20"/>
          <w:vertAlign w:val="superscript"/>
        </w:rPr>
        <w:t>2</w:t>
      </w:r>
      <w:r w:rsidRPr="00A126C8">
        <w:rPr>
          <w:rFonts w:asciiTheme="majorHAnsi" w:hAnsiTheme="majorHAnsi" w:cstheme="majorHAnsi"/>
          <w:sz w:val="20"/>
          <w:szCs w:val="20"/>
        </w:rPr>
        <w:t xml:space="preserve">Department of Child and Adolescent Psychiatry, Faculty of Medicine, University Hospital C. G. </w:t>
      </w:r>
      <w:proofErr w:type="spellStart"/>
      <w:r w:rsidRPr="00A126C8">
        <w:rPr>
          <w:rFonts w:asciiTheme="majorHAnsi" w:hAnsiTheme="majorHAnsi" w:cstheme="majorHAnsi"/>
          <w:sz w:val="20"/>
          <w:szCs w:val="20"/>
        </w:rPr>
        <w:t>Carus</w:t>
      </w:r>
      <w:proofErr w:type="spellEnd"/>
      <w:r w:rsidRPr="00A126C8">
        <w:rPr>
          <w:rFonts w:asciiTheme="majorHAnsi" w:hAnsiTheme="majorHAnsi" w:cstheme="majorHAnsi"/>
          <w:sz w:val="20"/>
          <w:szCs w:val="20"/>
        </w:rPr>
        <w:t xml:space="preserve">, </w:t>
      </w:r>
      <w:proofErr w:type="spellStart"/>
      <w:r w:rsidRPr="00A126C8">
        <w:rPr>
          <w:rFonts w:asciiTheme="majorHAnsi" w:hAnsiTheme="majorHAnsi" w:cstheme="majorHAnsi"/>
          <w:sz w:val="20"/>
          <w:szCs w:val="20"/>
        </w:rPr>
        <w:t>Technische</w:t>
      </w:r>
      <w:proofErr w:type="spellEnd"/>
      <w:r w:rsidRPr="00A126C8">
        <w:rPr>
          <w:rFonts w:asciiTheme="majorHAnsi" w:hAnsiTheme="majorHAnsi" w:cstheme="majorHAnsi"/>
          <w:sz w:val="20"/>
          <w:szCs w:val="20"/>
        </w:rPr>
        <w:t xml:space="preserve"> Univer</w:t>
      </w:r>
      <w:r>
        <w:rPr>
          <w:rFonts w:asciiTheme="majorHAnsi" w:hAnsiTheme="majorHAnsi" w:cstheme="majorHAnsi"/>
          <w:sz w:val="20"/>
          <w:szCs w:val="20"/>
        </w:rPr>
        <w:t>sität Dresden, Dresden, Germany</w:t>
      </w:r>
    </w:p>
    <w:p w14:paraId="0BDAF6D5" w14:textId="77777777" w:rsidR="002A2CA5" w:rsidRPr="00986E47" w:rsidRDefault="002A2CA5" w:rsidP="00E56776">
      <w:pPr>
        <w:spacing w:after="0" w:line="360" w:lineRule="auto"/>
        <w:jc w:val="center"/>
        <w:rPr>
          <w:rFonts w:asciiTheme="majorHAnsi" w:hAnsiTheme="majorHAnsi" w:cstheme="majorHAnsi"/>
          <w:sz w:val="20"/>
          <w:szCs w:val="20"/>
        </w:rPr>
      </w:pPr>
      <w:r>
        <w:rPr>
          <w:rFonts w:asciiTheme="majorHAnsi" w:hAnsiTheme="majorHAnsi" w:cstheme="majorHAnsi"/>
          <w:sz w:val="20"/>
          <w:szCs w:val="20"/>
          <w:vertAlign w:val="superscript"/>
        </w:rPr>
        <w:t>3</w:t>
      </w:r>
      <w:r w:rsidRPr="00986E47">
        <w:rPr>
          <w:rFonts w:asciiTheme="majorHAnsi" w:hAnsiTheme="majorHAnsi" w:cstheme="majorHAnsi"/>
          <w:sz w:val="20"/>
          <w:szCs w:val="20"/>
        </w:rPr>
        <w:t xml:space="preserve">Translational Developmental Neuroscience Section, Eating Disorder Research and Treatment Center, Department of Child and Adolescent Psychiatry, Faculty of Medicine, </w:t>
      </w:r>
      <w:proofErr w:type="spellStart"/>
      <w:r w:rsidRPr="00986E47">
        <w:rPr>
          <w:rFonts w:asciiTheme="majorHAnsi" w:hAnsiTheme="majorHAnsi" w:cstheme="majorHAnsi"/>
          <w:sz w:val="20"/>
          <w:szCs w:val="20"/>
        </w:rPr>
        <w:t>Technische</w:t>
      </w:r>
      <w:proofErr w:type="spellEnd"/>
      <w:r w:rsidRPr="00986E47">
        <w:rPr>
          <w:rFonts w:asciiTheme="majorHAnsi" w:hAnsiTheme="majorHAnsi" w:cstheme="majorHAnsi"/>
          <w:sz w:val="20"/>
          <w:szCs w:val="20"/>
        </w:rPr>
        <w:t xml:space="preserve"> Universität Dresden, Dresden, Germany</w:t>
      </w:r>
    </w:p>
    <w:p w14:paraId="7F6166F2" w14:textId="091108A3" w:rsidR="004F181C" w:rsidRDefault="004F181C" w:rsidP="00E56776">
      <w:pPr>
        <w:spacing w:line="360" w:lineRule="auto"/>
      </w:pPr>
      <w:r>
        <w:br w:type="page"/>
      </w:r>
    </w:p>
    <w:p w14:paraId="0B99C803" w14:textId="135AA716" w:rsidR="00F54128" w:rsidRDefault="008D7473" w:rsidP="00E56776">
      <w:pPr>
        <w:spacing w:line="360" w:lineRule="auto"/>
        <w:rPr>
          <w:rFonts w:asciiTheme="majorHAnsi" w:hAnsiTheme="majorHAnsi" w:cstheme="majorHAnsi"/>
          <w:b/>
        </w:rPr>
      </w:pPr>
      <w:r w:rsidRPr="002A2CA5">
        <w:rPr>
          <w:rFonts w:asciiTheme="majorHAnsi" w:hAnsiTheme="majorHAnsi" w:cstheme="majorHAnsi"/>
          <w:b/>
        </w:rPr>
        <w:lastRenderedPageBreak/>
        <w:t>Supplementary methods.</w:t>
      </w:r>
    </w:p>
    <w:p w14:paraId="2A9CA726" w14:textId="7F3767E5" w:rsidR="008D7473" w:rsidRPr="00F54128" w:rsidRDefault="008D7473" w:rsidP="00E56776">
      <w:pPr>
        <w:spacing w:line="360" w:lineRule="auto"/>
        <w:rPr>
          <w:rFonts w:asciiTheme="majorHAnsi" w:hAnsiTheme="majorHAnsi" w:cstheme="majorHAnsi"/>
          <w:b/>
        </w:rPr>
      </w:pPr>
      <w:r w:rsidRPr="00F54128">
        <w:rPr>
          <w:rFonts w:asciiTheme="majorHAnsi" w:hAnsiTheme="majorHAnsi" w:cstheme="majorHAnsi"/>
          <w:b/>
        </w:rPr>
        <w:t>Supplementary results.</w:t>
      </w:r>
    </w:p>
    <w:p w14:paraId="10EF599B" w14:textId="00565116" w:rsidR="008D7473" w:rsidRDefault="008D7473" w:rsidP="00E56776">
      <w:pPr>
        <w:spacing w:line="360" w:lineRule="auto"/>
        <w:rPr>
          <w:rFonts w:asciiTheme="majorHAnsi" w:hAnsiTheme="majorHAnsi" w:cstheme="majorHAnsi"/>
        </w:rPr>
      </w:pPr>
      <w:r w:rsidRPr="00F54128">
        <w:rPr>
          <w:rFonts w:asciiTheme="majorHAnsi" w:hAnsiTheme="majorHAnsi" w:cstheme="majorHAnsi"/>
          <w:b/>
        </w:rPr>
        <w:t>Table S1.</w:t>
      </w:r>
      <w:r>
        <w:rPr>
          <w:rFonts w:asciiTheme="majorHAnsi" w:hAnsiTheme="majorHAnsi" w:cstheme="majorHAnsi"/>
        </w:rPr>
        <w:t xml:space="preserve"> Group comparison for partially weight restored patients </w:t>
      </w:r>
    </w:p>
    <w:p w14:paraId="59CA60AD" w14:textId="28F1EFBB" w:rsidR="008D7473" w:rsidRDefault="008D7473" w:rsidP="00E56776">
      <w:pPr>
        <w:spacing w:line="360" w:lineRule="auto"/>
        <w:rPr>
          <w:rFonts w:asciiTheme="majorHAnsi" w:hAnsiTheme="majorHAnsi" w:cstheme="majorHAnsi"/>
        </w:rPr>
      </w:pPr>
      <w:r w:rsidRPr="002A2CA5">
        <w:rPr>
          <w:rFonts w:asciiTheme="majorHAnsi" w:hAnsiTheme="majorHAnsi" w:cstheme="majorHAnsi"/>
          <w:b/>
        </w:rPr>
        <w:t>Table S2.</w:t>
      </w:r>
      <w:r>
        <w:rPr>
          <w:rFonts w:asciiTheme="majorHAnsi" w:hAnsiTheme="majorHAnsi" w:cstheme="majorHAnsi"/>
        </w:rPr>
        <w:t xml:space="preserve"> Optimal hyperparameters for</w:t>
      </w:r>
      <w:r w:rsidR="009A6E94">
        <w:rPr>
          <w:rFonts w:asciiTheme="majorHAnsi" w:hAnsiTheme="majorHAnsi" w:cstheme="majorHAnsi"/>
        </w:rPr>
        <w:t xml:space="preserve"> </w:t>
      </w:r>
      <w:r>
        <w:rPr>
          <w:rFonts w:asciiTheme="majorHAnsi" w:hAnsiTheme="majorHAnsi" w:cstheme="majorHAnsi"/>
        </w:rPr>
        <w:t>SVM models</w:t>
      </w:r>
    </w:p>
    <w:p w14:paraId="06D85FD6" w14:textId="31BAE799" w:rsidR="007D286E" w:rsidRDefault="007D286E" w:rsidP="00E56776">
      <w:pPr>
        <w:spacing w:line="360" w:lineRule="auto"/>
        <w:rPr>
          <w:rFonts w:asciiTheme="majorHAnsi" w:hAnsiTheme="majorHAnsi" w:cstheme="majorHAnsi"/>
        </w:rPr>
      </w:pPr>
      <w:r w:rsidRPr="002A2CA5">
        <w:rPr>
          <w:rFonts w:asciiTheme="majorHAnsi" w:hAnsiTheme="majorHAnsi" w:cstheme="majorHAnsi"/>
          <w:b/>
        </w:rPr>
        <w:t>Figure S1.</w:t>
      </w:r>
      <w:r>
        <w:rPr>
          <w:rFonts w:asciiTheme="majorHAnsi" w:hAnsiTheme="majorHAnsi" w:cstheme="majorHAnsi"/>
        </w:rPr>
        <w:t xml:space="preserve"> Sample overlaps</w:t>
      </w:r>
    </w:p>
    <w:p w14:paraId="07283F76" w14:textId="5121A2D0" w:rsidR="00B71F32" w:rsidRPr="00B71F32" w:rsidRDefault="00B71F32" w:rsidP="00E56776">
      <w:pPr>
        <w:spacing w:line="360" w:lineRule="auto"/>
        <w:rPr>
          <w:rFonts w:asciiTheme="majorHAnsi" w:hAnsiTheme="majorHAnsi" w:cstheme="majorHAnsi"/>
        </w:rPr>
      </w:pPr>
      <w:r w:rsidRPr="00B60F8C">
        <w:rPr>
          <w:b/>
        </w:rPr>
        <w:t>Fig</w:t>
      </w:r>
      <w:r>
        <w:rPr>
          <w:b/>
        </w:rPr>
        <w:t>ure</w:t>
      </w:r>
      <w:r w:rsidRPr="00B60F8C">
        <w:rPr>
          <w:b/>
        </w:rPr>
        <w:t xml:space="preserve"> S</w:t>
      </w:r>
      <w:r>
        <w:rPr>
          <w:b/>
        </w:rPr>
        <w:t>2</w:t>
      </w:r>
      <w:r w:rsidRPr="00B60F8C">
        <w:rPr>
          <w:b/>
        </w:rPr>
        <w:t xml:space="preserve">. </w:t>
      </w:r>
      <w:r>
        <w:t>Nested cross-validation</w:t>
      </w:r>
      <w:r>
        <w:rPr>
          <w:rFonts w:asciiTheme="majorHAnsi" w:hAnsiTheme="majorHAnsi" w:cstheme="majorHAnsi"/>
        </w:rPr>
        <w:t xml:space="preserve"> method</w:t>
      </w:r>
    </w:p>
    <w:p w14:paraId="67B6243F" w14:textId="5CDF18AE" w:rsidR="007D286E" w:rsidRDefault="00B71F32" w:rsidP="00E56776">
      <w:pPr>
        <w:spacing w:line="360" w:lineRule="auto"/>
        <w:rPr>
          <w:rFonts w:asciiTheme="majorHAnsi" w:hAnsiTheme="majorHAnsi" w:cstheme="majorHAnsi"/>
        </w:rPr>
      </w:pPr>
      <w:r>
        <w:rPr>
          <w:rFonts w:asciiTheme="majorHAnsi" w:hAnsiTheme="majorHAnsi" w:cstheme="majorHAnsi"/>
          <w:b/>
        </w:rPr>
        <w:t>Figure S3</w:t>
      </w:r>
      <w:r w:rsidR="007D286E" w:rsidRPr="002A2CA5">
        <w:rPr>
          <w:rFonts w:asciiTheme="majorHAnsi" w:hAnsiTheme="majorHAnsi" w:cstheme="majorHAnsi"/>
          <w:b/>
        </w:rPr>
        <w:t>.</w:t>
      </w:r>
      <w:r w:rsidR="007D286E">
        <w:rPr>
          <w:rFonts w:asciiTheme="majorHAnsi" w:hAnsiTheme="majorHAnsi" w:cstheme="majorHAnsi"/>
        </w:rPr>
        <w:t xml:space="preserve"> </w:t>
      </w:r>
      <w:r w:rsidR="007E7B2A">
        <w:rPr>
          <w:rFonts w:asciiTheme="majorHAnsi" w:hAnsiTheme="majorHAnsi" w:cstheme="majorHAnsi"/>
        </w:rPr>
        <w:t>Nested cross-</w:t>
      </w:r>
      <w:r w:rsidR="007D286E">
        <w:rPr>
          <w:rFonts w:asciiTheme="majorHAnsi" w:hAnsiTheme="majorHAnsi" w:cstheme="majorHAnsi"/>
        </w:rPr>
        <w:t>validation results</w:t>
      </w:r>
    </w:p>
    <w:p w14:paraId="5984507F" w14:textId="2A9AD8D5" w:rsidR="007D286E" w:rsidRDefault="00B71F32" w:rsidP="00E56776">
      <w:pPr>
        <w:spacing w:line="360" w:lineRule="auto"/>
        <w:rPr>
          <w:rFonts w:asciiTheme="majorHAnsi" w:hAnsiTheme="majorHAnsi" w:cstheme="majorHAnsi"/>
        </w:rPr>
      </w:pPr>
      <w:r>
        <w:rPr>
          <w:rFonts w:asciiTheme="majorHAnsi" w:hAnsiTheme="majorHAnsi" w:cstheme="majorHAnsi"/>
          <w:b/>
        </w:rPr>
        <w:t>Figure S4</w:t>
      </w:r>
      <w:r w:rsidR="007D286E" w:rsidRPr="002A2CA5">
        <w:rPr>
          <w:rFonts w:asciiTheme="majorHAnsi" w:hAnsiTheme="majorHAnsi" w:cstheme="majorHAnsi"/>
          <w:b/>
        </w:rPr>
        <w:t>.</w:t>
      </w:r>
      <w:r w:rsidR="007D286E">
        <w:rPr>
          <w:rFonts w:asciiTheme="majorHAnsi" w:hAnsiTheme="majorHAnsi" w:cstheme="majorHAnsi"/>
        </w:rPr>
        <w:t xml:space="preserve"> Permutation test distribution for classification performance</w:t>
      </w:r>
    </w:p>
    <w:p w14:paraId="5C0E8866" w14:textId="05AA8FD0" w:rsidR="007D286E" w:rsidRDefault="00B71F32" w:rsidP="00E56776">
      <w:pPr>
        <w:spacing w:line="360" w:lineRule="auto"/>
        <w:rPr>
          <w:rFonts w:asciiTheme="majorHAnsi" w:hAnsiTheme="majorHAnsi" w:cstheme="majorHAnsi"/>
        </w:rPr>
      </w:pPr>
      <w:r>
        <w:rPr>
          <w:rFonts w:asciiTheme="majorHAnsi" w:hAnsiTheme="majorHAnsi" w:cstheme="majorHAnsi"/>
          <w:b/>
        </w:rPr>
        <w:t>Figure S5</w:t>
      </w:r>
      <w:r w:rsidR="007D286E" w:rsidRPr="002A2CA5">
        <w:rPr>
          <w:rFonts w:asciiTheme="majorHAnsi" w:hAnsiTheme="majorHAnsi" w:cstheme="majorHAnsi"/>
          <w:b/>
        </w:rPr>
        <w:t>.</w:t>
      </w:r>
      <w:r w:rsidR="007D286E">
        <w:rPr>
          <w:rFonts w:asciiTheme="majorHAnsi" w:hAnsiTheme="majorHAnsi" w:cstheme="majorHAnsi"/>
        </w:rPr>
        <w:t xml:space="preserve"> </w:t>
      </w:r>
      <w:r w:rsidR="00AD74A2">
        <w:rPr>
          <w:rFonts w:asciiTheme="majorHAnsi" w:hAnsiTheme="majorHAnsi" w:cstheme="majorHAnsi"/>
        </w:rPr>
        <w:t>Classification performance of neural net</w:t>
      </w:r>
      <w:r w:rsidR="00CF123B">
        <w:rPr>
          <w:rFonts w:asciiTheme="majorHAnsi" w:hAnsiTheme="majorHAnsi" w:cstheme="majorHAnsi"/>
        </w:rPr>
        <w:t>work</w:t>
      </w:r>
      <w:r w:rsidR="00AD74A2">
        <w:rPr>
          <w:rFonts w:asciiTheme="majorHAnsi" w:hAnsiTheme="majorHAnsi" w:cstheme="majorHAnsi"/>
        </w:rPr>
        <w:t xml:space="preserve"> model</w:t>
      </w:r>
    </w:p>
    <w:p w14:paraId="6DBED732" w14:textId="6E3CBBAB" w:rsidR="007D286E" w:rsidRDefault="00B71F32" w:rsidP="00E56776">
      <w:pPr>
        <w:spacing w:line="360" w:lineRule="auto"/>
        <w:rPr>
          <w:rFonts w:asciiTheme="majorHAnsi" w:hAnsiTheme="majorHAnsi" w:cstheme="majorHAnsi"/>
        </w:rPr>
      </w:pPr>
      <w:r>
        <w:rPr>
          <w:rFonts w:asciiTheme="majorHAnsi" w:hAnsiTheme="majorHAnsi" w:cstheme="majorHAnsi"/>
          <w:b/>
        </w:rPr>
        <w:t>Figure S6</w:t>
      </w:r>
      <w:r w:rsidR="007D286E" w:rsidRPr="002A2CA5">
        <w:rPr>
          <w:rFonts w:asciiTheme="majorHAnsi" w:hAnsiTheme="majorHAnsi" w:cstheme="majorHAnsi"/>
          <w:b/>
        </w:rPr>
        <w:t>.</w:t>
      </w:r>
      <w:r w:rsidR="00AD74A2">
        <w:rPr>
          <w:rFonts w:asciiTheme="majorHAnsi" w:hAnsiTheme="majorHAnsi" w:cstheme="majorHAnsi"/>
        </w:rPr>
        <w:t xml:space="preserve"> Feature importance for acAN-TP1 vs HC classification</w:t>
      </w:r>
    </w:p>
    <w:p w14:paraId="57D9DCE1" w14:textId="12EE5701" w:rsidR="007D286E" w:rsidRDefault="00B71F32" w:rsidP="00E56776">
      <w:pPr>
        <w:spacing w:line="360" w:lineRule="auto"/>
        <w:rPr>
          <w:rFonts w:asciiTheme="majorHAnsi" w:hAnsiTheme="majorHAnsi" w:cstheme="majorHAnsi"/>
        </w:rPr>
      </w:pPr>
      <w:r>
        <w:rPr>
          <w:rFonts w:asciiTheme="majorHAnsi" w:hAnsiTheme="majorHAnsi" w:cstheme="majorHAnsi"/>
          <w:b/>
        </w:rPr>
        <w:t>Figure S7</w:t>
      </w:r>
      <w:r w:rsidR="007D286E" w:rsidRPr="002A2CA5">
        <w:rPr>
          <w:rFonts w:asciiTheme="majorHAnsi" w:hAnsiTheme="majorHAnsi" w:cstheme="majorHAnsi"/>
          <w:b/>
        </w:rPr>
        <w:t>.</w:t>
      </w:r>
      <w:r w:rsidR="00AD74A2">
        <w:rPr>
          <w:rFonts w:asciiTheme="majorHAnsi" w:hAnsiTheme="majorHAnsi" w:cstheme="majorHAnsi"/>
        </w:rPr>
        <w:t xml:space="preserve"> </w:t>
      </w:r>
      <w:r w:rsidR="00AD74A2" w:rsidRPr="008F379C">
        <w:rPr>
          <w:rFonts w:asciiTheme="majorHAnsi" w:hAnsiTheme="majorHAnsi" w:cstheme="majorHAnsi"/>
          <w:color w:val="auto"/>
        </w:rPr>
        <w:t>Reliability values for the acAN-TP</w:t>
      </w:r>
      <w:r w:rsidR="00AD74A2">
        <w:rPr>
          <w:rFonts w:asciiTheme="majorHAnsi" w:hAnsiTheme="majorHAnsi" w:cstheme="majorHAnsi"/>
          <w:color w:val="auto"/>
        </w:rPr>
        <w:t>2</w:t>
      </w:r>
      <w:r w:rsidR="00AD74A2" w:rsidRPr="008F379C">
        <w:rPr>
          <w:rFonts w:asciiTheme="majorHAnsi" w:hAnsiTheme="majorHAnsi" w:cstheme="majorHAnsi"/>
          <w:color w:val="auto"/>
        </w:rPr>
        <w:t xml:space="preserve"> vs HC classification</w:t>
      </w:r>
    </w:p>
    <w:p w14:paraId="728B02A9" w14:textId="50D663D3" w:rsidR="007D286E" w:rsidRDefault="00B71F32" w:rsidP="00E56776">
      <w:pPr>
        <w:spacing w:line="360" w:lineRule="auto"/>
        <w:rPr>
          <w:rFonts w:asciiTheme="majorHAnsi" w:hAnsiTheme="majorHAnsi" w:cstheme="majorHAnsi"/>
        </w:rPr>
      </w:pPr>
      <w:r>
        <w:rPr>
          <w:rFonts w:asciiTheme="majorHAnsi" w:hAnsiTheme="majorHAnsi" w:cstheme="majorHAnsi"/>
          <w:b/>
        </w:rPr>
        <w:t>Figure S8</w:t>
      </w:r>
      <w:r w:rsidR="007D286E" w:rsidRPr="002A2CA5">
        <w:rPr>
          <w:rFonts w:asciiTheme="majorHAnsi" w:hAnsiTheme="majorHAnsi" w:cstheme="majorHAnsi"/>
          <w:b/>
        </w:rPr>
        <w:t>.</w:t>
      </w:r>
      <w:r w:rsidR="007D286E" w:rsidRPr="007D286E">
        <w:rPr>
          <w:rFonts w:asciiTheme="majorHAnsi" w:hAnsiTheme="majorHAnsi" w:cstheme="majorHAnsi"/>
        </w:rPr>
        <w:t xml:space="preserve"> </w:t>
      </w:r>
      <w:r w:rsidR="00AD74A2" w:rsidRPr="008F379C">
        <w:rPr>
          <w:rFonts w:asciiTheme="majorHAnsi" w:hAnsiTheme="majorHAnsi" w:cstheme="majorHAnsi"/>
          <w:color w:val="auto"/>
        </w:rPr>
        <w:t>Reliability values for the acAN-TP</w:t>
      </w:r>
      <w:r w:rsidR="00AD74A2">
        <w:rPr>
          <w:rFonts w:asciiTheme="majorHAnsi" w:hAnsiTheme="majorHAnsi" w:cstheme="majorHAnsi"/>
          <w:color w:val="auto"/>
        </w:rPr>
        <w:t>1</w:t>
      </w:r>
      <w:r w:rsidR="00AD74A2" w:rsidRPr="008F379C">
        <w:rPr>
          <w:rFonts w:asciiTheme="majorHAnsi" w:hAnsiTheme="majorHAnsi" w:cstheme="majorHAnsi"/>
          <w:color w:val="auto"/>
        </w:rPr>
        <w:t xml:space="preserve"> vs HC classification</w:t>
      </w:r>
    </w:p>
    <w:p w14:paraId="740F94D8" w14:textId="644932A6" w:rsidR="007D286E" w:rsidRDefault="00B71F32" w:rsidP="00E56776">
      <w:pPr>
        <w:spacing w:line="360" w:lineRule="auto"/>
        <w:rPr>
          <w:rFonts w:asciiTheme="majorHAnsi" w:hAnsiTheme="majorHAnsi" w:cstheme="majorHAnsi"/>
        </w:rPr>
      </w:pPr>
      <w:r>
        <w:rPr>
          <w:rFonts w:asciiTheme="majorHAnsi" w:hAnsiTheme="majorHAnsi" w:cstheme="majorHAnsi"/>
          <w:b/>
        </w:rPr>
        <w:t>Figure S9</w:t>
      </w:r>
      <w:r w:rsidR="007D286E" w:rsidRPr="002A2CA5">
        <w:rPr>
          <w:rFonts w:asciiTheme="majorHAnsi" w:hAnsiTheme="majorHAnsi" w:cstheme="majorHAnsi"/>
          <w:b/>
        </w:rPr>
        <w:t>.</w:t>
      </w:r>
      <w:r w:rsidR="00AD74A2">
        <w:rPr>
          <w:rFonts w:asciiTheme="majorHAnsi" w:hAnsiTheme="majorHAnsi" w:cstheme="majorHAnsi"/>
        </w:rPr>
        <w:t xml:space="preserve"> Results for neural net</w:t>
      </w:r>
      <w:r w:rsidR="00CF123B">
        <w:rPr>
          <w:rFonts w:asciiTheme="majorHAnsi" w:hAnsiTheme="majorHAnsi" w:cstheme="majorHAnsi"/>
        </w:rPr>
        <w:t>work</w:t>
      </w:r>
      <w:r w:rsidR="00AD74A2">
        <w:rPr>
          <w:rFonts w:asciiTheme="majorHAnsi" w:hAnsiTheme="majorHAnsi" w:cstheme="majorHAnsi"/>
        </w:rPr>
        <w:t xml:space="preserve"> model</w:t>
      </w:r>
    </w:p>
    <w:p w14:paraId="6728F36D" w14:textId="2CF0B115" w:rsidR="00453A9A" w:rsidRPr="00875721" w:rsidRDefault="00453A9A" w:rsidP="00E56776">
      <w:pPr>
        <w:spacing w:line="360" w:lineRule="auto"/>
        <w:rPr>
          <w:rFonts w:asciiTheme="majorHAnsi" w:hAnsiTheme="majorHAnsi" w:cstheme="majorHAnsi"/>
        </w:rPr>
      </w:pPr>
      <w:r w:rsidRPr="00875721">
        <w:rPr>
          <w:rFonts w:asciiTheme="majorHAnsi" w:hAnsiTheme="majorHAnsi" w:cstheme="majorHAnsi"/>
          <w:b/>
        </w:rPr>
        <w:t>Figure S</w:t>
      </w:r>
      <w:r w:rsidR="00F43A7C" w:rsidRPr="00875721">
        <w:rPr>
          <w:rFonts w:asciiTheme="majorHAnsi" w:hAnsiTheme="majorHAnsi" w:cstheme="majorHAnsi"/>
          <w:b/>
        </w:rPr>
        <w:t>10</w:t>
      </w:r>
      <w:r w:rsidRPr="00875721">
        <w:rPr>
          <w:rFonts w:asciiTheme="majorHAnsi" w:hAnsiTheme="majorHAnsi" w:cstheme="majorHAnsi"/>
          <w:b/>
        </w:rPr>
        <w:t>.</w:t>
      </w:r>
      <w:r w:rsidRPr="00875721">
        <w:rPr>
          <w:rFonts w:asciiTheme="majorHAnsi" w:hAnsiTheme="majorHAnsi" w:cstheme="majorHAnsi"/>
        </w:rPr>
        <w:t xml:space="preserve"> Permutation importance</w:t>
      </w:r>
    </w:p>
    <w:p w14:paraId="2459D89D" w14:textId="49887F7E" w:rsidR="007D286E" w:rsidRDefault="00B71F32" w:rsidP="00E56776">
      <w:pPr>
        <w:spacing w:line="360" w:lineRule="auto"/>
        <w:rPr>
          <w:rFonts w:asciiTheme="majorHAnsi" w:hAnsiTheme="majorHAnsi" w:cstheme="majorHAnsi"/>
        </w:rPr>
      </w:pPr>
      <w:r>
        <w:rPr>
          <w:rFonts w:asciiTheme="majorHAnsi" w:hAnsiTheme="majorHAnsi" w:cstheme="majorHAnsi"/>
          <w:b/>
        </w:rPr>
        <w:t>Figure S1</w:t>
      </w:r>
      <w:r w:rsidR="00F43A7C">
        <w:rPr>
          <w:rFonts w:asciiTheme="majorHAnsi" w:hAnsiTheme="majorHAnsi" w:cstheme="majorHAnsi"/>
          <w:b/>
        </w:rPr>
        <w:t>1</w:t>
      </w:r>
      <w:r w:rsidR="007D286E" w:rsidRPr="002A2CA5">
        <w:rPr>
          <w:rFonts w:asciiTheme="majorHAnsi" w:hAnsiTheme="majorHAnsi" w:cstheme="majorHAnsi"/>
          <w:b/>
        </w:rPr>
        <w:t>.</w:t>
      </w:r>
      <w:r w:rsidR="00AD74A2">
        <w:rPr>
          <w:rFonts w:asciiTheme="majorHAnsi" w:hAnsiTheme="majorHAnsi" w:cstheme="majorHAnsi"/>
        </w:rPr>
        <w:t xml:space="preserve"> Connectivity contextualization for acAN-TP2</w:t>
      </w:r>
    </w:p>
    <w:p w14:paraId="38ABB6E4" w14:textId="49CE7D1A" w:rsidR="007D286E" w:rsidRDefault="00B71F32" w:rsidP="00E56776">
      <w:pPr>
        <w:spacing w:line="360" w:lineRule="auto"/>
        <w:rPr>
          <w:rFonts w:asciiTheme="majorHAnsi" w:hAnsiTheme="majorHAnsi" w:cstheme="majorHAnsi"/>
        </w:rPr>
      </w:pPr>
      <w:r>
        <w:rPr>
          <w:rFonts w:asciiTheme="majorHAnsi" w:hAnsiTheme="majorHAnsi" w:cstheme="majorHAnsi"/>
          <w:b/>
        </w:rPr>
        <w:t>Figure S1</w:t>
      </w:r>
      <w:r w:rsidR="00F43A7C">
        <w:rPr>
          <w:rFonts w:asciiTheme="majorHAnsi" w:hAnsiTheme="majorHAnsi" w:cstheme="majorHAnsi"/>
          <w:b/>
        </w:rPr>
        <w:t>2</w:t>
      </w:r>
      <w:r w:rsidR="007D286E" w:rsidRPr="002A2CA5">
        <w:rPr>
          <w:rFonts w:asciiTheme="majorHAnsi" w:hAnsiTheme="majorHAnsi" w:cstheme="majorHAnsi"/>
          <w:b/>
        </w:rPr>
        <w:t>.</w:t>
      </w:r>
      <w:r w:rsidR="00AD74A2">
        <w:rPr>
          <w:rFonts w:asciiTheme="majorHAnsi" w:hAnsiTheme="majorHAnsi" w:cstheme="majorHAnsi"/>
        </w:rPr>
        <w:t xml:space="preserve"> Connectivity contextualization for acAN-TP1</w:t>
      </w:r>
    </w:p>
    <w:p w14:paraId="1946DD4D" w14:textId="11A21901" w:rsidR="007D286E" w:rsidRDefault="00B71F32" w:rsidP="00E56776">
      <w:pPr>
        <w:spacing w:line="360" w:lineRule="auto"/>
        <w:rPr>
          <w:rFonts w:asciiTheme="majorHAnsi" w:hAnsiTheme="majorHAnsi" w:cstheme="majorHAnsi"/>
        </w:rPr>
      </w:pPr>
      <w:r>
        <w:rPr>
          <w:rFonts w:asciiTheme="majorHAnsi" w:hAnsiTheme="majorHAnsi" w:cstheme="majorHAnsi"/>
          <w:b/>
        </w:rPr>
        <w:t>Figure S1</w:t>
      </w:r>
      <w:r w:rsidR="00F43A7C">
        <w:rPr>
          <w:rFonts w:asciiTheme="majorHAnsi" w:hAnsiTheme="majorHAnsi" w:cstheme="majorHAnsi"/>
          <w:b/>
        </w:rPr>
        <w:t>3</w:t>
      </w:r>
      <w:r w:rsidR="007D286E" w:rsidRPr="002A2CA5">
        <w:rPr>
          <w:rFonts w:asciiTheme="majorHAnsi" w:hAnsiTheme="majorHAnsi" w:cstheme="majorHAnsi"/>
          <w:b/>
        </w:rPr>
        <w:t>.</w:t>
      </w:r>
      <w:r w:rsidR="00AD74A2">
        <w:rPr>
          <w:rFonts w:asciiTheme="majorHAnsi" w:hAnsiTheme="majorHAnsi" w:cstheme="majorHAnsi"/>
        </w:rPr>
        <w:t xml:space="preserve"> Transfer classification</w:t>
      </w:r>
    </w:p>
    <w:p w14:paraId="7F83ECF6" w14:textId="12A5E494" w:rsidR="007D286E" w:rsidRDefault="00B71F32" w:rsidP="00E56776">
      <w:pPr>
        <w:spacing w:line="360" w:lineRule="auto"/>
        <w:rPr>
          <w:rFonts w:asciiTheme="majorHAnsi" w:hAnsiTheme="majorHAnsi" w:cstheme="majorHAnsi"/>
        </w:rPr>
      </w:pPr>
      <w:r>
        <w:rPr>
          <w:rFonts w:asciiTheme="majorHAnsi" w:hAnsiTheme="majorHAnsi" w:cstheme="majorHAnsi"/>
          <w:b/>
        </w:rPr>
        <w:t>Figure S1</w:t>
      </w:r>
      <w:r w:rsidR="005F4C38">
        <w:rPr>
          <w:rFonts w:asciiTheme="majorHAnsi" w:hAnsiTheme="majorHAnsi" w:cstheme="majorHAnsi"/>
          <w:b/>
        </w:rPr>
        <w:t>4</w:t>
      </w:r>
      <w:r w:rsidR="007D286E" w:rsidRPr="002A2CA5">
        <w:rPr>
          <w:rFonts w:asciiTheme="majorHAnsi" w:hAnsiTheme="majorHAnsi" w:cstheme="majorHAnsi"/>
          <w:b/>
        </w:rPr>
        <w:t>.</w:t>
      </w:r>
      <w:r w:rsidR="00AD74A2">
        <w:rPr>
          <w:rFonts w:asciiTheme="majorHAnsi" w:hAnsiTheme="majorHAnsi" w:cstheme="majorHAnsi"/>
        </w:rPr>
        <w:t xml:space="preserve"> Transfer classification for neural net</w:t>
      </w:r>
      <w:r w:rsidR="00CF123B">
        <w:rPr>
          <w:rFonts w:asciiTheme="majorHAnsi" w:hAnsiTheme="majorHAnsi" w:cstheme="majorHAnsi"/>
        </w:rPr>
        <w:t>work</w:t>
      </w:r>
      <w:r w:rsidR="00AD74A2">
        <w:rPr>
          <w:rFonts w:asciiTheme="majorHAnsi" w:hAnsiTheme="majorHAnsi" w:cstheme="majorHAnsi"/>
        </w:rPr>
        <w:t xml:space="preserve"> model</w:t>
      </w:r>
    </w:p>
    <w:p w14:paraId="6D998BE6" w14:textId="709D50A1" w:rsidR="004F181C" w:rsidRDefault="007D286E" w:rsidP="00E56776">
      <w:pPr>
        <w:spacing w:line="360" w:lineRule="auto"/>
        <w:rPr>
          <w:rFonts w:asciiTheme="majorHAnsi" w:hAnsiTheme="majorHAnsi" w:cstheme="majorHAnsi"/>
          <w:b/>
        </w:rPr>
      </w:pPr>
      <w:r w:rsidRPr="002A2CA5">
        <w:rPr>
          <w:rFonts w:asciiTheme="majorHAnsi" w:hAnsiTheme="majorHAnsi" w:cstheme="majorHAnsi"/>
          <w:b/>
        </w:rPr>
        <w:t>Supplementary references.</w:t>
      </w:r>
    </w:p>
    <w:p w14:paraId="5CC55D1A" w14:textId="77777777" w:rsidR="004F181C" w:rsidRDefault="004F181C" w:rsidP="00E56776">
      <w:pPr>
        <w:spacing w:line="360" w:lineRule="auto"/>
        <w:rPr>
          <w:rFonts w:asciiTheme="majorHAnsi" w:hAnsiTheme="majorHAnsi" w:cstheme="majorHAnsi"/>
          <w:b/>
        </w:rPr>
      </w:pPr>
      <w:r>
        <w:rPr>
          <w:rFonts w:asciiTheme="majorHAnsi" w:hAnsiTheme="majorHAnsi" w:cstheme="majorHAnsi"/>
          <w:b/>
        </w:rPr>
        <w:br w:type="page"/>
      </w:r>
    </w:p>
    <w:p w14:paraId="6EE5DEA1" w14:textId="588C31F7" w:rsidR="004C5A18" w:rsidRPr="006005FE" w:rsidRDefault="008D7473" w:rsidP="00E56776">
      <w:pPr>
        <w:pStyle w:val="berschrift2"/>
        <w:numPr>
          <w:ilvl w:val="0"/>
          <w:numId w:val="8"/>
        </w:numPr>
        <w:spacing w:before="0" w:after="240" w:line="360" w:lineRule="auto"/>
        <w:rPr>
          <w:rFonts w:asciiTheme="majorHAnsi" w:hAnsiTheme="majorHAnsi" w:cstheme="majorHAnsi"/>
          <w:color w:val="auto"/>
          <w:sz w:val="24"/>
          <w:szCs w:val="24"/>
        </w:rPr>
      </w:pPr>
      <w:r>
        <w:rPr>
          <w:rFonts w:asciiTheme="majorHAnsi" w:hAnsiTheme="majorHAnsi" w:cstheme="majorHAnsi"/>
          <w:color w:val="auto"/>
          <w:sz w:val="24"/>
          <w:szCs w:val="24"/>
        </w:rPr>
        <w:lastRenderedPageBreak/>
        <w:t>Supplementary m</w:t>
      </w:r>
      <w:r w:rsidR="00870D64">
        <w:rPr>
          <w:rFonts w:asciiTheme="majorHAnsi" w:hAnsiTheme="majorHAnsi" w:cstheme="majorHAnsi"/>
          <w:color w:val="auto"/>
          <w:sz w:val="24"/>
          <w:szCs w:val="24"/>
        </w:rPr>
        <w:t>ethods</w:t>
      </w:r>
    </w:p>
    <w:p w14:paraId="69BF8672" w14:textId="2B7467C6" w:rsidR="00003003" w:rsidRDefault="00DB197C" w:rsidP="00E56776">
      <w:pPr>
        <w:pStyle w:val="berschrift3"/>
        <w:numPr>
          <w:ilvl w:val="1"/>
          <w:numId w:val="8"/>
        </w:numPr>
        <w:spacing w:after="200" w:line="360" w:lineRule="auto"/>
        <w:rPr>
          <w:rFonts w:asciiTheme="majorHAnsi" w:hAnsiTheme="majorHAnsi" w:cstheme="majorHAnsi"/>
          <w:color w:val="auto"/>
          <w:szCs w:val="24"/>
        </w:rPr>
      </w:pPr>
      <w:r w:rsidRPr="004C5A18">
        <w:rPr>
          <w:rFonts w:asciiTheme="majorHAnsi" w:hAnsiTheme="majorHAnsi" w:cstheme="majorHAnsi"/>
          <w:color w:val="auto"/>
          <w:szCs w:val="24"/>
        </w:rPr>
        <w:t>Participants</w:t>
      </w:r>
    </w:p>
    <w:p w14:paraId="2BBDE8E7" w14:textId="1FC0B180" w:rsidR="00E90B9E" w:rsidRDefault="00127064" w:rsidP="00E56776">
      <w:pPr>
        <w:pStyle w:val="Text"/>
      </w:pPr>
      <w:r w:rsidRPr="00127064">
        <w:t xml:space="preserve">The research team and the clinical team are working closely together within the framework of the Eating Disorders Treatment and Research Center at the University hospital. Patients acutely ill with </w:t>
      </w:r>
      <w:r w:rsidR="009A6E94">
        <w:t>anorexia nervosa (</w:t>
      </w:r>
      <w:r w:rsidRPr="00127064">
        <w:t>AN</w:t>
      </w:r>
      <w:r w:rsidR="009A6E94">
        <w:t>)</w:t>
      </w:r>
      <w:r w:rsidRPr="00127064">
        <w:t xml:space="preserve"> (and their guardians) were contacted directly after admission to the eating disorder treatment programs. At the end of treatment patients participated in a follow up research assessment if they had successfully accomplished a </w:t>
      </w:r>
      <w:r w:rsidR="009A6E94">
        <w:t>body-mass index (</w:t>
      </w:r>
      <w:r w:rsidRPr="00127064">
        <w:t>BMI</w:t>
      </w:r>
      <w:r w:rsidR="009A6E94">
        <w:t>)</w:t>
      </w:r>
      <w:r w:rsidRPr="00127064">
        <w:t xml:space="preserve"> increase of at least 14%, leading to approx. 70% inclusions relative to participants at admission. Patients recovered from AN were recruited through local and national advertising and by re-contacting participants who had participated (or had expressed willingness to participate) when they were ill with </w:t>
      </w:r>
      <w:r w:rsidR="009A6E94">
        <w:t>AN</w:t>
      </w:r>
      <w:r w:rsidR="00B2548C">
        <w:t xml:space="preserve">. </w:t>
      </w:r>
      <w:r w:rsidR="00B2548C" w:rsidRPr="00B2548C">
        <w:t>Eligibility for inclusion in the study was determined by an expert clinician after consideration of medical and psychiatric history and diagnostic instruments such as</w:t>
      </w:r>
      <w:r w:rsidR="001B48AC">
        <w:t xml:space="preserve"> </w:t>
      </w:r>
      <w:r w:rsidR="001B48AC" w:rsidRPr="001C679C">
        <w:t>the semi-structured interview</w:t>
      </w:r>
      <w:r w:rsidR="00B2548C" w:rsidRPr="00B2548C">
        <w:t xml:space="preserve"> SIAB-EX</w:t>
      </w:r>
      <w:r w:rsidR="001B48AC">
        <w:t xml:space="preserve"> </w:t>
      </w:r>
      <w:r w:rsidR="001B48AC" w:rsidRPr="001C679C">
        <w:fldChar w:fldCharType="begin"/>
      </w:r>
      <w:r w:rsidR="00AD3EA2">
        <w:instrText xml:space="preserve"> ADDIN ZOTERO_ITEM CSL_CITATION {"citationID":"91xzfWRW","properties":{"formattedCitation":"(1)","plainCitation":"(1)","noteIndex":0},"citationItems":[{"id":50,"uris":["http://zotero.org/users/11105938/items/RTQD8XGJ"],"itemData":{"id":50,"type":"article-journal","abstract":"Objective\n              \n              . For reliable and valid assessment and diagnostic categorization of eating disorders, self-report measures have considerable limitations. A semi-structured interview – the SIAB-EX – was developed for a more reliable and valid assessment of eating disorders.\n            \n            \n              \n                Methods\n              \n              . One study (videotapes of 31 inpatients, seven raters) was made to establish inter-rater reliability; in another study with 80 patients the SIAB-EX was compared to another semi-structured interview designed for comparable purposes (EDE). In a third study data was obtained on 377 eating disorder patients seeking treatment to explore discriminant and convergent (construct) validity using the following self-rating scales: EDI, TFEQ, SCL-90, BDI, and the PERI Demoralization Scale.\n            \n            \n              \n                Results\n              \n              . Inter-rater reliability of dichotomous ratings was good with mean kappa values of .81 (current) and .85 (past). Comparison of the SIAB-EX with the EDE generally showed quite similar results and higher intercorrelation of the total scale (.77). There are, however, a number of differences between the two scales, which are discussed in detail. Construct validity of the SIAB-EX was established.\n            \n            \n              \n                Conclusion\n              \n              . Inter-rater reliability was good. Convergent and discriminant (construct) validity of the SIAB-EX was demonstrated. The constructs assessed by the SIAB and its subscales and items are discussed in the context of their correlations with other well-known scales.","container-title":"European Psychiatry","DOI":"10.1016/S0924-9338(00)00534-4","ISSN":"0924-9338, 1778-3585","issue":"1","journalAbbreviation":"Eur. psychiatr.","language":"en","page":"38-48","source":"DOI.org (Crossref)","title":"The structured interview for anorexic and bulimic disorders for DSM-IV and ICD-10 (SIAB-EX): reliability and validity","title-short":"The structured interview for anorexic and bulimic disorders for DSM-IV and ICD-10 (SIAB-EX)","volume":"16","author":[{"family":"Fichter","given":"M."},{"family":"Quadflieg","given":"N."}],"issued":{"date-parts":[["2001",2]]}}}],"schema":"https://github.com/citation-style-language/schema/raw/master/csl-citation.json"} </w:instrText>
      </w:r>
      <w:r w:rsidR="001B48AC" w:rsidRPr="001C679C">
        <w:fldChar w:fldCharType="separate"/>
      </w:r>
      <w:r w:rsidR="00AD3EA2" w:rsidRPr="00AD3EA2">
        <w:t>(1)</w:t>
      </w:r>
      <w:r w:rsidR="001B48AC" w:rsidRPr="001C679C">
        <w:fldChar w:fldCharType="end"/>
      </w:r>
      <w:r w:rsidR="00B2548C" w:rsidRPr="00B2548C">
        <w:t xml:space="preserve"> and </w:t>
      </w:r>
      <w:r w:rsidR="001B48AC">
        <w:t xml:space="preserve">the </w:t>
      </w:r>
      <w:r w:rsidR="001B48AC" w:rsidRPr="00DE70A4">
        <w:t>Mini-International Neuropsychiatric Interview for Children and Adolescents (MINI Kid)</w:t>
      </w:r>
      <w:r w:rsidR="001B48AC">
        <w:t xml:space="preserve"> </w:t>
      </w:r>
      <w:r w:rsidR="001B48AC">
        <w:fldChar w:fldCharType="begin"/>
      </w:r>
      <w:r w:rsidR="00AD3EA2">
        <w:instrText xml:space="preserve"> ADDIN ZOTERO_ITEM CSL_CITATION {"citationID":"CdHzLl7P","properties":{"formattedCitation":"(2)","plainCitation":"(2)","noteIndex":0},"citationItems":[{"id":204,"uris":["http://zotero.org/users/11105938/items/WC39NREX"],"itemData":{"id":204,"type":"article-journal","container-title":"The Journal of Clinical Psychiatry","page":"22-33","title":"The Mini-International Neuropsychiatric Interview (M.I.N.I): The development and validation of a structured diagnostic psychiatric interview for DSM-IV and ICD-103","volume":"59","author":[{"family":"Sheehan","given":"D. V."},{"family":"Lecrubier","given":"Y."},{"family":"Sheehan","given":"K. H"},{"family":"Amorim","given":"P."},{"family":"Janavs","given":"J."},{"family":"Weiller","given":"E."},{"family":"Hergueta","given":"T."},{"family":"Baker","given":"R."},{"family":"Dunbar","given":"G. C."}],"issued":{"date-parts":[["1998"]]}}}],"schema":"https://github.com/citation-style-language/schema/raw/master/csl-citation.json"} </w:instrText>
      </w:r>
      <w:r w:rsidR="001B48AC">
        <w:fldChar w:fldCharType="separate"/>
      </w:r>
      <w:r w:rsidR="00AD3EA2" w:rsidRPr="00AD3EA2">
        <w:t>(2)</w:t>
      </w:r>
      <w:r w:rsidR="001B48AC">
        <w:fldChar w:fldCharType="end"/>
      </w:r>
      <w:r w:rsidR="001B48AC">
        <w:t>,</w:t>
      </w:r>
      <w:r w:rsidR="001B48AC" w:rsidRPr="001C679C">
        <w:t xml:space="preserve"> carried out by clinically experienced and trained research assistants under the supervision of </w:t>
      </w:r>
      <w:r w:rsidR="001B48AC">
        <w:t>a trained</w:t>
      </w:r>
      <w:r w:rsidR="001B48AC" w:rsidRPr="001C679C">
        <w:t xml:space="preserve"> child and adolescent psychiatrist</w:t>
      </w:r>
      <w:r w:rsidR="00B2548C" w:rsidRPr="00B2548C">
        <w:t>. Approx. 75% of participants screened met the inclusion criteria.</w:t>
      </w:r>
    </w:p>
    <w:p w14:paraId="77B83316" w14:textId="77777777" w:rsidR="00B01B78" w:rsidRPr="00B01B78" w:rsidRDefault="00B01B78" w:rsidP="00E56776">
      <w:pPr>
        <w:spacing w:line="360" w:lineRule="auto"/>
      </w:pPr>
    </w:p>
    <w:p w14:paraId="32AC7DA9" w14:textId="024251FB" w:rsidR="00A9115E" w:rsidRPr="00FE07FA" w:rsidRDefault="00DB197C" w:rsidP="00E56776">
      <w:pPr>
        <w:pStyle w:val="berschrift3"/>
        <w:numPr>
          <w:ilvl w:val="2"/>
          <w:numId w:val="8"/>
        </w:numPr>
        <w:spacing w:after="200" w:line="360" w:lineRule="auto"/>
        <w:rPr>
          <w:rFonts w:asciiTheme="majorHAnsi" w:hAnsiTheme="majorHAnsi" w:cstheme="majorHAnsi"/>
          <w:color w:val="auto"/>
          <w:szCs w:val="24"/>
        </w:rPr>
      </w:pPr>
      <w:r w:rsidRPr="004C5A18">
        <w:rPr>
          <w:rFonts w:asciiTheme="majorHAnsi" w:hAnsiTheme="majorHAnsi" w:cstheme="majorHAnsi"/>
          <w:color w:val="auto"/>
          <w:szCs w:val="24"/>
        </w:rPr>
        <w:t xml:space="preserve">Diagnostic </w:t>
      </w:r>
      <w:r w:rsidR="004D238F">
        <w:rPr>
          <w:rFonts w:asciiTheme="majorHAnsi" w:hAnsiTheme="majorHAnsi" w:cstheme="majorHAnsi"/>
          <w:color w:val="auto"/>
          <w:szCs w:val="24"/>
        </w:rPr>
        <w:t>p</w:t>
      </w:r>
      <w:r w:rsidRPr="004C5A18">
        <w:rPr>
          <w:rFonts w:asciiTheme="majorHAnsi" w:hAnsiTheme="majorHAnsi" w:cstheme="majorHAnsi"/>
          <w:color w:val="auto"/>
          <w:szCs w:val="24"/>
        </w:rPr>
        <w:t xml:space="preserve">rocedures, </w:t>
      </w:r>
      <w:r w:rsidR="004D238F">
        <w:rPr>
          <w:rFonts w:asciiTheme="majorHAnsi" w:hAnsiTheme="majorHAnsi" w:cstheme="majorHAnsi"/>
          <w:color w:val="auto"/>
          <w:szCs w:val="24"/>
        </w:rPr>
        <w:t>i</w:t>
      </w:r>
      <w:r w:rsidRPr="004C5A18">
        <w:rPr>
          <w:rFonts w:asciiTheme="majorHAnsi" w:hAnsiTheme="majorHAnsi" w:cstheme="majorHAnsi"/>
          <w:color w:val="auto"/>
          <w:szCs w:val="24"/>
        </w:rPr>
        <w:t xml:space="preserve">nclusion and </w:t>
      </w:r>
      <w:r w:rsidR="004D238F">
        <w:rPr>
          <w:rFonts w:asciiTheme="majorHAnsi" w:hAnsiTheme="majorHAnsi" w:cstheme="majorHAnsi"/>
          <w:color w:val="auto"/>
          <w:szCs w:val="24"/>
        </w:rPr>
        <w:t>e</w:t>
      </w:r>
      <w:r w:rsidRPr="004C5A18">
        <w:rPr>
          <w:rFonts w:asciiTheme="majorHAnsi" w:hAnsiTheme="majorHAnsi" w:cstheme="majorHAnsi"/>
          <w:color w:val="auto"/>
          <w:szCs w:val="24"/>
        </w:rPr>
        <w:t xml:space="preserve">xclusion </w:t>
      </w:r>
      <w:r w:rsidR="004D238F">
        <w:rPr>
          <w:rFonts w:asciiTheme="majorHAnsi" w:hAnsiTheme="majorHAnsi" w:cstheme="majorHAnsi"/>
          <w:color w:val="auto"/>
          <w:szCs w:val="24"/>
        </w:rPr>
        <w:t>c</w:t>
      </w:r>
      <w:r w:rsidRPr="004C5A18">
        <w:rPr>
          <w:rFonts w:asciiTheme="majorHAnsi" w:hAnsiTheme="majorHAnsi" w:cstheme="majorHAnsi"/>
          <w:color w:val="auto"/>
          <w:szCs w:val="24"/>
        </w:rPr>
        <w:t>riteria</w:t>
      </w:r>
    </w:p>
    <w:p w14:paraId="007ADAF9" w14:textId="3FFE0469" w:rsidR="00BB30F3" w:rsidRPr="001C679C" w:rsidRDefault="00AA4C80" w:rsidP="00E56776">
      <w:pPr>
        <w:pStyle w:val="Text"/>
      </w:pPr>
      <w:r w:rsidRPr="001C679C">
        <w:t xml:space="preserve">The diagnostic procedures, inclusion and exclusion criteria of the current study were identical to those in our previous </w:t>
      </w:r>
      <w:r w:rsidR="00EE1F3C" w:rsidRPr="001C679C">
        <w:t>sMRI studies</w:t>
      </w:r>
      <w:r w:rsidR="00D20513">
        <w:t xml:space="preserve"> </w:t>
      </w:r>
      <w:r w:rsidRPr="001C679C">
        <w:fldChar w:fldCharType="begin"/>
      </w:r>
      <w:r w:rsidR="00AD3EA2">
        <w:instrText xml:space="preserve"> ADDIN ZOTERO_ITEM CSL_CITATION {"citationID":"WvAqmdp8","properties":{"formattedCitation":"(3\\uc0\\u8211{}6)","plainCitation":"(3–6)","noteIndex":0},"citationItems":[{"id":189,"uris":["http://zotero.org/users/11105938/items/AFE7YJJ4"],"itemData":{"id":189,"type":"article-journal","container-title":"Journal of the American Academy of Child &amp; Adolescent Psychiatry","DOI":"10.1016/j.jaac.2022.03.026","ISSN":"08908567","journalAbbreviation":"Journal of the American Academy of Child &amp; Adolescent Psychiatry","language":"en","source":"DOI.org (Crossref)","title":"Dynamic Structural Brain Changes in Anorexia Nervosa: A Replication Study, Mega-analysis, and Virtual Histology Approach","title-short":"Dynamic Structural Brain Changes in Anorexia Nervosa","URL":"https://linkinghub.elsevier.com/retrieve/pii/S0890856722001836","author":[{"family":"Bahnsen","given":"Klaas"},{"family":"Bernardoni","given":"Fabio"},{"family":"King","given":"Joseph A."},{"family":"Geisler","given":"Daniel"},{"family":"Weidner","given":"Kerstin"},{"family":"Roessner","given":"Veit"},{"family":"Patel","given":"Yash"},{"family":"Paus","given":"Tomáš"},{"family":"Ehrlich","given":"Stefan"}],"accessed":{"date-parts":[["2022",6,29]]},"issued":{"date-parts":[["2022",4]]}}},{"id":"yqG9ZuqL/VJqfk3Sa","uris":["http://zotero.org/users/2454035/items/VLTZH9ZC"],"itemData":{"id":1000,"type":"article-journal","container-title":"Biological Psychiatry","DOI":"10.1016/j.biopsych.2018.05.008","ISSN":"00063223","language":"en","source":"Crossref","title":"Nutritional Status Affects Cortical Folding: Lessons Learned From Anorexia Nervosa","title-short":"Nutritional Status Affects Cortical Folding","URL":"https://linkinghub.elsevier.com/retrieve/pii/S0006322318315221","author":[{"family":"Bernardoni","given":"Fabio"},{"family":"King","given":"Joseph A."},{"family":"Geisler","given":"Daniel"},{"family":"Birkenstock","given":"Julian"},{"family":"Tam","given":"Friederike I."},{"family":"Weidner","given":"Kerstin"},{"family":"Roessner","given":"Veit"},{"family":"White","given":"Tonya"},{"family":"Ehrlich","given":"Stefan"}],"accessed":{"date-parts":[["2018",9,4]]},"issued":{"date-parts":[["2018",5]]}}},{"id":"yqG9ZuqL/p42uZfb2","uris":["http://zotero.org/users/2454035/items/895P6TGX"],"itemData":{"id":681,"type":"article-journal","abstract":"Structural magnetic resonance imaging studies have documented reduced gray matter in acutely ill patients with anorexia nervosa to be at least partially reversible following weight restoration. However, few longitudinal studies exist and the underlying mechanisms of these structural changes are elusive. In particular, the relative speed and completeness of brain structure normalization during realimentation remain unknown. Here we report from a structural neuroimaging study including a sample of adolescent/young adult female patients with acute anorexia nervosa (n=47), long-term recovered patients (n=34), and healthy controls (n=75). The majority of acutely ill patients were scanned longitudinally (n=35): at the beginning of standardized weight restoration therapy and again after partial weight normalization (&gt;10% body mass index increase). High-resolution structural images were processed and analyzed with the longitudinal stream of FreeSurfer software to test for changes in cortical thickness and volumes of select subcortical regions of interest. We found globally reduced cortical thickness in acutely ill patients to increase rapidly (0.06 mm/month) during brief weight restoration therapy (≈3 months). This significant increase was predicted by weight restoration alone and could not be ascribed to potentially mediating factors such as duration of illness, hydration status, or symptom improvements. By comparing cortical thickness in partially weight-restored patients with that measured in healthy controls, we confirmed that cortical thickness had normalized already at follow-up. This pattern of thinning in illness and rapid normalization during weight rehabilitation was largely mirrored in subcortical volumes. Together, our findings indicate that structural brain insults inflicted by starvation in anorexia nervosa may be reversed at a rate much faster than previously thought if interventions are successful before the disorder becomes chronic. This provides evidence drawing previously speculated mechanisms such as (de-)hydration and neurogenesis into question and suggests that neuronal and/or glial remodeling including changes in macromolecular content may underlie the gray matter alterations observed in anorexia nervosa.","container-title":"NeuroImage","DOI":"10.1016/j.neuroimage.2016.02.003","ISSN":"1095-9572","journalAbbreviation":"Neuroimage","language":"ENG","note":"PMID: 26876474","page":"214-222","source":"PubMed","title":"Weight restoration therapy rapidly reverses cortical thinning in anorexia nervosa: A longitudinal study","title-short":"Weight restoration therapy rapidly reverses cortical thinning in anorexia nervosa","volume":"130","author":[{"family":"Bernardoni","given":"Fabio"},{"family":"King","given":"Joseph A."},{"family":"Geisler","given":"Daniel"},{"family":"Stein","given":"Elisa"},{"family":"Jaite","given":"Charlotte"},{"family":"Nätsch","given":"Dagmar"},{"family":"Tam","given":"Friederike I."},{"family":"Boehm","given":"Ilka"},{"family":"Seidel","given":"Maria"},{"family":"Roessner","given":"Veit"},{"family":"Ehrlich","given":"Stefan"}],"issued":{"date-parts":[["2016",4,15]]}}},{"id":"yqG9ZuqL/mtHvW5cc","uris":["http://zotero.org/users/2454035/items/GI6IU6F6"],"itemData":{"id":22,"type":"article-journal","abstract":"BACKGROUND: Anorexia nervosa (AN) is a serious eating disorder characterized by self-starvation, extreme weight loss, and alterations in brain structure. Structural magnetic resonance imaging studies have documented brain volume reductions in acute AN, but it is unclear whether they are 1) regionally specific, or 2) reversible following weight restoration. Here, we measured cortical thickness (CT) for the first time in AN.\nMETHODS: Structural magnetic resonance imaging data were acquired from adolescent and young adult female patients with acute AN (n = 40), recovered patients following long-term weight restoration (n = 34), and an equal number of age-matched healthy control subjects. Group differences in CT were tested with well-validated procedures implemented in FreeSurfer. The mediating role of clinical variables including body mass index and drive for thinness were explored. For completeness, we also used FreeSurfer's subcortical segmentation stream to test group differences in volumes of select gray matter regions of interest.\nRESULTS: Vertex-wise analyses revealed significant thinning of over 85% of the cortical surface in patients with acute AN and CT normalization in recovered patients following long-term weight restoration, although normal age-related trajectories were absent in the disorder. This pattern of results was largely mirrored in subcortical volumes. We also observed a strong negative correlation between CT and drive for thinness in extrastriate regions involved in body perception.\nCONCLUSIONS: Structural brain anomalies in AN as expressed in CT and subcortical volume are primarily the consequence of malnutrition and unlikely to reflect premorbid trait markers or permanent scars, but longitudinal data are needed.","container-title":"Biological Psychiatry","DOI":"10.1016/j.biopsych.2014.09.005","ISSN":"1873-2402","issue":"7","journalAbbreviation":"Biol. Psychiatry","language":"eng","note":"PMID: 25433902","page":"624-632","source":"PubMed","title":"Global cortical thinning in acute anorexia nervosa normalizes following long-term weight restoration","volume":"77","author":[{"family":"King","given":"Joseph A."},{"family":"Geisler","given":"Daniel"},{"family":"Ritschel","given":"Franziska"},{"family":"Boehm","given":"Ilka"},{"family":"Seidel","given":"Maria"},{"family":"Roschinski","given":"Benjamin"},{"family":"Soltwedel","given":"Laura"},{"family":"Zwipp","given":"Johannes"},{"family":"Pfuhl","given":"Gerit"},{"family":"Marxen","given":"Michael"},{"family":"Roessner","given":"Veit"},{"family":"Ehrlich","given":"Stefan"}],"issued":{"date-parts":[["2015",4,1]]}}}],"schema":"https://github.com/citation-style-language/schema/raw/master/csl-citation.json"} </w:instrText>
      </w:r>
      <w:r w:rsidRPr="001C679C">
        <w:fldChar w:fldCharType="separate"/>
      </w:r>
      <w:r w:rsidR="00AD3EA2" w:rsidRPr="00AD3EA2">
        <w:rPr>
          <w:szCs w:val="24"/>
        </w:rPr>
        <w:t>(3–6)</w:t>
      </w:r>
      <w:r w:rsidRPr="001C679C">
        <w:fldChar w:fldCharType="end"/>
      </w:r>
      <w:r w:rsidR="00D20513">
        <w:t xml:space="preserve">. </w:t>
      </w:r>
      <w:r w:rsidR="00A9115E" w:rsidRPr="001C679C">
        <w:t>Of the present</w:t>
      </w:r>
      <w:r w:rsidR="00D441EF" w:rsidRPr="001C679C">
        <w:t xml:space="preserve"> 16</w:t>
      </w:r>
      <w:r w:rsidR="00341A1F">
        <w:t xml:space="preserve">5 scans of </w:t>
      </w:r>
      <w:r w:rsidR="00341A1F" w:rsidRPr="00341A1F">
        <w:t xml:space="preserve">acutely underweight patients </w:t>
      </w:r>
      <w:r w:rsidR="00341A1F">
        <w:t>with AN</w:t>
      </w:r>
      <w:r w:rsidR="0069550E">
        <w:t xml:space="preserve"> (acAN-TP1)</w:t>
      </w:r>
      <w:r w:rsidR="00A9115E" w:rsidRPr="001C679C">
        <w:t>,</w:t>
      </w:r>
      <w:r w:rsidR="00341A1F">
        <w:t xml:space="preserve"> </w:t>
      </w:r>
      <w:r w:rsidR="0069550E">
        <w:t>115 scans of patients after partial weight</w:t>
      </w:r>
      <w:r w:rsidR="004F57E9">
        <w:t>-</w:t>
      </w:r>
      <w:r w:rsidR="0069550E">
        <w:t>restoration (</w:t>
      </w:r>
      <w:r w:rsidR="0069550E" w:rsidRPr="001C679C">
        <w:t>acAN-TP2</w:t>
      </w:r>
      <w:r w:rsidR="0069550E">
        <w:t>), 89 scans of former patients after weight</w:t>
      </w:r>
      <w:r w:rsidR="004F57E9">
        <w:t>-</w:t>
      </w:r>
      <w:r w:rsidR="0069550E">
        <w:t>recovery (recAN)</w:t>
      </w:r>
      <w:r w:rsidR="00FA48E3">
        <w:t>,</w:t>
      </w:r>
      <w:r w:rsidR="0069550E">
        <w:t xml:space="preserve"> and 289 scans of healthy controls (HC), </w:t>
      </w:r>
      <w:r w:rsidR="00A9115E" w:rsidRPr="001C679C">
        <w:t>11</w:t>
      </w:r>
      <w:r w:rsidR="00341A1F">
        <w:t>1</w:t>
      </w:r>
      <w:r w:rsidR="0069550E">
        <w:t>, 81, 56, and 183 scans, respectively,</w:t>
      </w:r>
      <w:r w:rsidR="00A9115E" w:rsidRPr="001C679C">
        <w:t xml:space="preserve"> </w:t>
      </w:r>
      <w:r w:rsidR="00D441EF" w:rsidRPr="001C679C">
        <w:t>were included in our previous study</w:t>
      </w:r>
      <w:r w:rsidR="00D20513">
        <w:t xml:space="preserve"> </w:t>
      </w:r>
      <w:r w:rsidR="00A103A6">
        <w:fldChar w:fldCharType="begin"/>
      </w:r>
      <w:r w:rsidR="00AD3EA2">
        <w:instrText xml:space="preserve"> ADDIN ZOTERO_ITEM CSL_CITATION {"citationID":"MOmV8Hv8","properties":{"formattedCitation":"(3)","plainCitation":"(3)","noteIndex":0},"citationItems":[{"id":189,"uris":["http://zotero.org/users/11105938/items/AFE7YJJ4"],"itemData":{"id":189,"type":"article-journal","container-title":"Journal of the American Academy of Child &amp; Adolescent Psychiatry","DOI":"10.1016/j.jaac.2022.03.026","ISSN":"08908567","journalAbbreviation":"Journal of the American Academy of Child &amp; Adolescent Psychiatry","language":"en","source":"DOI.org (Crossref)","title":"Dynamic Structural Brain Changes in Anorexia Nervosa: A Replication Study, Mega-analysis, and Virtual Histology Approach","title-short":"Dynamic Structural Brain Changes in Anorexia Nervosa","URL":"https://linkinghub.elsevier.com/retrieve/pii/S0890856722001836","author":[{"family":"Bahnsen","given":"Klaas"},{"family":"Bernardoni","given":"Fabio"},{"family":"King","given":"Joseph A."},{"family":"Geisler","given":"Daniel"},{"family":"Weidner","given":"Kerstin"},{"family":"Roessner","given":"Veit"},{"family":"Patel","given":"Yash"},{"family":"Paus","given":"Tomáš"},{"family":"Ehrlich","given":"Stefan"}],"accessed":{"date-parts":[["2022",6,29]]},"issued":{"date-parts":[["2022",4]]}}}],"schema":"https://github.com/citation-style-language/schema/raw/master/csl-citation.json"} </w:instrText>
      </w:r>
      <w:r w:rsidR="00A103A6">
        <w:fldChar w:fldCharType="separate"/>
      </w:r>
      <w:r w:rsidR="00AD3EA2" w:rsidRPr="00AD3EA2">
        <w:t>(3)</w:t>
      </w:r>
      <w:r w:rsidR="00A103A6">
        <w:fldChar w:fldCharType="end"/>
      </w:r>
      <w:r w:rsidR="00D20513">
        <w:t>.</w:t>
      </w:r>
      <w:r w:rsidR="00A9115E" w:rsidRPr="001C679C">
        <w:t xml:space="preserve"> This corresponds to </w:t>
      </w:r>
      <w:r w:rsidR="0069550E" w:rsidRPr="001C679C">
        <w:t xml:space="preserve">additional </w:t>
      </w:r>
      <w:r w:rsidR="00A9115E" w:rsidRPr="001C679C">
        <w:t>5</w:t>
      </w:r>
      <w:r w:rsidR="00341A1F">
        <w:t>4</w:t>
      </w:r>
      <w:r w:rsidR="00A9115E" w:rsidRPr="001C679C">
        <w:t xml:space="preserve"> </w:t>
      </w:r>
      <w:r w:rsidR="0069550E">
        <w:t xml:space="preserve">acAN-TP1, 34 </w:t>
      </w:r>
      <w:r w:rsidR="00A9115E" w:rsidRPr="001C679C">
        <w:t>acAN-TP2</w:t>
      </w:r>
      <w:r w:rsidR="0069550E">
        <w:t>, 34 recAN, and 106 HC</w:t>
      </w:r>
      <w:r w:rsidR="00A9115E" w:rsidRPr="001C679C">
        <w:t xml:space="preserve"> brain scans</w:t>
      </w:r>
      <w:r w:rsidRPr="001C679C">
        <w:t xml:space="preserve"> </w:t>
      </w:r>
      <w:r w:rsidR="00A9115E" w:rsidRPr="001C679C">
        <w:t xml:space="preserve">in the present study. </w:t>
      </w:r>
    </w:p>
    <w:p w14:paraId="02ACF557" w14:textId="62461C80" w:rsidR="004D5313" w:rsidRDefault="000D6DB7" w:rsidP="00E56776">
      <w:pPr>
        <w:pStyle w:val="Text"/>
        <w:rPr>
          <w:color w:val="auto"/>
        </w:rPr>
      </w:pPr>
      <w:r w:rsidRPr="001C679C">
        <w:t>Information on inclusion and exclusion criteria (including possible confounding variables such as menstrual cycle and contraceptive use) was gained from all participants using the SIAB-EX</w:t>
      </w:r>
      <w:r w:rsidR="00D20513">
        <w:t xml:space="preserve"> </w:t>
      </w:r>
      <w:r w:rsidRPr="001C679C">
        <w:fldChar w:fldCharType="begin"/>
      </w:r>
      <w:r w:rsidR="00AD3EA2">
        <w:instrText xml:space="preserve"> ADDIN ZOTERO_ITEM CSL_CITATION {"citationID":"LsRHaiI5","properties":{"formattedCitation":"(1)","plainCitation":"(1)","noteIndex":0},"citationItems":[{"id":50,"uris":["http://zotero.org/users/11105938/items/RTQD8XGJ"],"itemData":{"id":50,"type":"article-journal","abstract":"Objective\n              \n              . For reliable and valid assessment and diagnostic categorization of eating disorders, self-report measures have considerable limitations. A semi-structured interview – the SIAB-EX – was developed for a more reliable and valid assessment of eating disorders.\n            \n            \n              \n                Methods\n              \n              . One study (videotapes of 31 inpatients, seven raters) was made to establish inter-rater reliability; in another study with 80 patients the SIAB-EX was compared to another semi-structured interview designed for comparable purposes (EDE). In a third study data was obtained on 377 eating disorder patients seeking treatment to explore discriminant and convergent (construct) validity using the following self-rating scales: EDI, TFEQ, SCL-90, BDI, and the PERI Demoralization Scale.\n            \n            \n              \n                Results\n              \n              . Inter-rater reliability of dichotomous ratings was good with mean kappa values of .81 (current) and .85 (past). Comparison of the SIAB-EX with the EDE generally showed quite similar results and higher intercorrelation of the total scale (.77). There are, however, a number of differences between the two scales, which are discussed in detail. Construct validity of the SIAB-EX was established.\n            \n            \n              \n                Conclusion\n              \n              . Inter-rater reliability was good. Convergent and discriminant (construct) validity of the SIAB-EX was demonstrated. The constructs assessed by the SIAB and its subscales and items are discussed in the context of their correlations with other well-known scales.","container-title":"European Psychiatry","DOI":"10.1016/S0924-9338(00)00534-4","ISSN":"0924-9338, 1778-3585","issue":"1","journalAbbreviation":"Eur. psychiatr.","language":"en","page":"38-48","source":"DOI.org (Crossref)","title":"The structured interview for anorexic and bulimic disorders for DSM-IV and ICD-10 (SIAB-EX): reliability and validity","title-short":"The structured interview for anorexic and bulimic disorders for DSM-IV and ICD-10 (SIAB-EX)","volume":"16","author":[{"family":"Fichter","given":"M."},{"family":"Quadflieg","given":"N."}],"issued":{"date-parts":[["2001",2]]}}}],"schema":"https://github.com/citation-style-language/schema/raw/master/csl-citation.json"} </w:instrText>
      </w:r>
      <w:r w:rsidRPr="001C679C">
        <w:fldChar w:fldCharType="separate"/>
      </w:r>
      <w:r w:rsidR="00AD3EA2" w:rsidRPr="00AD3EA2">
        <w:t>(1)</w:t>
      </w:r>
      <w:r w:rsidRPr="001C679C">
        <w:fldChar w:fldCharType="end"/>
      </w:r>
      <w:r w:rsidRPr="001C679C">
        <w:t xml:space="preserve">, </w:t>
      </w:r>
      <w:r w:rsidR="004B4951">
        <w:t xml:space="preserve">and for recAN and HC additionally the </w:t>
      </w:r>
      <w:r w:rsidR="004B4951" w:rsidRPr="00DE70A4">
        <w:t>(MINI Kid)</w:t>
      </w:r>
      <w:r w:rsidR="00D20513">
        <w:t xml:space="preserve"> </w:t>
      </w:r>
      <w:r w:rsidR="006C5C50">
        <w:fldChar w:fldCharType="begin"/>
      </w:r>
      <w:r w:rsidR="00AD3EA2">
        <w:instrText xml:space="preserve"> ADDIN ZOTERO_ITEM CSL_CITATION {"citationID":"fc5ekJSk","properties":{"formattedCitation":"(2)","plainCitation":"(2)","noteIndex":0},"citationItems":[{"id":204,"uris":["http://zotero.org/users/11105938/items/WC39NREX"],"itemData":{"id":204,"type":"article-journal","container-title":"The Journal of Clinical Psychiatry","page":"22-33","title":"The Mini-International Neuropsychiatric Interview (M.I.N.I): The development and validation of a structured diagnostic psychiatric interview for DSM-IV and ICD-103","volume":"59","author":[{"family":"Sheehan","given":"D. V."},{"family":"Lecrubier","given":"Y."},{"family":"Sheehan","given":"K. H"},{"family":"Amorim","given":"P."},{"family":"Janavs","given":"J."},{"family":"Weiller","given":"E."},{"family":"Hergueta","given":"T."},{"family":"Baker","given":"R."},{"family":"Dunbar","given":"G. C."}],"issued":{"date-parts":[["1998"]]}}}],"schema":"https://github.com/citation-style-language/schema/raw/master/csl-citation.json"} </w:instrText>
      </w:r>
      <w:r w:rsidR="006C5C50">
        <w:fldChar w:fldCharType="separate"/>
      </w:r>
      <w:r w:rsidR="00AD3EA2" w:rsidRPr="00AD3EA2">
        <w:t>(2)</w:t>
      </w:r>
      <w:r w:rsidR="006C5C50">
        <w:fldChar w:fldCharType="end"/>
      </w:r>
      <w:r w:rsidR="006C5C50">
        <w:t>,</w:t>
      </w:r>
      <w:r w:rsidR="004B4951" w:rsidRPr="001C679C">
        <w:t xml:space="preserve"> </w:t>
      </w:r>
      <w:r w:rsidRPr="001C679C">
        <w:t xml:space="preserve">carried out by clinically experienced and trained research assistants under the supervision of </w:t>
      </w:r>
      <w:r w:rsidR="006C5C50">
        <w:t>a trained</w:t>
      </w:r>
      <w:r w:rsidRPr="001C679C">
        <w:t xml:space="preserve"> child and adolescent psychiatrist. The interview systematically evaluates the prevalence and severity of the specific eating related psychopathology and provides diagnoses according to ICD-10 and DSM-V</w:t>
      </w:r>
      <w:r w:rsidR="00255138">
        <w:t xml:space="preserve"> including a determination of AN subtype (Table 1)</w:t>
      </w:r>
      <w:r w:rsidRPr="001C679C">
        <w:t>.</w:t>
      </w:r>
    </w:p>
    <w:p w14:paraId="22A61A61" w14:textId="2FEDB23E" w:rsidR="000525FB" w:rsidRPr="001C679C" w:rsidRDefault="000525FB" w:rsidP="00E56776">
      <w:pPr>
        <w:pStyle w:val="Text"/>
        <w:rPr>
          <w:color w:val="auto"/>
        </w:rPr>
      </w:pPr>
      <w:r w:rsidRPr="001C679C">
        <w:rPr>
          <w:color w:val="auto"/>
        </w:rPr>
        <w:lastRenderedPageBreak/>
        <w:t>Anthropometric data included height and weight measurement directly before scanning, from which we calculated</w:t>
      </w:r>
      <w:r w:rsidR="00236FF4">
        <w:rPr>
          <w:color w:val="auto"/>
        </w:rPr>
        <w:t xml:space="preserve"> </w:t>
      </w:r>
      <w:r w:rsidR="009A6E94">
        <w:rPr>
          <w:color w:val="auto"/>
        </w:rPr>
        <w:t xml:space="preserve">both </w:t>
      </w:r>
      <w:r w:rsidRPr="001C679C">
        <w:rPr>
          <w:color w:val="auto"/>
        </w:rPr>
        <w:t xml:space="preserve">BMI and BMI-SDS [as gauged by age-adjusted BMI standard deviation scores (BMI-SDS) calculated according to </w:t>
      </w:r>
      <w:r w:rsidRPr="001C679C">
        <w:rPr>
          <w:color w:val="auto"/>
        </w:rPr>
        <w:fldChar w:fldCharType="begin"/>
      </w:r>
      <w:r w:rsidR="00AD3EA2">
        <w:rPr>
          <w:color w:val="auto"/>
        </w:rPr>
        <w:instrText xml:space="preserve"> ADDIN ZOTERO_ITEM CSL_CITATION {"citationID":"a1cpkvn8e6k","properties":{"formattedCitation":"(7)","plainCitation":"(7)","noteIndex":0},"citationItems":[{"id":"yqG9ZuqL/4cb7gq3m","uris":["http://zotero.org/users/2454035/items/KA8WSHJV"],"itemData":{"id":159,"type":"article-journal","abstract":"It is now common practice to express child growth status in the form of SD scores. The LMS method provides a way of obtaining normalized growth centile standards which simplifies this assessment, and which deals quite generally with skewness which may be present in the distribution of the measurement (eg height, weight, circumferences or skinfolds). It assumes that the data can be normalized by using a power transformation, which stretches one tail of the distribution and shrinks the other, removing the skewness. The optimal power to obtain normality is calculated for each of a series of age groups and the trend summarized by a smooth (L) curve. Trends in the mean (M) and coefficient of variation (S) are similarly smoothed. The resulting L, M and S curves contain the information to draw any centile curve, and to convert measurements (even extreme values) into exact SD scores. A table giving approximate standard errors for the smoothed centiles is provided. The method, which is illustrated with US girls' weight data, should prove useful both for the construction and application of growth standards.","container-title":"European Journal of Clinical Nutrition","ISSN":"0954-3007","issue":"1","journalAbbreviation":"Eur J Clin Nutr","language":"eng","note":"PMID: 2354692","page":"45-60","source":"PubMed","title":"The LMS method for constructing normalized growth standards","volume":"44","author":[{"family":"Cole","given":"T. J."}],"issued":{"date-parts":[["1990",1]]}}}],"schema":"https://github.com/citation-style-language/schema/raw/master/csl-citation.json"} </w:instrText>
      </w:r>
      <w:r w:rsidRPr="001C679C">
        <w:rPr>
          <w:color w:val="auto"/>
        </w:rPr>
        <w:fldChar w:fldCharType="separate"/>
      </w:r>
      <w:r w:rsidR="009257F3" w:rsidRPr="009257F3">
        <w:t>(7)</w:t>
      </w:r>
      <w:r w:rsidRPr="001C679C">
        <w:rPr>
          <w:color w:val="auto"/>
        </w:rPr>
        <w:fldChar w:fldCharType="end"/>
      </w:r>
      <w:r w:rsidRPr="001C679C">
        <w:rPr>
          <w:color w:val="auto"/>
        </w:rPr>
        <w:t xml:space="preserve"> and German population reference data </w:t>
      </w:r>
      <w:r w:rsidRPr="001C679C">
        <w:rPr>
          <w:color w:val="auto"/>
        </w:rPr>
        <w:fldChar w:fldCharType="begin"/>
      </w:r>
      <w:r w:rsidR="00AD3EA2">
        <w:rPr>
          <w:color w:val="auto"/>
        </w:rPr>
        <w:instrText xml:space="preserve"> ADDIN ZOTERO_ITEM CSL_CITATION {"citationID":"a1ip8vbrkl8","properties":{"formattedCitation":"(8,9)","plainCitation":"(8,9)","noteIndex":0},"citationItems":[{"id":"yqG9ZuqL/ShGFPcM7","uris":["http://zotero.org/users/2454035/items/84IXZ6BM"],"itemData":{"id":167,"type":"article-journal","abstract":"BACKGROUND: Obesity is associated with an increasing risk of morbidity and mortality. The World Health Organization (WHO) defines obesity as a body mass index (BMI) &gt; or = 30.0 kg/m2. In contrast, percentiles depending on age and sex are used in adolescence.\nDATA AND METHODS: Using the LMS method, age and gender specific BMI percentiles for adulthood are estimated. Data basis is the Second Germany National Nutrition Survey (NVS II) which was surveyed in 2005 and 2006. This study is representative for the German population, and it is based on more than 13,000 adults.\nRESULTS: Percentiles increase in both sexes with age. It can be observed in females in nearly all age groups. In males, percentiles are saturated around the sixth decade. Only 9 % of 20 to 29 years old adults are obese using WHO criteria, while there are 29 % of 60 to 69 years old adults having a BMI &gt; or = 30.0 kg/m2.\nCONCLUSIONS: Percentiles reflect age and sex dependencies of the BMI. They show that there is a larger part of the population in higher BMI intervals with increasing age. Thus, the adequacy of the WHO definition should be questioned. Based on the NVS II, current and representative BMI percentiles for adulthood are now available for Germany. These can be used as base for age and sex dependent evaluation of the BMI.","container-title":"Deutsche Medizinische Wochenschrift (1946)","DOI":"10.1055/s-0030-1253666","ISSN":"1439-4413","issue":"17","journalAbbreviation":"Dtsch. Med. Wochenschr.","language":"ger","note":"PMID: 20408102","page":"848-852","source":"PubMed","title":"[Percentiles of body mass index of 18-80-year-old German adults based on data from the Second National Nutrition Survey]","volume":"135","author":[{"family":"Hemmelmann","given":"C."},{"family":"Brose","given":"S."},{"family":"Vens","given":"M."},{"family":"Hebebrand","given":"J."},{"family":"Ziegler","given":"A."}],"issued":{"date-parts":[["2010",4]]}}},{"id":"yqG9ZuqL/Ay4F7DMw","uris":["http://zotero.org/users/local/BkUAIFhn/items/NCVE9BDR"],"itemData":{"id":161,"type":"article-journal","title":"Perzentile für den Body-mass-Index für das Kindes- und Jugendalter unter Heranziehung verschiedener deutscher Stichproben","container-title":"Monatsschrift Kinderheilkunde","page":"807-818","volume":"149","issue":"8","source":"link.springer.com","abstract":"Fragestellung. Sowohl die Childhood Group der International Obesity Task Force (IOTF) als auch die European Childhood Obesity Group (ECOG) empfehlen den Body-mass-Index als Beurteilungskriterium für Übergewicht und Adipositas bei Kindern und Jugendlichen. Im Erwachsenenalter erfolgt die Definition von Übergewicht und Adipositas anhand fester Grenzwerte, bei der Beurteilung von Kindern und Jugendlichen müssen die alters- und geschlechtsspezifischen Veränderungen des BMI berücksichtigt werden. Methode. Unter Heranziehung von 17 bereits durchgeführten Untersuchungen aus verschiedenen Regionen Deutschlands wurden BMI-Perzentile für Kinder und Jugendliche erstellt. Die Berechnung der Perzentile basiert auf den Körperhöhen- und Körpergewichtsdaten von 17.147 Jungen und 17.275 Mädchen im Alter von 0–18 Jahren. Ergebnisse und Schlussfolgerung. Die vorgestellten Perzentile sollten als Referenz für deutsche Kinder und Jugendliche angewendet werden. Die Arbeitsgemeinschaft “Adipositas im Kindes- und Jugendalter” (AGA) hat in ihren Leitlinien die Anwendung der hier vorgestellten 90. und 97. Perzentile zur Definition von Übergewicht und Adipositas empfohlen.","DOI":"10.1007/s001120170107","ISSN":"0026-9298","journalAbbreviation":"Monatsschr Kinderheilkd","language":"de","author":[{"family":"Kromeyer-Hauschild","given":"K."},{"family":"Wabitsch","given":"M."},{"family":"Kunze","given":"D."},{"family":"Geller","given":"F."},{"family":"Geiß","given":"H. C."},{"family":"Hesse","given":"V."},{"family":"Hippel","given":"A.","dropping-particle":"von"},{"family":"Jaeger","given":"U."},{"family":"Johnsen","given":"D."},{"family":"Korte","given":"W."},{"family":"Menner","given":"K."},{"family":"Müller","given":"G."},{"family":"Müller","given":"J. M."},{"family":"Niemann-Pilatus","given":"A."},{"family":"Remer","given":"T."},{"family":"Schaefer","given":"F."},{"family":"Wittchen","given":"H.-U."},{"family":"Zabransky","given":"S."},{"family":"Zellner","given":"K."},{"family":"Ziegler","given":"A."},{"family":"Hebebrand","given":"J."}],"issued":{"date-parts":[["2001",8]]}}}],"schema":"https://github.com/citation-style-language/schema/raw/master/csl-citation.json"} </w:instrText>
      </w:r>
      <w:r w:rsidRPr="001C679C">
        <w:rPr>
          <w:color w:val="auto"/>
        </w:rPr>
        <w:fldChar w:fldCharType="separate"/>
      </w:r>
      <w:r w:rsidR="009257F3" w:rsidRPr="009257F3">
        <w:t>(8,9)</w:t>
      </w:r>
      <w:r w:rsidRPr="001C679C">
        <w:rPr>
          <w:color w:val="auto"/>
        </w:rPr>
        <w:fldChar w:fldCharType="end"/>
      </w:r>
      <w:r w:rsidRPr="001C679C">
        <w:rPr>
          <w:color w:val="auto"/>
        </w:rPr>
        <w:t>] as outlined in the main Method section</w:t>
      </w:r>
      <w:r w:rsidRPr="005B4D7A">
        <w:t xml:space="preserve">. </w:t>
      </w:r>
      <w:bookmarkStart w:id="0" w:name="_Hlk128660368"/>
      <w:r w:rsidR="002A79EC" w:rsidRPr="005B4D7A">
        <w:t xml:space="preserve">Socio-economic status (SES) was determined according to the parental (household) educational level/occupation group [range: 0 (lowest), leaving school without graduation – 5 (highest), graduating from university] </w:t>
      </w:r>
      <w:r w:rsidR="002A79EC" w:rsidRPr="005B4D7A">
        <w:fldChar w:fldCharType="begin"/>
      </w:r>
      <w:r w:rsidR="0078653E" w:rsidRPr="005B4D7A">
        <w:instrText xml:space="preserve"> ADDIN ZOTERO_ITEM CSL_CITATION {"citationID":"JYkbw4ul","properties":{"formattedCitation":"(10)","plainCitation":"(10)","noteIndex":0},"citationItems":[{"id":270,"uris":["http://zotero.org/users/11105938/items/QZNCDWT8"],"itemData":{"id":270,"type":"article-journal","container-title":"Archives of Pediatrics &amp; Adolescent Medicine","DOI":"10.1001/archpedi.158.4.385","ISSN":"1072-4710","issue":"4","journalAbbreviation":"Arch Pediatr Adolesc Med","language":"en","page":"385","source":"DOI.org (Crossref)","title":"Diet, Physical Activity, and Sedentary Behaviors as Risk Factors for Overweight in Adolescence","volume":"158","author":[{"family":"Patrick","given":"Kevin"},{"family":"Norman","given":"Gregory J."},{"family":"Calfas","given":"Karen J."},{"family":"Sallis","given":"James F."},{"family":"Zabinski","given":"Marion F."},{"family":"Rupp","given":"Joan"},{"family":"Cella","given":"John"}],"issued":{"date-parts":[["2004",4,1]]}}}],"schema":"https://github.com/citation-style-language/schema/raw/master/csl-citation.json"} </w:instrText>
      </w:r>
      <w:r w:rsidR="002A79EC" w:rsidRPr="005B4D7A">
        <w:fldChar w:fldCharType="separate"/>
      </w:r>
      <w:r w:rsidR="0078653E" w:rsidRPr="005B4D7A">
        <w:t>(10)</w:t>
      </w:r>
      <w:r w:rsidR="002A79EC" w:rsidRPr="005B4D7A">
        <w:fldChar w:fldCharType="end"/>
      </w:r>
      <w:r w:rsidR="002A79EC" w:rsidRPr="005B4D7A">
        <w:t xml:space="preserve">, </w:t>
      </w:r>
      <w:bookmarkStart w:id="1" w:name="_Hlk135663284"/>
      <w:r w:rsidR="002A79EC" w:rsidRPr="005B4D7A">
        <w:t>given that most study participants were adolescent, current students at school, university, or professional training institutions, and still lived with their parents or guardians.</w:t>
      </w:r>
      <w:bookmarkEnd w:id="0"/>
      <w:bookmarkEnd w:id="1"/>
    </w:p>
    <w:p w14:paraId="3E774DDA" w14:textId="1104FED8" w:rsidR="00CE7773" w:rsidRPr="001C679C" w:rsidRDefault="009A6E94" w:rsidP="00E56776">
      <w:pPr>
        <w:pStyle w:val="Text"/>
      </w:pPr>
      <w:r>
        <w:t>HC</w:t>
      </w:r>
      <w:r w:rsidR="00CE7773" w:rsidRPr="001C679C">
        <w:t xml:space="preserve"> were excluded if they had any history of psychiatric illness, a lifetime BMI below the 10</w:t>
      </w:r>
      <w:r w:rsidR="00CE7773" w:rsidRPr="001C679C">
        <w:rPr>
          <w:vertAlign w:val="superscript"/>
        </w:rPr>
        <w:t>th</w:t>
      </w:r>
      <w:r w:rsidR="00CE7773" w:rsidRPr="001C679C">
        <w:t xml:space="preserve"> age percentile (if younger than 18 years)/BMI below 18.5 kg/m² (if older than 18 years) or were currently obese (BMI over 95</w:t>
      </w:r>
      <w:r w:rsidR="00CE7773" w:rsidRPr="001C679C">
        <w:rPr>
          <w:vertAlign w:val="superscript"/>
        </w:rPr>
        <w:t>th</w:t>
      </w:r>
      <w:r w:rsidR="00CE7773" w:rsidRPr="001C679C">
        <w:t xml:space="preserve"> age percentile if younger than 18 years; BMI over 29 kg/m² if older than 18 years). Participants of all groups were excluded if they had a history of any of the following diagnoses: organic brain syndrome, schizophrenia, substance dependence, psychosis </w:t>
      </w:r>
      <w:r>
        <w:t>not otherwise specified (</w:t>
      </w:r>
      <w:r w:rsidR="00CE7773" w:rsidRPr="001C679C">
        <w:t>NOS</w:t>
      </w:r>
      <w:r>
        <w:t>)</w:t>
      </w:r>
      <w:r w:rsidR="00CE7773" w:rsidRPr="001C679C">
        <w:t>, bipolar disorder, bulimia nervosa</w:t>
      </w:r>
      <w:r w:rsidR="00236FF4">
        <w:t>,</w:t>
      </w:r>
      <w:r w:rsidR="00CE7773" w:rsidRPr="001C679C">
        <w:t xml:space="preserve"> or binge-eating disorder. Further exclusion criteria for all participants were intelligence quotient (IQ) &lt; 85, psychotropic medication within 4 weeks prior to the study </w:t>
      </w:r>
      <w:r w:rsidR="0074270E">
        <w:t>(</w:t>
      </w:r>
      <w:r w:rsidR="00CE7773" w:rsidRPr="001C679C">
        <w:t xml:space="preserve">apart from selective serotonin reuptake inhibitors </w:t>
      </w:r>
      <w:r w:rsidR="00CC3EC8">
        <w:t xml:space="preserve">for which we had a more lenient criterium of </w:t>
      </w:r>
      <w:r w:rsidR="00CE7773" w:rsidRPr="001C679C">
        <w:t>two weeks prior to study participation</w:t>
      </w:r>
      <w:r w:rsidR="008D003C">
        <w:t xml:space="preserve"> which was not fulfilled by only 4 </w:t>
      </w:r>
      <w:r w:rsidR="005627E4">
        <w:t>acAN-TP1</w:t>
      </w:r>
      <w:r w:rsidR="0074270E">
        <w:t>)</w:t>
      </w:r>
      <w:r w:rsidR="00CE7773" w:rsidRPr="001C679C">
        <w:t xml:space="preserve">, current substance abuse, inflammatory, neurologic or metabolic illness, chronic medical or neurological illness that could affect appetite, eating behavior, or body weight (e.g. Diabetes), clinically relevant anemia, pregnancy or breast feeding. </w:t>
      </w:r>
    </w:p>
    <w:p w14:paraId="3C34A3AB" w14:textId="6B1AC949" w:rsidR="00BB30F3" w:rsidRDefault="00CE7773" w:rsidP="00E56776">
      <w:pPr>
        <w:pStyle w:val="Text"/>
      </w:pPr>
      <w:r w:rsidRPr="001C679C">
        <w:t>Comorbid psychiatric diagnoses were made in patients</w:t>
      </w:r>
      <w:r w:rsidR="00831AFD">
        <w:t xml:space="preserve"> with AN</w:t>
      </w:r>
      <w:r w:rsidRPr="001C679C">
        <w:t xml:space="preserve"> by an expert clinician leading the treatment team and included examinations of the patients, discussions with the treatment staff and careful chart review (including consideration of medical and psychiatric history, physical examination, routine blood tests, urine analysis and several psychiatric screening instruments</w:t>
      </w:r>
      <w:r w:rsidRPr="005B4D7A">
        <w:t xml:space="preserve">). </w:t>
      </w:r>
      <w:r w:rsidR="00777C02" w:rsidRPr="005B4D7A">
        <w:t xml:space="preserve">All AN </w:t>
      </w:r>
      <w:proofErr w:type="gramStart"/>
      <w:r w:rsidR="00777C02" w:rsidRPr="005B4D7A">
        <w:t>groups</w:t>
      </w:r>
      <w:proofErr w:type="gramEnd"/>
      <w:r w:rsidR="00777C02" w:rsidRPr="005B4D7A">
        <w:t xml:space="preserve"> included some participants with at least one comorbid condition (acAN-T1 N=28, acAN-TP2 N=14, recAN N=37). The most common diagnoses were depressive disorders (acAN-TP1 N=13, acAN-TP2 N=6, recAN=27), anxiety disorders (acAN-TP1 N=10, acAN-TP2 N=5, recAN N=5), and obsessive-compulsive disorders (acAN-TP1 N=6, acAN-TP2 N=2, recAN N=2).</w:t>
      </w:r>
    </w:p>
    <w:p w14:paraId="723A40CA" w14:textId="6DEA7508" w:rsidR="00D83A76" w:rsidRDefault="00D83A76" w:rsidP="00E56776">
      <w:pPr>
        <w:pStyle w:val="Text"/>
      </w:pPr>
      <w:r w:rsidRPr="00986E47">
        <w:t>Demographic and clinical data were managed using a web-based tool [</w:t>
      </w:r>
      <w:r w:rsidRPr="0055174B">
        <w:t xml:space="preserve">Research Electronic Data Capture (REDCap); </w:t>
      </w:r>
      <w:hyperlink r:id="rId8">
        <w:r w:rsidRPr="00FF7E9A">
          <w:t>http://www.project-redcap.org</w:t>
        </w:r>
      </w:hyperlink>
      <w:r>
        <w:t xml:space="preserve">; </w:t>
      </w:r>
      <w:r>
        <w:fldChar w:fldCharType="begin"/>
      </w:r>
      <w:r w:rsidR="002A79EC">
        <w:instrText xml:space="preserve"> ADDIN ZOTERO_ITEM CSL_CITATION {"citationID":"angbe3mj40","properties":{"formattedCitation":"(11)","plainCitation":"(11)","noteIndex":0},"citationItems":[{"id":53,"uris":["http://zotero.org/users/11105938/items/2YAPV6Q6"],"itemData":{"id":53,"type":"article-journal","container-title":"Journal of Biomedical Informatics","DOI":"10.1016/j.jbi.2008.08.010","ISSN":"15320464","issue":"2","journalAbbreviation":"Journal of Biomedical Informatics","language":"en","page":"377-381","source":"DOI.org (Crossref)","title":"Research electronic data capture (REDCap)—A metadata-driven methodology and workflow process for providing translational research informatics support","volume":"42","author":[{"family":"Harris","given":"Paul A."},{"family":"Taylor","given":"Robert"},{"family":"Thielke","given":"Robert"},{"family":"Payne","given":"Jonathon"},{"family":"Gonzalez","given":"Nathaniel"},{"family":"Conde","given":"Jose G."}],"issued":{"date-parts":[["2009",4]]}}}],"schema":"https://github.com/citation-style-language/schema/raw/master/csl-citation.json"} </w:instrText>
      </w:r>
      <w:r>
        <w:fldChar w:fldCharType="separate"/>
      </w:r>
      <w:r w:rsidR="002A79EC" w:rsidRPr="002A79EC">
        <w:t>(11)</w:t>
      </w:r>
      <w:r>
        <w:fldChar w:fldCharType="end"/>
      </w:r>
      <w:r w:rsidRPr="00986E47">
        <w:t xml:space="preserve">]. </w:t>
      </w:r>
    </w:p>
    <w:p w14:paraId="25F61954" w14:textId="77777777" w:rsidR="00A21A54" w:rsidRDefault="00A21A54" w:rsidP="00E56776">
      <w:pPr>
        <w:pStyle w:val="Text"/>
      </w:pPr>
    </w:p>
    <w:p w14:paraId="01B17BD9" w14:textId="30576EA7" w:rsidR="00A21A54" w:rsidRPr="00FE07FA" w:rsidRDefault="00A21A54" w:rsidP="00E56776">
      <w:pPr>
        <w:pStyle w:val="berschrift3"/>
        <w:numPr>
          <w:ilvl w:val="2"/>
          <w:numId w:val="8"/>
        </w:numPr>
        <w:spacing w:after="200" w:line="360" w:lineRule="auto"/>
        <w:rPr>
          <w:rFonts w:asciiTheme="majorHAnsi" w:hAnsiTheme="majorHAnsi" w:cstheme="majorHAnsi"/>
          <w:color w:val="auto"/>
          <w:szCs w:val="24"/>
        </w:rPr>
      </w:pPr>
      <w:r>
        <w:rPr>
          <w:rFonts w:asciiTheme="majorHAnsi" w:hAnsiTheme="majorHAnsi" w:cstheme="majorHAnsi"/>
          <w:color w:val="auto"/>
          <w:szCs w:val="24"/>
        </w:rPr>
        <w:lastRenderedPageBreak/>
        <w:t>Refeeding intervention</w:t>
      </w:r>
    </w:p>
    <w:p w14:paraId="34325751" w14:textId="281C7488" w:rsidR="00EE46BB" w:rsidRDefault="00EE46BB" w:rsidP="00E56776">
      <w:pPr>
        <w:pStyle w:val="Text"/>
      </w:pPr>
      <w:r>
        <w:t>In the admission interview, patients with anorexia nervosa (AN) and their guardians were interviewed regarding the patient’s diet, caloric intake and body weight development in the past weeks. On the basis of this information alongside objective clinical measures (severity of weight loss and current body weight/</w:t>
      </w:r>
      <w:r w:rsidR="009A6E94">
        <w:t>BMI</w:t>
      </w:r>
      <w:r>
        <w:t xml:space="preserve">, somatic complications, risk factors for refeeding syndrome), a starting daily caloric intake was determined by an experienced child and adolescent psychiatrist (senior author). Intensive inpatient refeeding as defined by </w:t>
      </w:r>
      <w:proofErr w:type="spellStart"/>
      <w:r>
        <w:t>Bargiacchi</w:t>
      </w:r>
      <w:proofErr w:type="spellEnd"/>
      <w:r>
        <w:t xml:space="preserve"> et al.</w:t>
      </w:r>
      <w:r w:rsidR="00594F95">
        <w:t xml:space="preserve"> </w:t>
      </w:r>
      <w:r w:rsidR="00594F95">
        <w:fldChar w:fldCharType="begin"/>
      </w:r>
      <w:r w:rsidR="002A79EC">
        <w:instrText xml:space="preserve"> ADDIN ZOTERO_ITEM CSL_CITATION {"citationID":"I6LRgvPj","properties":{"formattedCitation":"(12)","plainCitation":"(12)","noteIndex":0},"citationItems":[{"id":95,"uris":["http://zotero.org/users/11105938/items/Z4F7S9LE"],"itemData":{"id":95,"type":"article-journal","container-title":"European Journal of Pediatrics","DOI":"10.1007/s00431-018-3295-7","ISSN":"0340-6199, 1432-1076","issue":"3","journalAbbreviation":"Eur J Pediatr","language":"en","page":"413-422","source":"DOI.org (Crossref)","title":"Refeeding in anorexia nervosa","volume":"178","author":[{"family":"Bargiacchi","given":"Anne"},{"family":"Clarke","given":"Julia"},{"family":"Paulsen","given":"Anne"},{"family":"Leger","given":"Juliane"}],"issued":{"date-parts":[["2019",3]]}}}],"schema":"https://github.com/citation-style-language/schema/raw/master/csl-citation.json"} </w:instrText>
      </w:r>
      <w:r w:rsidR="00594F95">
        <w:fldChar w:fldCharType="separate"/>
      </w:r>
      <w:r w:rsidR="002A79EC" w:rsidRPr="002A79EC">
        <w:t>(12)</w:t>
      </w:r>
      <w:r w:rsidR="00594F95">
        <w:fldChar w:fldCharType="end"/>
      </w:r>
      <w:r>
        <w:t xml:space="preserve"> (starting daily caloric intake 1500-2400 kcal/day, expected rates of body weight gain 0.5-2 kg/week) was achieved completely orally (none of the patients in our sample was refed with a nasogastric tube). Patients followed a structured meal plan (three meals, three snacks, fluid intake of 2 liters/day), developed in collaboration with a nutri</w:t>
      </w:r>
      <w:r w:rsidR="009A6E94">
        <w:t>ti</w:t>
      </w:r>
      <w:r>
        <w:t>onist, which was individually adjusted in regard to daily caloric intake. Body weight was monitored daily and caloric intake was typically increased every two to three days, depending on individual body weight gain. Hydration status was carefully monitored by regularly examining patients regarding skin tu</w:t>
      </w:r>
      <w:r w:rsidR="009A6E94">
        <w:t>r</w:t>
      </w:r>
      <w:r>
        <w:t xml:space="preserve">gor, edema, blood pressure and pulse. </w:t>
      </w:r>
    </w:p>
    <w:p w14:paraId="0A4C968C" w14:textId="77777777" w:rsidR="00EE46BB" w:rsidRDefault="00EE46BB" w:rsidP="00E56776">
      <w:pPr>
        <w:pStyle w:val="Text"/>
      </w:pPr>
      <w:r>
        <w:t>While most patients quickly assimilated to the inpatient setting and started eating all served meals on the first or second day of inpatient treatment, a few patients refused to eat individual meals or food items. In this case, patients were encouraged to drink a corresponding quantity of a high-calorie nutrition product (</w:t>
      </w:r>
      <w:proofErr w:type="spellStart"/>
      <w:r>
        <w:t>Fresubin</w:t>
      </w:r>
      <w:proofErr w:type="spellEnd"/>
      <w:r>
        <w:t xml:space="preserve"> Energy </w:t>
      </w:r>
      <w:proofErr w:type="spellStart"/>
      <w:r>
        <w:t>Fibre</w:t>
      </w:r>
      <w:proofErr w:type="spellEnd"/>
      <w:r>
        <w:t xml:space="preserve"> Drink). </w:t>
      </w:r>
    </w:p>
    <w:p w14:paraId="1B699F25" w14:textId="3ED1774B" w:rsidR="009602E5" w:rsidRDefault="00594F95" w:rsidP="00E56776">
      <w:pPr>
        <w:pStyle w:val="Text"/>
      </w:pPr>
      <w:r>
        <w:t>A</w:t>
      </w:r>
      <w:r w:rsidR="0074270E">
        <w:t>cAN assessed at the second time-point (acAN-TP2) had achieved the requirements to be discharged from in-hospital treatment, which included reaching a BMI comparable to their normal weight and maintaining it for one week. In practice acAN-TP2 had increased their BMI by at least 14% and were scanned ~3 months on average after their acAN-TP1 appointment.</w:t>
      </w:r>
    </w:p>
    <w:p w14:paraId="76FFB76F" w14:textId="27085306" w:rsidR="00A21A54" w:rsidRDefault="00A21A54" w:rsidP="00E56776">
      <w:pPr>
        <w:pStyle w:val="Text"/>
      </w:pPr>
    </w:p>
    <w:p w14:paraId="6DF2134E" w14:textId="5CD6E7E2" w:rsidR="009602E5" w:rsidRPr="001760C8" w:rsidRDefault="009602E5" w:rsidP="00E56776">
      <w:pPr>
        <w:pStyle w:val="berschrift3"/>
        <w:numPr>
          <w:ilvl w:val="2"/>
          <w:numId w:val="8"/>
        </w:numPr>
        <w:spacing w:after="240" w:line="360" w:lineRule="auto"/>
        <w:rPr>
          <w:rFonts w:asciiTheme="majorHAnsi" w:hAnsiTheme="majorHAnsi" w:cstheme="majorHAnsi"/>
          <w:color w:val="000000" w:themeColor="text1"/>
        </w:rPr>
      </w:pPr>
      <w:r w:rsidRPr="00BF5D59">
        <w:rPr>
          <w:rFonts w:asciiTheme="majorHAnsi" w:hAnsiTheme="majorHAnsi" w:cstheme="majorHAnsi"/>
          <w:color w:val="000000" w:themeColor="text1"/>
        </w:rPr>
        <w:t>Clinical measures</w:t>
      </w:r>
    </w:p>
    <w:p w14:paraId="3E2A0163" w14:textId="25B8E9C0" w:rsidR="00AD3EA2" w:rsidRPr="001E546F" w:rsidRDefault="009602E5" w:rsidP="00E56776">
      <w:pPr>
        <w:pStyle w:val="Text"/>
      </w:pPr>
      <w:r w:rsidRPr="001E546F">
        <w:t xml:space="preserve">We assessed eating disorder-related psychopathology with the Eating Disorders Inventory [EDI-2, </w:t>
      </w:r>
      <w:r w:rsidRPr="001E546F">
        <w:fldChar w:fldCharType="begin"/>
      </w:r>
      <w:r w:rsidR="00AD3EA2" w:rsidRPr="001E546F">
        <w:instrText xml:space="preserve"> ADDIN ZOTERO_ITEM CSL_CITATION {"citationID":"a1s6u30qtvd","properties":{"formattedCitation":"(13)","plainCitation":"(13)","noteIndex":0},"citationItems":[{"id":51,"uris":["http://zotero.org/users/11105938/items/AVIL26V2"],"itemData":{"id":51,"type":"book","publisher":"Hogrefe","title":"Eating Disorder Inventory-2 (EDI-2): deutsche Version","author":[{"family":"Paul","given":"Thomas"},{"family":"Thiel","given":"Andreas"}],"issued":{"date-parts":[["2005"]]}}}],"schema":"https://github.com/citation-style-language/schema/raw/master/csl-citation.json"} </w:instrText>
      </w:r>
      <w:r w:rsidRPr="001E546F">
        <w:fldChar w:fldCharType="separate"/>
      </w:r>
      <w:r w:rsidR="00AD3EA2" w:rsidRPr="001E546F">
        <w:t>(13)</w:t>
      </w:r>
      <w:r w:rsidRPr="001E546F">
        <w:fldChar w:fldCharType="end"/>
      </w:r>
      <w:r w:rsidRPr="001E546F">
        <w:t xml:space="preserve">] and affective symptoms with the Beck Depression Inventory [BDI-II, </w:t>
      </w:r>
      <w:r w:rsidRPr="001E546F">
        <w:fldChar w:fldCharType="begin"/>
      </w:r>
      <w:r w:rsidR="00AD3EA2" w:rsidRPr="001E546F">
        <w:instrText xml:space="preserve"> ADDIN ZOTERO_ITEM CSL_CITATION {"citationID":"a280kalt6f8","properties":{"formattedCitation":"(14)","plainCitation":"(14)","noteIndex":0},"citationItems":[{"id":"yqG9ZuqL/4ub4Xu4X","uris":["http://zotero.org/users/2454035/items/MVBAN7W3"],"itemData":{"id":117,"type":"book","language":"de","number-of-pages":"35","publisher":"Pearson Assessment","source":"Google Books","title":"Beck Depressions-Inventar : BDI II ; Manual","title-short":"Beck Depressions-Inventar","author":[{"family":"Hautzinger","given":"Martin"},{"family":"Keller","given":"Ferdinand"},{"family":"Beck","given":"Aaron T."},{"family":"Kühner","given":"Christine"}],"issued":{"date-parts":[["2009"]]}}}],"schema":"https://github.com/citation-style-language/schema/raw/master/csl-citation.json"} </w:instrText>
      </w:r>
      <w:r w:rsidRPr="001E546F">
        <w:fldChar w:fldCharType="separate"/>
      </w:r>
      <w:r w:rsidR="00AD3EA2" w:rsidRPr="001E546F">
        <w:t>(14)</w:t>
      </w:r>
      <w:r w:rsidRPr="001E546F">
        <w:fldChar w:fldCharType="end"/>
      </w:r>
      <w:r w:rsidRPr="001E546F">
        <w:t xml:space="preserve">] within one week of scan time. For acAN patients, treatment outcome one year after admission was assessed using the Morgan-Russell assessment schedule </w:t>
      </w:r>
      <w:r w:rsidRPr="001E546F">
        <w:fldChar w:fldCharType="begin"/>
      </w:r>
      <w:r w:rsidR="00AD3EA2" w:rsidRPr="001E546F">
        <w:instrText xml:space="preserve"> ADDIN ZOTERO_ITEM CSL_CITATION {"citationID":"ZvQmkU2R","properties":{"formattedCitation":"(15)","plainCitation":"(15)","noteIndex":0},"citationItems":[{"id":150,"uris":["http://zotero.org/users/11105938/items/47KNL92T"],"itemData":{"id":150,"type":"article-journal","abstract":"The Morgan-Russell outcome assessment schedule is described and statistically analysed with reference to two independent series of patients suffering from anorexia nervosa. The value of check lists and simple scaling of data is emphasised as one way of improving the standards of routine case-note documentation in clinical psychiatric practice.","container-title":"British Journal of Psychiatry","DOI":"10.1192/bjp.152.3.367","ISSN":"0007-1250, 1472-1465","issue":"3","journalAbbreviation":"Br J Psychiatry","language":"en","page":"367-371","source":"DOI.org (Crossref)","title":"Clinical Assessment of Anorexia Nervosa: The Morgan-Russell Outcome Assessment Schedule","title-short":"Clinical Assessment of Anorexia Nervosa","volume":"152","author":[{"family":"Morgan","given":"H. G."},{"family":"Hayward","given":"A. E."}],"issued":{"date-parts":[["1988",3]]}}}],"schema":"https://github.com/citation-style-language/schema/raw/master/csl-citation.json"} </w:instrText>
      </w:r>
      <w:r w:rsidRPr="001E546F">
        <w:fldChar w:fldCharType="separate"/>
      </w:r>
      <w:r w:rsidR="00AD3EA2" w:rsidRPr="001E546F">
        <w:t>(15)</w:t>
      </w:r>
      <w:r w:rsidRPr="001E546F">
        <w:fldChar w:fldCharType="end"/>
      </w:r>
      <w:r w:rsidR="00AD3EA2" w:rsidRPr="001E546F">
        <w:t xml:space="preserve"> which was performed by trained interviewers and supervised by an experienced psychologist. Due to the young age of many participants, we calculated the mean score of the subscales ‘food intake’ (to which BMI measured at follow-up contributes), ‘menstrual state’, </w:t>
      </w:r>
      <w:r w:rsidR="00AD3EA2" w:rsidRPr="001E546F">
        <w:lastRenderedPageBreak/>
        <w:t xml:space="preserve">‘mental state’, and ‘socioeconomic state’ and excluded the subscale ‘psycho-sexual state’ as in one of our previous works </w:t>
      </w:r>
      <w:r w:rsidR="00AD3EA2" w:rsidRPr="001E546F">
        <w:fldChar w:fldCharType="begin"/>
      </w:r>
      <w:r w:rsidR="00AD3EA2" w:rsidRPr="001E546F">
        <w:instrText xml:space="preserve"> ADDIN ZOTERO_ITEM CSL_CITATION {"citationID":"a2bj25t2p83","properties":{"formattedCitation":"(16)","plainCitation":"(16)","noteIndex":0},"citationItems":[{"id":180,"uris":["http://zotero.org/users/11105938/items/EL43DBWQ"],"itemData":{"id":180,"type":"article-journal","abstract":"Abstract\n            Anorexia nervosa (AN) has been associated with altered reward processing. We recently reported greater neural response in secondary visual areas when processing visual food stimuli in acutely underweight AN patients (acAN). In order to examine whether the observed alterations are indicative of acute undernutrition or a potential trait marker of AN, we set out to assess neural responses in acAN and in individuals weight-recovered from AN (recAN). FMRI data were collected from a total of 126 female volunteers, 35 acAN, 33 recAN, and 58 age-matched healthy controls (HC) while they viewed streams of food, social and neutral stimuli. A standard general linear model (GLM) was used to interrogate neural responses to the different stimuli in recAN vs. age-matched HC. Moreover, within-subject multivoxel pattern analyses (MVPA) in the two matched samples (acAN/HC and recAN/HC) were used to estimate neural representation of food vs. neutral, and social vs. neutral stimuli. A multiple regression analysis was conducted to test associations between the accuracy of the neural representation and treatment outcome. The GLM revealed no group differences between recAN and HC. The MVPAs showed greater classification accuracy of food stimuli in the posterior fusiform gyrus in acAN but not recAN. Classification accuracy was associated with better treatment outcome. Our findings suggest that the neural representation of food stimuli is altered in secondary visual areas in acAN and normalizes with weight recovery. Possibly this altered representation reflects attentional engagement motivating food intake, which may promote the recovery process.","container-title":"Translational Psychiatry","DOI":"10.1038/s41398-021-01630-1","ISSN":"2158-3188","issue":"1","journalAbbreviation":"Transl Psychiatry","language":"en","page":"532","source":"DOI.org (Crossref)","title":"Aberrant neural representation of food stimuli in women with acute anorexia nervosa predicts treatment outcome and is improved in weight restored individuals","volume":"11","author":[{"family":"Boehm","given":"Ilka"},{"family":"Mohr","given":"Holger"},{"family":"King","given":"Joseph A."},{"family":"Steding","given":"Julius"},{"family":"Geisler","given":"Daniel"},{"family":"Wronski","given":"Marie-Louis"},{"family":"Weigel","given":"Katharina"},{"family":"Roessner","given":"Veit"},{"family":"Ruge","given":"Hannes"},{"family":"Ehrlich","given":"Stefan"}],"issued":{"date-parts":[["2021",12]]}}}],"schema":"https://github.com/citation-style-language/schema/raw/master/csl-citation.json"} </w:instrText>
      </w:r>
      <w:r w:rsidR="00AD3EA2" w:rsidRPr="001E546F">
        <w:fldChar w:fldCharType="separate"/>
      </w:r>
      <w:r w:rsidR="00AD3EA2" w:rsidRPr="001E546F">
        <w:t>(16)</w:t>
      </w:r>
      <w:r w:rsidR="00AD3EA2" w:rsidRPr="001E546F">
        <w:fldChar w:fldCharType="end"/>
      </w:r>
      <w:r w:rsidR="00AD3EA2" w:rsidRPr="001E546F">
        <w:t>.</w:t>
      </w:r>
    </w:p>
    <w:p w14:paraId="50AB506B" w14:textId="164DB51E" w:rsidR="009602E5" w:rsidRPr="009602E5" w:rsidRDefault="009602E5" w:rsidP="00E56776">
      <w:pPr>
        <w:spacing w:line="360" w:lineRule="auto"/>
      </w:pPr>
    </w:p>
    <w:p w14:paraId="3519568D" w14:textId="5CB1AB5F" w:rsidR="00D7512D" w:rsidRPr="00A21A54" w:rsidRDefault="00A21A54" w:rsidP="00E56776">
      <w:pPr>
        <w:pStyle w:val="berschrift3"/>
        <w:numPr>
          <w:ilvl w:val="1"/>
          <w:numId w:val="8"/>
        </w:numPr>
        <w:spacing w:after="200" w:line="360" w:lineRule="auto"/>
        <w:rPr>
          <w:rFonts w:asciiTheme="majorHAnsi" w:hAnsiTheme="majorHAnsi" w:cstheme="majorHAnsi"/>
          <w:color w:val="auto"/>
          <w:szCs w:val="24"/>
        </w:rPr>
      </w:pPr>
      <w:r w:rsidRPr="00A21A54">
        <w:rPr>
          <w:rFonts w:asciiTheme="majorHAnsi" w:hAnsiTheme="majorHAnsi" w:cstheme="majorHAnsi"/>
          <w:color w:val="auto"/>
          <w:szCs w:val="24"/>
        </w:rPr>
        <w:t>MRI processing and quality control of sMRI images</w:t>
      </w:r>
    </w:p>
    <w:p w14:paraId="37F2A54F" w14:textId="77777777" w:rsidR="00BB30F3" w:rsidRPr="001C679C" w:rsidRDefault="00AA4C80" w:rsidP="00E56776">
      <w:pPr>
        <w:pStyle w:val="Text"/>
      </w:pPr>
      <w:r w:rsidRPr="001C679C">
        <w:t>All participants underwent MRI scanning between 8 and 9 a.m. following an overnight fast. High resolution 3D T1-weighted structural scans were acquired on a 3.0T scanner (</w:t>
      </w:r>
      <w:proofErr w:type="spellStart"/>
      <w:r w:rsidRPr="001C679C">
        <w:t>Magnetom</w:t>
      </w:r>
      <w:proofErr w:type="spellEnd"/>
      <w:r w:rsidRPr="001C679C">
        <w:t xml:space="preserve"> Trio, Siemens, Erlangen, Germany) using a rapid acquisition gradient echo (MP-RAGE) sequence with the following parameters: 176 sagittal slices (1 mm thickness, no gap), TR = 1900 </w:t>
      </w:r>
      <w:proofErr w:type="spellStart"/>
      <w:r w:rsidRPr="001C679C">
        <w:t>ms</w:t>
      </w:r>
      <w:proofErr w:type="spellEnd"/>
      <w:r w:rsidRPr="001C679C">
        <w:t xml:space="preserve">; TE = 2.26 </w:t>
      </w:r>
      <w:proofErr w:type="spellStart"/>
      <w:r w:rsidRPr="001C679C">
        <w:t>ms</w:t>
      </w:r>
      <w:proofErr w:type="spellEnd"/>
      <w:r w:rsidRPr="001C679C">
        <w:t xml:space="preserve">; flip angle = 9˚; voxel size = 1.0 × 1.0× 1.0 mm, </w:t>
      </w:r>
      <w:proofErr w:type="spellStart"/>
      <w:r w:rsidRPr="001C679C">
        <w:t>FoV</w:t>
      </w:r>
      <w:proofErr w:type="spellEnd"/>
      <w:r w:rsidRPr="001C679C">
        <w:t xml:space="preserve"> = 256 × 224 mm</w:t>
      </w:r>
      <w:r w:rsidRPr="001C679C">
        <w:rPr>
          <w:vertAlign w:val="superscript"/>
        </w:rPr>
        <w:t>2</w:t>
      </w:r>
      <w:r w:rsidRPr="001C679C">
        <w:t xml:space="preserve">, bandwidth of 200 Hz/pixel). </w:t>
      </w:r>
    </w:p>
    <w:p w14:paraId="72BC9459" w14:textId="75A3F217" w:rsidR="00BB30F3" w:rsidRPr="00F61118" w:rsidRDefault="00AA4C80" w:rsidP="00E56776">
      <w:pPr>
        <w:pStyle w:val="Text"/>
      </w:pPr>
      <w:r w:rsidRPr="00F61118">
        <w:t>Raw images were processed using standard FreeSurfer procedures (</w:t>
      </w:r>
      <w:hyperlink r:id="rId9">
        <w:r w:rsidRPr="00F61118">
          <w:t>http://surfer.nmr.mgh.harvard.edu/</w:t>
        </w:r>
      </w:hyperlink>
      <w:r w:rsidRPr="00F61118">
        <w:t xml:space="preserve">; version </w:t>
      </w:r>
      <w:r w:rsidR="00552803" w:rsidRPr="00F61118">
        <w:t>7</w:t>
      </w:r>
      <w:r w:rsidRPr="00F61118">
        <w:t>.</w:t>
      </w:r>
      <w:r w:rsidR="00EE1F3C" w:rsidRPr="00F61118">
        <w:t>1</w:t>
      </w:r>
      <w:r w:rsidRPr="00F61118">
        <w:t>) to achieve a sub-millim</w:t>
      </w:r>
      <w:r w:rsidR="00F868CF" w:rsidRPr="00F61118">
        <w:t>e</w:t>
      </w:r>
      <w:r w:rsidRPr="00F61118">
        <w:t xml:space="preserve">ter reconstruction of the cerebral cortex. The technical details of these procedures are described in prior publications </w:t>
      </w:r>
      <w:r w:rsidRPr="00F61118">
        <w:fldChar w:fldCharType="begin"/>
      </w:r>
      <w:r w:rsidR="00AD3EA2">
        <w:instrText xml:space="preserve"> ADDIN ZOTERO_ITEM CSL_CITATION {"citationID":"CkBMK8vC","properties":{"formattedCitation":"(17\\uc0\\u8211{}25)","plainCitation":"(17–25)","noteIndex":0},"citationItems":[{"id":"yqG9ZuqL/JZHGyug6","uris":["http://zotero.org/users/2454035/items/2PW4TKZ5"],"itemData":{"id":95,"type":"article-journal","abstract":"Several properties of the cerebral cortex, including its columnar and laminar organization, as well as the topographic organization of cortical areas, can only be properly understood in the context of the intrinsic two-dimensional structure of the cortical surface. In order to study such cortical properties in humans, it is necessary to obtain an accurate and explicit representation of the cortical surface in individual subjects. Here we describe a set of automated procedures for obtaining accurate reconstructions of the cortical surface, which have been applied to data from more than 100 subjects, requiring little or no manual intervention. Automated routines for unfolding and flattening the cortical surface are described in a companion paper. These procedures allow for the routine use of cortical surface-based analysis and visualization methods in functional brain imaging.","container-title":"NeuroImage","DOI":"10.1006/nimg.1998.0395","ISSN":"1053-8119","issue":"2","journalAbbreviation":"Neuroimage","language":"eng","note":"PMID: 9931268","page":"179-194","source":"PubMed","title":"Cortical surface-based analysis. I. Segmentation and surface reconstruction","volume":"9","author":[{"family":"Dale","given":"A. M."},{"family":"Fischl","given":"B."},{"family":"Sereno","given":"M. I."}],"issued":{"date-parts":[["1999",2]]}}},{"id":"yqG9ZuqL/S8CiQpPQ","uris":["http://zotero.org/users/2454035/items/I9CAF8XN"],"itemData":{"id":133,"type":"article-journal","abstract":"In this study, we have assessed the validity and reliability of an automated labeling system that we have developed for subdividing the human cerebral cortex on magnetic resonance images into gyral based regions of interest (ROIs). Using a dataset of 40 MRI scans we manually identified 34 cortical ROIs in each of the individual hemispheres. This information was then encoded in the form of an atlas that was utilized to automatically label ROIs. To examine the validity, as well as the intra- and inter-rater reliability of the automated system, we used both intraclass correlation coefficients (ICC), and a new method known as mean distance maps, to assess the degree of mismatch between the manual and the automated sets of ROIs. When compared with the manual ROIs, the automated ROIs were highly accurate, with an average ICC of 0.835 across all of the ROIs, and a mean distance error of less than 1 mm. Intra- and inter-rater comparisons yielded little to no difference between the sets of ROIs. These findings suggest that the automated method we have developed for subdividing the human cerebral cortex into standard gyral-based neuroanatomical regions is both anatomically valid and reliable. This method may be useful for both morphometric and functional studies of the cerebral cortex as well as for clinical investigations aimed at tracking the evolution of disease-induced changes over time, including clinical trials in which MRI-based measures are used to examine response to treatment.","container-title":"NeuroImage","DOI":"10.1016/j.neuroimage.2006.01.021","ISSN":"1053-8119","issue":"3","journalAbbreviation":"Neuroimage","language":"eng","note":"PMID: 16530430","page":"968-980","source":"PubMed","title":"An automated labeling system for subdividing the human cerebral cortex on MRI scans into gyral based regions of interest","volume":"31","author":[{"family":"Desikan","given":"Rahul S."},{"family":"Ségonne","given":"Florent"},{"family":"Fischl","given":"Bruce"},{"family":"Quinn","given":"Brian T."},{"family":"Dickerson","given":"Bradford C."},{"family":"Blacker","given":"Deborah"},{"family":"Buckner","given":"Randy L."},{"family":"Dale","given":"Anders M."},{"family":"Maguire","given":"R. Paul"},{"family":"Hyman","given":"Bradley T."},{"family":"Albert","given":"Marilyn S."},{"family":"Killiany","given":"Ronald J."}],"issued":{"date-parts":[["2006",7,1]]}}},{"id":"yqG9ZuqL/QbfDWGMO","uris":["http://zotero.org/users/2454035/items/IIRMCENA"],"itemData":{"id":97,"type":"article-journal","abstract":"The surface of the human cerebral cortex is a highly folded sheet with the majority of its surface area buried within folds. As such, it is a difficult domain for computational as well as visualization purposes. We have therefore designed a set of procedures for modifying the representation of the cortical surface to (i) inflate it so that activity buried inside sulci may be visualized, (ii) cut and flatten an entire hemisphere, and (iii) transform a hemisphere into a simple parameterizable surface such as a sphere for the purpose of establishing a surface-based coordinate system.","container-title":"NeuroImage","DOI":"10.1006/nimg.1998.0396","ISSN":"1053-8119","issue":"2","journalAbbreviation":"Neuroimage","language":"eng","note":"PMID: 9931269","page":"195-207","source":"PubMed","title":"Cortical surface-based analysis. II: Inflation, flattening, and a surface-based coordinate system","title-short":"Cortical surface-based analysis. II","volume":"9","author":[{"family":"Fischl","given":"B."},{"family":"Sereno","given":"M. I."},{"family":"Dale","given":"A. M."}],"issued":{"date-parts":[["1999",2]]}}},{"id":"yqG9ZuqL/RysyONxM","uris":["http://zotero.org/users/2454035/items/9XQAHQZP"],"itemData":{"id":99,"type":"article-journal","abstract":"The neurons of the human cerebral cortex are arranged in a highly folded sheet, with the majority of the cortical surface area buried in folds. Cortical maps are typically arranged with a topography oriented parallel to the cortical surface. Despite this unambiguous sheetlike geometry, the most commonly used coordinate systems for localizing cortical features are based on 3-D stereotaxic coordinates rather than on position relative to the 2-D cortical sheet. In order to address the need for a more natural surface-based coordinate system for the cortex, we have developed a means for generating an average folding pattern across a large number of individual subjects as a function on the unit sphere and of nonrigidly aligning each individual with the average. This establishes a spherical surface-based coordinate system that is adapted to the folding pattern of each individual subject, allowing for much higher localization accuracy of structural and functional features of the human brain.","container-title":"Human Brain Mapping","ISSN":"1065-9471","issue":"4","journalAbbreviation":"Hum Brain Mapp","language":"eng","note":"PMID: 10619420","page":"272-284","source":"PubMed","title":"High-resolution intersubject averaging and a coordinate system for the cortical surface","volume":"8","author":[{"family":"Fischl","given":"B."},{"family":"Sereno","given":"M. I."},{"family":"Tootell","given":"R. B."},{"family":"Dale","given":"A. M."}],"issued":{"date-parts":[["1999"]]}}},{"id":"yqG9ZuqL/NgzLE3UF","uris":["http://zotero.org/users/2454035/items/59N4PF3D"],"itemData":{"id":135,"type":"article-journal","abstract":"We present a technique for automatically assigning a neuroanatomical label to each voxel in an MRI volume based on probabilistic information automatically estimated from a manually labeled training set. In contrast to existing segmentation procedures that only label a small number of tissue classes, the current method assigns one of 37 labels to each voxel, including left and right caudate, putamen, pallidum, thalamus, lateral ventricles, hippocampus, and amygdala. The classification technique employs a registration procedure that is robust to anatomical variability, including the ventricular enlargement typically associated with neurological diseases and aging. The technique is shown to be comparable in accuracy to manual labeling, and of sufficient sensitivity to robustly detect changes in the volume of noncortical structures that presage the onset of probable Alzheimer's disease.","container-title":"Neuron","ISSN":"0896-6273","issue":"3","journalAbbreviation":"Neuron","language":"eng","note":"PMID: 11832223","page":"341-355","source":"PubMed","title":"Whole brain segmentation: automated labeling of neuroanatomical structures in the human brain","title-short":"Whole brain segmentation","volume":"33","author":[{"family":"Fischl","given":"Bruce"},{"family":"Salat","given":"David H."},{"family":"Busa","given":"Evelina"},{"family":"Albert","given":"Marilyn"},{"family":"Dieterich","given":"Megan"},{"family":"Haselgrove","given":"Christian"},{"family":"Kouwe","given":"Andre","non-dropping-particle":"van der"},{"family":"Killiany","given":"Ron"},{"family":"Kennedy","given":"David"},{"family":"Klaveness","given":"Shuna"},{"family":"Montillo","given":"Albert"},{"family":"Makris","given":"Nikos"},{"family":"Rosen","given":"Bruce"},{"family":"Dale","given":"Anders M."}],"issued":{"date-parts":[["2002",1,31]]}}},{"id":"yqG9ZuqL/LbyEKxkC","uris":["http://zotero.org/users/2454035/items/7348KPMG"],"itemData":{"id":137,"type":"article-journal","abstract":"We present a set of techniques for embedding the physics of the imaging process that generates a class of magnetic resonance images (MRIs) into a segmentation or registration algorithm. This results in substantial invariance to acquisition parameters, as the effect of these parameters on the contrast properties of various brain structures is explicitly modeled in the segmentation. In addition, the integration of image acquisition with tissue classification allows the derivation of sequences that are optimal for segmentation purposes. Another benefit of these procedures is the generation of probabilistic models of the intrinsic tissue parameters that cause MR contrast (e.g., T1, proton density, T2*), allowing access to these physiologically relevant parameters that may change with disease or demographic, resulting in nonmorphometric alterations in MR images that are otherwise difficult to detect. Finally, we also present a high band width multiecho FLASH pulse sequence that results in high signal-to-noise ratio with minimal image distortion due to B0 effects. This sequence has the added benefit of allowing the explicit estimation of T2* and of reducing test-retest intensity variability.","container-title":"NeuroImage","DOI":"10.1016/j.neuroimage.2004.07.016","ISSN":"1053-8119","journalAbbreviation":"Neuroimage","language":"eng","note":"PMID: 15501102","page":"S69-84","source":"PubMed","title":"Sequence-independent segmentation of magnetic resonance images","volume":"23 Suppl 1","author":[{"family":"Fischl","given":"Bruce"},{"family":"Salat","given":"David H."},{"family":"Kouwe","given":"André J. W.","non-dropping-particle":"van der"},{"family":"Makris","given":"Nikos"},{"family":"Ségonne","given":"Florent"},{"family":"Quinn","given":"Brian T."},{"family":"Dale","given":"Anders M."}],"issued":{"date-parts":[["2004"]]}}},{"id":"yqG9ZuqL/NcyJ2riL","uris":["http://zotero.org/users/2454035/items/ZJPG3WJK"],"itemData":{"id":908,"type":"article-journal","container-title":"IEEE Transactions on Medical Imaging","DOI":"10.1109/TMI.2006.887364","ISSN":"0278-0062","issue":"4","page":"518-529","source":"CrossRef","title":"Geometrically Accurate Topology-Correction of Cortical Surfaces Using Nonseparating Loops","volume":"26","author":[{"family":"Segonne","given":"Florent"},{"family":"Pacheco","given":"Jenni"},{"family":"Fischl","given":"Bruce"}],"issued":{"date-parts":[["2007",4]]}}},{"id":"yqG9ZuqL/ADNIg8oe","uris":["http://zotero.org/users/2454035/items/895K5ESD"],"itemData":{"id":139,"type":"article-journal","abstract":"We present a technique for automatically assigning a neuroanatomical label to each location on a cortical surface model based on probabilistic information estimated from a manually labeled training set. This procedure incorporates both geometric information derived from the cortical model, and neuroanatomical convention, as found in the training set. The result is a complete labeling of cortical sulci and gyri. Examples are given from two different training sets generated using different neuroanatomical conventions, illustrating the flexibility of the algorithm. The technique is shown to be comparable in accuracy to manual labeling.","container-title":"Cerebral Cortex (New York, N.Y.: 1991)","ISSN":"1047-3211","issue":"1","journalAbbreviation":"Cereb. Cortex","language":"eng","note":"PMID: 14654453","page":"11-22","source":"PubMed","title":"Automatically parcellating the human cerebral cortex","volume":"14","author":[{"family":"Fischl","given":"Bruce"},{"family":"Kouwe","given":"André","non-dropping-particle":"van der"},{"family":"Destrieux","given":"Christophe"},{"family":"Halgren","given":"Eric"},{"family":"Ségonne","given":"Florent"},{"family":"Salat","given":"David H."},{"family":"Busa","given":"Evelina"},{"family":"Seidman","given":"Larry J."},{"family":"Goldstein","given":"Jill"},{"family":"Kennedy","given":"David"},{"family":"Caviness","given":"Verne"},{"family":"Makris","given":"Nikos"},{"family":"Rosen","given":"Bruce"},{"family":"Dale","given":"Anders M."}],"issued":{"date-parts":[["2004",1]]}}},{"id":"yqG9ZuqL/n9Hd7b6b","uris":["http://zotero.org/users/2454035/items/SQI7QS7B"],"itemData":{"id":907,"type":"article-journal","container-title":"NeuroImage","DOI":"10.1016/j.neuroimage.2004.03.032","ISSN":"10538119","issue":"3","language":"en","page":"1060-1075","source":"CrossRef","title":"A hybrid approach to the skull stripping problem in MRI","volume":"22","author":[{"family":"Ségonne","given":"F."},{"family":"Dale","given":"A.M."},{"family":"Busa","given":"E."},{"family":"Glessner","given":"M."},{"family":"Salat","given":"D."},{"family":"Hahn","given":"H.K."},{"family":"Fischl","given":"B."}],"issued":{"date-parts":[["2004",7]]}}}],"schema":"https://github.com/citation-style-language/schema/raw/master/csl-citation.json"} </w:instrText>
      </w:r>
      <w:r w:rsidRPr="00F61118">
        <w:fldChar w:fldCharType="separate"/>
      </w:r>
      <w:r w:rsidR="00AD3EA2" w:rsidRPr="00AD3EA2">
        <w:rPr>
          <w:szCs w:val="24"/>
        </w:rPr>
        <w:t>(17–25)</w:t>
      </w:r>
      <w:r w:rsidRPr="00F61118">
        <w:fldChar w:fldCharType="end"/>
      </w:r>
      <w:r w:rsidRPr="00F61118">
        <w:t xml:space="preserve">. In sum, images underwent motion correction, skull stripping, automated Talairach transformation, segmentation of the subcortical white matter and deep gray matter volumetric structures, intensity normalization, tessellation of the gray matter white matter boundary, automated topology correction, and surface deformation following intensity gradients to optimally place the gray/white and gray/cerebrospinal fluid borders at the location where the greatest shift in intensity defines the transition to the other tissue class. The surface obtained can be inflated and registered to a spherical atlas which is based on individual location of main sulci and gyri. This allows comparison of cortical geometry across </w:t>
      </w:r>
      <w:r w:rsidR="009B09E9" w:rsidRPr="00F61118">
        <w:t>participants</w:t>
      </w:r>
      <w:r w:rsidRPr="00F61118">
        <w:t xml:space="preserve"> and parcellation of the cerebral cortex into units with respect to </w:t>
      </w:r>
      <w:proofErr w:type="spellStart"/>
      <w:r w:rsidRPr="00F61118">
        <w:t>gyral</w:t>
      </w:r>
      <w:proofErr w:type="spellEnd"/>
      <w:r w:rsidRPr="00F61118">
        <w:t xml:space="preserve"> and sulcal structure</w:t>
      </w:r>
      <w:r w:rsidR="00E669C9" w:rsidRPr="00F61118">
        <w:t>.</w:t>
      </w:r>
      <w:r w:rsidRPr="00F61118">
        <w:t xml:space="preserve"> </w:t>
      </w:r>
    </w:p>
    <w:p w14:paraId="45D6E540" w14:textId="35DD13D0" w:rsidR="006641D8" w:rsidRPr="00F61118" w:rsidRDefault="00AA4C80" w:rsidP="00E56776">
      <w:pPr>
        <w:pStyle w:val="Text"/>
      </w:pPr>
      <w:r w:rsidRPr="00F61118">
        <w:t>The quality of the surface reconstruction and segmentation was</w:t>
      </w:r>
      <w:r w:rsidR="00C53BC3" w:rsidRPr="00F61118">
        <w:t xml:space="preserve"> assessed following the ENIGMA Cortical Quality Control Protocol 2.0 (http://enigma.ini.usc.edu/protocols/imaging-protocols/).</w:t>
      </w:r>
      <w:r w:rsidRPr="00F61118">
        <w:t xml:space="preserve"> </w:t>
      </w:r>
      <w:r w:rsidR="00C53BC3" w:rsidRPr="00F61118">
        <w:t>V</w:t>
      </w:r>
      <w:r w:rsidRPr="00F61118">
        <w:t xml:space="preserve">isual inspection by a trained examiner </w:t>
      </w:r>
      <w:r w:rsidR="00C53BC3" w:rsidRPr="00F61118">
        <w:t>was supported by</w:t>
      </w:r>
      <w:r w:rsidRPr="00F61118">
        <w:t xml:space="preserve"> quality assurance tools implemented in FreeSurfer (</w:t>
      </w:r>
      <w:hyperlink r:id="rId10">
        <w:r w:rsidRPr="00F61118">
          <w:t>https://surfer.nmr.mgh.harvard.edu/fswiki/QATools</w:t>
        </w:r>
      </w:hyperlink>
      <w:r w:rsidRPr="00F61118">
        <w:t>) and exploratory analysis of the parcellation and segmentation statistics for outliers</w:t>
      </w:r>
      <w:r w:rsidR="001C679C" w:rsidRPr="00F61118">
        <w:t>.</w:t>
      </w:r>
      <w:r w:rsidR="00C53BC3" w:rsidRPr="00F61118">
        <w:t xml:space="preserve"> </w:t>
      </w:r>
      <w:r w:rsidR="001C679C" w:rsidRPr="00F61118">
        <w:t xml:space="preserve">Scans for which at least three of these measures deviated by more than 2.698 standard deviations relative to the group mean were inspected more closely by a trained rater using </w:t>
      </w:r>
      <w:proofErr w:type="spellStart"/>
      <w:r w:rsidR="001C679C" w:rsidRPr="00F61118">
        <w:t>Freeview</w:t>
      </w:r>
      <w:proofErr w:type="spellEnd"/>
      <w:r w:rsidR="001C679C" w:rsidRPr="00F61118">
        <w:t>. If artifacts significantly affecting parcellation were detected, like inclusion of skull tissue in grey matter, obliterations in Talairach view, ghosting or spikes in Talairach view, the scan was excluded from the analysis.</w:t>
      </w:r>
      <w:bookmarkStart w:id="2" w:name="_6jx5tw50qkof" w:colFirst="0" w:colLast="0"/>
      <w:bookmarkEnd w:id="2"/>
    </w:p>
    <w:p w14:paraId="7D4DDFE3" w14:textId="77777777" w:rsidR="006641D8" w:rsidRDefault="006641D8" w:rsidP="00E56776">
      <w:pPr>
        <w:pStyle w:val="Text"/>
      </w:pPr>
    </w:p>
    <w:p w14:paraId="206CE405" w14:textId="77777777" w:rsidR="006641D8" w:rsidRPr="0043430A" w:rsidRDefault="006641D8" w:rsidP="00E56776">
      <w:pPr>
        <w:pStyle w:val="berschrift3"/>
        <w:numPr>
          <w:ilvl w:val="1"/>
          <w:numId w:val="8"/>
        </w:numPr>
        <w:spacing w:after="200" w:line="360" w:lineRule="auto"/>
        <w:rPr>
          <w:rFonts w:asciiTheme="majorHAnsi" w:hAnsiTheme="majorHAnsi" w:cstheme="majorHAnsi"/>
          <w:color w:val="auto"/>
          <w:szCs w:val="24"/>
        </w:rPr>
      </w:pPr>
      <w:r w:rsidRPr="0043430A">
        <w:rPr>
          <w:rFonts w:asciiTheme="majorHAnsi" w:hAnsiTheme="majorHAnsi" w:cstheme="majorHAnsi"/>
          <w:color w:val="auto"/>
          <w:szCs w:val="24"/>
        </w:rPr>
        <w:lastRenderedPageBreak/>
        <w:t xml:space="preserve">Nonlinear </w:t>
      </w:r>
      <w:r>
        <w:rPr>
          <w:rFonts w:asciiTheme="majorHAnsi" w:hAnsiTheme="majorHAnsi" w:cstheme="majorHAnsi"/>
          <w:color w:val="auto"/>
          <w:szCs w:val="24"/>
        </w:rPr>
        <w:t>c</w:t>
      </w:r>
      <w:r w:rsidRPr="0043430A">
        <w:rPr>
          <w:rFonts w:asciiTheme="majorHAnsi" w:hAnsiTheme="majorHAnsi" w:cstheme="majorHAnsi"/>
          <w:color w:val="auto"/>
          <w:szCs w:val="24"/>
        </w:rPr>
        <w:t>lassifier</w:t>
      </w:r>
    </w:p>
    <w:p w14:paraId="0C744D24" w14:textId="7DF45C16" w:rsidR="006641D8" w:rsidRDefault="006641D8" w:rsidP="00E56776">
      <w:pPr>
        <w:pStyle w:val="Text"/>
      </w:pPr>
      <w:r>
        <w:t>To assess whether non-linear patterns of brain structural alterations were associated with AN, w</w:t>
      </w:r>
      <w:r w:rsidRPr="00707AC5">
        <w:t xml:space="preserve">e tested whether </w:t>
      </w:r>
      <w:r>
        <w:t xml:space="preserve">using </w:t>
      </w:r>
      <w:r w:rsidRPr="00707AC5">
        <w:t xml:space="preserve">a non-linear classifier </w:t>
      </w:r>
      <w:r>
        <w:t xml:space="preserve">could </w:t>
      </w:r>
      <w:r w:rsidRPr="00707AC5">
        <w:t xml:space="preserve">substantially improve the </w:t>
      </w:r>
      <w:r>
        <w:t>classification</w:t>
      </w:r>
      <w:r w:rsidRPr="00707AC5">
        <w:t xml:space="preserve"> performance. </w:t>
      </w:r>
      <w:r>
        <w:t>Specifically,</w:t>
      </w:r>
      <w:r w:rsidRPr="00707AC5">
        <w:t xml:space="preserve"> the </w:t>
      </w:r>
      <w:r w:rsidR="009A6E94">
        <w:t>support vector machine (</w:t>
      </w:r>
      <w:r w:rsidRPr="00707AC5">
        <w:t>SVM</w:t>
      </w:r>
      <w:r w:rsidR="009A6E94">
        <w:t>)</w:t>
      </w:r>
      <w:r>
        <w:t xml:space="preserve"> was substituted in the classification pipeline</w:t>
      </w:r>
      <w:r w:rsidRPr="00707AC5">
        <w:t xml:space="preserve"> by a neural net</w:t>
      </w:r>
      <w:r>
        <w:t>work</w:t>
      </w:r>
      <w:r w:rsidRPr="00707AC5">
        <w:t xml:space="preserve"> with one hidden layer</w:t>
      </w:r>
      <w:r>
        <w:t xml:space="preserve">. We explored a hidden layer with sizes of two to four neurons, different activation functions (sigmoid, tanh, </w:t>
      </w:r>
      <w:proofErr w:type="spellStart"/>
      <w:r>
        <w:t>ReLU</w:t>
      </w:r>
      <w:proofErr w:type="spellEnd"/>
      <w:r>
        <w:t>), and L2 regularization values from 0.0001 to 30</w:t>
      </w:r>
      <w:r w:rsidRPr="00707AC5">
        <w:t>. Considerably more neurons</w:t>
      </w:r>
      <w:r w:rsidR="001D5C3D">
        <w:t xml:space="preserve">, </w:t>
      </w:r>
      <w:r w:rsidRPr="00707AC5">
        <w:t>additional hidden layers</w:t>
      </w:r>
      <w:r w:rsidR="001D5C3D">
        <w:t>, or weaker regularization</w:t>
      </w:r>
      <w:r w:rsidRPr="00707AC5">
        <w:t xml:space="preserve"> increase the model complexity too much and thus </w:t>
      </w:r>
      <w:r>
        <w:t xml:space="preserve">produced </w:t>
      </w:r>
      <w:r w:rsidRPr="00707AC5">
        <w:t xml:space="preserve">strong overfitting judging from learning curves. </w:t>
      </w:r>
      <w:r>
        <w:t>While these comparably low numbers of hidden neurons only produce a weak non-linear extension, it was shown that</w:t>
      </w:r>
      <w:r w:rsidRPr="00DC1C58">
        <w:t xml:space="preserve"> a</w:t>
      </w:r>
      <w:r>
        <w:t>ny</w:t>
      </w:r>
      <w:r w:rsidRPr="00DC1C58">
        <w:t xml:space="preserve"> decision </w:t>
      </w:r>
      <w:r>
        <w:t>boundary</w:t>
      </w:r>
      <w:r w:rsidRPr="00DC1C58">
        <w:t xml:space="preserve"> can be approximated by </w:t>
      </w:r>
      <w:r>
        <w:t>a continuous feed-forward</w:t>
      </w:r>
      <w:r w:rsidRPr="00DC1C58">
        <w:t xml:space="preserve"> neural netwo</w:t>
      </w:r>
      <w:r>
        <w:t>rk with only a single internal</w:t>
      </w:r>
      <w:r w:rsidRPr="00DC1C58">
        <w:t xml:space="preserve"> hidden layer </w:t>
      </w:r>
      <w:r>
        <w:fldChar w:fldCharType="begin"/>
      </w:r>
      <w:r w:rsidR="00AD3EA2">
        <w:instrText xml:space="preserve"> ADDIN ZOTERO_ITEM CSL_CITATION {"citationID":"zz7jpEYp","properties":{"formattedCitation":"(26)","plainCitation":"(26)","noteIndex":0},"citationItems":[{"id":65,"uris":["http://zotero.org/users/11105938/items/72LFB9DH"],"itemData":{"id":65,"type":"article-journal","container-title":"Mathematics of Control, Signals, and Systems","DOI":"10.1007/BF02551274","ISSN":"0932-4194, 1435-568X","issue":"4","journalAbbreviation":"Math. Control Signal Systems","language":"en","page":"303-314","source":"DOI.org (Crossref)","title":"Approximation by superpositions of a sigmoidal function","volume":"2","author":[{"family":"Cybenko","given":"G."}],"issued":{"date-parts":[["1989",12]]}}}],"schema":"https://github.com/citation-style-language/schema/raw/master/csl-citation.json"} </w:instrText>
      </w:r>
      <w:r>
        <w:fldChar w:fldCharType="separate"/>
      </w:r>
      <w:r w:rsidR="00AD3EA2" w:rsidRPr="00AD3EA2">
        <w:t>(26)</w:t>
      </w:r>
      <w:r>
        <w:fldChar w:fldCharType="end"/>
      </w:r>
      <w:r>
        <w:t>.</w:t>
      </w:r>
      <w:r w:rsidR="00BB6E60">
        <w:t xml:space="preserve"> We also tested other non-linear classification algorithms (kernel SVM, Random Forest), but found them all to not exceed the linear SVM performance. Thus, they were not considered further. </w:t>
      </w:r>
    </w:p>
    <w:p w14:paraId="72528DF9" w14:textId="14620CE5" w:rsidR="00A103A6" w:rsidRPr="002E538E" w:rsidRDefault="00A103A6" w:rsidP="00E56776">
      <w:pPr>
        <w:pStyle w:val="Text"/>
      </w:pPr>
    </w:p>
    <w:p w14:paraId="389FE37A" w14:textId="7B826344" w:rsidR="00D7512D" w:rsidRPr="006005FE" w:rsidRDefault="00D7512D" w:rsidP="00E56776">
      <w:pPr>
        <w:pStyle w:val="berschrift3"/>
        <w:numPr>
          <w:ilvl w:val="1"/>
          <w:numId w:val="8"/>
        </w:numPr>
        <w:spacing w:after="200" w:line="360" w:lineRule="auto"/>
        <w:rPr>
          <w:rFonts w:asciiTheme="majorHAnsi" w:hAnsiTheme="majorHAnsi" w:cstheme="majorHAnsi"/>
          <w:color w:val="auto"/>
          <w:szCs w:val="24"/>
        </w:rPr>
      </w:pPr>
      <w:r w:rsidRPr="004C5A18">
        <w:rPr>
          <w:rFonts w:asciiTheme="majorHAnsi" w:hAnsiTheme="majorHAnsi" w:cstheme="majorHAnsi"/>
          <w:color w:val="auto"/>
          <w:szCs w:val="24"/>
        </w:rPr>
        <w:t>Hyperparam</w:t>
      </w:r>
      <w:r w:rsidR="00F868CF" w:rsidRPr="004C5A18">
        <w:rPr>
          <w:rFonts w:asciiTheme="majorHAnsi" w:hAnsiTheme="majorHAnsi" w:cstheme="majorHAnsi"/>
          <w:color w:val="auto"/>
          <w:szCs w:val="24"/>
        </w:rPr>
        <w:t>e</w:t>
      </w:r>
      <w:r w:rsidRPr="004C5A18">
        <w:rPr>
          <w:rFonts w:asciiTheme="majorHAnsi" w:hAnsiTheme="majorHAnsi" w:cstheme="majorHAnsi"/>
          <w:color w:val="auto"/>
          <w:szCs w:val="24"/>
        </w:rPr>
        <w:t xml:space="preserve">ter </w:t>
      </w:r>
      <w:r w:rsidR="004D238F">
        <w:rPr>
          <w:rFonts w:asciiTheme="majorHAnsi" w:hAnsiTheme="majorHAnsi" w:cstheme="majorHAnsi"/>
          <w:color w:val="auto"/>
          <w:szCs w:val="24"/>
        </w:rPr>
        <w:t>o</w:t>
      </w:r>
      <w:r w:rsidRPr="004C5A18">
        <w:rPr>
          <w:rFonts w:asciiTheme="majorHAnsi" w:hAnsiTheme="majorHAnsi" w:cstheme="majorHAnsi"/>
          <w:color w:val="auto"/>
          <w:szCs w:val="24"/>
        </w:rPr>
        <w:t xml:space="preserve">ptimization </w:t>
      </w:r>
    </w:p>
    <w:p w14:paraId="3405203D" w14:textId="076E0ADC" w:rsidR="00C052DE" w:rsidRDefault="00C052DE" w:rsidP="00E56776">
      <w:pPr>
        <w:pStyle w:val="Text"/>
      </w:pPr>
      <w:r>
        <w:t>Our classification pipelines had free hyper-parameters. For example, in o</w:t>
      </w:r>
      <w:r w:rsidRPr="00B60F8C">
        <w:t xml:space="preserve">ur </w:t>
      </w:r>
      <w:r>
        <w:t xml:space="preserve">linear </w:t>
      </w:r>
      <w:r w:rsidRPr="00B60F8C">
        <w:t xml:space="preserve">classification pipeline the number of PCA components and the SVM regularization constant </w:t>
      </w:r>
      <m:oMath>
        <m:r>
          <w:rPr>
            <w:rFonts w:ascii="Cambria Math" w:hAnsi="Cambria Math"/>
          </w:rPr>
          <m:t>C</m:t>
        </m:r>
      </m:oMath>
      <w:r w:rsidRPr="00B60F8C">
        <w:t xml:space="preserve"> </w:t>
      </w:r>
      <w:r>
        <w:t>were</w:t>
      </w:r>
      <w:r w:rsidRPr="00B60F8C">
        <w:t xml:space="preserve"> free hyperparameters</w:t>
      </w:r>
      <w:r>
        <w:t xml:space="preserve"> Therefore, our model selection procedure included both optimization of the model parameters (which we refer to as training) and of the hyperparameters.</w:t>
      </w:r>
    </w:p>
    <w:p w14:paraId="7575DBF5" w14:textId="2701766E" w:rsidR="00667CF9" w:rsidRDefault="00C052DE" w:rsidP="00E56776">
      <w:pPr>
        <w:pStyle w:val="Text"/>
      </w:pPr>
      <w:r>
        <w:t xml:space="preserve">To </w:t>
      </w:r>
      <w:r w:rsidR="00D7512D" w:rsidRPr="00B60F8C">
        <w:t>optimize</w:t>
      </w:r>
      <w:r w:rsidR="002C042B">
        <w:t xml:space="preserve"> </w:t>
      </w:r>
      <w:r w:rsidR="004F51BE">
        <w:t>the</w:t>
      </w:r>
      <w:r>
        <w:t xml:space="preserve"> hyperparameters</w:t>
      </w:r>
      <w:r w:rsidR="004F51BE">
        <w:t xml:space="preserve"> </w:t>
      </w:r>
      <w:r>
        <w:t>we performed</w:t>
      </w:r>
      <w:r w:rsidR="00D7512D" w:rsidRPr="00B60F8C">
        <w:t xml:space="preserve"> grid search </w:t>
      </w:r>
      <w:r>
        <w:t xml:space="preserve">with and </w:t>
      </w:r>
      <w:r w:rsidR="002C042B">
        <w:t>cross-validation</w:t>
      </w:r>
      <w:r w:rsidR="002C042B" w:rsidRPr="00B60F8C">
        <w:t xml:space="preserve"> </w:t>
      </w:r>
      <w:r w:rsidR="002C042B">
        <w:t>(</w:t>
      </w:r>
      <w:r w:rsidR="00D7512D" w:rsidRPr="00B60F8C">
        <w:t>five times repeated</w:t>
      </w:r>
      <w:r w:rsidR="002C042B">
        <w:t>,</w:t>
      </w:r>
      <w:r w:rsidR="00D7512D" w:rsidRPr="00B60F8C">
        <w:t xml:space="preserve"> stratified</w:t>
      </w:r>
      <w:r w:rsidR="002C042B">
        <w:t xml:space="preserve"> to maintain</w:t>
      </w:r>
      <w:r w:rsidR="004F51BE">
        <w:t xml:space="preserve"> the proportion of cases and controls equal across folds</w:t>
      </w:r>
      <w:r w:rsidR="002C042B">
        <w:t>,</w:t>
      </w:r>
      <w:r w:rsidR="00D7512D" w:rsidRPr="00B60F8C">
        <w:t xml:space="preserve"> </w:t>
      </w:r>
      <w:r w:rsidR="00AF53A8">
        <w:t>ten</w:t>
      </w:r>
      <w:r w:rsidR="00D7512D" w:rsidRPr="00B60F8C">
        <w:t>-fold</w:t>
      </w:r>
      <w:r w:rsidR="002C042B">
        <w:t>)</w:t>
      </w:r>
      <w:r>
        <w:t>. We used</w:t>
      </w:r>
      <w:r w:rsidR="00D7512D" w:rsidRPr="00B60F8C">
        <w:t xml:space="preserve"> PR-</w:t>
      </w:r>
      <w:r w:rsidR="00D658A1">
        <w:t>AUC</w:t>
      </w:r>
      <w:r w:rsidR="00D658A1" w:rsidRPr="00B60F8C">
        <w:t xml:space="preserve"> </w:t>
      </w:r>
      <w:r w:rsidR="00D7512D" w:rsidRPr="00B60F8C">
        <w:t xml:space="preserve">as optimization metric. </w:t>
      </w:r>
      <w:r w:rsidR="00E12284">
        <w:t xml:space="preserve">Compared to </w:t>
      </w:r>
      <w:r w:rsidR="0038667A">
        <w:t>the more traditional metric accuracy, t</w:t>
      </w:r>
      <w:r w:rsidR="00D658A1" w:rsidRPr="002E538E">
        <w:t>his metric captures the trade-off between positive-predictive-value/precision and sensitivity/recall</w:t>
      </w:r>
      <w:r w:rsidR="0038667A">
        <w:t xml:space="preserve"> in an unbalanced dataset</w:t>
      </w:r>
      <w:r w:rsidR="00D658A1" w:rsidRPr="00612298">
        <w:t>.</w:t>
      </w:r>
      <w:r w:rsidR="00AC3419">
        <w:t xml:space="preserve"> </w:t>
      </w:r>
    </w:p>
    <w:p w14:paraId="12CA81AC" w14:textId="038F389F" w:rsidR="0038667A" w:rsidRDefault="00BB6C71" w:rsidP="00E56776">
      <w:pPr>
        <w:pStyle w:val="Text"/>
      </w:pPr>
      <w:r w:rsidRPr="00BB6C71">
        <w:t>In cross-validation,</w:t>
      </w:r>
      <w:r>
        <w:t xml:space="preserve"> the dataset is partitioned into the given number of folds to </w:t>
      </w:r>
      <w:r w:rsidR="00764589">
        <w:t>repeatedly aggregate train</w:t>
      </w:r>
      <w:r w:rsidR="006F26D6">
        <w:t>ing</w:t>
      </w:r>
      <w:r w:rsidR="00764589">
        <w:t>/validation splits of the data.</w:t>
      </w:r>
      <w:r w:rsidRPr="00BB6C71">
        <w:t xml:space="preserve">  </w:t>
      </w:r>
      <w:r w:rsidR="00DD325B">
        <w:t xml:space="preserve">In each </w:t>
      </w:r>
      <w:r>
        <w:t>split</w:t>
      </w:r>
      <w:r w:rsidR="00DD325B">
        <w:t xml:space="preserve">, a different </w:t>
      </w:r>
      <w:r w:rsidR="00764589">
        <w:t>fold</w:t>
      </w:r>
      <w:r w:rsidR="00DD325B">
        <w:t xml:space="preserve"> is h</w:t>
      </w:r>
      <w:r w:rsidR="00A90B17">
        <w:t>e</w:t>
      </w:r>
      <w:r w:rsidR="00DD325B">
        <w:t xml:space="preserve">ld out and the model is trained on the remaining </w:t>
      </w:r>
      <w:r w:rsidR="00B65EEA">
        <w:t>folds</w:t>
      </w:r>
      <w:r w:rsidR="00DD325B">
        <w:t xml:space="preserve"> (train</w:t>
      </w:r>
      <w:r w:rsidR="006F26D6">
        <w:t>ing</w:t>
      </w:r>
      <w:r w:rsidR="00DD325B">
        <w:t xml:space="preserve"> set). Subsequently, the held</w:t>
      </w:r>
      <w:r w:rsidR="00E96C08">
        <w:t>-</w:t>
      </w:r>
      <w:r w:rsidR="00DD325B">
        <w:t xml:space="preserve">out </w:t>
      </w:r>
      <w:r w:rsidR="0077379C">
        <w:t>fold</w:t>
      </w:r>
      <w:r w:rsidR="00DD325B">
        <w:t xml:space="preserve"> (validation set) is used to assess the performance of the trained model. </w:t>
      </w:r>
      <w:r w:rsidR="006D181A">
        <w:t>In the context of grid search, t</w:t>
      </w:r>
      <w:r w:rsidR="00DD325B">
        <w:t>his procedure is repeated for each combination of the hyperparameters.</w:t>
      </w:r>
      <w:r w:rsidR="00AC3419">
        <w:t xml:space="preserve"> </w:t>
      </w:r>
      <w:r w:rsidR="003A3F6A">
        <w:t>The</w:t>
      </w:r>
      <w:r w:rsidR="009721A5">
        <w:t xml:space="preserve"> </w:t>
      </w:r>
      <w:r w:rsidR="003A3F6A">
        <w:t>best hyperparameters</w:t>
      </w:r>
      <w:r w:rsidR="00C02B5D">
        <w:t xml:space="preserve"> </w:t>
      </w:r>
      <w:r w:rsidR="004F51BE">
        <w:t>were</w:t>
      </w:r>
      <w:r w:rsidR="00667CF9">
        <w:t xml:space="preserve"> selected as those optimizing</w:t>
      </w:r>
      <w:r w:rsidR="00F005FB">
        <w:t xml:space="preserve"> </w:t>
      </w:r>
      <w:r w:rsidR="00C02B5D">
        <w:t xml:space="preserve">performance on the </w:t>
      </w:r>
      <w:r w:rsidR="00667CF9">
        <w:t>validation set</w:t>
      </w:r>
      <w:r w:rsidR="004F51BE">
        <w:t xml:space="preserve">, measured as the average across </w:t>
      </w:r>
      <w:r w:rsidR="00764589">
        <w:t>splits</w:t>
      </w:r>
      <w:r w:rsidR="003A3F6A">
        <w:t>.</w:t>
      </w:r>
      <w:r w:rsidR="00D658A1">
        <w:rPr>
          <w:sz w:val="24"/>
          <w:szCs w:val="24"/>
        </w:rPr>
        <w:t xml:space="preserve"> </w:t>
      </w:r>
      <w:r w:rsidR="00D7512D" w:rsidRPr="00B60F8C">
        <w:t>For further details</w:t>
      </w:r>
      <w:r w:rsidR="00BF1558">
        <w:t xml:space="preserve"> on the grid values</w:t>
      </w:r>
      <w:r w:rsidR="00D7512D" w:rsidRPr="00B60F8C">
        <w:t xml:space="preserve"> and results, see Table S</w:t>
      </w:r>
      <w:r w:rsidR="0010669A">
        <w:t>2</w:t>
      </w:r>
      <w:r w:rsidR="00D7512D" w:rsidRPr="00B60F8C">
        <w:t xml:space="preserve">. </w:t>
      </w:r>
    </w:p>
    <w:p w14:paraId="25770F21" w14:textId="1375EF62" w:rsidR="00184EC0" w:rsidRDefault="00184EC0" w:rsidP="00E56776">
      <w:pPr>
        <w:pStyle w:val="Text"/>
      </w:pPr>
      <w:r>
        <w:lastRenderedPageBreak/>
        <w:t>Finally,</w:t>
      </w:r>
      <w:r w:rsidR="00C9685E">
        <w:t xml:space="preserve"> a</w:t>
      </w:r>
      <w:r>
        <w:t xml:space="preserve"> classifier with the thus f</w:t>
      </w:r>
      <w:r w:rsidR="00764589">
        <w:t>o</w:t>
      </w:r>
      <w:r>
        <w:t>und optimal hyperparam</w:t>
      </w:r>
      <w:r w:rsidR="00390DCC">
        <w:t>e</w:t>
      </w:r>
      <w:r>
        <w:t xml:space="preserve">ters is retrained on </w:t>
      </w:r>
      <w:r w:rsidR="00764589">
        <w:t xml:space="preserve">the whole dataset </w:t>
      </w:r>
      <w:r>
        <w:t xml:space="preserve">used within cross-validated grid search to obtain a </w:t>
      </w:r>
      <w:r w:rsidR="00C9685E">
        <w:t>concrete</w:t>
      </w:r>
      <w:r>
        <w:t xml:space="preserve"> model which can be used for inference on </w:t>
      </w:r>
      <w:r w:rsidR="00C9685E">
        <w:t xml:space="preserve">new </w:t>
      </w:r>
      <w:r>
        <w:t>unseen data.</w:t>
      </w:r>
    </w:p>
    <w:p w14:paraId="5F0FCA8B" w14:textId="77777777" w:rsidR="00184EC0" w:rsidRDefault="00184EC0" w:rsidP="00E56776">
      <w:pPr>
        <w:pStyle w:val="Text"/>
      </w:pPr>
    </w:p>
    <w:p w14:paraId="1DE1B896" w14:textId="346DA542" w:rsidR="00667CF9" w:rsidRPr="0086162F" w:rsidRDefault="00667CF9" w:rsidP="00E56776">
      <w:pPr>
        <w:pStyle w:val="berschrift3"/>
        <w:numPr>
          <w:ilvl w:val="1"/>
          <w:numId w:val="8"/>
        </w:numPr>
        <w:spacing w:after="200" w:line="360" w:lineRule="auto"/>
        <w:rPr>
          <w:rFonts w:asciiTheme="majorHAnsi" w:hAnsiTheme="majorHAnsi" w:cstheme="majorHAnsi"/>
          <w:color w:val="auto"/>
          <w:szCs w:val="24"/>
        </w:rPr>
      </w:pPr>
      <w:r>
        <w:rPr>
          <w:rFonts w:asciiTheme="majorHAnsi" w:hAnsiTheme="majorHAnsi" w:cstheme="majorHAnsi"/>
          <w:color w:val="auto"/>
          <w:szCs w:val="24"/>
        </w:rPr>
        <w:t>Estimation of model performance</w:t>
      </w:r>
      <w:r w:rsidRPr="004C5A18">
        <w:rPr>
          <w:rFonts w:asciiTheme="majorHAnsi" w:hAnsiTheme="majorHAnsi" w:cstheme="majorHAnsi"/>
          <w:color w:val="auto"/>
          <w:szCs w:val="24"/>
        </w:rPr>
        <w:t xml:space="preserve"> </w:t>
      </w:r>
    </w:p>
    <w:p w14:paraId="701F33BB" w14:textId="32BD11AA" w:rsidR="006F4EEA" w:rsidRDefault="0038667A" w:rsidP="00E56776">
      <w:pPr>
        <w:pStyle w:val="Text"/>
      </w:pPr>
      <w:r>
        <w:t xml:space="preserve">To estimate the performance of the classifiers obtained using </w:t>
      </w:r>
      <w:r w:rsidR="00667CF9" w:rsidRPr="00B60F8C">
        <w:t>th</w:t>
      </w:r>
      <w:r w:rsidR="00667CF9">
        <w:t>e above</w:t>
      </w:r>
      <w:r w:rsidR="00390DCC">
        <w:t>-</w:t>
      </w:r>
      <w:r w:rsidR="00667CF9">
        <w:t>mentioned</w:t>
      </w:r>
      <w:r w:rsidR="00667CF9" w:rsidRPr="00B60F8C">
        <w:t xml:space="preserve"> </w:t>
      </w:r>
      <w:r w:rsidR="00D7512D" w:rsidRPr="00B60F8C">
        <w:t>model selection procedure</w:t>
      </w:r>
      <w:r w:rsidR="002C042B">
        <w:t xml:space="preserve"> (</w:t>
      </w:r>
      <w:r w:rsidR="004F51BE">
        <w:t xml:space="preserve">optimization of the model parameters </w:t>
      </w:r>
      <w:r w:rsidR="00DD325B">
        <w:t xml:space="preserve">and </w:t>
      </w:r>
      <w:r w:rsidR="004F51BE">
        <w:t>hyperparameters</w:t>
      </w:r>
      <w:r w:rsidR="002C042B">
        <w:t>)</w:t>
      </w:r>
      <w:r w:rsidR="00084CF6">
        <w:t xml:space="preserve"> </w:t>
      </w:r>
      <w:r>
        <w:t>we applied nested cross</w:t>
      </w:r>
      <w:r w:rsidR="007E7B2A">
        <w:t>-</w:t>
      </w:r>
      <w:r>
        <w:t>validation</w:t>
      </w:r>
      <w:r w:rsidR="00E8126C">
        <w:t xml:space="preserve"> (Figure S</w:t>
      </w:r>
      <w:r w:rsidR="00B3020C">
        <w:t>2</w:t>
      </w:r>
      <w:r w:rsidR="00E8126C">
        <w:t>)</w:t>
      </w:r>
      <w:r>
        <w:t xml:space="preserve">. </w:t>
      </w:r>
      <w:r w:rsidR="00E8126C">
        <w:t>In nested cross-validation</w:t>
      </w:r>
      <w:r w:rsidR="00DC16DC">
        <w:t xml:space="preserve">, </w:t>
      </w:r>
      <w:r w:rsidR="00DC16DC" w:rsidRPr="00B60F8C">
        <w:t>the</w:t>
      </w:r>
      <w:r w:rsidR="003A3F6A">
        <w:t xml:space="preserve"> above</w:t>
      </w:r>
      <w:r w:rsidR="00644CD6">
        <w:t xml:space="preserve"> </w:t>
      </w:r>
      <w:r w:rsidR="00631123">
        <w:t xml:space="preserve">described </w:t>
      </w:r>
      <w:r w:rsidR="003A3F6A">
        <w:t xml:space="preserve">model selection </w:t>
      </w:r>
      <w:r w:rsidR="00312958">
        <w:t xml:space="preserve">via cross-validation </w:t>
      </w:r>
      <w:r w:rsidR="00DC16DC">
        <w:t xml:space="preserve">was embedded in an </w:t>
      </w:r>
      <w:r w:rsidR="00D7512D" w:rsidRPr="00B60F8C">
        <w:t>outer cross-validation loop</w:t>
      </w:r>
      <w:r w:rsidR="00411185">
        <w:t xml:space="preserve"> (</w:t>
      </w:r>
      <w:r w:rsidR="00411185" w:rsidRPr="00B60F8C">
        <w:t>ten times repeated</w:t>
      </w:r>
      <w:r w:rsidR="00411185">
        <w:t>,</w:t>
      </w:r>
      <w:r w:rsidR="00411185" w:rsidRPr="00B60F8C">
        <w:t xml:space="preserve"> stratified</w:t>
      </w:r>
      <w:r w:rsidR="0063446C">
        <w:t>,</w:t>
      </w:r>
      <w:r w:rsidR="00411185">
        <w:t xml:space="preserve"> and</w:t>
      </w:r>
      <w:r w:rsidR="00411185" w:rsidRPr="00B60F8C">
        <w:t xml:space="preserve"> </w:t>
      </w:r>
      <w:r w:rsidR="00AF53A8">
        <w:t>ten</w:t>
      </w:r>
      <w:r w:rsidR="00411185" w:rsidRPr="00B60F8C">
        <w:t>-fold</w:t>
      </w:r>
      <w:r w:rsidR="00411185">
        <w:t>).</w:t>
      </w:r>
      <w:r w:rsidR="006459C9">
        <w:t xml:space="preserve"> </w:t>
      </w:r>
      <w:r w:rsidR="00DD325B">
        <w:t xml:space="preserve">As a result, in each </w:t>
      </w:r>
      <w:r w:rsidR="00764589">
        <w:t>split</w:t>
      </w:r>
      <w:r w:rsidR="00DD325B">
        <w:t xml:space="preserve"> the entire dataset is divided in three: (</w:t>
      </w:r>
      <w:proofErr w:type="spellStart"/>
      <w:r w:rsidR="00DD325B">
        <w:t>i</w:t>
      </w:r>
      <w:proofErr w:type="spellEnd"/>
      <w:r w:rsidR="00DD325B">
        <w:t xml:space="preserve">) </w:t>
      </w:r>
      <w:r w:rsidR="00DA3A26">
        <w:t xml:space="preserve">the test set (one outer fold), used to assess the performance of the model selection procedure, </w:t>
      </w:r>
      <w:r w:rsidR="00DD325B">
        <w:t>(ii) the validation set</w:t>
      </w:r>
      <w:r w:rsidR="00BB00FF">
        <w:t xml:space="preserve"> (one inner fold)</w:t>
      </w:r>
      <w:r w:rsidR="00DD325B">
        <w:t>, used to optimize the hyperparameters</w:t>
      </w:r>
      <w:r w:rsidR="0063446C">
        <w:t>,</w:t>
      </w:r>
      <w:r w:rsidR="00DD325B">
        <w:t xml:space="preserve"> and (iii)</w:t>
      </w:r>
      <w:r w:rsidR="00DA3A26">
        <w:t xml:space="preserve"> the trai</w:t>
      </w:r>
      <w:r w:rsidR="00F87EF1">
        <w:t>n</w:t>
      </w:r>
      <w:r w:rsidR="006F26D6">
        <w:t>ing</w:t>
      </w:r>
      <w:r w:rsidR="00DA3A26">
        <w:t xml:space="preserve"> set (remaining inner folds), used to optimize the model parameters</w:t>
      </w:r>
      <w:r w:rsidR="00FD4111">
        <w:t xml:space="preserve">. </w:t>
      </w:r>
      <w:r w:rsidR="00411185">
        <w:t>The aim of nested cross-validation is to estimate performance on data that was not used</w:t>
      </w:r>
      <w:r w:rsidR="00FD4111">
        <w:t xml:space="preserve"> (the test set)</w:t>
      </w:r>
      <w:r w:rsidR="00411185">
        <w:t>, neither for training, nor for optimization of the hyperparameters.</w:t>
      </w:r>
      <w:r w:rsidR="00A96343">
        <w:t xml:space="preserve"> </w:t>
      </w:r>
      <w:r w:rsidR="00411185">
        <w:t>Specifically, f</w:t>
      </w:r>
      <w:r w:rsidR="00A96343">
        <w:t xml:space="preserve">or each </w:t>
      </w:r>
      <w:r w:rsidR="00DA3A26">
        <w:t>split in</w:t>
      </w:r>
      <w:r w:rsidR="00A96343">
        <w:t xml:space="preserve"> the outer test loop t</w:t>
      </w:r>
      <w:r w:rsidR="00483B9C">
        <w:t xml:space="preserve">he performance </w:t>
      </w:r>
      <w:r w:rsidR="00A96343">
        <w:t>of the model with optimal hyperparam</w:t>
      </w:r>
      <w:r w:rsidR="008B09FA">
        <w:t>e</w:t>
      </w:r>
      <w:r w:rsidR="00A96343">
        <w:t>ters</w:t>
      </w:r>
      <w:r w:rsidR="00411185">
        <w:t xml:space="preserve"> (as determined based on the inner validation loop)</w:t>
      </w:r>
      <w:r w:rsidR="00A96343">
        <w:t xml:space="preserve"> </w:t>
      </w:r>
      <w:r w:rsidR="006C0FA4">
        <w:t>wa</w:t>
      </w:r>
      <w:r w:rsidR="00483B9C">
        <w:t>s then assessed</w:t>
      </w:r>
      <w:r w:rsidR="00CA2261">
        <w:t xml:space="preserve"> on </w:t>
      </w:r>
      <w:r w:rsidR="00411185">
        <w:t>the test set</w:t>
      </w:r>
      <w:r w:rsidR="00483B9C">
        <w:t xml:space="preserve"> that </w:t>
      </w:r>
      <w:r w:rsidR="006C0FA4">
        <w:t xml:space="preserve">had not been </w:t>
      </w:r>
      <w:r w:rsidR="00483B9C">
        <w:t>used so far</w:t>
      </w:r>
      <w:r w:rsidR="00704B0B">
        <w:t xml:space="preserve"> (neither for training, nor for optimization of the hyperparameters)</w:t>
      </w:r>
      <w:r w:rsidR="008B09FA">
        <w:t>. Thus,</w:t>
      </w:r>
      <w:r w:rsidR="001F41A9">
        <w:t xml:space="preserve"> </w:t>
      </w:r>
      <w:r w:rsidR="00821261">
        <w:t xml:space="preserve">for </w:t>
      </w:r>
      <w:r w:rsidR="001F41A9">
        <w:t xml:space="preserve">each </w:t>
      </w:r>
      <w:r w:rsidR="005156E7">
        <w:t>outer cross-validation split</w:t>
      </w:r>
      <w:r w:rsidR="001F41A9">
        <w:t xml:space="preserve"> </w:t>
      </w:r>
      <w:r w:rsidR="00821261">
        <w:t>two performance measures (and corresponding PR/ROC curves) were available: (</w:t>
      </w:r>
      <w:proofErr w:type="spellStart"/>
      <w:r w:rsidR="00821261">
        <w:t>i</w:t>
      </w:r>
      <w:proofErr w:type="spellEnd"/>
      <w:r w:rsidR="00821261">
        <w:t>) the test performance, which was computed on the test set</w:t>
      </w:r>
      <w:r w:rsidR="00FD4111">
        <w:t>, and (ii) the validation performance</w:t>
      </w:r>
      <w:r w:rsidR="00655491">
        <w:t>,</w:t>
      </w:r>
      <w:r w:rsidR="00FD4111">
        <w:t xml:space="preserve"> which was computed on the validation set using the procedure described above</w:t>
      </w:r>
      <w:r w:rsidR="00655491">
        <w:t>. The validation performance</w:t>
      </w:r>
      <w:r w:rsidR="005B0BCB">
        <w:t xml:space="preserve"> might be an </w:t>
      </w:r>
      <w:r w:rsidR="005B0BCB" w:rsidRPr="005B0BCB">
        <w:t xml:space="preserve">optimistically biased </w:t>
      </w:r>
      <w:r w:rsidR="00ED396E">
        <w:t>performance estimate</w:t>
      </w:r>
      <w:r w:rsidR="00ED396E" w:rsidRPr="005B0BCB">
        <w:t xml:space="preserve"> </w:t>
      </w:r>
      <w:r w:rsidR="005B0BCB" w:rsidRPr="005B0BCB">
        <w:t>of the model</w:t>
      </w:r>
      <w:r w:rsidR="007E2492">
        <w:t xml:space="preserve"> due to </w:t>
      </w:r>
      <w:r w:rsidR="008021A5">
        <w:t xml:space="preserve">information </w:t>
      </w:r>
      <w:r w:rsidR="007E2492">
        <w:t>leakage caused by</w:t>
      </w:r>
      <w:r w:rsidR="00084CF6">
        <w:t xml:space="preserve"> </w:t>
      </w:r>
      <w:r w:rsidR="007E2492">
        <w:t>optimizing</w:t>
      </w:r>
      <w:r w:rsidR="00084CF6">
        <w:t xml:space="preserve"> hyperparame</w:t>
      </w:r>
      <w:r w:rsidR="00ED396E">
        <w:t>ters on these</w:t>
      </w:r>
      <w:r w:rsidR="00084CF6">
        <w:t xml:space="preserve"> validation sets</w:t>
      </w:r>
      <w:r w:rsidR="00FD4111">
        <w:t xml:space="preserve">. </w:t>
      </w:r>
      <w:r w:rsidR="00031ABE">
        <w:t>Therefore, the final measure of model performance was obtained from the</w:t>
      </w:r>
      <w:r w:rsidR="00157C2B">
        <w:t xml:space="preserve"> average</w:t>
      </w:r>
      <w:r w:rsidR="00031ABE">
        <w:t xml:space="preserve"> test performance</w:t>
      </w:r>
      <w:r w:rsidR="00157C2B">
        <w:t xml:space="preserve"> (Figure </w:t>
      </w:r>
      <w:r w:rsidR="001D661A">
        <w:t>2</w:t>
      </w:r>
      <w:r w:rsidR="00157C2B">
        <w:t>, Figure S2)</w:t>
      </w:r>
      <w:r w:rsidR="00031ABE">
        <w:t>.</w:t>
      </w:r>
      <w:r w:rsidR="00655491">
        <w:t xml:space="preserve"> </w:t>
      </w:r>
      <w:r w:rsidR="00C47554">
        <w:t>The latter is the average over all outer cross-validation splits, where the model with optimal hyper</w:t>
      </w:r>
      <w:r w:rsidR="00655491">
        <w:t>parameters is retrained on the outer train</w:t>
      </w:r>
      <w:r w:rsidR="006F26D6">
        <w:t>ing</w:t>
      </w:r>
      <w:r w:rsidR="00655491">
        <w:t xml:space="preserve"> set</w:t>
      </w:r>
      <w:r w:rsidR="00C47554">
        <w:t xml:space="preserve"> and its performance is </w:t>
      </w:r>
      <w:r w:rsidR="00157C2B">
        <w:t>evaluated on the so far unseen t</w:t>
      </w:r>
      <w:r w:rsidR="00C47554">
        <w:t>est set</w:t>
      </w:r>
      <w:r w:rsidR="00C47554" w:rsidRPr="005B4D7A">
        <w:t>.</w:t>
      </w:r>
      <w:r w:rsidR="0027624E" w:rsidRPr="005B4D7A">
        <w:t xml:space="preserve"> Since we split </w:t>
      </w:r>
      <w:r w:rsidR="009F773E" w:rsidRPr="005B4D7A">
        <w:t>a complete dataset (</w:t>
      </w:r>
      <w:r w:rsidR="00AA508F" w:rsidRPr="005B4D7A">
        <w:t>HC/</w:t>
      </w:r>
      <w:r w:rsidR="009F773E" w:rsidRPr="005B4D7A">
        <w:t xml:space="preserve">acAN-TP1: </w:t>
      </w:r>
      <w:r w:rsidR="009B0F46" w:rsidRPr="005B4D7A">
        <w:t>N=</w:t>
      </w:r>
      <w:r w:rsidR="009F773E" w:rsidRPr="005B4D7A">
        <w:t>4</w:t>
      </w:r>
      <w:r w:rsidR="009B0F46" w:rsidRPr="005B4D7A">
        <w:t>54</w:t>
      </w:r>
      <w:r w:rsidR="009F773E" w:rsidRPr="005B4D7A">
        <w:t xml:space="preserve">, </w:t>
      </w:r>
      <w:r w:rsidR="00AA508F" w:rsidRPr="005B4D7A">
        <w:t>HC/</w:t>
      </w:r>
      <w:r w:rsidR="009F773E" w:rsidRPr="005B4D7A">
        <w:t xml:space="preserve">acAN-TP2: </w:t>
      </w:r>
      <w:r w:rsidR="009B0F46" w:rsidRPr="005B4D7A">
        <w:t>N=404</w:t>
      </w:r>
      <w:r w:rsidR="009F773E" w:rsidRPr="005B4D7A">
        <w:t xml:space="preserve">, </w:t>
      </w:r>
      <w:r w:rsidR="00AA508F" w:rsidRPr="005B4D7A">
        <w:t>HC/</w:t>
      </w:r>
      <w:r w:rsidR="009F773E" w:rsidRPr="005B4D7A">
        <w:t xml:space="preserve">recAN: </w:t>
      </w:r>
      <w:r w:rsidR="009B0F46" w:rsidRPr="005B4D7A">
        <w:t>N=379</w:t>
      </w:r>
      <w:r w:rsidR="009F773E" w:rsidRPr="005B4D7A">
        <w:t xml:space="preserve">) </w:t>
      </w:r>
      <w:r w:rsidR="0027624E" w:rsidRPr="005B4D7A">
        <w:t>into ten folds</w:t>
      </w:r>
      <w:r w:rsidR="009B0F46" w:rsidRPr="005B4D7A">
        <w:t>, each outer train</w:t>
      </w:r>
      <w:r w:rsidR="006F26D6" w:rsidRPr="005B4D7A">
        <w:t>ing</w:t>
      </w:r>
      <w:r w:rsidR="0027624E" w:rsidRPr="005B4D7A">
        <w:t xml:space="preserve"> set </w:t>
      </w:r>
      <w:r w:rsidR="008021A5" w:rsidRPr="005B4D7A">
        <w:t xml:space="preserve">contained </w:t>
      </w:r>
      <w:r w:rsidR="009B0F46" w:rsidRPr="005B4D7A">
        <w:t>9</w:t>
      </w:r>
      <w:r w:rsidR="0027624E" w:rsidRPr="005B4D7A">
        <w:t xml:space="preserve">0% of the full dataset (acAN-TP1: </w:t>
      </w:r>
      <w:r w:rsidR="009B0F46" w:rsidRPr="005B4D7A">
        <w:t>N=410</w:t>
      </w:r>
      <w:r w:rsidR="0027624E" w:rsidRPr="005B4D7A">
        <w:t xml:space="preserve">, acAN-TP2: </w:t>
      </w:r>
      <w:r w:rsidR="009B0F46" w:rsidRPr="005B4D7A">
        <w:t>N=364</w:t>
      </w:r>
      <w:r w:rsidR="0027624E" w:rsidRPr="005B4D7A">
        <w:t xml:space="preserve">, recAN: </w:t>
      </w:r>
      <w:r w:rsidR="009B0F46" w:rsidRPr="005B4D7A">
        <w:t>N=341</w:t>
      </w:r>
      <w:r w:rsidR="0027624E" w:rsidRPr="005B4D7A">
        <w:t>)</w:t>
      </w:r>
      <w:r w:rsidR="00340FAB" w:rsidRPr="005B4D7A">
        <w:t xml:space="preserve"> and each test set </w:t>
      </w:r>
      <w:r w:rsidR="008021A5" w:rsidRPr="005B4D7A">
        <w:t xml:space="preserve">contained </w:t>
      </w:r>
      <w:r w:rsidR="00340FAB" w:rsidRPr="005B4D7A">
        <w:t>the remaining 10% (acAN-TP1: N=44, acAN-TP2: N=40, recAN: N=38)</w:t>
      </w:r>
      <w:r w:rsidR="0027624E" w:rsidRPr="005B4D7A">
        <w:t>.</w:t>
      </w:r>
      <w:r w:rsidR="00C47554" w:rsidRPr="000E3701">
        <w:rPr>
          <w:b/>
          <w:color w:val="0070C0"/>
        </w:rPr>
        <w:t xml:space="preserve"> </w:t>
      </w:r>
    </w:p>
    <w:p w14:paraId="7DF7FE8F" w14:textId="0E747C2D" w:rsidR="004C5A18" w:rsidRDefault="005B0BCB" w:rsidP="00E56776">
      <w:pPr>
        <w:pStyle w:val="Text"/>
      </w:pPr>
      <w:r>
        <w:t>The difference between</w:t>
      </w:r>
      <w:r w:rsidR="006F4EEA">
        <w:t xml:space="preserve"> the test and validation performance (</w:t>
      </w:r>
      <w:r>
        <w:t xml:space="preserve">commonly called </w:t>
      </w:r>
      <w:r w:rsidR="006F4EEA">
        <w:t xml:space="preserve">generalization gap) </w:t>
      </w:r>
      <w:r>
        <w:t xml:space="preserve">can inform whether the model obtained (with optimal parameters and hyperparameters) will generalize </w:t>
      </w:r>
      <w:r>
        <w:lastRenderedPageBreak/>
        <w:t>well to unseen data. This is the case if the generalization gap is small. Conversely, a large generalization gap is an indication that the model is overfitting th</w:t>
      </w:r>
      <w:r w:rsidR="00124671">
        <w:t>e training and validation data.</w:t>
      </w:r>
    </w:p>
    <w:p w14:paraId="409472A1" w14:textId="77777777" w:rsidR="00A103A6" w:rsidRDefault="00A103A6" w:rsidP="00E56776">
      <w:pPr>
        <w:pStyle w:val="Text"/>
      </w:pPr>
    </w:p>
    <w:p w14:paraId="2CE97A46" w14:textId="70281DF4" w:rsidR="004C5A18" w:rsidRPr="006005FE" w:rsidRDefault="00FC7B63" w:rsidP="00E56776">
      <w:pPr>
        <w:pStyle w:val="berschrift3"/>
        <w:numPr>
          <w:ilvl w:val="1"/>
          <w:numId w:val="8"/>
        </w:numPr>
        <w:spacing w:after="200" w:line="360" w:lineRule="auto"/>
        <w:rPr>
          <w:rFonts w:asciiTheme="majorHAnsi" w:hAnsiTheme="majorHAnsi" w:cstheme="majorHAnsi"/>
          <w:color w:val="auto"/>
          <w:szCs w:val="24"/>
        </w:rPr>
      </w:pPr>
      <w:r w:rsidRPr="004C5A18">
        <w:rPr>
          <w:rFonts w:asciiTheme="majorHAnsi" w:hAnsiTheme="majorHAnsi" w:cstheme="majorHAnsi"/>
          <w:color w:val="auto"/>
          <w:szCs w:val="24"/>
        </w:rPr>
        <w:t xml:space="preserve">Permutation </w:t>
      </w:r>
      <w:r w:rsidR="004D238F">
        <w:rPr>
          <w:rFonts w:asciiTheme="majorHAnsi" w:hAnsiTheme="majorHAnsi" w:cstheme="majorHAnsi"/>
          <w:color w:val="auto"/>
          <w:szCs w:val="24"/>
        </w:rPr>
        <w:t>t</w:t>
      </w:r>
      <w:r w:rsidRPr="004C5A18">
        <w:rPr>
          <w:rFonts w:asciiTheme="majorHAnsi" w:hAnsiTheme="majorHAnsi" w:cstheme="majorHAnsi"/>
          <w:color w:val="auto"/>
          <w:szCs w:val="24"/>
        </w:rPr>
        <w:t>ests</w:t>
      </w:r>
      <w:r w:rsidR="00053709" w:rsidRPr="004C5A18">
        <w:rPr>
          <w:rFonts w:asciiTheme="majorHAnsi" w:hAnsiTheme="majorHAnsi" w:cstheme="majorHAnsi"/>
          <w:color w:val="auto"/>
          <w:szCs w:val="24"/>
        </w:rPr>
        <w:t>:</w:t>
      </w:r>
      <w:r w:rsidRPr="004C5A18">
        <w:rPr>
          <w:rFonts w:asciiTheme="majorHAnsi" w:hAnsiTheme="majorHAnsi" w:cstheme="majorHAnsi"/>
          <w:color w:val="auto"/>
          <w:szCs w:val="24"/>
        </w:rPr>
        <w:t xml:space="preserve">  </w:t>
      </w:r>
      <w:r w:rsidR="003B4725">
        <w:rPr>
          <w:rFonts w:asciiTheme="majorHAnsi" w:hAnsiTheme="majorHAnsi" w:cstheme="majorHAnsi"/>
          <w:color w:val="auto"/>
          <w:szCs w:val="24"/>
        </w:rPr>
        <w:t>m</w:t>
      </w:r>
      <w:r w:rsidR="004D238F">
        <w:rPr>
          <w:rFonts w:asciiTheme="majorHAnsi" w:hAnsiTheme="majorHAnsi" w:cstheme="majorHAnsi"/>
          <w:color w:val="auto"/>
          <w:szCs w:val="24"/>
        </w:rPr>
        <w:t xml:space="preserve">odel </w:t>
      </w:r>
      <w:r w:rsidRPr="004C5A18">
        <w:rPr>
          <w:rFonts w:asciiTheme="majorHAnsi" w:hAnsiTheme="majorHAnsi" w:cstheme="majorHAnsi"/>
          <w:color w:val="auto"/>
          <w:szCs w:val="24"/>
        </w:rPr>
        <w:t xml:space="preserve">performance </w:t>
      </w:r>
    </w:p>
    <w:p w14:paraId="13996B54" w14:textId="6961C48D" w:rsidR="00D86735" w:rsidRPr="00B60F8C" w:rsidRDefault="00FC7B63" w:rsidP="00E56776">
      <w:pPr>
        <w:pStyle w:val="Text"/>
      </w:pPr>
      <w:r w:rsidRPr="00B60F8C">
        <w:t xml:space="preserve">To test whether the trained classifiers performed significantly </w:t>
      </w:r>
      <w:r w:rsidR="00D86735">
        <w:t>better than</w:t>
      </w:r>
      <w:r w:rsidR="00D86735" w:rsidRPr="00B60F8C">
        <w:t xml:space="preserve"> </w:t>
      </w:r>
      <w:r w:rsidRPr="00B60F8C">
        <w:t>chance</w:t>
      </w:r>
      <w:r w:rsidR="00477057">
        <w:t xml:space="preserve">, </w:t>
      </w:r>
      <w:r w:rsidRPr="00B60F8C">
        <w:t xml:space="preserve">we employed permutation tests </w:t>
      </w:r>
      <w:r w:rsidRPr="00B60F8C">
        <w:fldChar w:fldCharType="begin"/>
      </w:r>
      <w:r w:rsidR="00AD3EA2">
        <w:instrText xml:space="preserve"> ADDIN ZOTERO_ITEM CSL_CITATION {"citationID":"zXqztF77","properties":{"formattedCitation":"(27,28)","plainCitation":"(27,28)","noteIndex":0},"citationItems":[{"id":27,"uris":["http://zotero.org/users/11105938/items/8GX8HHSN"],"itemData":{"id":27,"type":"article-journal","container-title":"NeuroImage: Clinical","DOI":"10.1016/j.nicl.2014.04.004","ISSN":"22131582","journalAbbreviation":"NeuroImage: Clinical","language":"en","page":"687-694","source":"DOI.org (Crossref)","title":"Biased binomial assessment of cross-validated estimation of classification accuracies illustrated in diagnosis predictions","volume":"4","author":[{"family":"Noirhomme","given":"Quentin"},{"family":"Lesenfants","given":"Damien"},{"family":"Gomez","given":"Francisco"},{"family":"Soddu","given":"Andrea"},{"family":"Schrouff","given":"Jessica"},{"family":"Garraux","given":"Gaëtan"},{"family":"Luxen","given":"André"},{"family":"Phillips","given":"Christophe"},{"family":"Laureys","given":"Steven"}],"issued":{"date-parts":[["2014"]]}}},{"id":29,"uris":["http://zotero.org/users/11105938/items/24QS4MS6"],"itemData":{"id":29,"type":"chapter","container-title":"Information Processing in Medical Imaging","event-place":"Berlin, Heidelberg","ISBN":"978-3-540-40560-3","note":"collection-title: Lecture Notes in Computer Science\nDOI: 10.1007/978-3-540-45087-0_28","page":"330-341","publisher":"Springer Berlin Heidelberg","publisher-place":"Berlin, Heidelberg","source":"DOI.org (Crossref)","title":"Permutation Tests for Classification: Towards Statistical Significance in Image-Based Studies","title-short":"Permutation Tests for Classification","URL":"http://link.springer.com/10.1007/978-3-540-45087-0_28","volume":"2732","collection-editor":[{"family":"Goos","given":"Gerhard"},{"family":"Hartmanis","given":"Juris"},{"family":"Leeuwen","given":"Jan","non-dropping-particle":"van"}],"editor":[{"family":"Taylor","given":"Chris"},{"family":"Noble","given":"J. Alison"}],"author":[{"family":"Golland","given":"Polina"},{"family":"Fischl","given":"Bruce"}],"accessed":{"date-parts":[["2021",3,26]]},"issued":{"date-parts":[["2003"]]}}}],"schema":"https://github.com/citation-style-language/schema/raw/master/csl-citation.json"} </w:instrText>
      </w:r>
      <w:r w:rsidRPr="00B60F8C">
        <w:fldChar w:fldCharType="separate"/>
      </w:r>
      <w:r w:rsidR="00AD3EA2" w:rsidRPr="00AD3EA2">
        <w:t>(27,28)</w:t>
      </w:r>
      <w:r w:rsidRPr="00B60F8C">
        <w:fldChar w:fldCharType="end"/>
      </w:r>
      <w:r w:rsidRPr="00B60F8C">
        <w:t xml:space="preserve"> </w:t>
      </w:r>
      <w:r w:rsidR="00EA6A1B">
        <w:t xml:space="preserve">as </w:t>
      </w:r>
      <w:r w:rsidRPr="00B60F8C">
        <w:t>described</w:t>
      </w:r>
      <w:r w:rsidR="00D20513">
        <w:t xml:space="preserve"> </w:t>
      </w:r>
      <w:r w:rsidR="006C5C50">
        <w:t>by</w:t>
      </w:r>
      <w:r w:rsidRPr="00B60F8C">
        <w:t xml:space="preserve"> </w:t>
      </w:r>
      <w:r w:rsidRPr="00B60F8C">
        <w:fldChar w:fldCharType="begin"/>
      </w:r>
      <w:r w:rsidR="00AD3EA2">
        <w:instrText xml:space="preserve"> ADDIN ZOTERO_ITEM CSL_CITATION {"citationID":"PnIzCt60","properties":{"formattedCitation":"(29)","plainCitation":"(29)","noteIndex":0},"citationItems":[{"id":23,"uris":["http://zotero.org/users/11105938/items/SDMHF9BH"],"itemData":{"id":23,"type":"article-journal","container-title":"Journal of Machine Learning Research","issue":"6","title":"Permutation tests for studying classifier performance.","volume":"11","author":[{"family":"Ojala","given":"Markus"},{"family":"Garriga","given":"Gemma C"}],"issued":{"date-parts":[["2010"]]}}}],"schema":"https://github.com/citation-style-language/schema/raw/master/csl-citation.json"} </w:instrText>
      </w:r>
      <w:r w:rsidRPr="00B60F8C">
        <w:fldChar w:fldCharType="separate"/>
      </w:r>
      <w:r w:rsidR="00AD3EA2" w:rsidRPr="00AD3EA2">
        <w:t>(29)</w:t>
      </w:r>
      <w:r w:rsidRPr="00B60F8C">
        <w:fldChar w:fldCharType="end"/>
      </w:r>
      <w:r w:rsidRPr="00B60F8C">
        <w:t xml:space="preserve">. </w:t>
      </w:r>
    </w:p>
    <w:p w14:paraId="5BE04827" w14:textId="3FD64D73" w:rsidR="004C5A18" w:rsidRDefault="00FC7B63" w:rsidP="00E56776">
      <w:pPr>
        <w:pStyle w:val="Text"/>
      </w:pPr>
      <w:r w:rsidRPr="00B60F8C">
        <w:t xml:space="preserve">To construct the null distribution </w:t>
      </w:r>
      <w:r w:rsidR="00D86735">
        <w:t xml:space="preserve">of performances for our </w:t>
      </w:r>
      <w:r w:rsidR="00007028">
        <w:t>model fitting</w:t>
      </w:r>
      <w:r w:rsidR="00D86735">
        <w:t xml:space="preserve"> procedure </w:t>
      </w:r>
      <w:r w:rsidRPr="00B60F8C">
        <w:t>we first determined the optimal hyperparameters on the whole dataset</w:t>
      </w:r>
      <w:r w:rsidR="00D86735">
        <w:t xml:space="preserve"> using cross</w:t>
      </w:r>
      <w:r w:rsidR="007E7B2A">
        <w:t>-</w:t>
      </w:r>
      <w:r w:rsidR="00D86735">
        <w:t>validation as described above</w:t>
      </w:r>
      <w:r w:rsidRPr="00B60F8C">
        <w:t xml:space="preserve">. For each permutation </w:t>
      </w:r>
      <w:r w:rsidR="00D86735">
        <w:t xml:space="preserve">of the labels (i.e. whether the scan belonged to a participant with </w:t>
      </w:r>
      <w:r w:rsidR="006C0FA4">
        <w:t xml:space="preserve">a history of </w:t>
      </w:r>
      <w:r w:rsidR="00D86735">
        <w:t xml:space="preserve">AN or a HC) </w:t>
      </w:r>
      <w:r w:rsidRPr="00B60F8C">
        <w:t xml:space="preserve">we computed AUC as </w:t>
      </w:r>
      <w:r w:rsidR="00C36E8D" w:rsidRPr="00B60F8C">
        <w:t>a</w:t>
      </w:r>
      <w:r w:rsidR="00C36E8D">
        <w:t xml:space="preserve">n </w:t>
      </w:r>
      <w:r w:rsidRPr="00B60F8C">
        <w:t>average over cross-validation</w:t>
      </w:r>
      <w:r w:rsidR="00F71ADA">
        <w:t xml:space="preserve"> splits (</w:t>
      </w:r>
      <w:r w:rsidR="00F71ADA" w:rsidRPr="00B60F8C">
        <w:t>stratified</w:t>
      </w:r>
      <w:r w:rsidR="00F71ADA">
        <w:t>,</w:t>
      </w:r>
      <w:r w:rsidR="00F71ADA" w:rsidRPr="00B60F8C">
        <w:t xml:space="preserve"> </w:t>
      </w:r>
      <w:r w:rsidR="00AF53A8">
        <w:t>ten</w:t>
      </w:r>
      <w:r w:rsidR="00F71ADA" w:rsidRPr="00B60F8C">
        <w:t>-fold</w:t>
      </w:r>
      <w:r w:rsidR="00F71ADA">
        <w:t>)</w:t>
      </w:r>
      <w:r w:rsidRPr="00B60F8C">
        <w:t>.</w:t>
      </w:r>
      <w:r w:rsidR="007F7257">
        <w:t xml:space="preserve"> </w:t>
      </w:r>
      <w:r w:rsidRPr="00B60F8C">
        <w:t xml:space="preserve"> </w:t>
      </w:r>
      <w:r w:rsidR="007F7257">
        <w:t>This procedure was repeated 1</w:t>
      </w:r>
      <w:r w:rsidR="00BF754B">
        <w:t>0</w:t>
      </w:r>
      <w:r w:rsidR="007F7257">
        <w:t xml:space="preserve">0000 times. Finally, the probability to obtain a performance equal or higher than the one </w:t>
      </w:r>
      <w:r w:rsidR="00007028">
        <w:t>estimated</w:t>
      </w:r>
      <w:r w:rsidR="007F7257">
        <w:t xml:space="preserve"> with nested cross</w:t>
      </w:r>
      <w:r w:rsidR="007E7B2A">
        <w:t>-</w:t>
      </w:r>
      <w:r w:rsidR="007F7257">
        <w:t>validation was computed, based on the empirical null distribution of permuted</w:t>
      </w:r>
      <w:r w:rsidR="00692957">
        <w:t xml:space="preserve"> </w:t>
      </w:r>
      <w:r w:rsidR="007F7257">
        <w:t>AUCs obtained.</w:t>
      </w:r>
    </w:p>
    <w:p w14:paraId="42D3CC5A" w14:textId="77777777" w:rsidR="00A103A6" w:rsidRPr="00B60F8C" w:rsidRDefault="00A103A6" w:rsidP="00E56776">
      <w:pPr>
        <w:pStyle w:val="Text"/>
      </w:pPr>
    </w:p>
    <w:p w14:paraId="27D2B33D" w14:textId="055FF408" w:rsidR="004C5A18" w:rsidRPr="00273FA9" w:rsidRDefault="00053709" w:rsidP="00E56776">
      <w:pPr>
        <w:pStyle w:val="berschrift3"/>
        <w:numPr>
          <w:ilvl w:val="1"/>
          <w:numId w:val="8"/>
        </w:numPr>
        <w:spacing w:after="200" w:line="360" w:lineRule="auto"/>
        <w:rPr>
          <w:rFonts w:asciiTheme="majorHAnsi" w:hAnsiTheme="majorHAnsi" w:cstheme="majorHAnsi"/>
          <w:color w:val="auto"/>
          <w:szCs w:val="24"/>
        </w:rPr>
      </w:pPr>
      <w:r w:rsidRPr="00273FA9">
        <w:rPr>
          <w:rFonts w:asciiTheme="majorHAnsi" w:hAnsiTheme="majorHAnsi" w:cstheme="majorHAnsi"/>
          <w:color w:val="auto"/>
          <w:szCs w:val="24"/>
        </w:rPr>
        <w:t xml:space="preserve">Permutation </w:t>
      </w:r>
      <w:r w:rsidR="004D238F">
        <w:rPr>
          <w:rFonts w:asciiTheme="majorHAnsi" w:hAnsiTheme="majorHAnsi" w:cstheme="majorHAnsi"/>
          <w:color w:val="auto"/>
          <w:szCs w:val="24"/>
        </w:rPr>
        <w:t>t</w:t>
      </w:r>
      <w:r w:rsidRPr="00273FA9">
        <w:rPr>
          <w:rFonts w:asciiTheme="majorHAnsi" w:hAnsiTheme="majorHAnsi" w:cstheme="majorHAnsi"/>
          <w:color w:val="auto"/>
          <w:szCs w:val="24"/>
        </w:rPr>
        <w:t xml:space="preserve">ests: role of confounding variables </w:t>
      </w:r>
    </w:p>
    <w:p w14:paraId="44899506" w14:textId="076679A0" w:rsidR="00B678D5" w:rsidRDefault="00053709" w:rsidP="00E56776">
      <w:pPr>
        <w:pStyle w:val="Text"/>
      </w:pPr>
      <w:r>
        <w:t>Since</w:t>
      </w:r>
      <w:r w:rsidR="00FC7B63" w:rsidRPr="007F7257">
        <w:t xml:space="preserve"> classifiers are highly sensitive to any kind of exploitable group differences in the data, we also assessed </w:t>
      </w:r>
      <w:r w:rsidR="007F7257" w:rsidRPr="00B60F8C">
        <w:t xml:space="preserve">to which extent the information used for classification </w:t>
      </w:r>
      <w:r w:rsidR="00A16FBA">
        <w:t>originated</w:t>
      </w:r>
      <w:r w:rsidR="007F7257" w:rsidRPr="00B60F8C">
        <w:t xml:space="preserve"> from confounding variables</w:t>
      </w:r>
      <w:r w:rsidR="007F7257">
        <w:t xml:space="preserve"> as opposed to </w:t>
      </w:r>
      <w:r w:rsidR="00C36E8D">
        <w:t>sMRI measures</w:t>
      </w:r>
      <w:r w:rsidR="007F7257" w:rsidRPr="00B60F8C">
        <w:t xml:space="preserve">, </w:t>
      </w:r>
      <w:r w:rsidR="00FC7B63" w:rsidRPr="007F7257">
        <w:t>by applying the post-hoc method proposed</w:t>
      </w:r>
      <w:r w:rsidR="007F7257">
        <w:t xml:space="preserve"> by </w:t>
      </w:r>
      <w:proofErr w:type="spellStart"/>
      <w:r w:rsidR="007F7257">
        <w:t>Dinga</w:t>
      </w:r>
      <w:proofErr w:type="spellEnd"/>
      <w:r w:rsidR="007F7257">
        <w:t xml:space="preserve"> et al. </w:t>
      </w:r>
      <w:r w:rsidR="00FC7B63" w:rsidRPr="007F7257">
        <w:t xml:space="preserve"> </w:t>
      </w:r>
      <w:r w:rsidR="00FC7B63" w:rsidRPr="007F7257">
        <w:fldChar w:fldCharType="begin"/>
      </w:r>
      <w:r w:rsidR="00AD3EA2">
        <w:instrText xml:space="preserve"> ADDIN ZOTERO_ITEM CSL_CITATION {"citationID":"eTEXCCJR","properties":{"formattedCitation":"(30)","plainCitation":"(30)","noteIndex":0},"citationItems":[{"id":18,"uris":["http://zotero.org/users/11105938/items/BV6UX455"],"itemData":{"id":18,"type":"report","abstract":"ABSTRACT\n          Machine learning predictive models are being used in neuroimaging to predict information about the task or stimuli or to identify potentially clinically useful biomarkers. However, the predictions can be driven by confounding variables unrelated to the signal of interest, such as scanner effect or head motion, limiting the clinical usefulness and interpretation of machine learning models. The most common method to control for confounding effects is regressing out the confounding variables separately from each input variable before machine learning modeling. However, we show that this method is insufficient because machine learning models can learn information from the data that cannot be regressed out. Instead of regressing out confounding effects from each input variable, we propose controlling for confounds post-hoc on the level of machine learning predictions. This allows partitioning of the predictive performance into the performance that can be explained by confounds and performance independent of confounds. This approach is flexible and allows for parametric and non-parametric confound adjustment. We show in real and simulated data that this method correctly controls for confounding effects even when traditional input variable adjustment produces false-positive findings.","genre":"preprint","language":"en","note":"DOI: 10.1101/2020.08.17.255034","publisher":"Bioinformatics","source":"DOI.org (Crossref)","title":"Controlling for effects of confounding variables on machine learning predictions","URL":"http://biorxiv.org/lookup/doi/10.1101/2020.08.17.255034","author":[{"family":"Dinga","given":"Richard"},{"family":"Schmaal","given":"Lianne"},{"family":"Penninx","given":"Brenda W.J.H."},{"family":"Veltman","given":"Dick J."},{"family":"Marquand","given":"Andre F."}],"accessed":{"date-parts":[["2021",3,8]]},"issued":{"date-parts":[["2020",8,18]]}}}],"schema":"https://github.com/citation-style-language/schema/raw/master/csl-citation.json"} </w:instrText>
      </w:r>
      <w:r w:rsidR="00FC7B63" w:rsidRPr="007F7257">
        <w:fldChar w:fldCharType="separate"/>
      </w:r>
      <w:r w:rsidR="00AD3EA2" w:rsidRPr="00AD3EA2">
        <w:t>(30)</w:t>
      </w:r>
      <w:r w:rsidR="00FC7B63" w:rsidRPr="007F7257">
        <w:fldChar w:fldCharType="end"/>
      </w:r>
      <w:r w:rsidR="00FC7B63" w:rsidRPr="007F7257">
        <w:t xml:space="preserve">. </w:t>
      </w:r>
      <w:r>
        <w:t xml:space="preserve">In short, the method aims to establish, </w:t>
      </w:r>
      <w:r w:rsidRPr="00053709">
        <w:t>after the ma</w:t>
      </w:r>
      <w:r>
        <w:t xml:space="preserve">chine learning model is fitted, the fraction of deviance </w:t>
      </w:r>
      <w:r w:rsidRPr="00053709">
        <w:t>explained by</w:t>
      </w:r>
      <w:r w:rsidR="00D22A05">
        <w:t>:</w:t>
      </w:r>
      <w:r w:rsidRPr="00053709">
        <w:t xml:space="preserve"> </w:t>
      </w:r>
      <w:r w:rsidR="00494E20">
        <w:t>(</w:t>
      </w:r>
      <w:proofErr w:type="spellStart"/>
      <w:r w:rsidR="00494E20">
        <w:t>i</w:t>
      </w:r>
      <w:proofErr w:type="spellEnd"/>
      <w:r w:rsidR="00D22A05">
        <w:t xml:space="preserve">) exclusively </w:t>
      </w:r>
      <w:r w:rsidRPr="00053709">
        <w:t>machine learning predictio</w:t>
      </w:r>
      <w:r>
        <w:t xml:space="preserve">ns </w:t>
      </w:r>
      <w:r w:rsidR="00494E20">
        <w:t>(ii)</w:t>
      </w:r>
      <w:r>
        <w:t xml:space="preserve"> </w:t>
      </w:r>
      <w:r w:rsidR="00D22A05">
        <w:t xml:space="preserve">exclusively </w:t>
      </w:r>
      <w:r>
        <w:t>confounds</w:t>
      </w:r>
      <w:r w:rsidR="00D22A05">
        <w:t xml:space="preserve">, and </w:t>
      </w:r>
      <w:r w:rsidR="00494E20">
        <w:t>(iii)</w:t>
      </w:r>
      <w:r w:rsidR="00D22A05">
        <w:t xml:space="preserve"> both machine learning predictions and confounds</w:t>
      </w:r>
      <w:r>
        <w:t>.</w:t>
      </w:r>
      <w:r w:rsidR="00D22A05">
        <w:t xml:space="preserve"> </w:t>
      </w:r>
      <w:r w:rsidR="006C5C50">
        <w:t>D</w:t>
      </w:r>
      <w:r w:rsidR="00D22A05">
        <w:t xml:space="preserve">eviance is </w:t>
      </w:r>
      <w:r w:rsidR="00D22A05" w:rsidRPr="00D22A05">
        <w:t>a goodness-of-fit statistic</w:t>
      </w:r>
      <w:r w:rsidR="00D22A05">
        <w:t xml:space="preserve"> analogous </w:t>
      </w:r>
      <w:r w:rsidR="00BF0027">
        <w:t>to explained</w:t>
      </w:r>
      <w:r w:rsidR="00D22A05">
        <w:t xml:space="preserve"> variance</w:t>
      </w:r>
      <w:r w:rsidR="005B0375">
        <w:t xml:space="preserve"> </w:t>
      </w:r>
      <w:r w:rsidR="00BF0027">
        <w:t>but</w:t>
      </w:r>
      <w:r w:rsidR="00D22A05">
        <w:t xml:space="preserve"> for categorical variables</w:t>
      </w:r>
      <w:r w:rsidR="005B0375">
        <w:t xml:space="preserve">, </w:t>
      </w:r>
      <w:r w:rsidR="00BF0027">
        <w:t>such as</w:t>
      </w:r>
      <w:r w:rsidR="005B0375">
        <w:t xml:space="preserve"> the labels </w:t>
      </w:r>
      <w:r w:rsidR="00BF0027">
        <w:t xml:space="preserve">that </w:t>
      </w:r>
      <w:r w:rsidR="005B0375">
        <w:t>indicat</w:t>
      </w:r>
      <w:r w:rsidR="00BF0027">
        <w:t>e</w:t>
      </w:r>
      <w:r w:rsidR="005B0375">
        <w:t xml:space="preserve"> group </w:t>
      </w:r>
      <w:r w:rsidR="00BF0027">
        <w:t>membership</w:t>
      </w:r>
      <w:r w:rsidR="005B0375">
        <w:t xml:space="preserve"> (acAN-TP1, acAN-TP2, recAN, HC).</w:t>
      </w:r>
      <w:r>
        <w:t xml:space="preserve"> </w:t>
      </w:r>
      <w:r w:rsidR="005B0375">
        <w:t>T</w:t>
      </w:r>
      <w:r w:rsidR="005B0375" w:rsidRPr="005B0375">
        <w:t xml:space="preserve">he </w:t>
      </w:r>
      <w:r w:rsidR="001E7CF8">
        <w:t>machine learning-based risk</w:t>
      </w:r>
      <w:r w:rsidR="0079343E">
        <w:t xml:space="preserve"> scores</w:t>
      </w:r>
      <w:r w:rsidR="005B0375" w:rsidRPr="005B0375">
        <w:t xml:space="preserve"> of the classifier trained on the whole dataset</w:t>
      </w:r>
      <w:r w:rsidR="005B0375">
        <w:t xml:space="preserve"> were taken as the machine learning predictions. F</w:t>
      </w:r>
      <w:r w:rsidR="005B0375" w:rsidRPr="005B0375">
        <w:t>or each data</w:t>
      </w:r>
      <w:r w:rsidR="006C0FA4">
        <w:t xml:space="preserve"> </w:t>
      </w:r>
      <w:r w:rsidR="005B0375" w:rsidRPr="005B0375">
        <w:t>point</w:t>
      </w:r>
      <w:r w:rsidR="005B0375">
        <w:t>, they corresponded to</w:t>
      </w:r>
      <w:r w:rsidR="005B0375" w:rsidRPr="005B0375">
        <w:t xml:space="preserve"> the signed distance from the separating hyperplane </w:t>
      </w:r>
      <w:r w:rsidR="005B0375">
        <w:t xml:space="preserve">for SVMs, </w:t>
      </w:r>
      <w:r w:rsidR="005B0375" w:rsidRPr="005B0375">
        <w:t xml:space="preserve">or the probability output </w:t>
      </w:r>
      <w:r w:rsidR="005B0375">
        <w:t>for</w:t>
      </w:r>
      <w:r w:rsidR="005B0375" w:rsidRPr="005B0375">
        <w:t xml:space="preserve"> neural net</w:t>
      </w:r>
      <w:r w:rsidR="00CF123B">
        <w:t>work</w:t>
      </w:r>
      <w:r w:rsidR="005B0375">
        <w:t xml:space="preserve">s. </w:t>
      </w:r>
      <w:proofErr w:type="gramStart"/>
      <w:r>
        <w:t>Similarly</w:t>
      </w:r>
      <w:proofErr w:type="gramEnd"/>
      <w:r>
        <w:t xml:space="preserve"> to above, permutation tests </w:t>
      </w:r>
      <w:r w:rsidR="00D22A05">
        <w:t>we</w:t>
      </w:r>
      <w:r>
        <w:t xml:space="preserve">re used to assess whether </w:t>
      </w:r>
      <w:r w:rsidR="00D22A05">
        <w:t>fractions</w:t>
      </w:r>
      <w:r w:rsidR="005B0375">
        <w:t xml:space="preserve"> of deviance</w:t>
      </w:r>
      <w:r w:rsidR="00D22A05">
        <w:t xml:space="preserve"> were significantly bigger than zero. Importantly, in this case</w:t>
      </w:r>
      <w:r w:rsidR="00C36E8D" w:rsidRPr="00B60F8C">
        <w:t xml:space="preserve"> </w:t>
      </w:r>
      <w:r w:rsidR="00A16FBA">
        <w:t xml:space="preserve">only </w:t>
      </w:r>
      <w:r w:rsidR="00C36E8D" w:rsidRPr="00B60F8C">
        <w:t>sMRI features</w:t>
      </w:r>
      <w:r w:rsidR="00C36E8D">
        <w:t xml:space="preserve"> were permuted</w:t>
      </w:r>
      <w:r w:rsidR="00C36E8D" w:rsidRPr="00B60F8C">
        <w:t xml:space="preserve"> relative to the group variable</w:t>
      </w:r>
      <w:r w:rsidR="00A16FBA">
        <w:t xml:space="preserve"> but confounds remained </w:t>
      </w:r>
      <w:r w:rsidR="00843689">
        <w:t xml:space="preserve">unpermuted </w:t>
      </w:r>
      <w:r w:rsidR="00C36E8D" w:rsidRPr="00B60F8C">
        <w:fldChar w:fldCharType="begin"/>
      </w:r>
      <w:r w:rsidR="00AD3EA2">
        <w:instrText xml:space="preserve"> ADDIN ZOTERO_ITEM CSL_CITATION {"citationID":"eN4K4o8D","properties":{"formattedCitation":"(30,31)","plainCitation":"(30,31)","noteIndex":0},"citationItems":[{"id":18,"uris":["http://zotero.org/users/11105938/items/BV6UX455"],"itemData":{"id":18,"type":"report","abstract":"ABSTRACT\n          Machine learning predictive models are being used in neuroimaging to predict information about the task or stimuli or to identify potentially clinically useful biomarkers. However, the predictions can be driven by confounding variables unrelated to the signal of interest, such as scanner effect or head motion, limiting the clinical usefulness and interpretation of machine learning models. The most common method to control for confounding effects is regressing out the confounding variables separately from each input variable before machine learning modeling. However, we show that this method is insufficient because machine learning models can learn information from the data that cannot be regressed out. Instead of regressing out confounding effects from each input variable, we propose controlling for confounds post-hoc on the level of machine learning predictions. This allows partitioning of the predictive performance into the performance that can be explained by confounds and performance independent of confounds. This approach is flexible and allows for parametric and non-parametric confound adjustment. We show in real and simulated data that this method correctly controls for confounding effects even when traditional input variable adjustment produces false-positive findings.","genre":"preprint","language":"en","note":"DOI: 10.1101/2020.08.17.255034","publisher":"Bioinformatics","source":"DOI.org (Crossref)","title":"Controlling for effects of confounding variables on machine learning predictions","URL":"http://biorxiv.org/lookup/doi/10.1101/2020.08.17.255034","author":[{"family":"Dinga","given":"Richard"},{"family":"Schmaal","given":"Lianne"},{"family":"Penninx","given":"Brenda W.J.H."},{"family":"Veltman","given":"Dick J."},{"family":"Marquand","given":"Andre F."}],"accessed":{"date-parts":[["2021",3,8]]},"issued":{"date-parts":[["2020",8,18]]}}},{"id":31,"uris":["http://zotero.org/users/11105938/items/YRFIJ3AA"],"itemData":{"id":31,"type":"article-journal","container-title":"The Annals of Applied Statistics","DOI":"10.1214/07-AOAS152","ISSN":"1932-6157","issue":"2","journalAbbreviation":"Ann. Appl. Stat.","source":"DOI.org (Crossref)","title":"A study of pre-validation","URL":"https://projecteuclid.org/journals/annals-of-applied-statistics/volume-2/issue-2/A-study-of-pre-validation/10.1214/07-AOAS152.full","volume":"2","author":[{"family":"Höfling","given":"Holger"},{"family":"Tibshirani","given":"Robert"}],"accessed":{"date-parts":[["2021",3,26]]},"issued":{"date-parts":[["2008",6,1]]}}}],"schema":"https://github.com/citation-style-language/schema/raw/master/csl-citation.json"} </w:instrText>
      </w:r>
      <w:r w:rsidR="00C36E8D" w:rsidRPr="00B60F8C">
        <w:fldChar w:fldCharType="separate"/>
      </w:r>
      <w:r w:rsidR="00AD3EA2" w:rsidRPr="00AD3EA2">
        <w:t>(30,31)</w:t>
      </w:r>
      <w:r w:rsidR="00C36E8D" w:rsidRPr="00B60F8C">
        <w:fldChar w:fldCharType="end"/>
      </w:r>
      <w:r w:rsidR="00C36E8D" w:rsidRPr="00B60F8C">
        <w:t xml:space="preserve">. </w:t>
      </w:r>
      <w:r w:rsidR="00C36E8D">
        <w:t>As above, f</w:t>
      </w:r>
      <w:r w:rsidR="00C36E8D" w:rsidRPr="00B60F8C">
        <w:t xml:space="preserve">or each permutation we computed </w:t>
      </w:r>
      <w:r w:rsidR="00C36E8D">
        <w:t xml:space="preserve">the </w:t>
      </w:r>
      <w:r w:rsidR="00D22A05">
        <w:t xml:space="preserve">fractions of </w:t>
      </w:r>
      <w:r w:rsidR="00C36E8D">
        <w:t>deviance</w:t>
      </w:r>
      <w:r w:rsidR="00D22A05">
        <w:t xml:space="preserve"> explained as</w:t>
      </w:r>
      <w:r w:rsidR="00C36E8D" w:rsidRPr="00B60F8C">
        <w:t xml:space="preserve"> a</w:t>
      </w:r>
      <w:r w:rsidR="00C36E8D">
        <w:t xml:space="preserve">n </w:t>
      </w:r>
      <w:r w:rsidR="00C36E8D" w:rsidRPr="00B60F8C">
        <w:t>average over cross-validation</w:t>
      </w:r>
      <w:r w:rsidR="00F71ADA">
        <w:t xml:space="preserve"> splits (stratified, </w:t>
      </w:r>
      <w:r w:rsidR="00AF53A8">
        <w:t>ten</w:t>
      </w:r>
      <w:r w:rsidR="00F71ADA">
        <w:t>-fold)</w:t>
      </w:r>
      <w:r w:rsidR="00C36E8D" w:rsidRPr="00B60F8C">
        <w:t>.</w:t>
      </w:r>
      <w:bookmarkStart w:id="3" w:name="_1brfuuxhlauo" w:colFirst="0" w:colLast="0"/>
      <w:bookmarkEnd w:id="3"/>
    </w:p>
    <w:p w14:paraId="2F63B010" w14:textId="04FB5C3A" w:rsidR="005C0616" w:rsidRPr="005C0616" w:rsidRDefault="005C0616" w:rsidP="00E56776">
      <w:pPr>
        <w:pStyle w:val="berschrift3"/>
        <w:numPr>
          <w:ilvl w:val="1"/>
          <w:numId w:val="8"/>
        </w:numPr>
        <w:spacing w:after="200" w:line="360" w:lineRule="auto"/>
        <w:rPr>
          <w:rFonts w:asciiTheme="majorHAnsi" w:hAnsiTheme="majorHAnsi" w:cstheme="majorHAnsi"/>
          <w:color w:val="auto"/>
          <w:szCs w:val="24"/>
        </w:rPr>
      </w:pPr>
      <w:r>
        <w:rPr>
          <w:rFonts w:asciiTheme="majorHAnsi" w:hAnsiTheme="majorHAnsi" w:cstheme="majorHAnsi"/>
          <w:color w:val="auto"/>
          <w:szCs w:val="24"/>
        </w:rPr>
        <w:lastRenderedPageBreak/>
        <w:t>Long-term outcome prediction</w:t>
      </w:r>
    </w:p>
    <w:p w14:paraId="4EC104DB" w14:textId="67BDA667" w:rsidR="005C0616" w:rsidRDefault="005C0616" w:rsidP="00E56776">
      <w:pPr>
        <w:pStyle w:val="Text"/>
      </w:pPr>
      <w:r w:rsidRPr="005C0616">
        <w:t>For acAN-TP2</w:t>
      </w:r>
      <w:r w:rsidR="00692957">
        <w:t xml:space="preserve"> </w:t>
      </w:r>
      <w:r w:rsidRPr="005C0616">
        <w:t xml:space="preserve">who completed the one-year post-admission Morgan-Russel interview (N=74), we </w:t>
      </w:r>
      <w:r>
        <w:t>tested</w:t>
      </w:r>
      <w:r w:rsidRPr="005C0616">
        <w:t xml:space="preserve"> whether eventual multivariate structural alterations were related to long-term treatment outcome. </w:t>
      </w:r>
      <w:r w:rsidR="00D07B6F">
        <w:t xml:space="preserve">To this end, we </w:t>
      </w:r>
      <w:r w:rsidR="00643242">
        <w:t xml:space="preserve">built </w:t>
      </w:r>
      <w:r w:rsidR="00D07B6F">
        <w:t xml:space="preserve">GLMs with Morgan-Russel outcome score as </w:t>
      </w:r>
      <w:r w:rsidR="004B0BFB">
        <w:t xml:space="preserve">dependent </w:t>
      </w:r>
      <w:r w:rsidR="00D07B6F">
        <w:t xml:space="preserve">variable. </w:t>
      </w:r>
    </w:p>
    <w:p w14:paraId="26872598" w14:textId="6290B803" w:rsidR="00643242" w:rsidRDefault="00643242" w:rsidP="00E56776">
      <w:pPr>
        <w:pStyle w:val="Text"/>
      </w:pPr>
      <w:r>
        <w:t>The baseline GLM had the machine learning-based risk score as independent variable and no additional covariate. In addition to the machine learning-based risk score, the other GLMs considered had (</w:t>
      </w:r>
      <w:proofErr w:type="spellStart"/>
      <w:r>
        <w:t>i</w:t>
      </w:r>
      <w:proofErr w:type="spellEnd"/>
      <w:r>
        <w:t xml:space="preserve">) </w:t>
      </w:r>
      <w:r w:rsidRPr="0059614E">
        <w:t>current BMI-SDS</w:t>
      </w:r>
      <w:r>
        <w:t>,</w:t>
      </w:r>
      <w:r w:rsidRPr="0059614E">
        <w:t xml:space="preserve"> </w:t>
      </w:r>
      <w:r>
        <w:t xml:space="preserve">or (ii) </w:t>
      </w:r>
      <w:r w:rsidRPr="0059614E">
        <w:t>BMI-SDS</w:t>
      </w:r>
      <w:r>
        <w:t xml:space="preserve"> increase since admission to</w:t>
      </w:r>
      <w:r w:rsidRPr="0059614E">
        <w:t xml:space="preserve"> treatment</w:t>
      </w:r>
      <w:r>
        <w:t>, or (iii) comorbidity at admission as additional covariate. The binary variable comorbidity indicates the presence or absence of a comorbid disorder at admission to the treatment program. Due to the low number of specific diagnoses we only considered this coarse differentiation. Of 14 acAN-TP2 patients with any comorbidity, the most frequent diagnoses were depressive (</w:t>
      </w:r>
      <w:r w:rsidR="00EF37E2">
        <w:t>N</w:t>
      </w:r>
      <w:r>
        <w:t>=</w:t>
      </w:r>
      <w:r w:rsidR="009F1995" w:rsidRPr="003B1BC0">
        <w:t>6</w:t>
      </w:r>
      <w:r>
        <w:t>) and anxiety (</w:t>
      </w:r>
      <w:r w:rsidR="00EF37E2">
        <w:t>N</w:t>
      </w:r>
      <w:r>
        <w:t>=5) diso</w:t>
      </w:r>
      <w:r w:rsidRPr="005B4D7A">
        <w:t>rders.</w:t>
      </w:r>
      <w:r w:rsidR="00291DBE" w:rsidRPr="005B4D7A">
        <w:t xml:space="preserve"> </w:t>
      </w:r>
      <w:bookmarkStart w:id="4" w:name="_Hlk130918717"/>
      <w:r w:rsidR="00291DBE" w:rsidRPr="005B4D7A">
        <w:t xml:space="preserve">The </w:t>
      </w:r>
      <w:r w:rsidR="002D5352" w:rsidRPr="005B4D7A">
        <w:t xml:space="preserve">subsample of </w:t>
      </w:r>
      <w:r w:rsidR="00291DBE" w:rsidRPr="005B4D7A">
        <w:t>acAN-TP2 pa</w:t>
      </w:r>
      <w:r w:rsidR="00664B36" w:rsidRPr="005B4D7A">
        <w:t>tients</w:t>
      </w:r>
      <w:r w:rsidR="00291DBE" w:rsidRPr="005B4D7A">
        <w:t xml:space="preserve"> </w:t>
      </w:r>
      <w:r w:rsidR="002D5352" w:rsidRPr="005B4D7A">
        <w:t>for wh</w:t>
      </w:r>
      <w:r w:rsidR="005D1533" w:rsidRPr="005B4D7A">
        <w:t>om the</w:t>
      </w:r>
      <w:r w:rsidR="00291DBE" w:rsidRPr="005B4D7A">
        <w:t xml:space="preserve"> </w:t>
      </w:r>
      <w:r w:rsidR="007A7144" w:rsidRPr="005B4D7A">
        <w:t>Morgan-Russel outcome</w:t>
      </w:r>
      <w:r w:rsidR="00291DBE" w:rsidRPr="005B4D7A">
        <w:t xml:space="preserve"> </w:t>
      </w:r>
      <w:r w:rsidR="005D1533" w:rsidRPr="005B4D7A">
        <w:t xml:space="preserve">was available </w:t>
      </w:r>
      <w:r w:rsidR="007A7144" w:rsidRPr="005B4D7A">
        <w:t xml:space="preserve">did not differ significantly in </w:t>
      </w:r>
      <w:r w:rsidR="00803B0A" w:rsidRPr="005B4D7A">
        <w:t>number</w:t>
      </w:r>
      <w:r w:rsidR="007A7144" w:rsidRPr="005B4D7A">
        <w:t xml:space="preserve"> of</w:t>
      </w:r>
      <w:r w:rsidR="00803B0A" w:rsidRPr="005B4D7A">
        <w:t xml:space="preserve"> diagnosed</w:t>
      </w:r>
      <w:r w:rsidR="007A7144" w:rsidRPr="005B4D7A">
        <w:t xml:space="preserve"> comorbid condition</w:t>
      </w:r>
      <w:r w:rsidR="00803B0A" w:rsidRPr="005B4D7A">
        <w:t>s</w:t>
      </w:r>
      <w:r w:rsidR="005D1533" w:rsidRPr="005B4D7A">
        <w:t xml:space="preserve"> from those for whom this information was not available</w:t>
      </w:r>
      <w:r w:rsidR="007A7144" w:rsidRPr="005B4D7A">
        <w:t xml:space="preserve"> (Table S1)</w:t>
      </w:r>
      <w:bookmarkEnd w:id="4"/>
      <w:r w:rsidR="007A7144" w:rsidRPr="005B4D7A">
        <w:t xml:space="preserve">. </w:t>
      </w:r>
      <w:r w:rsidR="005D1533" w:rsidRPr="005B4D7A">
        <w:t>Moreover, long-term Morgan-Russel outcome was not significantly worse in acAN-TP2 patients with any comorbidity compared to those without comorbidity (one-sided Mann-Whitney U test p=0.64).</w:t>
      </w:r>
    </w:p>
    <w:p w14:paraId="2994031E" w14:textId="47DDD3C2" w:rsidR="005C0616" w:rsidRDefault="00803B0A" w:rsidP="00E56776">
      <w:pPr>
        <w:pStyle w:val="Text"/>
      </w:pPr>
      <w:r w:rsidRPr="001B4203">
        <w:t xml:space="preserve">For GLM regression coefficients, </w:t>
      </w:r>
      <w:r w:rsidR="00BB029B" w:rsidRPr="001B4203">
        <w:t>w</w:t>
      </w:r>
      <w:r w:rsidR="00643242" w:rsidRPr="001B4203">
        <w:t>e reported</w:t>
      </w:r>
      <w:r w:rsidR="00643242" w:rsidRPr="005C0616">
        <w:t xml:space="preserve"> </w:t>
      </w:r>
      <w:r w:rsidR="005C0616" w:rsidRPr="005C0616">
        <w:t>significance levels correspond</w:t>
      </w:r>
      <w:r w:rsidR="00643242">
        <w:t>ing</w:t>
      </w:r>
      <w:r w:rsidR="005C0616" w:rsidRPr="005C0616">
        <w:t xml:space="preserve"> to one one-tailed tests, reflecting our hypothesis that more pronounced multivariate alterations in acAN-TP2 indicate worse long-term outcome. The Morgan-Russel outcome target distribution showed left-skewness and was therefore exponential transformed. The free parameter of the transformation was set to optimize the Gaussian shape of the resulting regression residuals, assessed via the Kolmogorov-Smirnov test.</w:t>
      </w:r>
    </w:p>
    <w:p w14:paraId="36A811F1" w14:textId="77777777" w:rsidR="00A103A6" w:rsidRPr="00B60F8C" w:rsidRDefault="00A103A6" w:rsidP="00E56776">
      <w:pPr>
        <w:pStyle w:val="Text"/>
      </w:pPr>
    </w:p>
    <w:p w14:paraId="3934E4C8" w14:textId="4DD05F52" w:rsidR="00B478EF" w:rsidRPr="004C5A18" w:rsidRDefault="00B478EF" w:rsidP="00E56776">
      <w:pPr>
        <w:pStyle w:val="berschrift3"/>
        <w:numPr>
          <w:ilvl w:val="1"/>
          <w:numId w:val="8"/>
        </w:numPr>
        <w:spacing w:after="200" w:line="360" w:lineRule="auto"/>
        <w:rPr>
          <w:rFonts w:asciiTheme="majorHAnsi" w:hAnsiTheme="majorHAnsi" w:cstheme="majorHAnsi"/>
          <w:color w:val="auto"/>
          <w:szCs w:val="24"/>
        </w:rPr>
      </w:pPr>
      <w:r w:rsidRPr="004C5A18">
        <w:rPr>
          <w:rFonts w:asciiTheme="majorHAnsi" w:hAnsiTheme="majorHAnsi" w:cstheme="majorHAnsi"/>
          <w:color w:val="auto"/>
          <w:szCs w:val="24"/>
        </w:rPr>
        <w:t xml:space="preserve">Feature </w:t>
      </w:r>
      <w:r w:rsidR="004D238F">
        <w:rPr>
          <w:rFonts w:asciiTheme="majorHAnsi" w:hAnsiTheme="majorHAnsi" w:cstheme="majorHAnsi"/>
          <w:color w:val="auto"/>
          <w:szCs w:val="24"/>
        </w:rPr>
        <w:t>i</w:t>
      </w:r>
      <w:r w:rsidRPr="004C5A18">
        <w:rPr>
          <w:rFonts w:asciiTheme="majorHAnsi" w:hAnsiTheme="majorHAnsi" w:cstheme="majorHAnsi"/>
          <w:color w:val="auto"/>
          <w:szCs w:val="24"/>
        </w:rPr>
        <w:t xml:space="preserve">mportance and </w:t>
      </w:r>
      <w:r w:rsidR="004D238F">
        <w:rPr>
          <w:rFonts w:asciiTheme="majorHAnsi" w:hAnsiTheme="majorHAnsi" w:cstheme="majorHAnsi"/>
          <w:color w:val="auto"/>
          <w:szCs w:val="24"/>
        </w:rPr>
        <w:t>r</w:t>
      </w:r>
      <w:r w:rsidRPr="004C5A18">
        <w:rPr>
          <w:rFonts w:asciiTheme="majorHAnsi" w:hAnsiTheme="majorHAnsi" w:cstheme="majorHAnsi"/>
          <w:color w:val="auto"/>
          <w:szCs w:val="24"/>
        </w:rPr>
        <w:t>eliability</w:t>
      </w:r>
    </w:p>
    <w:p w14:paraId="2D993B57" w14:textId="56E29DF0" w:rsidR="00426830" w:rsidRPr="005B4D7A" w:rsidRDefault="00426830" w:rsidP="00E56776">
      <w:pPr>
        <w:pStyle w:val="Text"/>
      </w:pPr>
      <w:r w:rsidRPr="003B1BC0">
        <w:t xml:space="preserve">In order to evaluate the extent to which each feature impacted the classifier's decision, we utilized the method of feature importance estimation as outlined in </w:t>
      </w:r>
      <w:proofErr w:type="spellStart"/>
      <w:r w:rsidRPr="003B1BC0">
        <w:t>Haufe</w:t>
      </w:r>
      <w:proofErr w:type="spellEnd"/>
      <w:r w:rsidRPr="003B1BC0">
        <w:t xml:space="preserve"> et al. </w:t>
      </w:r>
      <w:r w:rsidRPr="005B4D7A">
        <w:rPr>
          <w:rStyle w:val="EDITINSERTChar"/>
          <w:color w:val="000000"/>
          <w:u w:val="none"/>
        </w:rPr>
        <w:fldChar w:fldCharType="begin"/>
      </w:r>
      <w:r w:rsidR="00AD3EA2" w:rsidRPr="005B4D7A">
        <w:rPr>
          <w:rStyle w:val="EDITINSERTChar"/>
          <w:color w:val="000000"/>
          <w:u w:val="none"/>
        </w:rPr>
        <w:instrText xml:space="preserve"> ADDIN ZOTERO_ITEM CSL_CITATION {"citationID":"9HXSK99b","properties":{"formattedCitation":"(32)","plainCitation":"(32)","noteIndex":0},"citationItems":[{"id":20,"uris":["http://zotero.org/users/11105938/items/4SRH3DSE"],"itemData":{"id":20,"type":"article-journal","container-title":"NeuroImage","DOI":"10.1016/j.neuroimage.2013.10.067","ISSN":"10538119","journalAbbreviation":"NeuroImage","language":"en","page":"96-110","source":"DOI.org (Crossref)","title":"On the interpretation of weight vectors of linear models in multivariate neuroimaging","volume":"87","author":[{"family":"Haufe","given":"Stefan"},{"family":"Meinecke","given":"Frank"},{"family":"Görgen","given":"Kai"},{"family":"Dähne","given":"Sven"},{"family":"Haynes","given":"John-Dylan"},{"family":"Blankertz","given":"Benjamin"},{"family":"Bießmann","given":"Felix"}],"issued":{"date-parts":[["2014",2]]}}}],"schema":"https://github.com/citation-style-language/schema/raw/master/csl-citation.json"} </w:instrText>
      </w:r>
      <w:r w:rsidRPr="005B4D7A">
        <w:rPr>
          <w:rStyle w:val="EDITINSERTChar"/>
          <w:color w:val="000000"/>
          <w:u w:val="none"/>
        </w:rPr>
        <w:fldChar w:fldCharType="separate"/>
      </w:r>
      <w:r w:rsidR="00AD3EA2" w:rsidRPr="005B4D7A">
        <w:t>(32)</w:t>
      </w:r>
      <w:r w:rsidRPr="005B4D7A">
        <w:rPr>
          <w:rStyle w:val="EDITINSERTChar"/>
          <w:color w:val="000000"/>
          <w:u w:val="none"/>
        </w:rPr>
        <w:fldChar w:fldCharType="end"/>
      </w:r>
      <w:r w:rsidRPr="003B1BC0">
        <w:t xml:space="preserve">. For our specific scenario of binary classification with a linear model, this involved calculating the Pearson correlation coefficients between the classifier's machine learning-based risk score and each feature. For features with positive importance, a higher value indicates a higher likelihood of being classified in the AN group. Conversely, for features with negative importance, a lower value indicates a higher likelihood of being classified in the AN group. To determine if the feature </w:t>
      </w:r>
      <w:proofErr w:type="spellStart"/>
      <w:r w:rsidRPr="003B1BC0">
        <w:t>importances</w:t>
      </w:r>
      <w:proofErr w:type="spellEnd"/>
      <w:r w:rsidRPr="003B1BC0">
        <w:t xml:space="preserve"> were statistically significant, we computed the Bonferroni-corrected p-values of the Pearson correlation coefficients. To further evaluate the </w:t>
      </w:r>
      <w:r w:rsidRPr="003B1BC0">
        <w:lastRenderedPageBreak/>
        <w:t xml:space="preserve">reliability of each feature, we performed two actions: </w:t>
      </w:r>
      <w:r w:rsidR="00494E20" w:rsidRPr="003B1BC0">
        <w:t>(</w:t>
      </w:r>
      <w:proofErr w:type="spellStart"/>
      <w:r w:rsidR="00494E20" w:rsidRPr="003B1BC0">
        <w:t>i</w:t>
      </w:r>
      <w:proofErr w:type="spellEnd"/>
      <w:r w:rsidR="00494E20" w:rsidRPr="003B1BC0">
        <w:t>)</w:t>
      </w:r>
      <w:r w:rsidRPr="003B1BC0">
        <w:t xml:space="preserve"> repeating the training of the model using various subsets of the complete dataset, and </w:t>
      </w:r>
      <w:r w:rsidR="00494E20" w:rsidRPr="003B1BC0">
        <w:t>(ii)</w:t>
      </w:r>
      <w:r w:rsidRPr="003B1BC0">
        <w:t xml:space="preserve"> determining the proportion of subsets where a feature had an importance value that was statistically significant </w:t>
      </w:r>
      <w:r w:rsidRPr="005B4D7A">
        <w:rPr>
          <w:rStyle w:val="EDITINSERTChar"/>
          <w:color w:val="000000"/>
          <w:u w:val="none"/>
        </w:rPr>
        <w:fldChar w:fldCharType="begin"/>
      </w:r>
      <w:r w:rsidR="00AD3EA2" w:rsidRPr="005B4D7A">
        <w:rPr>
          <w:rStyle w:val="EDITINSERTChar"/>
          <w:color w:val="000000"/>
          <w:u w:val="none"/>
        </w:rPr>
        <w:instrText xml:space="preserve"> ADDIN ZOTERO_ITEM CSL_CITATION {"citationID":"8FeZoAoo","properties":{"formattedCitation":"(33)","plainCitation":"(33)","noteIndex":0},"citationItems":[{"id":56,"uris":["http://zotero.org/users/11105938/items/UPS7D3U5"],"itemData":{"id":56,"type":"chapter","container-title":"Machine Learning and Knowledge Discovery in Databases","event-place":"Cham","ISBN":"978-3-319-46226-4","note":"collection-title: Lecture Notes in Computer Science\nDOI: 10.1007/978-3-319-46227-1_28","page":"442-457","publisher":"Springer International Publishing","publisher-place":"Cham","source":"DOI.org (Crossref)","title":"Measuring the Stability of Feature Selection","URL":"http://link.springer.com/10.1007/978-3-319-46227-1_28","volume":"9852","editor":[{"family":"Frasconi","given":"Paolo"},{"family":"Landwehr","given":"Niels"},{"family":"Manco","given":"Giuseppe"},{"family":"Vreeken","given":"Jilles"}],"author":[{"family":"Nogueira","given":"Sarah"},{"family":"Brown","given":"Gavin"}],"accessed":{"date-parts":[["2021",6,15]]},"issued":{"date-parts":[["2016"]]}}}],"schema":"https://github.com/citation-style-language/schema/raw/master/csl-citation.json"} </w:instrText>
      </w:r>
      <w:r w:rsidRPr="005B4D7A">
        <w:rPr>
          <w:rStyle w:val="EDITINSERTChar"/>
          <w:color w:val="000000"/>
          <w:u w:val="none"/>
        </w:rPr>
        <w:fldChar w:fldCharType="separate"/>
      </w:r>
      <w:r w:rsidR="00AD3EA2" w:rsidRPr="005B4D7A">
        <w:t>(33)</w:t>
      </w:r>
      <w:r w:rsidRPr="005B4D7A">
        <w:rPr>
          <w:rStyle w:val="EDITINSERTChar"/>
          <w:color w:val="000000"/>
          <w:u w:val="none"/>
        </w:rPr>
        <w:fldChar w:fldCharType="end"/>
      </w:r>
      <w:r w:rsidRPr="003B1BC0">
        <w:t xml:space="preserve">. We considered 500 </w:t>
      </w:r>
      <w:proofErr w:type="spellStart"/>
      <w:r w:rsidRPr="003B1BC0">
        <w:t>subsamplings</w:t>
      </w:r>
      <w:proofErr w:type="spellEnd"/>
      <w:r w:rsidRPr="003B1BC0">
        <w:t>, each containing 90% of the full dataset, and maintaining the same class ratio as the full dataset.</w:t>
      </w:r>
    </w:p>
    <w:p w14:paraId="00F88C4D" w14:textId="7B0A59F5" w:rsidR="007F3F1F" w:rsidRDefault="003E235F" w:rsidP="00E56776">
      <w:pPr>
        <w:pStyle w:val="Text"/>
      </w:pPr>
      <w:r>
        <w:t xml:space="preserve">To </w:t>
      </w:r>
      <w:r w:rsidR="003B3B73">
        <w:t xml:space="preserve">improve </w:t>
      </w:r>
      <w:r>
        <w:t>the interpretability of our main feature importance results we a</w:t>
      </w:r>
      <w:r w:rsidR="002C587B">
        <w:t>dditionally</w:t>
      </w:r>
      <w:r>
        <w:t xml:space="preserve"> </w:t>
      </w:r>
      <w:r w:rsidR="007421B3">
        <w:t>computed feature importance with</w:t>
      </w:r>
      <w:r>
        <w:t xml:space="preserve"> the </w:t>
      </w:r>
      <w:r w:rsidR="007421B3">
        <w:t xml:space="preserve">method of </w:t>
      </w:r>
      <w:r>
        <w:t>permutation importance</w:t>
      </w:r>
      <w:r w:rsidR="007421B3">
        <w:t xml:space="preserve"> </w:t>
      </w:r>
      <w:r w:rsidR="007421B3">
        <w:fldChar w:fldCharType="begin"/>
      </w:r>
      <w:r w:rsidR="002C237E">
        <w:instrText xml:space="preserve"> ADDIN ZOTERO_ITEM CSL_CITATION {"citationID":"97Vf83xc","properties":{"formattedCitation":"(34)","plainCitation":"(34)","noteIndex":0},"citationItems":[{"id":325,"uris":["http://zotero.org/users/11105938/items/S3SC95RM"],"itemData":{"id":325,"type":"article-journal","container-title":"Machine learning","ISSN":"0885-6125","journalAbbreviation":"Machine learning","note":"publisher: Springer","page":"5-32","title":"Random forests","volume":"45","author":[{"family":"Breiman","given":"Leo"}],"issued":{"date-parts":[["2001"]]}}}],"schema":"https://github.com/citation-style-language/schema/raw/master/csl-citation.json"} </w:instrText>
      </w:r>
      <w:r w:rsidR="007421B3">
        <w:fldChar w:fldCharType="separate"/>
      </w:r>
      <w:r w:rsidR="002C237E" w:rsidRPr="002C237E">
        <w:t>(34)</w:t>
      </w:r>
      <w:r w:rsidR="007421B3">
        <w:fldChar w:fldCharType="end"/>
      </w:r>
      <w:r>
        <w:t xml:space="preserve">, as these two notions of feature importance may provide complementary insights. </w:t>
      </w:r>
      <w:r w:rsidR="002C587B">
        <w:t xml:space="preserve">Permutation importance captures the amount of unique information </w:t>
      </w:r>
      <w:r w:rsidR="00A30FF7">
        <w:t>that</w:t>
      </w:r>
      <w:r w:rsidR="002C587B">
        <w:t xml:space="preserve"> a feature provides for classification. Specifically, </w:t>
      </w:r>
      <w:r w:rsidR="00330978">
        <w:t>it</w:t>
      </w:r>
      <w:r w:rsidR="002C587B">
        <w:t xml:space="preserve"> ignores information </w:t>
      </w:r>
      <w:r w:rsidR="00330978">
        <w:t xml:space="preserve">useful </w:t>
      </w:r>
      <w:r w:rsidR="002C587B">
        <w:t xml:space="preserve">for classification </w:t>
      </w:r>
      <w:r w:rsidR="00330978">
        <w:t xml:space="preserve">that is also </w:t>
      </w:r>
      <w:r w:rsidR="002C587B">
        <w:t xml:space="preserve">present in </w:t>
      </w:r>
      <w:r w:rsidR="00330978">
        <w:t>other (typically correlated)</w:t>
      </w:r>
      <w:r w:rsidR="002C587B">
        <w:t xml:space="preserve"> features. Thus, the permutation importance method would not consider a feature to be important if another correlated feature </w:t>
      </w:r>
      <w:r w:rsidR="00330978">
        <w:t>is</w:t>
      </w:r>
      <w:r w:rsidR="002C587B">
        <w:t xml:space="preserve"> present, even if the feature contains information useful for classification. In contrast, the method by Haufe et al. considers a feature to be important if it contains information useful for classification, regardless of whether another feature might contain similar information. This is advantageous, since it provides an overarching description of the alterations that allow a classification.</w:t>
      </w:r>
      <w:r w:rsidR="007659DC">
        <w:t xml:space="preserve"> </w:t>
      </w:r>
      <w:r w:rsidR="00CF571F">
        <w:t>To obtain p</w:t>
      </w:r>
      <w:r>
        <w:t xml:space="preserve">ermutation importance </w:t>
      </w:r>
      <w:r w:rsidR="00CF571F">
        <w:t>values one computes</w:t>
      </w:r>
      <w:r>
        <w:t xml:space="preserve"> the </w:t>
      </w:r>
      <w:r w:rsidR="00CF571F">
        <w:t xml:space="preserve">average </w:t>
      </w:r>
      <w:r>
        <w:t xml:space="preserve">decrease in performance </w:t>
      </w:r>
      <w:bookmarkStart w:id="5" w:name="_Hlk129362218"/>
      <w:r>
        <w:t>when</w:t>
      </w:r>
      <w:r w:rsidR="00CF571F">
        <w:t xml:space="preserve"> repeatedly permuting a given feature</w:t>
      </w:r>
      <w:bookmarkEnd w:id="5"/>
      <w:r w:rsidR="00CF571F">
        <w:t>, i.e.</w:t>
      </w:r>
      <w:r>
        <w:t xml:space="preserve"> eliminating </w:t>
      </w:r>
      <w:r w:rsidR="00CF571F">
        <w:t>its</w:t>
      </w:r>
      <w:r>
        <w:t xml:space="preserve"> unique information</w:t>
      </w:r>
      <w:r w:rsidR="00CF571F">
        <w:t>. Obtained importance</w:t>
      </w:r>
      <w:r>
        <w:t xml:space="preserve"> values ran</w:t>
      </w:r>
      <w:r w:rsidR="00CF571F">
        <w:t>ge</w:t>
      </w:r>
      <w:r>
        <w:t xml:space="preserve"> from zero (no unique information) to higher positive values (high importance</w:t>
      </w:r>
      <w:r w:rsidR="00E66D1B">
        <w:t>). The highest possible importance value is given by the difference between model performance (unpermuted features) and chance performance. This would correspond to the edge case of a model which relies only on one feature which provides all the (unique) information, whereas all other features are uninformative.</w:t>
      </w:r>
      <w:r w:rsidR="00202017">
        <w:t xml:space="preserve"> We utilized the ‘</w:t>
      </w:r>
      <w:proofErr w:type="spellStart"/>
      <w:r w:rsidR="00202017" w:rsidRPr="00202017">
        <w:t>permutation_importance</w:t>
      </w:r>
      <w:proofErr w:type="spellEnd"/>
      <w:r w:rsidR="00202017">
        <w:t xml:space="preserve">’ function of the </w:t>
      </w:r>
      <w:proofErr w:type="spellStart"/>
      <w:r w:rsidR="00202017">
        <w:t>scikit</w:t>
      </w:r>
      <w:proofErr w:type="spellEnd"/>
      <w:r w:rsidR="00202017">
        <w:t>-learn python library with 500 permutations</w:t>
      </w:r>
      <w:r w:rsidR="00E45DB3">
        <w:t xml:space="preserve"> per feature</w:t>
      </w:r>
      <w:r w:rsidR="00202017">
        <w:t>.</w:t>
      </w:r>
    </w:p>
    <w:p w14:paraId="631152E9" w14:textId="4ABBF684" w:rsidR="007F3F1F" w:rsidRPr="00F154C3" w:rsidRDefault="007F3F1F" w:rsidP="00E56776">
      <w:pPr>
        <w:pStyle w:val="Text"/>
      </w:pPr>
    </w:p>
    <w:p w14:paraId="6B21C171" w14:textId="38179943" w:rsidR="009E1203" w:rsidRPr="006005FE" w:rsidRDefault="009E1203" w:rsidP="00E56776">
      <w:pPr>
        <w:pStyle w:val="berschrift3"/>
        <w:numPr>
          <w:ilvl w:val="1"/>
          <w:numId w:val="8"/>
        </w:numPr>
        <w:spacing w:after="200" w:line="360" w:lineRule="auto"/>
        <w:rPr>
          <w:rFonts w:asciiTheme="majorHAnsi" w:hAnsiTheme="majorHAnsi" w:cstheme="majorHAnsi"/>
          <w:color w:val="auto"/>
          <w:szCs w:val="24"/>
        </w:rPr>
      </w:pPr>
      <w:r w:rsidRPr="004C5A18">
        <w:rPr>
          <w:rFonts w:asciiTheme="majorHAnsi" w:hAnsiTheme="majorHAnsi" w:cstheme="majorHAnsi"/>
          <w:color w:val="auto"/>
          <w:szCs w:val="24"/>
        </w:rPr>
        <w:t>ENIGMA Toolbox</w:t>
      </w:r>
    </w:p>
    <w:p w14:paraId="0BD894F0" w14:textId="133E78DA" w:rsidR="000E279F" w:rsidRPr="0071192A" w:rsidRDefault="009E1203" w:rsidP="00E56776">
      <w:pPr>
        <w:pStyle w:val="Text"/>
      </w:pPr>
      <w:r w:rsidRPr="0071192A">
        <w:t xml:space="preserve">To provide </w:t>
      </w:r>
      <w:r w:rsidR="00BA0BF9" w:rsidRPr="0071192A">
        <w:t xml:space="preserve">macroscale network </w:t>
      </w:r>
      <w:r w:rsidRPr="0071192A">
        <w:t xml:space="preserve">contextualization of feature importance profiles, we relied on the ENIGMA </w:t>
      </w:r>
      <w:r w:rsidR="003D7291" w:rsidRPr="0071192A">
        <w:t>T</w:t>
      </w:r>
      <w:r w:rsidRPr="0071192A">
        <w:t xml:space="preserve">oolbox </w:t>
      </w:r>
      <w:r w:rsidRPr="0071192A">
        <w:fldChar w:fldCharType="begin"/>
      </w:r>
      <w:r w:rsidR="00AD3EA2">
        <w:instrText xml:space="preserve"> ADDIN ZOTERO_ITEM CSL_CITATION {"citationID":"8lmUK2QG","properties":{"formattedCitation":"(35)","plainCitation":"(35)","noteIndex":0},"citationItems":[{"id":60,"uris":["http://zotero.org/users/11105938/items/C4ACY7M9"],"itemData":{"id":60,"type":"article-journal","container-title":"Nature Methods","DOI":"10.1038/s41592-021-01186-4","ISSN":"1548-7091, 1548-7105","issue":"7","journalAbbreviation":"Nat Methods","language":"en","page":"698-700","source":"DOI.org (Crossref)","title":"The ENIGMA Toolbox: multiscale neural contextualization of multisite neuroimaging datasets","title-short":"The ENIGMA Toolbox","volume":"18","author":[{"family":"Larivière","given":"Sara"},{"family":"Paquola","given":"Casey"},{"family":"Park","given":"Bo-yong"},{"family":"Royer","given":"Jessica"},{"family":"Wang","given":"Yezhou"},{"family":"Benkarim","given":"Oualid"},{"family":"Vos de Wael","given":"Reinder"},{"family":"Valk","given":"Sofie L."},{"family":"Thomopoulos","given":"Sophia I."},{"family":"Kirschner","given":"Matthias"},{"family":"Lewis","given":"Lindsay B."},{"family":"Evans","given":"Alan C."},{"family":"Sisodiya","given":"Sanjay M."},{"family":"McDonald","given":"Carrie R."},{"family":"Thompson","given":"Paul M."},{"family":"Bernhardt","given":"Boris C."}],"issued":{"date-parts":[["2021",7]]}}}],"schema":"https://github.com/citation-style-language/schema/raw/master/csl-citation.json"} </w:instrText>
      </w:r>
      <w:r w:rsidRPr="0071192A">
        <w:fldChar w:fldCharType="separate"/>
      </w:r>
      <w:r w:rsidR="00AD3EA2" w:rsidRPr="00AD3EA2">
        <w:t>(35)</w:t>
      </w:r>
      <w:r w:rsidRPr="0071192A">
        <w:fldChar w:fldCharType="end"/>
      </w:r>
      <w:r w:rsidRPr="0071192A">
        <w:t xml:space="preserve">. Normative connectivity matrices according to the </w:t>
      </w:r>
      <w:proofErr w:type="spellStart"/>
      <w:r w:rsidRPr="0071192A">
        <w:t>Desikan-Killiany</w:t>
      </w:r>
      <w:proofErr w:type="spellEnd"/>
      <w:r w:rsidRPr="0071192A">
        <w:t xml:space="preserve"> parcellation were extracted using healthy adults data from the HCP</w:t>
      </w:r>
      <w:r w:rsidR="004C5A18" w:rsidRPr="0071192A">
        <w:t xml:space="preserve"> </w:t>
      </w:r>
      <w:r w:rsidRPr="0071192A">
        <w:fldChar w:fldCharType="begin"/>
      </w:r>
      <w:r w:rsidR="00AD3EA2">
        <w:instrText xml:space="preserve"> ADDIN ZOTERO_ITEM CSL_CITATION {"citationID":"ShsSgJ0n","properties":{"formattedCitation":"(36)","plainCitation":"(36)","noteIndex":0},"citationItems":[{"id":63,"uris":["http://zotero.org/users/11105938/items/4MLAV4Z8"],"itemData":{"id":63,"type":"article-journal","container-title":"Neurosurgery","DOI":"10.1227/NEU.0b013e318258e9ff","ISSN":"0148-396X","issue":"1","journalAbbreviation":"Neurosurgery","language":"en","page":"1-5","source":"DOI.org (Crossref)","title":"Mapping the Human Connectome:","title-short":"Mapping the Human Connectome","volume":"71","author":[{"family":"Toga","given":"Arthur W."},{"family":"Clark","given":"Kristi A."},{"family":"Thompson","given":"Paul M."},{"family":"Shattuck","given":"David W."},{"family":"Van Horn","given":"John Darrell"}],"issued":{"date-parts":[["2012",7]]}}}],"schema":"https://github.com/citation-style-language/schema/raw/master/csl-citation.json"} </w:instrText>
      </w:r>
      <w:r w:rsidRPr="0071192A">
        <w:fldChar w:fldCharType="separate"/>
      </w:r>
      <w:r w:rsidR="00AD3EA2" w:rsidRPr="00AD3EA2">
        <w:t>(36)</w:t>
      </w:r>
      <w:r w:rsidRPr="0071192A">
        <w:fldChar w:fldCharType="end"/>
      </w:r>
      <w:r w:rsidRPr="0071192A">
        <w:t xml:space="preserve">. Functional connectivity matrices were based on pairwise correlations between the time series of all cortical regions, where negative connections were set to zero. </w:t>
      </w:r>
      <w:r w:rsidR="00756604" w:rsidRPr="0071192A">
        <w:t>Participant</w:t>
      </w:r>
      <w:r w:rsidRPr="0071192A">
        <w:t xml:space="preserve">-specific connectivity matrices were then z-transformed and aggregated across participants to construct a group-average functional connectome. No threshold was applied. Structural connectivity matrices were generated from preprocessed diffusion MRI data.  </w:t>
      </w:r>
      <w:r w:rsidR="00BA0BF9" w:rsidRPr="0071192A">
        <w:t xml:space="preserve">Subsequently, network </w:t>
      </w:r>
      <w:r w:rsidRPr="0071192A">
        <w:t xml:space="preserve">degree centrality maps were derived from functional (or structural) </w:t>
      </w:r>
      <w:r w:rsidRPr="0071192A">
        <w:lastRenderedPageBreak/>
        <w:t xml:space="preserve">connectivity matrices by computing the </w:t>
      </w:r>
      <w:r w:rsidR="00BA0BF9" w:rsidRPr="0071192A">
        <w:t xml:space="preserve">weighted </w:t>
      </w:r>
      <w:r w:rsidRPr="0071192A">
        <w:t xml:space="preserve">sum of all connections for every cortical region. Hubs denote those regions with higher </w:t>
      </w:r>
      <w:r w:rsidR="00BA0BF9" w:rsidRPr="0071192A">
        <w:t xml:space="preserve">network </w:t>
      </w:r>
      <w:r w:rsidRPr="0071192A">
        <w:t xml:space="preserve">centrality, </w:t>
      </w:r>
      <w:r w:rsidR="00BA0BF9" w:rsidRPr="0071192A">
        <w:t xml:space="preserve">i.e. </w:t>
      </w:r>
      <w:r w:rsidR="00BE554B" w:rsidRPr="0071192A">
        <w:t>regions corresponding to network</w:t>
      </w:r>
      <w:r w:rsidR="00BA0BF9" w:rsidRPr="0071192A">
        <w:t xml:space="preserve"> nodes with a high number of ties</w:t>
      </w:r>
      <w:r w:rsidRPr="0071192A">
        <w:t>.</w:t>
      </w:r>
      <w:r w:rsidR="00FE76D0" w:rsidRPr="0071192A">
        <w:t xml:space="preserve"> To account for the intrinsic spatial smoothness in cortical maps, significance was tested using spin permutation tests </w:t>
      </w:r>
      <w:r w:rsidR="00FE76D0" w:rsidRPr="0071192A">
        <w:fldChar w:fldCharType="begin"/>
      </w:r>
      <w:r w:rsidR="00AD3EA2">
        <w:instrText xml:space="preserve"> ADDIN ZOTERO_ITEM CSL_CITATION {"citationID":"a1m4m38kvff","properties":{"formattedCitation":"(37)","plainCitation":"(37)","noteIndex":0},"citationItems":[{"id":61,"uris":["http://zotero.org/users/11105938/items/3FRC2IEN"],"itemData":{"id":61,"type":"article-journal","container-title":"NeuroImage","DOI":"10.1016/j.neuroimage.2018.05.070","ISSN":"10538119","journalAbbreviation":"NeuroImage","language":"en","page":"540-551","source":"DOI.org (Crossref)","title":"On testing for spatial correspondence between maps of human brain structure and function","volume":"178","author":[{"family":"Alexander-Bloch","given":"Aaron F."},{"family":"Shou","given":"Haochang"},{"family":"Liu","given":"Siyuan"},{"family":"Satterthwaite","given":"Theodore D."},{"family":"Glahn","given":"David C."},{"family":"Shinohara","given":"Russell T."},{"family":"Vandekar","given":"Simon N."},{"family":"Raznahan","given":"Armin"}],"issued":{"date-parts":[["2018",9]]}}}],"schema":"https://github.com/citation-style-language/schema/raw/master/csl-citation.json"} </w:instrText>
      </w:r>
      <w:r w:rsidR="00FE76D0" w:rsidRPr="0071192A">
        <w:fldChar w:fldCharType="separate"/>
      </w:r>
      <w:r w:rsidR="00AD3EA2" w:rsidRPr="00AD3EA2">
        <w:t>(37)</w:t>
      </w:r>
      <w:r w:rsidR="00FE76D0" w:rsidRPr="0071192A">
        <w:fldChar w:fldCharType="end"/>
      </w:r>
      <w:r w:rsidR="00FE76D0" w:rsidRPr="0071192A">
        <w:t xml:space="preserve"> with 100000 permutations.</w:t>
      </w:r>
    </w:p>
    <w:p w14:paraId="4E3735C5" w14:textId="77777777" w:rsidR="00A103A6" w:rsidRPr="00982EBF" w:rsidRDefault="00A103A6" w:rsidP="00E56776">
      <w:pPr>
        <w:pStyle w:val="Text"/>
      </w:pPr>
    </w:p>
    <w:p w14:paraId="5914FE06" w14:textId="660A49FA" w:rsidR="000E279F" w:rsidRPr="0043430A" w:rsidRDefault="001C182B" w:rsidP="00E56776">
      <w:pPr>
        <w:pStyle w:val="berschrift3"/>
        <w:numPr>
          <w:ilvl w:val="1"/>
          <w:numId w:val="8"/>
        </w:numPr>
        <w:spacing w:after="200" w:line="360" w:lineRule="auto"/>
        <w:rPr>
          <w:rFonts w:asciiTheme="majorHAnsi" w:hAnsiTheme="majorHAnsi" w:cstheme="majorHAnsi"/>
          <w:color w:val="auto"/>
          <w:szCs w:val="24"/>
        </w:rPr>
      </w:pPr>
      <w:r w:rsidRPr="0043430A">
        <w:rPr>
          <w:rFonts w:asciiTheme="majorHAnsi" w:hAnsiTheme="majorHAnsi" w:cstheme="majorHAnsi"/>
          <w:color w:val="auto"/>
          <w:szCs w:val="24"/>
        </w:rPr>
        <w:t>Transfer</w:t>
      </w:r>
      <w:r w:rsidR="000E279F" w:rsidRPr="0043430A">
        <w:rPr>
          <w:rFonts w:asciiTheme="majorHAnsi" w:hAnsiTheme="majorHAnsi" w:cstheme="majorHAnsi"/>
          <w:color w:val="auto"/>
          <w:szCs w:val="24"/>
        </w:rPr>
        <w:t xml:space="preserve"> </w:t>
      </w:r>
      <w:r w:rsidR="00F54128">
        <w:rPr>
          <w:rFonts w:asciiTheme="majorHAnsi" w:hAnsiTheme="majorHAnsi" w:cstheme="majorHAnsi"/>
          <w:color w:val="auto"/>
          <w:szCs w:val="24"/>
        </w:rPr>
        <w:t>c</w:t>
      </w:r>
      <w:r w:rsidR="000E279F" w:rsidRPr="0043430A">
        <w:rPr>
          <w:rFonts w:asciiTheme="majorHAnsi" w:hAnsiTheme="majorHAnsi" w:cstheme="majorHAnsi"/>
          <w:color w:val="auto"/>
          <w:szCs w:val="24"/>
        </w:rPr>
        <w:t>lassification</w:t>
      </w:r>
    </w:p>
    <w:p w14:paraId="3E7364C2" w14:textId="3B4A16F0" w:rsidR="00F63E44" w:rsidRDefault="00F47A46" w:rsidP="00E56776">
      <w:pPr>
        <w:pStyle w:val="Text"/>
      </w:pPr>
      <w:r>
        <w:t>To get insights as to whether the fitted classifiers based their decisions on state as opposed to trait markers, w</w:t>
      </w:r>
      <w:r w:rsidR="000E279F" w:rsidRPr="00682191">
        <w:t>e used a model trained to classify AN vs. HC at one time point (e.g. acAN-T</w:t>
      </w:r>
      <w:r w:rsidR="00682191">
        <w:t>P</w:t>
      </w:r>
      <w:r w:rsidR="000E279F" w:rsidRPr="00682191">
        <w:t xml:space="preserve">1 vs. HC)  and applied it to </w:t>
      </w:r>
      <w:r>
        <w:t>classify at</w:t>
      </w:r>
      <w:r w:rsidR="000E279F" w:rsidRPr="00682191">
        <w:t xml:space="preserve"> another time point (e.g. acAN-T</w:t>
      </w:r>
      <w:r w:rsidR="00682191">
        <w:t>P</w:t>
      </w:r>
      <w:r w:rsidR="000E279F" w:rsidRPr="00682191">
        <w:t>2 vs. HC)</w:t>
      </w:r>
      <w:r w:rsidR="003572D0">
        <w:t xml:space="preserve"> </w:t>
      </w:r>
      <w:r w:rsidR="003572D0">
        <w:fldChar w:fldCharType="begin"/>
      </w:r>
      <w:r w:rsidR="00AD3EA2">
        <w:instrText xml:space="preserve"> ADDIN ZOTERO_ITEM CSL_CITATION {"citationID":"WrleELBr","properties":{"formattedCitation":"(38)","plainCitation":"(38)","noteIndex":0},"citationItems":[{"id":154,"uris":["http://zotero.org/users/11105938/items/4FQ8CI7D"],"itemData":{"id":154,"type":"article-journal","abstract":"Abstract\n            Attention-deficit/hyperactivity disorder (ADHD) affects 5% of children world-wide. Of these, two-thirds continue to have impairing symptoms of ADHD into adulthood. Although a large literature implicates structural brain differences of the disorder, it is not clear if adults with ADHD have similar neuroanatomical differences as those seen in children with recent reports from the large ENIGMA-ADHD consortium finding structural differences for children but not for adults. This paper uses deep learning neural network classification models to determine if there are neuroanatomical changes in the brains of children with ADHD that are also observed for adult ADHD, and vice versa. We found that structural MRI data can significantly separate ADHD from control participants for both children and adults. Consistent with the prior reports from ENIGMA-ADHD, prediction performance and effect sizes were better for the child than the adult samples. The model trained on adult samples significantly predicted ADHD in the child sample, suggesting that our model learned anatomical features that are common to ADHD in childhood and adulthood. These results support the continuity of ADHD’s brain differences from childhood to adulthood. In addition, our work demonstrates a novel use of neural network classification models to test hypotheses about developmental continuity.","container-title":"Translational Psychiatry","DOI":"10.1038/s41398-021-01201-4","ISSN":"2158-3188","issue":"1","journalAbbreviation":"Transl Psychiatry","language":"en","page":"82","source":"DOI.org (Crossref)","title":"Evidence for similar structural brain anomalies in youth and adult attention-deficit/hyperactivity disorder: a machine learning analysis","title-short":"Evidence for similar structural brain anomalies in youth and adult attention-deficit/hyperactivity disorder","volume":"11","author":[{"family":"Zhang-James","given":"Yanli"},{"family":"Helminen","given":"Emily C."},{"family":"Liu","given":"Jinru"},{"family":"Franke","given":"Barbara"},{"family":"Hoogman","given":"Martine"},{"family":"Faraone","given":"Stephen V."}],"issued":{"date-parts":[["2021",6]]}}}],"schema":"https://github.com/citation-style-language/schema/raw/master/csl-citation.json"} </w:instrText>
      </w:r>
      <w:r w:rsidR="003572D0">
        <w:fldChar w:fldCharType="separate"/>
      </w:r>
      <w:r w:rsidR="00AD3EA2" w:rsidRPr="00AD3EA2">
        <w:t>(38)</w:t>
      </w:r>
      <w:r w:rsidR="003572D0">
        <w:fldChar w:fldCharType="end"/>
      </w:r>
      <w:r>
        <w:t>.</w:t>
      </w:r>
      <w:r w:rsidR="000E279F" w:rsidRPr="00682191">
        <w:t xml:space="preserve"> </w:t>
      </w:r>
      <w:r w:rsidR="00151A08">
        <w:t>To this end, the</w:t>
      </w:r>
      <w:r w:rsidR="000E279F" w:rsidRPr="00682191">
        <w:t xml:space="preserve"> hyperparameters </w:t>
      </w:r>
      <w:r w:rsidR="00151A08">
        <w:t xml:space="preserve">were set to their optimal values </w:t>
      </w:r>
      <w:r w:rsidR="000E279F" w:rsidRPr="00682191">
        <w:t>for the training time</w:t>
      </w:r>
      <w:r w:rsidR="00D741A6">
        <w:t xml:space="preserve"> </w:t>
      </w:r>
      <w:r w:rsidR="000E279F" w:rsidRPr="00682191">
        <w:t>point data (</w:t>
      </w:r>
      <w:r w:rsidR="00151A08" w:rsidRPr="008A6C2C">
        <w:t>e.g. acAN-T</w:t>
      </w:r>
      <w:r w:rsidR="00682191">
        <w:t>P</w:t>
      </w:r>
      <w:r w:rsidR="00151A08" w:rsidRPr="008A6C2C">
        <w:t>1 vs. HC</w:t>
      </w:r>
      <w:r w:rsidR="00151A08">
        <w:t>,</w:t>
      </w:r>
      <w:r w:rsidR="00151A08" w:rsidRPr="008A6C2C">
        <w:t xml:space="preserve"> </w:t>
      </w:r>
      <w:r w:rsidR="00151A08">
        <w:t xml:space="preserve">see </w:t>
      </w:r>
      <w:r w:rsidR="000E279F" w:rsidRPr="00682191">
        <w:t>Table S</w:t>
      </w:r>
      <w:r w:rsidR="009E0DAC">
        <w:t>2</w:t>
      </w:r>
      <w:r w:rsidR="000E279F" w:rsidRPr="00682191">
        <w:t>).</w:t>
      </w:r>
      <w:r w:rsidR="00F574C4">
        <w:t xml:space="preserve"> </w:t>
      </w:r>
    </w:p>
    <w:p w14:paraId="08367030" w14:textId="1B661823" w:rsidR="00F63E44" w:rsidRDefault="00D90BF4" w:rsidP="00E56776">
      <w:pPr>
        <w:pStyle w:val="Text"/>
      </w:pPr>
      <w:r>
        <w:t xml:space="preserve">Of note, since for our participants with a history of AN </w:t>
      </w:r>
      <w:r w:rsidR="00631123">
        <w:t xml:space="preserve">MRI </w:t>
      </w:r>
      <w:r>
        <w:t xml:space="preserve">scans </w:t>
      </w:r>
      <w:r w:rsidR="00631123">
        <w:t xml:space="preserve">taken </w:t>
      </w:r>
      <w:r>
        <w:t>at different timepoints were used</w:t>
      </w:r>
      <w:r w:rsidR="004164CD">
        <w:t xml:space="preserve"> in the analysis</w:t>
      </w:r>
      <w:r>
        <w:t xml:space="preserve"> (Figure S1), it was necessary to ensure that if </w:t>
      </w:r>
      <w:r w:rsidR="00141F25">
        <w:t>a</w:t>
      </w:r>
      <w:r>
        <w:t xml:space="preserve"> scan </w:t>
      </w:r>
      <w:r w:rsidR="00141F25">
        <w:t>belonging to a given</w:t>
      </w:r>
      <w:r>
        <w:t xml:space="preserve"> participant w</w:t>
      </w:r>
      <w:r w:rsidR="00141F25">
        <w:t>as</w:t>
      </w:r>
      <w:r>
        <w:t xml:space="preserve"> used in the train</w:t>
      </w:r>
      <w:r w:rsidR="006F26D6">
        <w:t>ing</w:t>
      </w:r>
      <w:r w:rsidR="00141F25">
        <w:t xml:space="preserve"> set</w:t>
      </w:r>
      <w:r>
        <w:t xml:space="preserve">, no scan </w:t>
      </w:r>
      <w:r w:rsidR="00141F25">
        <w:t>belonging to</w:t>
      </w:r>
      <w:r>
        <w:t xml:space="preserve"> the same participant w</w:t>
      </w:r>
      <w:r w:rsidR="00141F25">
        <w:t>as</w:t>
      </w:r>
      <w:r>
        <w:t xml:space="preserve"> used </w:t>
      </w:r>
      <w:r w:rsidR="00141F25">
        <w:t>in the test set</w:t>
      </w:r>
      <w:r w:rsidR="0040143C">
        <w:t xml:space="preserve"> when assessing</w:t>
      </w:r>
      <w:r>
        <w:t xml:space="preserve"> the performance of the transfer classification. </w:t>
      </w:r>
      <w:r w:rsidR="006E62CA">
        <w:t xml:space="preserve">Since the overlap for </w:t>
      </w:r>
      <w:r w:rsidR="009D76F5">
        <w:t>the acAN-TP1 to acAN-TP2 was substantial</w:t>
      </w:r>
      <w:r w:rsidR="00141F25">
        <w:t xml:space="preserve"> (Figure S1)</w:t>
      </w:r>
      <w:r w:rsidR="009D76F5">
        <w:t>, w</w:t>
      </w:r>
      <w:r w:rsidR="009D76F5" w:rsidRPr="009D76F5">
        <w:t xml:space="preserve">e implemented a </w:t>
      </w:r>
      <w:r w:rsidR="00AF53A8">
        <w:t>ten</w:t>
      </w:r>
      <w:r w:rsidR="009D76F5" w:rsidRPr="009D76F5">
        <w:t>-fold cross-validation scheme</w:t>
      </w:r>
      <w:r>
        <w:t xml:space="preserve"> </w:t>
      </w:r>
      <w:r w:rsidR="00141F25">
        <w:t>to keep a high number of participants in each train</w:t>
      </w:r>
      <w:r w:rsidR="006F26D6">
        <w:t>ing</w:t>
      </w:r>
      <w:r w:rsidR="00141F25">
        <w:t xml:space="preserve"> and test set.</w:t>
      </w:r>
      <w:r w:rsidR="009D76F5">
        <w:t xml:space="preserve"> </w:t>
      </w:r>
    </w:p>
    <w:p w14:paraId="342737AB" w14:textId="7D4DEFD9" w:rsidR="004F181C" w:rsidRDefault="00141F25" w:rsidP="00E56776">
      <w:pPr>
        <w:pStyle w:val="Text"/>
      </w:pPr>
      <w:r>
        <w:t xml:space="preserve">Specifically, for each </w:t>
      </w:r>
      <w:r w:rsidR="0040143C">
        <w:t>split</w:t>
      </w:r>
      <w:r w:rsidR="00F41AAA">
        <w:t xml:space="preserve"> the model was trained on 90% of the scans available from the first time point </w:t>
      </w:r>
      <w:r w:rsidR="00F41AAA" w:rsidRPr="00682191">
        <w:t>(e.g. acAN-T</w:t>
      </w:r>
      <w:r w:rsidR="00F41AAA">
        <w:t>P</w:t>
      </w:r>
      <w:r w:rsidR="00F41AAA" w:rsidRPr="00682191">
        <w:t>1</w:t>
      </w:r>
      <w:r w:rsidR="00F41AAA">
        <w:t>)</w:t>
      </w:r>
      <w:r w:rsidR="00F41AAA" w:rsidRPr="00682191">
        <w:t xml:space="preserve"> </w:t>
      </w:r>
      <w:r w:rsidR="00F41AAA">
        <w:t xml:space="preserve">and applied to </w:t>
      </w:r>
      <m:oMath>
        <m:r>
          <w:rPr>
            <w:rFonts w:ascii="Cambria Math" w:hAnsi="Cambria Math"/>
          </w:rPr>
          <m:t>~</m:t>
        </m:r>
      </m:oMath>
      <w:r w:rsidR="00F41AAA">
        <w:t xml:space="preserve">10% of the scans available from the second time point </w:t>
      </w:r>
      <w:r w:rsidR="00F41AAA" w:rsidRPr="00682191">
        <w:t>(e.g. acAN-T</w:t>
      </w:r>
      <w:r w:rsidR="00F41AAA">
        <w:t xml:space="preserve">P2), with the constraint that the latter </w:t>
      </w:r>
      <w:r w:rsidR="00F574C4">
        <w:t xml:space="preserve">scans </w:t>
      </w:r>
      <w:r w:rsidR="00F41AAA">
        <w:t>belonged to different participants.</w:t>
      </w:r>
      <w:r w:rsidR="00F574C4">
        <w:t xml:space="preserve"> </w:t>
      </w:r>
      <w:r w:rsidR="00F41AAA">
        <w:t xml:space="preserve">Furthermore, </w:t>
      </w:r>
      <w:r w:rsidR="008A3866">
        <w:t xml:space="preserve">when </w:t>
      </w:r>
      <w:r w:rsidR="003572D0">
        <w:t xml:space="preserve">participants with </w:t>
      </w:r>
      <w:r w:rsidR="008A3866">
        <w:t>AN, already included in the trai</w:t>
      </w:r>
      <w:r w:rsidR="00CC5827">
        <w:t>n</w:t>
      </w:r>
      <w:r w:rsidR="006F26D6">
        <w:t>ing</w:t>
      </w:r>
      <w:r w:rsidR="008A3866">
        <w:t xml:space="preserve"> set of one time point were dropped from the test set of the other time point </w:t>
      </w:r>
      <w:r w:rsidR="000E279F" w:rsidRPr="00682191">
        <w:t>the class ratio in</w:t>
      </w:r>
      <w:r w:rsidR="00F41AAA">
        <w:t xml:space="preserve"> the</w:t>
      </w:r>
      <w:r w:rsidR="000E279F" w:rsidRPr="00682191">
        <w:t xml:space="preserve"> test set </w:t>
      </w:r>
      <w:r w:rsidR="00151A08">
        <w:t>wa</w:t>
      </w:r>
      <w:r w:rsidR="000E279F" w:rsidRPr="00682191">
        <w:t xml:space="preserve">s </w:t>
      </w:r>
      <w:r w:rsidR="008A3866">
        <w:t>re-</w:t>
      </w:r>
      <w:r w:rsidR="000E279F" w:rsidRPr="00682191">
        <w:t xml:space="preserve">adjusted to </w:t>
      </w:r>
      <w:r w:rsidR="008A3866">
        <w:t xml:space="preserve">that of </w:t>
      </w:r>
      <w:r w:rsidR="000E279F" w:rsidRPr="00682191">
        <w:t>the train</w:t>
      </w:r>
      <w:r w:rsidR="006F26D6">
        <w:t>ing</w:t>
      </w:r>
      <w:r w:rsidR="000E279F" w:rsidRPr="00682191">
        <w:t xml:space="preserve"> set by subsampling </w:t>
      </w:r>
      <w:r w:rsidR="008A3866">
        <w:t xml:space="preserve">the HC participants </w:t>
      </w:r>
      <w:r w:rsidR="0040143C">
        <w:t>in</w:t>
      </w:r>
      <w:r w:rsidR="008A3866">
        <w:t xml:space="preserve"> the test </w:t>
      </w:r>
      <w:r w:rsidR="00CC5827">
        <w:t>set</w:t>
      </w:r>
      <w:r w:rsidR="008A3866">
        <w:t xml:space="preserve"> accordingly. For example</w:t>
      </w:r>
      <w:r w:rsidR="00B12765">
        <w:t>,</w:t>
      </w:r>
      <w:r w:rsidR="008A3866">
        <w:t xml:space="preserve"> the train</w:t>
      </w:r>
      <w:r w:rsidR="006F26D6">
        <w:t>ing</w:t>
      </w:r>
      <w:r w:rsidR="008A3866">
        <w:t xml:space="preserve"> set might contain a ratio of 1:2 between acAN-TP1 and HC</w:t>
      </w:r>
      <w:r w:rsidR="00CB6E83">
        <w:t>.</w:t>
      </w:r>
      <w:r w:rsidR="008A3866">
        <w:t xml:space="preserve"> </w:t>
      </w:r>
      <w:r w:rsidR="00CB6E83">
        <w:t>But</w:t>
      </w:r>
      <w:r w:rsidR="008A3866">
        <w:t xml:space="preserve"> the tes</w:t>
      </w:r>
      <w:r w:rsidR="00CC5827">
        <w:t>t</w:t>
      </w:r>
      <w:r w:rsidR="008A3866">
        <w:t xml:space="preserve"> set </w:t>
      </w:r>
      <w:r w:rsidR="00CB6E83">
        <w:t xml:space="preserve">might contain </w:t>
      </w:r>
      <w:r w:rsidR="008A3866">
        <w:t xml:space="preserve">more than double the amount of HC than acAN-TP2 since some </w:t>
      </w:r>
      <w:r w:rsidR="00CB6E83">
        <w:t xml:space="preserve">AN </w:t>
      </w:r>
      <w:r w:rsidR="008A3866">
        <w:t xml:space="preserve">already </w:t>
      </w:r>
      <w:r w:rsidR="00CB6E83">
        <w:t>were</w:t>
      </w:r>
      <w:r w:rsidR="008A3866">
        <w:t xml:space="preserve"> included in the train</w:t>
      </w:r>
      <w:r w:rsidR="006F26D6">
        <w:t>ing</w:t>
      </w:r>
      <w:r w:rsidR="008A3866">
        <w:t xml:space="preserve"> set </w:t>
      </w:r>
      <w:r w:rsidR="00CB6E83">
        <w:t>with</w:t>
      </w:r>
      <w:r w:rsidR="008A3866">
        <w:t xml:space="preserve"> a</w:t>
      </w:r>
      <w:r w:rsidR="00CB6E83">
        <w:t>n</w:t>
      </w:r>
      <w:r w:rsidR="008A3866">
        <w:t xml:space="preserve"> acAN-TP1 scan</w:t>
      </w:r>
      <w:r w:rsidR="00CB6E83">
        <w:t xml:space="preserve"> and thus </w:t>
      </w:r>
      <w:r w:rsidR="008A3866">
        <w:t>were dropped</w:t>
      </w:r>
      <w:r w:rsidR="00CB6E83">
        <w:t xml:space="preserve"> from the test set. Then HC were randomly dropped from the</w:t>
      </w:r>
      <w:r w:rsidR="008A3866">
        <w:t xml:space="preserve"> </w:t>
      </w:r>
      <w:r w:rsidR="00CB6E83">
        <w:t xml:space="preserve">test set to retain the 1:2 ratio. </w:t>
      </w:r>
      <w:r w:rsidR="00D12429">
        <w:t xml:space="preserve">The estimated performance resulted </w:t>
      </w:r>
      <w:r w:rsidR="00831B07">
        <w:t>as a</w:t>
      </w:r>
      <w:r w:rsidR="00D12429">
        <w:t xml:space="preserve"> weighte</w:t>
      </w:r>
      <w:r w:rsidR="00831B07">
        <w:t xml:space="preserve">d average of the AUC values across the </w:t>
      </w:r>
      <w:r w:rsidR="0040143C">
        <w:t>splits</w:t>
      </w:r>
      <w:r w:rsidR="00682191">
        <w:t xml:space="preserve"> </w:t>
      </w:r>
      <w:r w:rsidR="00831B07">
        <w:t>where the weights were set based on the</w:t>
      </w:r>
      <w:r w:rsidR="00682191">
        <w:t xml:space="preserve"> sample size</w:t>
      </w:r>
      <w:r w:rsidR="00831B07">
        <w:t xml:space="preserve"> of each </w:t>
      </w:r>
      <w:r w:rsidR="00586CE0">
        <w:t>test set</w:t>
      </w:r>
      <w:r w:rsidR="00F61B88">
        <w:t xml:space="preserve"> (Figure S1</w:t>
      </w:r>
      <w:r w:rsidR="005F4C38">
        <w:t>3</w:t>
      </w:r>
      <w:r w:rsidR="0010669A">
        <w:t>)</w:t>
      </w:r>
      <w:r w:rsidR="00682191">
        <w:t>.</w:t>
      </w:r>
      <w:bookmarkStart w:id="6" w:name="_du3ktys6x5p6" w:colFirst="0" w:colLast="0"/>
      <w:bookmarkStart w:id="7" w:name="_y389viwoei1f" w:colFirst="0" w:colLast="0"/>
      <w:bookmarkStart w:id="8" w:name="_e28pxkcu82mj" w:colFirst="0" w:colLast="0"/>
      <w:bookmarkStart w:id="9" w:name="_awu4hoazg7ie" w:colFirst="0" w:colLast="0"/>
      <w:bookmarkStart w:id="10" w:name="_bjym36hp6x5e" w:colFirst="0" w:colLast="0"/>
      <w:bookmarkStart w:id="11" w:name="_k2cp2tfzbeom" w:colFirst="0" w:colLast="0"/>
      <w:bookmarkStart w:id="12" w:name="_u0oczvgelqj8" w:colFirst="0" w:colLast="0"/>
      <w:bookmarkStart w:id="13" w:name="_vuw5ctpwkjql" w:colFirst="0" w:colLast="0"/>
      <w:bookmarkEnd w:id="6"/>
      <w:bookmarkEnd w:id="7"/>
      <w:bookmarkEnd w:id="8"/>
      <w:bookmarkEnd w:id="9"/>
      <w:bookmarkEnd w:id="10"/>
      <w:bookmarkEnd w:id="11"/>
      <w:bookmarkEnd w:id="12"/>
      <w:bookmarkEnd w:id="13"/>
    </w:p>
    <w:p w14:paraId="1E3D222A" w14:textId="77777777" w:rsidR="004F181C" w:rsidRDefault="004F181C" w:rsidP="00E56776">
      <w:pPr>
        <w:spacing w:line="360" w:lineRule="auto"/>
      </w:pPr>
      <w:r>
        <w:br w:type="page"/>
      </w:r>
    </w:p>
    <w:p w14:paraId="001C7B87" w14:textId="27262005" w:rsidR="00870D64" w:rsidRPr="0043430A" w:rsidRDefault="008D7473" w:rsidP="00E56776">
      <w:pPr>
        <w:pStyle w:val="berschrift2"/>
        <w:numPr>
          <w:ilvl w:val="0"/>
          <w:numId w:val="8"/>
        </w:numPr>
        <w:spacing w:before="0" w:after="240" w:line="360" w:lineRule="auto"/>
        <w:rPr>
          <w:rFonts w:ascii="Calibri" w:hAnsi="Calibri" w:cs="Calibri"/>
          <w:color w:val="auto"/>
          <w:sz w:val="24"/>
          <w:szCs w:val="24"/>
        </w:rPr>
      </w:pPr>
      <w:r>
        <w:rPr>
          <w:rFonts w:ascii="Calibri" w:hAnsi="Calibri" w:cs="Calibri"/>
          <w:color w:val="auto"/>
          <w:sz w:val="24"/>
          <w:szCs w:val="24"/>
        </w:rPr>
        <w:lastRenderedPageBreak/>
        <w:t>Supplementary r</w:t>
      </w:r>
      <w:r w:rsidR="00870D64" w:rsidRPr="0043430A">
        <w:rPr>
          <w:rFonts w:ascii="Calibri" w:hAnsi="Calibri" w:cs="Calibri"/>
          <w:color w:val="auto"/>
          <w:sz w:val="24"/>
          <w:szCs w:val="24"/>
        </w:rPr>
        <w:t>esults</w:t>
      </w:r>
    </w:p>
    <w:p w14:paraId="163867FB" w14:textId="29159AE2" w:rsidR="00242D3E" w:rsidRPr="0043430A" w:rsidRDefault="005214D2" w:rsidP="00E56776">
      <w:pPr>
        <w:pStyle w:val="berschrift3"/>
        <w:numPr>
          <w:ilvl w:val="1"/>
          <w:numId w:val="8"/>
        </w:numPr>
        <w:spacing w:before="0" w:after="240" w:line="360" w:lineRule="auto"/>
        <w:rPr>
          <w:rFonts w:ascii="Calibri" w:hAnsi="Calibri" w:cs="Calibri"/>
          <w:color w:val="auto"/>
          <w:szCs w:val="24"/>
        </w:rPr>
      </w:pPr>
      <w:r w:rsidRPr="0043430A">
        <w:rPr>
          <w:rFonts w:ascii="Calibri" w:hAnsi="Calibri" w:cs="Calibri"/>
          <w:color w:val="auto"/>
          <w:szCs w:val="24"/>
        </w:rPr>
        <w:t xml:space="preserve">Hyperparameter </w:t>
      </w:r>
      <w:r w:rsidR="00F54128">
        <w:rPr>
          <w:rFonts w:ascii="Calibri" w:hAnsi="Calibri" w:cs="Calibri"/>
          <w:color w:val="auto"/>
          <w:szCs w:val="24"/>
        </w:rPr>
        <w:t>o</w:t>
      </w:r>
      <w:r w:rsidRPr="0043430A">
        <w:rPr>
          <w:rFonts w:ascii="Calibri" w:hAnsi="Calibri" w:cs="Calibri"/>
          <w:color w:val="auto"/>
          <w:szCs w:val="24"/>
        </w:rPr>
        <w:t>ptimization and model performance</w:t>
      </w:r>
    </w:p>
    <w:p w14:paraId="4411CFD5" w14:textId="7E1589B1" w:rsidR="005214D2" w:rsidRDefault="005214D2" w:rsidP="00E56776">
      <w:pPr>
        <w:pStyle w:val="Text"/>
      </w:pPr>
      <w:r w:rsidRPr="00273FA9">
        <w:t>The results of the hyperparameter optimization procedure are reported in Table S</w:t>
      </w:r>
      <w:r w:rsidR="003572D0">
        <w:t>2</w:t>
      </w:r>
      <w:r w:rsidR="00776DE7" w:rsidRPr="00273FA9">
        <w:t xml:space="preserve"> and the performance of the SVMs estimated through nested cross</w:t>
      </w:r>
      <w:r w:rsidR="007E7B2A">
        <w:t>-</w:t>
      </w:r>
      <w:r w:rsidR="00776DE7" w:rsidRPr="00273FA9">
        <w:t>validation is displayed in Figure S</w:t>
      </w:r>
      <w:r w:rsidR="0027146B">
        <w:t>3</w:t>
      </w:r>
      <w:r w:rsidR="00776DE7" w:rsidRPr="00273FA9">
        <w:t>. Similar performance on the</w:t>
      </w:r>
      <w:r w:rsidRPr="00273FA9">
        <w:t xml:space="preserve"> validation and test samples indicat</w:t>
      </w:r>
      <w:r w:rsidR="00776DE7" w:rsidRPr="00273FA9">
        <w:t>ed</w:t>
      </w:r>
      <w:r w:rsidRPr="00273FA9">
        <w:t xml:space="preserve"> that our model selection procedure did not introduce a substantial amount of hyperparameter overfitting. </w:t>
      </w:r>
    </w:p>
    <w:p w14:paraId="445F77F1" w14:textId="77777777" w:rsidR="00C07EC5" w:rsidRPr="00273FA9" w:rsidRDefault="00C07EC5" w:rsidP="00E56776">
      <w:pPr>
        <w:pStyle w:val="Text"/>
      </w:pPr>
    </w:p>
    <w:p w14:paraId="42254C92" w14:textId="48806847" w:rsidR="00273FA9" w:rsidRPr="00273FA9" w:rsidRDefault="00273FA9" w:rsidP="00E56776">
      <w:pPr>
        <w:pStyle w:val="berschrift3"/>
        <w:numPr>
          <w:ilvl w:val="1"/>
          <w:numId w:val="8"/>
        </w:numPr>
        <w:spacing w:before="0" w:after="240" w:line="360" w:lineRule="auto"/>
        <w:rPr>
          <w:rFonts w:asciiTheme="majorHAnsi" w:hAnsiTheme="majorHAnsi" w:cstheme="majorHAnsi"/>
          <w:color w:val="auto"/>
        </w:rPr>
      </w:pPr>
      <w:r w:rsidRPr="00273FA9">
        <w:rPr>
          <w:rFonts w:asciiTheme="majorHAnsi" w:hAnsiTheme="majorHAnsi" w:cstheme="majorHAnsi"/>
          <w:color w:val="auto"/>
        </w:rPr>
        <w:t>Nonlinear classifier</w:t>
      </w:r>
    </w:p>
    <w:p w14:paraId="0C4A04ED" w14:textId="7A24EE75" w:rsidR="0086162F" w:rsidRPr="003C766A" w:rsidRDefault="00273FA9" w:rsidP="00E56776">
      <w:pPr>
        <w:pStyle w:val="Text"/>
        <w:rPr>
          <w:rFonts w:asciiTheme="majorHAnsi" w:hAnsiTheme="majorHAnsi" w:cstheme="majorHAnsi"/>
        </w:rPr>
      </w:pPr>
      <w:r w:rsidRPr="00273FA9">
        <w:t xml:space="preserve">The evaluation metrics </w:t>
      </w:r>
      <w:r w:rsidR="00157C2B">
        <w:t>(</w:t>
      </w:r>
      <w:r w:rsidRPr="00273FA9">
        <w:t>Figure S</w:t>
      </w:r>
      <w:r w:rsidR="00150196">
        <w:t>5</w:t>
      </w:r>
      <w:r w:rsidR="00157C2B">
        <w:t>)</w:t>
      </w:r>
      <w:r w:rsidRPr="00273FA9">
        <w:t xml:space="preserve"> show that the neural net</w:t>
      </w:r>
      <w:r w:rsidR="00CF123B">
        <w:t>work</w:t>
      </w:r>
      <w:r w:rsidRPr="00273FA9">
        <w:t xml:space="preserve"> performs very similarly to the SVM discussed in the main manuscript, for each of the classification tasks. Specifically, it also does not classify significantly beyond confounds in the recAN classification task. Furthermore, both the SVM </w:t>
      </w:r>
      <w:r w:rsidRPr="003C766A">
        <w:rPr>
          <w:rFonts w:asciiTheme="majorHAnsi" w:hAnsiTheme="majorHAnsi" w:cstheme="majorHAnsi"/>
        </w:rPr>
        <w:t xml:space="preserve">(Figure </w:t>
      </w:r>
      <w:r w:rsidR="001D661A">
        <w:rPr>
          <w:rFonts w:asciiTheme="majorHAnsi" w:hAnsiTheme="majorHAnsi" w:cstheme="majorHAnsi"/>
        </w:rPr>
        <w:t>3</w:t>
      </w:r>
      <w:r w:rsidRPr="003C766A">
        <w:rPr>
          <w:rFonts w:asciiTheme="majorHAnsi" w:hAnsiTheme="majorHAnsi" w:cstheme="majorHAnsi"/>
        </w:rPr>
        <w:t>) and the neural net</w:t>
      </w:r>
      <w:r w:rsidR="00CF123B" w:rsidRPr="003C766A">
        <w:rPr>
          <w:rFonts w:asciiTheme="majorHAnsi" w:hAnsiTheme="majorHAnsi" w:cstheme="majorHAnsi"/>
        </w:rPr>
        <w:t>work</w:t>
      </w:r>
      <w:r w:rsidRPr="003C766A">
        <w:rPr>
          <w:rFonts w:asciiTheme="majorHAnsi" w:hAnsiTheme="majorHAnsi" w:cstheme="majorHAnsi"/>
        </w:rPr>
        <w:t xml:space="preserve"> (Figure S</w:t>
      </w:r>
      <w:r w:rsidR="00150196" w:rsidRPr="003C766A">
        <w:rPr>
          <w:rFonts w:asciiTheme="majorHAnsi" w:hAnsiTheme="majorHAnsi" w:cstheme="majorHAnsi"/>
        </w:rPr>
        <w:t>9</w:t>
      </w:r>
      <w:r w:rsidRPr="003C766A">
        <w:rPr>
          <w:rFonts w:asciiTheme="majorHAnsi" w:hAnsiTheme="majorHAnsi" w:cstheme="majorHAnsi"/>
        </w:rPr>
        <w:t xml:space="preserve">) identify very similar multivariate patterns in all classification tasks where performance above chance was achieved, as indicated by strong correlations between feature importance values (Spearman’s </w:t>
      </w:r>
      <m:oMath>
        <m:sSub>
          <m:sSubPr>
            <m:ctrlPr>
              <w:rPr>
                <w:rFonts w:ascii="Cambria Math" w:hAnsi="Cambria Math" w:cstheme="majorHAnsi"/>
                <w:i/>
              </w:rPr>
            </m:ctrlPr>
          </m:sSubPr>
          <m:e>
            <m:r>
              <w:rPr>
                <w:rFonts w:ascii="Cambria Math" w:hAnsi="Cambria Math" w:cstheme="majorHAnsi"/>
              </w:rPr>
              <m:t>ρ</m:t>
            </m:r>
          </m:e>
          <m:sub>
            <m:r>
              <w:rPr>
                <w:rFonts w:ascii="Cambria Math" w:hAnsi="Cambria Math" w:cstheme="majorHAnsi"/>
              </w:rPr>
              <m:t>acAN-TP1</m:t>
            </m:r>
          </m:sub>
        </m:sSub>
        <m:r>
          <w:rPr>
            <w:rFonts w:ascii="Cambria Math" w:hAnsi="Cambria Math" w:cstheme="majorHAnsi"/>
          </w:rPr>
          <m:t>=0.99, p&lt;0.001</m:t>
        </m:r>
      </m:oMath>
      <w:r w:rsidRPr="003C766A">
        <w:rPr>
          <w:rFonts w:asciiTheme="majorHAnsi" w:hAnsiTheme="majorHAnsi" w:cstheme="majorHAnsi"/>
        </w:rPr>
        <w:t xml:space="preserve"> and </w:t>
      </w:r>
      <m:oMath>
        <m:sSub>
          <m:sSubPr>
            <m:ctrlPr>
              <w:rPr>
                <w:rFonts w:ascii="Cambria Math" w:hAnsi="Cambria Math" w:cstheme="majorHAnsi"/>
                <w:i/>
              </w:rPr>
            </m:ctrlPr>
          </m:sSubPr>
          <m:e>
            <m:r>
              <w:rPr>
                <w:rFonts w:ascii="Cambria Math" w:hAnsi="Cambria Math" w:cstheme="majorHAnsi"/>
              </w:rPr>
              <m:t>ρ</m:t>
            </m:r>
          </m:e>
          <m:sub>
            <m:r>
              <w:rPr>
                <w:rFonts w:ascii="Cambria Math" w:hAnsi="Cambria Math" w:cstheme="majorHAnsi"/>
              </w:rPr>
              <m:t>acAN-TP2</m:t>
            </m:r>
          </m:sub>
        </m:sSub>
        <m:r>
          <w:rPr>
            <w:rFonts w:ascii="Cambria Math" w:hAnsi="Cambria Math" w:cstheme="majorHAnsi"/>
          </w:rPr>
          <m:t>=0.89, p&lt;0.001</m:t>
        </m:r>
      </m:oMath>
      <w:r w:rsidRPr="003C766A">
        <w:rPr>
          <w:rFonts w:asciiTheme="majorHAnsi" w:hAnsiTheme="majorHAnsi" w:cstheme="majorHAnsi"/>
        </w:rPr>
        <w:t>).</w:t>
      </w:r>
    </w:p>
    <w:p w14:paraId="6A5D4929" w14:textId="77777777" w:rsidR="00AD0A28" w:rsidRPr="00860DCA" w:rsidRDefault="00AD0A28" w:rsidP="00E56776">
      <w:pPr>
        <w:pStyle w:val="Text"/>
        <w:rPr>
          <w:rFonts w:asciiTheme="majorHAnsi" w:hAnsiTheme="majorHAnsi" w:cstheme="majorHAnsi"/>
          <w:color w:val="auto"/>
          <w:sz w:val="24"/>
          <w:szCs w:val="28"/>
        </w:rPr>
      </w:pPr>
    </w:p>
    <w:p w14:paraId="2D942357" w14:textId="37399B1C" w:rsidR="00AD0A28" w:rsidRPr="00E56776" w:rsidRDefault="00AD0A28" w:rsidP="00E56776">
      <w:pPr>
        <w:pStyle w:val="berschrift3"/>
        <w:numPr>
          <w:ilvl w:val="1"/>
          <w:numId w:val="8"/>
        </w:numPr>
        <w:spacing w:after="240" w:line="360" w:lineRule="auto"/>
        <w:rPr>
          <w:rFonts w:asciiTheme="majorHAnsi" w:hAnsiTheme="majorHAnsi" w:cstheme="majorHAnsi"/>
          <w:color w:val="auto"/>
        </w:rPr>
      </w:pPr>
      <w:r w:rsidRPr="003C766A">
        <w:rPr>
          <w:rFonts w:asciiTheme="majorHAnsi" w:hAnsiTheme="majorHAnsi" w:cstheme="majorHAnsi"/>
          <w:color w:val="auto"/>
        </w:rPr>
        <w:t>Permutation importance</w:t>
      </w:r>
    </w:p>
    <w:p w14:paraId="271C7907" w14:textId="06F4351B" w:rsidR="00AD0A28" w:rsidRPr="003C766A" w:rsidRDefault="00AD0A28" w:rsidP="00E56776">
      <w:pPr>
        <w:pStyle w:val="Text"/>
      </w:pPr>
      <w:proofErr w:type="gramStart"/>
      <w:r w:rsidRPr="003C766A">
        <w:t>Additional</w:t>
      </w:r>
      <w:r w:rsidR="00FF244A" w:rsidRPr="003C766A">
        <w:t>ly</w:t>
      </w:r>
      <w:proofErr w:type="gramEnd"/>
      <w:r w:rsidRPr="003C766A">
        <w:t xml:space="preserve"> to our main results on feature importance we also computed feature importance with the method of permutation importance to determine which of the important features (according to Haufe et al.) in fact provide unique information that is not found in any other feature. </w:t>
      </w:r>
    </w:p>
    <w:p w14:paraId="462922DD" w14:textId="3FDA2FB9" w:rsidR="00647277" w:rsidRDefault="00FF244A" w:rsidP="00E56776">
      <w:pPr>
        <w:pStyle w:val="Text"/>
      </w:pPr>
      <w:r w:rsidRPr="003C766A">
        <w:t>We found that among the most</w:t>
      </w:r>
      <w:r w:rsidRPr="00FF244A">
        <w:t xml:space="preserve"> important features in Figure </w:t>
      </w:r>
      <w:r w:rsidR="001D661A">
        <w:t>3</w:t>
      </w:r>
      <w:r w:rsidRPr="00FF244A">
        <w:t xml:space="preserve">B, only a few with high positive importance </w:t>
      </w:r>
      <w:r w:rsidR="00860DCA">
        <w:t xml:space="preserve">according to Haufe et al. </w:t>
      </w:r>
      <w:r w:rsidRPr="00FF244A">
        <w:t>also showed a relatively high permutation importance (right lateral orbitofrontal, left and right insula cortical thickness), while all others (including several cortical regions with negative importance and some ventricular volumes) showed low permutation importance</w:t>
      </w:r>
      <w:r>
        <w:t xml:space="preserve"> (Figure S</w:t>
      </w:r>
      <w:r w:rsidR="00BF5D59">
        <w:t>10</w:t>
      </w:r>
      <w:r>
        <w:t>)</w:t>
      </w:r>
      <w:r w:rsidRPr="00FF244A">
        <w:t xml:space="preserve">. This </w:t>
      </w:r>
      <w:r w:rsidR="009C3EC6">
        <w:t>finding is in line with</w:t>
      </w:r>
      <w:r w:rsidRPr="00FF244A">
        <w:t xml:space="preserve"> our interpretation that higher cortical thickness in the orbitofrontal and insula regions</w:t>
      </w:r>
      <w:r>
        <w:t xml:space="preserve"> </w:t>
      </w:r>
      <w:r w:rsidRPr="00FF244A">
        <w:t>may constitute distinguished and regionally specific alterations in AN, while the latter group of features may reflect a residual of the widespread reduction in gray matter due to undernutrition.</w:t>
      </w:r>
    </w:p>
    <w:p w14:paraId="5CBA9C09" w14:textId="77777777" w:rsidR="00DE4A18" w:rsidRDefault="00DE4A18" w:rsidP="00E56776">
      <w:pPr>
        <w:pStyle w:val="Text"/>
      </w:pPr>
    </w:p>
    <w:p w14:paraId="54C583F1" w14:textId="28D8E18C" w:rsidR="00647277" w:rsidRPr="00E56776" w:rsidRDefault="00DE4A18" w:rsidP="00E56776">
      <w:pPr>
        <w:pStyle w:val="berschrift3"/>
        <w:numPr>
          <w:ilvl w:val="1"/>
          <w:numId w:val="8"/>
        </w:numPr>
        <w:spacing w:after="240" w:line="360" w:lineRule="auto"/>
        <w:rPr>
          <w:rFonts w:asciiTheme="majorHAnsi" w:hAnsiTheme="majorHAnsi" w:cstheme="majorHAnsi"/>
          <w:color w:val="auto"/>
        </w:rPr>
      </w:pPr>
      <w:r w:rsidRPr="00BF5D59">
        <w:rPr>
          <w:rFonts w:asciiTheme="majorHAnsi" w:hAnsiTheme="majorHAnsi" w:cstheme="majorHAnsi"/>
          <w:color w:val="auto"/>
        </w:rPr>
        <w:lastRenderedPageBreak/>
        <w:t>Adolescent subsample analysis</w:t>
      </w:r>
    </w:p>
    <w:p w14:paraId="5DFE6823" w14:textId="43D841B3" w:rsidR="00647277" w:rsidRPr="00255E89" w:rsidRDefault="00DE4A18" w:rsidP="00E56776">
      <w:pPr>
        <w:pStyle w:val="Text"/>
      </w:pPr>
      <w:r w:rsidRPr="00255E89">
        <w:t xml:space="preserve">Our acAN-TP2 sample included mostly adolescent participants (83% of acAN-TP2 patients were younger than 18 years). We </w:t>
      </w:r>
      <w:r w:rsidR="00255E89" w:rsidRPr="00255E89">
        <w:t>repeated our main</w:t>
      </w:r>
      <w:r w:rsidRPr="00255E89">
        <w:t xml:space="preserve"> analyses in a subsample comprising only adolescent participants from the acAN-TP2 (N=95) and HC (N=152) group. A machine learning analysis for the adult subsample was unfeasible due to the low number of acAN-TP2 </w:t>
      </w:r>
      <w:r w:rsidR="00255E89" w:rsidRPr="00255E89">
        <w:t xml:space="preserve">patients </w:t>
      </w:r>
      <w:r w:rsidRPr="00255E89">
        <w:t xml:space="preserve">older than 18 years (N=20). </w:t>
      </w:r>
      <w:r w:rsidR="00255E89" w:rsidRPr="00255E89">
        <w:t xml:space="preserve">We trained the machine learning model on the adolescent subsample using the same hyperparameters as for the full sample (since for this reduced sample size, hyperparameter optimization as described in supplementary methods 1.4 resulted in considerable overfitting). The feature </w:t>
      </w:r>
      <w:proofErr w:type="spellStart"/>
      <w:r w:rsidR="00255E89" w:rsidRPr="00255E89">
        <w:t>importances</w:t>
      </w:r>
      <w:proofErr w:type="spellEnd"/>
      <w:r w:rsidR="00255E89" w:rsidRPr="00255E89">
        <w:t xml:space="preserve"> obtained for the adolescent subsample were highly correlated (Pearson correlation r=0.93) with those for the full sample </w:t>
      </w:r>
      <w:r w:rsidR="00255E89">
        <w:t>(</w:t>
      </w:r>
      <w:r w:rsidR="00255E89" w:rsidRPr="00255E89">
        <w:t xml:space="preserve">Figure </w:t>
      </w:r>
      <w:r w:rsidR="002D1C56">
        <w:t>3</w:t>
      </w:r>
      <w:r w:rsidR="00255E89">
        <w:t>)</w:t>
      </w:r>
      <w:r w:rsidR="00255E89" w:rsidRPr="00255E89">
        <w:t xml:space="preserve"> and the machine learning based risk score obtained based on the adolescent subsample was still significantly associated with Morgan-Russel outcome (N=63, p=0.008). </w:t>
      </w:r>
      <w:r w:rsidR="00384B0D" w:rsidRPr="00384B0D">
        <w:t xml:space="preserve">As in the full sample, this remained true when the covariates of BMI-SDS (p=0.008), BMI-SDS </w:t>
      </w:r>
      <w:r w:rsidR="00384B0D">
        <w:t xml:space="preserve">change </w:t>
      </w:r>
      <w:r w:rsidR="00384B0D" w:rsidRPr="00384B0D">
        <w:t xml:space="preserve">since </w:t>
      </w:r>
      <w:r w:rsidR="00384B0D">
        <w:t>admission to</w:t>
      </w:r>
      <w:r w:rsidR="00384B0D" w:rsidRPr="00384B0D">
        <w:t xml:space="preserve"> treatment (p=0.01), or psychiatric comorbidity (p=0.01) were included.</w:t>
      </w:r>
    </w:p>
    <w:p w14:paraId="1FD4222E" w14:textId="38638BFE" w:rsidR="00AD0A28" w:rsidRPr="00FF244A" w:rsidRDefault="00AD0A28" w:rsidP="00E56776">
      <w:pPr>
        <w:pStyle w:val="Text"/>
      </w:pPr>
      <w:r>
        <w:br w:type="page"/>
      </w:r>
    </w:p>
    <w:p w14:paraId="7FEDCBEC" w14:textId="12078508" w:rsidR="00CC7E2D" w:rsidRPr="00CC7E2D" w:rsidRDefault="00CC7E2D" w:rsidP="00E56776">
      <w:pPr>
        <w:pStyle w:val="berschrift2"/>
        <w:spacing w:line="360" w:lineRule="auto"/>
        <w:rPr>
          <w:rFonts w:asciiTheme="majorHAnsi" w:eastAsia="Calibri" w:hAnsiTheme="majorHAnsi" w:cstheme="majorHAnsi"/>
          <w:color w:val="auto"/>
          <w:sz w:val="24"/>
          <w:szCs w:val="28"/>
        </w:rPr>
      </w:pPr>
      <w:r w:rsidRPr="00CC7E2D">
        <w:rPr>
          <w:rFonts w:asciiTheme="majorHAnsi" w:eastAsia="Calibri" w:hAnsiTheme="majorHAnsi" w:cstheme="majorHAnsi"/>
          <w:color w:val="auto"/>
          <w:sz w:val="24"/>
          <w:szCs w:val="28"/>
        </w:rPr>
        <w:lastRenderedPageBreak/>
        <w:t>Tables</w:t>
      </w:r>
    </w:p>
    <w:p w14:paraId="60B515AB" w14:textId="6CE12791" w:rsidR="00CC7E2D" w:rsidRDefault="00CC7E2D" w:rsidP="00E56776">
      <w:pPr>
        <w:spacing w:line="360" w:lineRule="auto"/>
        <w:rPr>
          <w:rFonts w:asciiTheme="majorHAnsi" w:hAnsiTheme="majorHAnsi" w:cstheme="majorHAnsi"/>
          <w:color w:val="auto"/>
        </w:rPr>
      </w:pPr>
    </w:p>
    <w:tbl>
      <w:tblPr>
        <w:tblW w:w="9072" w:type="dxa"/>
        <w:tblLook w:val="0400" w:firstRow="0" w:lastRow="0" w:firstColumn="0" w:lastColumn="0" w:noHBand="0" w:noVBand="1"/>
      </w:tblPr>
      <w:tblGrid>
        <w:gridCol w:w="3544"/>
        <w:gridCol w:w="1277"/>
        <w:gridCol w:w="4251"/>
      </w:tblGrid>
      <w:tr w:rsidR="008A1CDF" w:rsidRPr="00B60F8C" w14:paraId="64FE5EAF" w14:textId="77777777" w:rsidTr="00301AE9">
        <w:trPr>
          <w:trHeight w:val="328"/>
        </w:trPr>
        <w:tc>
          <w:tcPr>
            <w:tcW w:w="9072" w:type="dxa"/>
            <w:gridSpan w:val="3"/>
          </w:tcPr>
          <w:p w14:paraId="76CB0150" w14:textId="687642BB" w:rsidR="008A1CDF" w:rsidRPr="00CC7E2D" w:rsidRDefault="008A1CDF" w:rsidP="00E56776">
            <w:pPr>
              <w:pBdr>
                <w:top w:val="none" w:sz="0" w:space="0" w:color="auto"/>
                <w:left w:val="none" w:sz="0" w:space="0" w:color="auto"/>
                <w:bottom w:val="none" w:sz="0" w:space="0" w:color="auto"/>
                <w:right w:val="none" w:sz="0" w:space="0" w:color="auto"/>
                <w:between w:val="none" w:sz="0" w:space="0" w:color="auto"/>
              </w:pBdr>
              <w:tabs>
                <w:tab w:val="right" w:pos="9867"/>
              </w:tabs>
              <w:spacing w:line="360" w:lineRule="auto"/>
              <w:jc w:val="both"/>
              <w:rPr>
                <w:rFonts w:asciiTheme="majorHAnsi" w:hAnsiTheme="majorHAnsi" w:cstheme="majorHAnsi"/>
                <w:b/>
                <w:color w:val="auto"/>
              </w:rPr>
            </w:pPr>
            <w:r w:rsidRPr="00CC7E2D">
              <w:rPr>
                <w:rFonts w:asciiTheme="majorHAnsi" w:hAnsiTheme="majorHAnsi" w:cstheme="majorHAnsi"/>
                <w:b/>
                <w:color w:val="auto"/>
              </w:rPr>
              <w:t>Table S</w:t>
            </w:r>
            <w:r w:rsidR="005263F9">
              <w:rPr>
                <w:rFonts w:asciiTheme="majorHAnsi" w:hAnsiTheme="majorHAnsi" w:cstheme="majorHAnsi"/>
                <w:b/>
                <w:color w:val="auto"/>
              </w:rPr>
              <w:t>1</w:t>
            </w:r>
            <w:r w:rsidR="00F54128">
              <w:rPr>
                <w:rFonts w:asciiTheme="majorHAnsi" w:hAnsiTheme="majorHAnsi" w:cstheme="majorHAnsi"/>
                <w:b/>
                <w:color w:val="auto"/>
              </w:rPr>
              <w:t>.</w:t>
            </w:r>
            <w:r>
              <w:rPr>
                <w:rFonts w:asciiTheme="majorHAnsi" w:hAnsiTheme="majorHAnsi" w:cstheme="majorHAnsi"/>
                <w:color w:val="auto"/>
              </w:rPr>
              <w:t xml:space="preserve"> </w:t>
            </w:r>
            <w:r w:rsidRPr="0071192A">
              <w:rPr>
                <w:rStyle w:val="TextZchn"/>
              </w:rPr>
              <w:t>Group comparison of acAN-TP2 with and without Morgan-Russel outcome score.</w:t>
            </w:r>
          </w:p>
        </w:tc>
      </w:tr>
      <w:tr w:rsidR="008A1CDF" w:rsidRPr="00CC7E2D" w14:paraId="42779F64" w14:textId="77777777" w:rsidTr="00A06FEB">
        <w:trPr>
          <w:trHeight w:val="328"/>
        </w:trPr>
        <w:tc>
          <w:tcPr>
            <w:tcW w:w="3544" w:type="dxa"/>
            <w:tcBorders>
              <w:top w:val="single" w:sz="4" w:space="0" w:color="auto"/>
              <w:bottom w:val="single" w:sz="4" w:space="0" w:color="auto"/>
            </w:tcBorders>
          </w:tcPr>
          <w:p w14:paraId="0D834CE6" w14:textId="5A820EF4" w:rsidR="008A1CDF" w:rsidRPr="00CC7E2D" w:rsidRDefault="008A1CDF" w:rsidP="00E56776">
            <w:pPr>
              <w:pBdr>
                <w:top w:val="none" w:sz="0" w:space="0" w:color="auto"/>
                <w:left w:val="none" w:sz="0" w:space="0" w:color="auto"/>
                <w:bottom w:val="none" w:sz="0" w:space="0" w:color="auto"/>
                <w:right w:val="none" w:sz="0" w:space="0" w:color="auto"/>
                <w:between w:val="none" w:sz="0" w:space="0" w:color="auto"/>
              </w:pBdr>
              <w:spacing w:line="360" w:lineRule="auto"/>
              <w:rPr>
                <w:rFonts w:asciiTheme="majorHAnsi" w:hAnsiTheme="majorHAnsi" w:cstheme="majorHAnsi"/>
                <w:b/>
                <w:color w:val="auto"/>
              </w:rPr>
            </w:pPr>
          </w:p>
        </w:tc>
        <w:tc>
          <w:tcPr>
            <w:tcW w:w="1277" w:type="dxa"/>
            <w:tcBorders>
              <w:top w:val="single" w:sz="4" w:space="0" w:color="auto"/>
              <w:bottom w:val="single" w:sz="4" w:space="0" w:color="auto"/>
            </w:tcBorders>
          </w:tcPr>
          <w:p w14:paraId="0129C78F" w14:textId="093E4276" w:rsidR="008A1CDF" w:rsidRPr="00CA0AB0" w:rsidRDefault="008A1CDF" w:rsidP="00E567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heme="majorHAnsi" w:hAnsiTheme="majorHAnsi" w:cstheme="majorHAnsi"/>
                <w:b/>
                <w:color w:val="auto"/>
              </w:rPr>
            </w:pPr>
            <w:r w:rsidRPr="00CA0AB0">
              <w:rPr>
                <w:b/>
              </w:rPr>
              <w:t>t</w:t>
            </w:r>
          </w:p>
        </w:tc>
        <w:tc>
          <w:tcPr>
            <w:tcW w:w="4251" w:type="dxa"/>
            <w:tcBorders>
              <w:top w:val="single" w:sz="4" w:space="0" w:color="auto"/>
              <w:bottom w:val="single" w:sz="4" w:space="0" w:color="auto"/>
            </w:tcBorders>
          </w:tcPr>
          <w:p w14:paraId="3AD96EAC" w14:textId="71310C46" w:rsidR="008A1CDF" w:rsidRPr="00CA0AB0" w:rsidRDefault="008A1CDF" w:rsidP="00E567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heme="majorHAnsi" w:hAnsiTheme="majorHAnsi" w:cstheme="majorHAnsi"/>
                <w:b/>
                <w:color w:val="auto"/>
              </w:rPr>
            </w:pPr>
            <w:r w:rsidRPr="00CA0AB0">
              <w:rPr>
                <w:b/>
              </w:rPr>
              <w:t>p</w:t>
            </w:r>
          </w:p>
        </w:tc>
      </w:tr>
      <w:tr w:rsidR="008A1CDF" w:rsidRPr="00CC7E2D" w14:paraId="57F33F22" w14:textId="77777777" w:rsidTr="00A06FEB">
        <w:trPr>
          <w:trHeight w:val="340"/>
        </w:trPr>
        <w:tc>
          <w:tcPr>
            <w:tcW w:w="3544" w:type="dxa"/>
            <w:tcBorders>
              <w:top w:val="single" w:sz="4" w:space="0" w:color="auto"/>
            </w:tcBorders>
          </w:tcPr>
          <w:p w14:paraId="022A9BA5" w14:textId="74FB473F" w:rsidR="008A1CDF" w:rsidRPr="0093649B" w:rsidRDefault="0093649B" w:rsidP="00E56776">
            <w:pPr>
              <w:pBdr>
                <w:top w:val="none" w:sz="0" w:space="0" w:color="auto"/>
                <w:left w:val="none" w:sz="0" w:space="0" w:color="auto"/>
                <w:bottom w:val="none" w:sz="0" w:space="0" w:color="auto"/>
                <w:right w:val="none" w:sz="0" w:space="0" w:color="auto"/>
                <w:between w:val="none" w:sz="0" w:space="0" w:color="auto"/>
              </w:pBdr>
              <w:spacing w:before="240" w:line="360" w:lineRule="auto"/>
              <w:rPr>
                <w:b/>
              </w:rPr>
            </w:pPr>
            <w:r w:rsidRPr="0093649B">
              <w:rPr>
                <w:b/>
              </w:rPr>
              <w:t>Machine learning-based risk</w:t>
            </w:r>
            <w:r w:rsidR="008939B0" w:rsidRPr="0093649B">
              <w:rPr>
                <w:b/>
              </w:rPr>
              <w:t xml:space="preserve"> score </w:t>
            </w:r>
            <w:r w:rsidR="008A57CE" w:rsidRPr="0093649B">
              <w:rPr>
                <w:b/>
              </w:rPr>
              <w:t>acAN-TP2</w:t>
            </w:r>
          </w:p>
        </w:tc>
        <w:tc>
          <w:tcPr>
            <w:tcW w:w="1277" w:type="dxa"/>
            <w:tcBorders>
              <w:top w:val="single" w:sz="4" w:space="0" w:color="auto"/>
            </w:tcBorders>
          </w:tcPr>
          <w:p w14:paraId="37A1B407" w14:textId="2490014E" w:rsidR="008A1CDF" w:rsidRPr="00CC7E2D" w:rsidRDefault="008A1CDF" w:rsidP="00E56776">
            <w:pPr>
              <w:pBdr>
                <w:top w:val="none" w:sz="0" w:space="0" w:color="auto"/>
                <w:left w:val="none" w:sz="0" w:space="0" w:color="auto"/>
                <w:bottom w:val="none" w:sz="0" w:space="0" w:color="auto"/>
                <w:right w:val="none" w:sz="0" w:space="0" w:color="auto"/>
                <w:between w:val="none" w:sz="0" w:space="0" w:color="auto"/>
              </w:pBdr>
              <w:spacing w:before="240" w:line="360" w:lineRule="auto"/>
              <w:jc w:val="center"/>
              <w:rPr>
                <w:rFonts w:asciiTheme="majorHAnsi" w:hAnsiTheme="majorHAnsi" w:cstheme="majorHAnsi"/>
                <w:color w:val="auto"/>
              </w:rPr>
            </w:pPr>
            <w:r w:rsidRPr="00F115E6">
              <w:t>-1.654</w:t>
            </w:r>
          </w:p>
        </w:tc>
        <w:tc>
          <w:tcPr>
            <w:tcW w:w="4251" w:type="dxa"/>
            <w:tcBorders>
              <w:top w:val="single" w:sz="4" w:space="0" w:color="auto"/>
            </w:tcBorders>
          </w:tcPr>
          <w:p w14:paraId="51843507" w14:textId="5AC36C7A" w:rsidR="008A1CDF" w:rsidRPr="00CC7E2D" w:rsidRDefault="008A1CDF" w:rsidP="00E56776">
            <w:pPr>
              <w:pBdr>
                <w:top w:val="none" w:sz="0" w:space="0" w:color="auto"/>
                <w:left w:val="none" w:sz="0" w:space="0" w:color="auto"/>
                <w:bottom w:val="none" w:sz="0" w:space="0" w:color="auto"/>
                <w:right w:val="none" w:sz="0" w:space="0" w:color="auto"/>
                <w:between w:val="none" w:sz="0" w:space="0" w:color="auto"/>
              </w:pBdr>
              <w:spacing w:before="240" w:line="360" w:lineRule="auto"/>
              <w:jc w:val="center"/>
              <w:rPr>
                <w:rFonts w:asciiTheme="majorHAnsi" w:hAnsiTheme="majorHAnsi" w:cstheme="majorHAnsi"/>
                <w:color w:val="auto"/>
              </w:rPr>
            </w:pPr>
            <w:r w:rsidRPr="00F115E6">
              <w:t>0.101</w:t>
            </w:r>
          </w:p>
        </w:tc>
      </w:tr>
      <w:tr w:rsidR="008A1CDF" w:rsidRPr="00CC7E2D" w14:paraId="451A93AD" w14:textId="77777777" w:rsidTr="00A06FEB">
        <w:trPr>
          <w:trHeight w:val="340"/>
        </w:trPr>
        <w:tc>
          <w:tcPr>
            <w:tcW w:w="3544" w:type="dxa"/>
          </w:tcPr>
          <w:p w14:paraId="29C9E347" w14:textId="75AEF129" w:rsidR="008A1CDF" w:rsidRPr="00CA0AB0" w:rsidRDefault="008A57CE" w:rsidP="00E56776">
            <w:pPr>
              <w:pBdr>
                <w:top w:val="none" w:sz="0" w:space="0" w:color="auto"/>
                <w:left w:val="none" w:sz="0" w:space="0" w:color="auto"/>
                <w:bottom w:val="none" w:sz="0" w:space="0" w:color="auto"/>
                <w:right w:val="none" w:sz="0" w:space="0" w:color="auto"/>
                <w:between w:val="none" w:sz="0" w:space="0" w:color="auto"/>
              </w:pBdr>
              <w:spacing w:before="240" w:line="360" w:lineRule="auto"/>
              <w:rPr>
                <w:rFonts w:asciiTheme="majorHAnsi" w:hAnsiTheme="majorHAnsi" w:cstheme="majorHAnsi"/>
                <w:b/>
                <w:color w:val="auto"/>
              </w:rPr>
            </w:pPr>
            <w:r w:rsidRPr="00CA0AB0">
              <w:rPr>
                <w:b/>
              </w:rPr>
              <w:t>Age</w:t>
            </w:r>
          </w:p>
        </w:tc>
        <w:tc>
          <w:tcPr>
            <w:tcW w:w="1277" w:type="dxa"/>
          </w:tcPr>
          <w:p w14:paraId="4120F229" w14:textId="3A15BD4C" w:rsidR="008A1CDF" w:rsidRPr="00CC7E2D" w:rsidRDefault="008A1CDF" w:rsidP="00E56776">
            <w:pPr>
              <w:pBdr>
                <w:top w:val="none" w:sz="0" w:space="0" w:color="auto"/>
                <w:left w:val="none" w:sz="0" w:space="0" w:color="auto"/>
                <w:bottom w:val="none" w:sz="0" w:space="0" w:color="auto"/>
                <w:right w:val="none" w:sz="0" w:space="0" w:color="auto"/>
                <w:between w:val="none" w:sz="0" w:space="0" w:color="auto"/>
              </w:pBdr>
              <w:spacing w:before="240" w:line="360" w:lineRule="auto"/>
              <w:jc w:val="center"/>
              <w:rPr>
                <w:rFonts w:asciiTheme="majorHAnsi" w:hAnsiTheme="majorHAnsi" w:cstheme="majorHAnsi"/>
                <w:color w:val="auto"/>
              </w:rPr>
            </w:pPr>
            <w:r w:rsidRPr="00F115E6">
              <w:t>0.207</w:t>
            </w:r>
          </w:p>
        </w:tc>
        <w:tc>
          <w:tcPr>
            <w:tcW w:w="4251" w:type="dxa"/>
          </w:tcPr>
          <w:p w14:paraId="27F6E0CB" w14:textId="343EB65A" w:rsidR="008A1CDF" w:rsidRPr="00CC7E2D" w:rsidRDefault="008A1CDF" w:rsidP="00E56776">
            <w:pPr>
              <w:pBdr>
                <w:top w:val="none" w:sz="0" w:space="0" w:color="auto"/>
                <w:left w:val="none" w:sz="0" w:space="0" w:color="auto"/>
                <w:bottom w:val="none" w:sz="0" w:space="0" w:color="auto"/>
                <w:right w:val="none" w:sz="0" w:space="0" w:color="auto"/>
                <w:between w:val="none" w:sz="0" w:space="0" w:color="auto"/>
              </w:pBdr>
              <w:spacing w:before="240" w:line="360" w:lineRule="auto"/>
              <w:jc w:val="center"/>
              <w:rPr>
                <w:rFonts w:asciiTheme="majorHAnsi" w:hAnsiTheme="majorHAnsi" w:cstheme="majorHAnsi"/>
                <w:color w:val="auto"/>
              </w:rPr>
            </w:pPr>
            <w:r w:rsidRPr="00F115E6">
              <w:t>0.836</w:t>
            </w:r>
          </w:p>
        </w:tc>
      </w:tr>
      <w:tr w:rsidR="008A1CDF" w:rsidRPr="00CC7E2D" w14:paraId="214BC6F9" w14:textId="77777777" w:rsidTr="00A06FEB">
        <w:trPr>
          <w:trHeight w:val="340"/>
        </w:trPr>
        <w:tc>
          <w:tcPr>
            <w:tcW w:w="3544" w:type="dxa"/>
          </w:tcPr>
          <w:p w14:paraId="27A03C13" w14:textId="7223AC98" w:rsidR="008A1CDF" w:rsidRPr="00CA0AB0" w:rsidRDefault="008A57CE" w:rsidP="00E56776">
            <w:pPr>
              <w:pBdr>
                <w:top w:val="none" w:sz="0" w:space="0" w:color="auto"/>
                <w:left w:val="none" w:sz="0" w:space="0" w:color="auto"/>
                <w:bottom w:val="none" w:sz="0" w:space="0" w:color="auto"/>
                <w:right w:val="none" w:sz="0" w:space="0" w:color="auto"/>
                <w:between w:val="none" w:sz="0" w:space="0" w:color="auto"/>
              </w:pBdr>
              <w:spacing w:before="240" w:line="360" w:lineRule="auto"/>
              <w:rPr>
                <w:rFonts w:asciiTheme="majorHAnsi" w:hAnsiTheme="majorHAnsi" w:cstheme="majorHAnsi"/>
                <w:b/>
                <w:color w:val="auto"/>
              </w:rPr>
            </w:pPr>
            <w:r w:rsidRPr="00CA0AB0">
              <w:rPr>
                <w:b/>
              </w:rPr>
              <w:t>EDI-2</w:t>
            </w:r>
          </w:p>
        </w:tc>
        <w:tc>
          <w:tcPr>
            <w:tcW w:w="1277" w:type="dxa"/>
          </w:tcPr>
          <w:p w14:paraId="492D71C7" w14:textId="71490568" w:rsidR="008A1CDF" w:rsidRPr="00CC7E2D" w:rsidRDefault="008A1CDF" w:rsidP="00E56776">
            <w:pPr>
              <w:pBdr>
                <w:top w:val="none" w:sz="0" w:space="0" w:color="auto"/>
                <w:left w:val="none" w:sz="0" w:space="0" w:color="auto"/>
                <w:bottom w:val="none" w:sz="0" w:space="0" w:color="auto"/>
                <w:right w:val="none" w:sz="0" w:space="0" w:color="auto"/>
                <w:between w:val="none" w:sz="0" w:space="0" w:color="auto"/>
              </w:pBdr>
              <w:spacing w:before="240" w:line="360" w:lineRule="auto"/>
              <w:jc w:val="center"/>
              <w:rPr>
                <w:rFonts w:asciiTheme="majorHAnsi" w:hAnsiTheme="majorHAnsi" w:cstheme="majorHAnsi"/>
                <w:color w:val="auto"/>
              </w:rPr>
            </w:pPr>
            <w:r w:rsidRPr="00F115E6">
              <w:t>2.764</w:t>
            </w:r>
          </w:p>
        </w:tc>
        <w:tc>
          <w:tcPr>
            <w:tcW w:w="4251" w:type="dxa"/>
          </w:tcPr>
          <w:p w14:paraId="6F72C711" w14:textId="48DE018A" w:rsidR="008A1CDF" w:rsidRPr="00CC7E2D" w:rsidRDefault="008A1CDF" w:rsidP="00E56776">
            <w:pPr>
              <w:pBdr>
                <w:top w:val="none" w:sz="0" w:space="0" w:color="auto"/>
                <w:left w:val="none" w:sz="0" w:space="0" w:color="auto"/>
                <w:bottom w:val="none" w:sz="0" w:space="0" w:color="auto"/>
                <w:right w:val="none" w:sz="0" w:space="0" w:color="auto"/>
                <w:between w:val="none" w:sz="0" w:space="0" w:color="auto"/>
              </w:pBdr>
              <w:spacing w:before="240" w:line="360" w:lineRule="auto"/>
              <w:jc w:val="center"/>
              <w:rPr>
                <w:rFonts w:asciiTheme="majorHAnsi" w:hAnsiTheme="majorHAnsi" w:cstheme="majorHAnsi"/>
                <w:color w:val="auto"/>
              </w:rPr>
            </w:pPr>
            <w:r w:rsidRPr="00F115E6">
              <w:t>0.007</w:t>
            </w:r>
          </w:p>
        </w:tc>
      </w:tr>
      <w:tr w:rsidR="008A1CDF" w:rsidRPr="00CC7E2D" w14:paraId="364C9594" w14:textId="77777777" w:rsidTr="00A06FEB">
        <w:trPr>
          <w:trHeight w:val="340"/>
        </w:trPr>
        <w:tc>
          <w:tcPr>
            <w:tcW w:w="3544" w:type="dxa"/>
          </w:tcPr>
          <w:p w14:paraId="349CA65D" w14:textId="54B9EDD4" w:rsidR="008A1CDF" w:rsidRPr="00CA0AB0" w:rsidRDefault="008A57CE" w:rsidP="00E56776">
            <w:pPr>
              <w:pBdr>
                <w:top w:val="none" w:sz="0" w:space="0" w:color="auto"/>
                <w:left w:val="none" w:sz="0" w:space="0" w:color="auto"/>
                <w:bottom w:val="none" w:sz="0" w:space="0" w:color="auto"/>
                <w:right w:val="none" w:sz="0" w:space="0" w:color="auto"/>
                <w:between w:val="none" w:sz="0" w:space="0" w:color="auto"/>
              </w:pBdr>
              <w:spacing w:before="240" w:line="360" w:lineRule="auto"/>
              <w:rPr>
                <w:b/>
              </w:rPr>
            </w:pPr>
            <w:r w:rsidRPr="00CA0AB0">
              <w:rPr>
                <w:b/>
              </w:rPr>
              <w:t>BDI-2</w:t>
            </w:r>
          </w:p>
        </w:tc>
        <w:tc>
          <w:tcPr>
            <w:tcW w:w="1277" w:type="dxa"/>
          </w:tcPr>
          <w:p w14:paraId="78A70051" w14:textId="4A1D3128" w:rsidR="008A1CDF" w:rsidRPr="00AA3394" w:rsidRDefault="008A1CDF" w:rsidP="00E56776">
            <w:pPr>
              <w:pBdr>
                <w:top w:val="none" w:sz="0" w:space="0" w:color="auto"/>
                <w:left w:val="none" w:sz="0" w:space="0" w:color="auto"/>
                <w:bottom w:val="none" w:sz="0" w:space="0" w:color="auto"/>
                <w:right w:val="none" w:sz="0" w:space="0" w:color="auto"/>
                <w:between w:val="none" w:sz="0" w:space="0" w:color="auto"/>
              </w:pBdr>
              <w:spacing w:before="240" w:line="360" w:lineRule="auto"/>
              <w:jc w:val="center"/>
            </w:pPr>
            <w:r w:rsidRPr="00F115E6">
              <w:t>3.579</w:t>
            </w:r>
          </w:p>
        </w:tc>
        <w:tc>
          <w:tcPr>
            <w:tcW w:w="4251" w:type="dxa"/>
          </w:tcPr>
          <w:p w14:paraId="39C42F05" w14:textId="5CF3B63A" w:rsidR="008A1CDF" w:rsidRPr="00AA3394" w:rsidRDefault="008A1CDF" w:rsidP="00E56776">
            <w:pPr>
              <w:pBdr>
                <w:top w:val="none" w:sz="0" w:space="0" w:color="auto"/>
                <w:left w:val="none" w:sz="0" w:space="0" w:color="auto"/>
                <w:bottom w:val="none" w:sz="0" w:space="0" w:color="auto"/>
                <w:right w:val="none" w:sz="0" w:space="0" w:color="auto"/>
                <w:between w:val="none" w:sz="0" w:space="0" w:color="auto"/>
              </w:pBdr>
              <w:spacing w:before="240" w:line="360" w:lineRule="auto"/>
              <w:jc w:val="center"/>
            </w:pPr>
            <w:r w:rsidRPr="00F115E6">
              <w:t>0.001</w:t>
            </w:r>
          </w:p>
        </w:tc>
      </w:tr>
      <w:tr w:rsidR="008A1CDF" w:rsidRPr="00CC7E2D" w14:paraId="7DE1BE34" w14:textId="77777777" w:rsidTr="00C86147">
        <w:trPr>
          <w:trHeight w:val="633"/>
        </w:trPr>
        <w:tc>
          <w:tcPr>
            <w:tcW w:w="3544" w:type="dxa"/>
          </w:tcPr>
          <w:p w14:paraId="33132289" w14:textId="6FD0157E" w:rsidR="008A1CDF" w:rsidRPr="00CA0AB0" w:rsidRDefault="008A57CE" w:rsidP="00E56776">
            <w:pPr>
              <w:pBdr>
                <w:top w:val="none" w:sz="0" w:space="0" w:color="auto"/>
                <w:left w:val="none" w:sz="0" w:space="0" w:color="auto"/>
                <w:bottom w:val="none" w:sz="0" w:space="0" w:color="auto"/>
                <w:right w:val="none" w:sz="0" w:space="0" w:color="auto"/>
                <w:between w:val="none" w:sz="0" w:space="0" w:color="auto"/>
              </w:pBdr>
              <w:spacing w:before="240" w:line="360" w:lineRule="auto"/>
              <w:rPr>
                <w:b/>
              </w:rPr>
            </w:pPr>
            <w:r w:rsidRPr="00CA0AB0">
              <w:rPr>
                <w:b/>
              </w:rPr>
              <w:t>BMI-SDS</w:t>
            </w:r>
          </w:p>
        </w:tc>
        <w:tc>
          <w:tcPr>
            <w:tcW w:w="1277" w:type="dxa"/>
          </w:tcPr>
          <w:p w14:paraId="0020BE76" w14:textId="5AFC98DD" w:rsidR="008A1CDF" w:rsidRPr="00AA3394" w:rsidRDefault="008A1CDF" w:rsidP="00E56776">
            <w:pPr>
              <w:pBdr>
                <w:top w:val="none" w:sz="0" w:space="0" w:color="auto"/>
                <w:left w:val="none" w:sz="0" w:space="0" w:color="auto"/>
                <w:bottom w:val="none" w:sz="0" w:space="0" w:color="auto"/>
                <w:right w:val="none" w:sz="0" w:space="0" w:color="auto"/>
                <w:between w:val="none" w:sz="0" w:space="0" w:color="auto"/>
              </w:pBdr>
              <w:spacing w:before="240" w:line="360" w:lineRule="auto"/>
              <w:jc w:val="center"/>
            </w:pPr>
            <w:r w:rsidRPr="00F115E6">
              <w:t>0.346</w:t>
            </w:r>
          </w:p>
        </w:tc>
        <w:tc>
          <w:tcPr>
            <w:tcW w:w="4251" w:type="dxa"/>
          </w:tcPr>
          <w:p w14:paraId="03375C6F" w14:textId="27812C14" w:rsidR="008A1CDF" w:rsidRPr="00AA3394" w:rsidRDefault="008A1CDF" w:rsidP="00E56776">
            <w:pPr>
              <w:pBdr>
                <w:top w:val="none" w:sz="0" w:space="0" w:color="auto"/>
                <w:left w:val="none" w:sz="0" w:space="0" w:color="auto"/>
                <w:bottom w:val="none" w:sz="0" w:space="0" w:color="auto"/>
                <w:right w:val="none" w:sz="0" w:space="0" w:color="auto"/>
                <w:between w:val="none" w:sz="0" w:space="0" w:color="auto"/>
              </w:pBdr>
              <w:spacing w:before="240" w:line="360" w:lineRule="auto"/>
              <w:jc w:val="center"/>
            </w:pPr>
            <w:r w:rsidRPr="00F115E6">
              <w:t>0.730</w:t>
            </w:r>
          </w:p>
        </w:tc>
      </w:tr>
      <w:tr w:rsidR="008A1CDF" w:rsidRPr="00CC7E2D" w14:paraId="03E24302" w14:textId="77777777" w:rsidTr="00A06FEB">
        <w:trPr>
          <w:trHeight w:val="340"/>
        </w:trPr>
        <w:tc>
          <w:tcPr>
            <w:tcW w:w="3544" w:type="dxa"/>
          </w:tcPr>
          <w:p w14:paraId="584ABBBA" w14:textId="3A6015A2" w:rsidR="008A1CDF" w:rsidRPr="00CA0AB0" w:rsidRDefault="008A57CE" w:rsidP="00E56776">
            <w:pPr>
              <w:pBdr>
                <w:top w:val="none" w:sz="0" w:space="0" w:color="auto"/>
                <w:left w:val="none" w:sz="0" w:space="0" w:color="auto"/>
                <w:bottom w:val="none" w:sz="0" w:space="0" w:color="auto"/>
                <w:right w:val="none" w:sz="0" w:space="0" w:color="auto"/>
                <w:between w:val="none" w:sz="0" w:space="0" w:color="auto"/>
              </w:pBdr>
              <w:spacing w:before="240" w:line="360" w:lineRule="auto"/>
              <w:rPr>
                <w:b/>
              </w:rPr>
            </w:pPr>
            <w:r w:rsidRPr="00CA0AB0">
              <w:rPr>
                <w:b/>
              </w:rPr>
              <w:t>EDI-2 (at admission)</w:t>
            </w:r>
          </w:p>
        </w:tc>
        <w:tc>
          <w:tcPr>
            <w:tcW w:w="1277" w:type="dxa"/>
          </w:tcPr>
          <w:p w14:paraId="4610A94F" w14:textId="7FD09FE6" w:rsidR="008A1CDF" w:rsidRPr="00AA3394" w:rsidRDefault="008A1CDF" w:rsidP="00E56776">
            <w:pPr>
              <w:pBdr>
                <w:top w:val="none" w:sz="0" w:space="0" w:color="auto"/>
                <w:left w:val="none" w:sz="0" w:space="0" w:color="auto"/>
                <w:bottom w:val="none" w:sz="0" w:space="0" w:color="auto"/>
                <w:right w:val="none" w:sz="0" w:space="0" w:color="auto"/>
                <w:between w:val="none" w:sz="0" w:space="0" w:color="auto"/>
              </w:pBdr>
              <w:spacing w:before="240" w:line="360" w:lineRule="auto"/>
              <w:jc w:val="center"/>
            </w:pPr>
            <w:r w:rsidRPr="00F115E6">
              <w:t>0.924</w:t>
            </w:r>
          </w:p>
        </w:tc>
        <w:tc>
          <w:tcPr>
            <w:tcW w:w="4251" w:type="dxa"/>
          </w:tcPr>
          <w:p w14:paraId="083C1445" w14:textId="01934148" w:rsidR="008A1CDF" w:rsidRPr="00AA3394" w:rsidRDefault="008A1CDF" w:rsidP="00E56776">
            <w:pPr>
              <w:pBdr>
                <w:top w:val="none" w:sz="0" w:space="0" w:color="auto"/>
                <w:left w:val="none" w:sz="0" w:space="0" w:color="auto"/>
                <w:bottom w:val="none" w:sz="0" w:space="0" w:color="auto"/>
                <w:right w:val="none" w:sz="0" w:space="0" w:color="auto"/>
                <w:between w:val="none" w:sz="0" w:space="0" w:color="auto"/>
              </w:pBdr>
              <w:spacing w:before="240" w:line="360" w:lineRule="auto"/>
              <w:jc w:val="center"/>
            </w:pPr>
            <w:r w:rsidRPr="00F115E6">
              <w:t>0.358</w:t>
            </w:r>
          </w:p>
        </w:tc>
      </w:tr>
      <w:tr w:rsidR="008A1CDF" w:rsidRPr="00CC7E2D" w14:paraId="7BCECC80" w14:textId="77777777" w:rsidTr="00A06FEB">
        <w:trPr>
          <w:trHeight w:val="340"/>
        </w:trPr>
        <w:tc>
          <w:tcPr>
            <w:tcW w:w="3544" w:type="dxa"/>
          </w:tcPr>
          <w:p w14:paraId="1A315016" w14:textId="4D2284FB" w:rsidR="008A1CDF" w:rsidRPr="00CA0AB0" w:rsidRDefault="008A57CE" w:rsidP="00E56776">
            <w:pPr>
              <w:pBdr>
                <w:top w:val="none" w:sz="0" w:space="0" w:color="auto"/>
                <w:left w:val="none" w:sz="0" w:space="0" w:color="auto"/>
                <w:bottom w:val="none" w:sz="0" w:space="0" w:color="auto"/>
                <w:right w:val="none" w:sz="0" w:space="0" w:color="auto"/>
                <w:between w:val="none" w:sz="0" w:space="0" w:color="auto"/>
              </w:pBdr>
              <w:spacing w:before="240" w:line="360" w:lineRule="auto"/>
              <w:rPr>
                <w:b/>
              </w:rPr>
            </w:pPr>
            <w:r w:rsidRPr="00CA0AB0">
              <w:rPr>
                <w:b/>
              </w:rPr>
              <w:t>BDI-2 (at admission)</w:t>
            </w:r>
          </w:p>
        </w:tc>
        <w:tc>
          <w:tcPr>
            <w:tcW w:w="1277" w:type="dxa"/>
          </w:tcPr>
          <w:p w14:paraId="70DA23D9" w14:textId="5F80A56C" w:rsidR="008A1CDF" w:rsidRPr="00AA3394" w:rsidRDefault="008A1CDF" w:rsidP="00E56776">
            <w:pPr>
              <w:pBdr>
                <w:top w:val="none" w:sz="0" w:space="0" w:color="auto"/>
                <w:left w:val="none" w:sz="0" w:space="0" w:color="auto"/>
                <w:bottom w:val="none" w:sz="0" w:space="0" w:color="auto"/>
                <w:right w:val="none" w:sz="0" w:space="0" w:color="auto"/>
                <w:between w:val="none" w:sz="0" w:space="0" w:color="auto"/>
              </w:pBdr>
              <w:spacing w:before="240" w:line="360" w:lineRule="auto"/>
              <w:jc w:val="center"/>
            </w:pPr>
            <w:r w:rsidRPr="00F115E6">
              <w:t>2.054</w:t>
            </w:r>
          </w:p>
        </w:tc>
        <w:tc>
          <w:tcPr>
            <w:tcW w:w="4251" w:type="dxa"/>
          </w:tcPr>
          <w:p w14:paraId="7B9E1D16" w14:textId="65571250" w:rsidR="008A1CDF" w:rsidRPr="00AA3394" w:rsidRDefault="008A1CDF" w:rsidP="00E56776">
            <w:pPr>
              <w:pBdr>
                <w:top w:val="none" w:sz="0" w:space="0" w:color="auto"/>
                <w:left w:val="none" w:sz="0" w:space="0" w:color="auto"/>
                <w:bottom w:val="none" w:sz="0" w:space="0" w:color="auto"/>
                <w:right w:val="none" w:sz="0" w:space="0" w:color="auto"/>
                <w:between w:val="none" w:sz="0" w:space="0" w:color="auto"/>
              </w:pBdr>
              <w:spacing w:before="240" w:line="360" w:lineRule="auto"/>
              <w:jc w:val="center"/>
            </w:pPr>
            <w:r w:rsidRPr="00F115E6">
              <w:t>0.042</w:t>
            </w:r>
          </w:p>
        </w:tc>
      </w:tr>
      <w:tr w:rsidR="008A1CDF" w:rsidRPr="00CC7E2D" w14:paraId="0EDC4DAD" w14:textId="77777777" w:rsidTr="00C86147">
        <w:trPr>
          <w:trHeight w:val="340"/>
        </w:trPr>
        <w:tc>
          <w:tcPr>
            <w:tcW w:w="3544" w:type="dxa"/>
          </w:tcPr>
          <w:p w14:paraId="6C29CF9F" w14:textId="69D6C4CB" w:rsidR="009E0DAC" w:rsidRPr="00CA0AB0" w:rsidRDefault="008A57CE" w:rsidP="00E56776">
            <w:pPr>
              <w:pBdr>
                <w:top w:val="none" w:sz="0" w:space="0" w:color="auto"/>
                <w:left w:val="none" w:sz="0" w:space="0" w:color="auto"/>
                <w:bottom w:val="none" w:sz="0" w:space="0" w:color="auto"/>
                <w:right w:val="none" w:sz="0" w:space="0" w:color="auto"/>
                <w:between w:val="none" w:sz="0" w:space="0" w:color="auto"/>
              </w:pBdr>
              <w:spacing w:before="240" w:line="360" w:lineRule="auto"/>
              <w:rPr>
                <w:b/>
              </w:rPr>
            </w:pPr>
            <w:r w:rsidRPr="00CA0AB0">
              <w:rPr>
                <w:b/>
              </w:rPr>
              <w:t>BMI-SDS (at admission)</w:t>
            </w:r>
          </w:p>
        </w:tc>
        <w:tc>
          <w:tcPr>
            <w:tcW w:w="1277" w:type="dxa"/>
          </w:tcPr>
          <w:p w14:paraId="1B0EFD60" w14:textId="466EF446" w:rsidR="009E0DAC" w:rsidRPr="00AA3394" w:rsidRDefault="008A1CDF" w:rsidP="00E56776">
            <w:pPr>
              <w:pBdr>
                <w:top w:val="none" w:sz="0" w:space="0" w:color="auto"/>
                <w:left w:val="none" w:sz="0" w:space="0" w:color="auto"/>
                <w:bottom w:val="none" w:sz="0" w:space="0" w:color="auto"/>
                <w:right w:val="none" w:sz="0" w:space="0" w:color="auto"/>
                <w:between w:val="none" w:sz="0" w:space="0" w:color="auto"/>
              </w:pBdr>
              <w:spacing w:before="240" w:line="360" w:lineRule="auto"/>
              <w:jc w:val="center"/>
            </w:pPr>
            <w:r w:rsidRPr="00F115E6">
              <w:t>-1.008</w:t>
            </w:r>
          </w:p>
        </w:tc>
        <w:tc>
          <w:tcPr>
            <w:tcW w:w="4251" w:type="dxa"/>
          </w:tcPr>
          <w:p w14:paraId="291B1408" w14:textId="0766AB60" w:rsidR="009E0DAC" w:rsidRPr="00AA3394" w:rsidRDefault="008A1CDF" w:rsidP="00E56776">
            <w:pPr>
              <w:pBdr>
                <w:top w:val="none" w:sz="0" w:space="0" w:color="auto"/>
                <w:left w:val="none" w:sz="0" w:space="0" w:color="auto"/>
                <w:bottom w:val="none" w:sz="0" w:space="0" w:color="auto"/>
                <w:right w:val="none" w:sz="0" w:space="0" w:color="auto"/>
                <w:between w:val="none" w:sz="0" w:space="0" w:color="auto"/>
              </w:pBdr>
              <w:spacing w:before="240" w:line="360" w:lineRule="auto"/>
              <w:jc w:val="center"/>
            </w:pPr>
            <w:r w:rsidRPr="00F115E6">
              <w:t>0.316</w:t>
            </w:r>
          </w:p>
        </w:tc>
      </w:tr>
      <w:tr w:rsidR="00C86147" w:rsidRPr="00CC7E2D" w14:paraId="6C0D0A02" w14:textId="77777777" w:rsidTr="00A06FEB">
        <w:trPr>
          <w:trHeight w:val="340"/>
        </w:trPr>
        <w:tc>
          <w:tcPr>
            <w:tcW w:w="3544" w:type="dxa"/>
            <w:tcBorders>
              <w:bottom w:val="single" w:sz="4" w:space="0" w:color="auto"/>
            </w:tcBorders>
          </w:tcPr>
          <w:p w14:paraId="3ACC3634" w14:textId="4A168BE9" w:rsidR="00C86147" w:rsidRPr="00CA0AB0" w:rsidRDefault="00C86147" w:rsidP="00E56776">
            <w:pPr>
              <w:pBdr>
                <w:top w:val="none" w:sz="0" w:space="0" w:color="auto"/>
                <w:left w:val="none" w:sz="0" w:space="0" w:color="auto"/>
                <w:bottom w:val="none" w:sz="0" w:space="0" w:color="auto"/>
                <w:right w:val="none" w:sz="0" w:space="0" w:color="auto"/>
                <w:between w:val="none" w:sz="0" w:space="0" w:color="auto"/>
              </w:pBdr>
              <w:spacing w:before="240" w:line="360" w:lineRule="auto"/>
              <w:rPr>
                <w:b/>
              </w:rPr>
            </w:pPr>
            <w:r>
              <w:rPr>
                <w:b/>
              </w:rPr>
              <w:t>Comorbidity (at admission)</w:t>
            </w:r>
          </w:p>
        </w:tc>
        <w:tc>
          <w:tcPr>
            <w:tcW w:w="1277" w:type="dxa"/>
            <w:tcBorders>
              <w:bottom w:val="single" w:sz="4" w:space="0" w:color="auto"/>
            </w:tcBorders>
          </w:tcPr>
          <w:p w14:paraId="474841D5" w14:textId="3E01BF1A" w:rsidR="00C86147" w:rsidRPr="00F115E6" w:rsidRDefault="00C86147" w:rsidP="00E56776">
            <w:pPr>
              <w:pBdr>
                <w:top w:val="none" w:sz="0" w:space="0" w:color="auto"/>
                <w:left w:val="none" w:sz="0" w:space="0" w:color="auto"/>
                <w:bottom w:val="none" w:sz="0" w:space="0" w:color="auto"/>
                <w:right w:val="none" w:sz="0" w:space="0" w:color="auto"/>
                <w:between w:val="none" w:sz="0" w:space="0" w:color="auto"/>
              </w:pBdr>
              <w:spacing w:before="240" w:line="360" w:lineRule="auto"/>
              <w:jc w:val="center"/>
            </w:pPr>
            <w:r>
              <w:t>0.756</w:t>
            </w:r>
          </w:p>
        </w:tc>
        <w:tc>
          <w:tcPr>
            <w:tcW w:w="4251" w:type="dxa"/>
            <w:tcBorders>
              <w:bottom w:val="single" w:sz="4" w:space="0" w:color="auto"/>
            </w:tcBorders>
          </w:tcPr>
          <w:p w14:paraId="3A125328" w14:textId="5015C76B" w:rsidR="00C86147" w:rsidRPr="00F115E6" w:rsidRDefault="00C86147" w:rsidP="00E56776">
            <w:pPr>
              <w:pBdr>
                <w:top w:val="none" w:sz="0" w:space="0" w:color="auto"/>
                <w:left w:val="none" w:sz="0" w:space="0" w:color="auto"/>
                <w:bottom w:val="none" w:sz="0" w:space="0" w:color="auto"/>
                <w:right w:val="none" w:sz="0" w:space="0" w:color="auto"/>
                <w:between w:val="none" w:sz="0" w:space="0" w:color="auto"/>
              </w:pBdr>
              <w:spacing w:before="240" w:line="360" w:lineRule="auto"/>
              <w:jc w:val="center"/>
            </w:pPr>
            <w:r>
              <w:t>0.385</w:t>
            </w:r>
          </w:p>
        </w:tc>
      </w:tr>
    </w:tbl>
    <w:p w14:paraId="731CF23B" w14:textId="77777777" w:rsidR="008A1CDF" w:rsidRDefault="008A1CDF" w:rsidP="00E56776">
      <w:pPr>
        <w:pStyle w:val="Text"/>
      </w:pPr>
    </w:p>
    <w:p w14:paraId="14B7DF23" w14:textId="46B53337" w:rsidR="008A1CDF" w:rsidRDefault="00EE35B8" w:rsidP="00E56776">
      <w:pPr>
        <w:pStyle w:val="Text"/>
      </w:pPr>
      <w:r>
        <w:t xml:space="preserve">Group comparison </w:t>
      </w:r>
      <w:r w:rsidR="008939B0">
        <w:t>between</w:t>
      </w:r>
      <w:r>
        <w:t xml:space="preserve"> acAN-TP2 with (N=74) and without (N=41) Morgan-Russel outcome score. </w:t>
      </w:r>
      <w:r w:rsidR="00B5537B">
        <w:t>Continuous v</w:t>
      </w:r>
      <w:r w:rsidR="008A1CDF">
        <w:t>ariables with skewed distributions were log/exp transformed before testing.</w:t>
      </w:r>
      <w:r w:rsidR="006D6126">
        <w:t xml:space="preserve"> Comorbidity indicates the presence of comorbid disorder</w:t>
      </w:r>
      <w:r w:rsidR="00292D00">
        <w:t>s at admission to treatment</w:t>
      </w:r>
      <w:r w:rsidR="006D6126">
        <w:t xml:space="preserve"> </w:t>
      </w:r>
      <w:r w:rsidR="00292D00">
        <w:t>(</w:t>
      </w:r>
      <w:r w:rsidR="006D6126">
        <w:t>Supplementary methods 1.8</w:t>
      </w:r>
      <w:r w:rsidR="00292D00">
        <w:t>)</w:t>
      </w:r>
      <w:r w:rsidR="006D6126">
        <w:t>.</w:t>
      </w:r>
      <w:r w:rsidR="00383C14">
        <w:t xml:space="preserve"> Both samples generally had comparable measures, but acAN-TP2 with </w:t>
      </w:r>
      <w:r w:rsidR="00B957D0">
        <w:t>Morgan-Russel outcome</w:t>
      </w:r>
      <w:r w:rsidR="008939B0">
        <w:t xml:space="preserve"> score</w:t>
      </w:r>
      <w:r w:rsidR="00383C14">
        <w:t xml:space="preserve"> had higher EDI</w:t>
      </w:r>
      <w:r w:rsidR="008A57CE">
        <w:t>-</w:t>
      </w:r>
      <w:r w:rsidR="00383C14">
        <w:t>2 and BDI</w:t>
      </w:r>
      <w:r w:rsidR="008A57CE">
        <w:t>-</w:t>
      </w:r>
      <w:r w:rsidR="00383C14">
        <w:t>2 scores after treatment and higher BDI2 before treatment.</w:t>
      </w:r>
    </w:p>
    <w:p w14:paraId="21D74FE8" w14:textId="1898B98E" w:rsidR="00CA0AB0" w:rsidRDefault="00CA0AB0" w:rsidP="00E56776">
      <w:pPr>
        <w:pStyle w:val="Text"/>
      </w:pPr>
    </w:p>
    <w:p w14:paraId="7799DF42" w14:textId="14D83021" w:rsidR="008A1CDF" w:rsidRPr="00707AC5" w:rsidRDefault="00CE33BB" w:rsidP="00E56776">
      <w:pPr>
        <w:pStyle w:val="Text"/>
      </w:pPr>
      <w:r w:rsidRPr="00CE33BB">
        <w:rPr>
          <w:b/>
        </w:rPr>
        <w:lastRenderedPageBreak/>
        <w:t>Table S2.</w:t>
      </w:r>
      <w:r>
        <w:t xml:space="preserve"> Optimal hyperparameters found with grid search.</w:t>
      </w:r>
    </w:p>
    <w:tbl>
      <w:tblPr>
        <w:tblW w:w="6386" w:type="dxa"/>
        <w:tblInd w:w="108" w:type="dxa"/>
        <w:tblLook w:val="0400" w:firstRow="0" w:lastRow="0" w:firstColumn="0" w:lastColumn="0" w:noHBand="0" w:noVBand="1"/>
      </w:tblPr>
      <w:tblGrid>
        <w:gridCol w:w="2036"/>
        <w:gridCol w:w="1743"/>
        <w:gridCol w:w="2607"/>
      </w:tblGrid>
      <w:tr w:rsidR="00554339" w:rsidRPr="00CC7E2D" w14:paraId="60A1DBB0" w14:textId="1C140578" w:rsidTr="00F2385E">
        <w:trPr>
          <w:trHeight w:val="328"/>
        </w:trPr>
        <w:tc>
          <w:tcPr>
            <w:tcW w:w="2036" w:type="dxa"/>
            <w:tcBorders>
              <w:top w:val="single" w:sz="4" w:space="0" w:color="auto"/>
              <w:bottom w:val="single" w:sz="4" w:space="0" w:color="auto"/>
            </w:tcBorders>
          </w:tcPr>
          <w:p w14:paraId="0B8551F5" w14:textId="77777777" w:rsidR="00554339" w:rsidRPr="00CC7E2D" w:rsidRDefault="00554339" w:rsidP="00E56776">
            <w:pPr>
              <w:pBdr>
                <w:top w:val="none" w:sz="0" w:space="0" w:color="auto"/>
                <w:left w:val="none" w:sz="0" w:space="0" w:color="auto"/>
                <w:bottom w:val="none" w:sz="0" w:space="0" w:color="auto"/>
                <w:right w:val="none" w:sz="0" w:space="0" w:color="auto"/>
                <w:between w:val="none" w:sz="0" w:space="0" w:color="auto"/>
              </w:pBdr>
              <w:spacing w:line="360" w:lineRule="auto"/>
              <w:rPr>
                <w:rFonts w:asciiTheme="majorHAnsi" w:hAnsiTheme="majorHAnsi" w:cstheme="majorHAnsi"/>
                <w:b/>
                <w:color w:val="auto"/>
              </w:rPr>
            </w:pPr>
            <w:r w:rsidRPr="00CC7E2D">
              <w:rPr>
                <w:rFonts w:asciiTheme="majorHAnsi" w:hAnsiTheme="majorHAnsi" w:cstheme="majorHAnsi"/>
                <w:b/>
                <w:color w:val="auto"/>
              </w:rPr>
              <w:t>Classification task</w:t>
            </w:r>
          </w:p>
        </w:tc>
        <w:tc>
          <w:tcPr>
            <w:tcW w:w="1743" w:type="dxa"/>
            <w:tcBorders>
              <w:top w:val="single" w:sz="4" w:space="0" w:color="auto"/>
              <w:bottom w:val="single" w:sz="4" w:space="0" w:color="auto"/>
            </w:tcBorders>
          </w:tcPr>
          <w:p w14:paraId="14A5E665" w14:textId="13E01D3A" w:rsidR="00554339" w:rsidRPr="00CC7E2D" w:rsidRDefault="00554339" w:rsidP="00E567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heme="majorHAnsi" w:hAnsiTheme="majorHAnsi" w:cstheme="majorHAnsi"/>
                <w:b/>
                <w:color w:val="auto"/>
              </w:rPr>
            </w:pPr>
            <w:r w:rsidRPr="00CC7E2D">
              <w:rPr>
                <w:rFonts w:asciiTheme="majorHAnsi" w:hAnsiTheme="majorHAnsi" w:cstheme="majorHAnsi"/>
                <w:b/>
                <w:color w:val="auto"/>
              </w:rPr>
              <w:t>PCA %Variance</w:t>
            </w:r>
          </w:p>
        </w:tc>
        <w:tc>
          <w:tcPr>
            <w:tcW w:w="2607" w:type="dxa"/>
            <w:tcBorders>
              <w:top w:val="single" w:sz="4" w:space="0" w:color="auto"/>
              <w:bottom w:val="single" w:sz="4" w:space="0" w:color="auto"/>
            </w:tcBorders>
          </w:tcPr>
          <w:p w14:paraId="3B84619F" w14:textId="1C877646" w:rsidR="00554339" w:rsidRPr="00CC7E2D" w:rsidRDefault="00554339" w:rsidP="00E56776">
            <w:pPr>
              <w:pBdr>
                <w:top w:val="none" w:sz="0" w:space="0" w:color="auto"/>
                <w:left w:val="none" w:sz="0" w:space="0" w:color="auto"/>
                <w:bottom w:val="none" w:sz="0" w:space="0" w:color="auto"/>
                <w:right w:val="none" w:sz="0" w:space="0" w:color="auto"/>
                <w:between w:val="none" w:sz="0" w:space="0" w:color="auto"/>
              </w:pBdr>
              <w:spacing w:line="360" w:lineRule="auto"/>
              <w:jc w:val="center"/>
              <w:rPr>
                <w:rFonts w:asciiTheme="majorHAnsi" w:hAnsiTheme="majorHAnsi" w:cstheme="majorHAnsi"/>
                <w:b/>
                <w:color w:val="auto"/>
              </w:rPr>
            </w:pPr>
            <w:r w:rsidRPr="00CC7E2D">
              <w:rPr>
                <w:rFonts w:asciiTheme="majorHAnsi" w:hAnsiTheme="majorHAnsi" w:cstheme="majorHAnsi"/>
                <w:b/>
                <w:color w:val="auto"/>
              </w:rPr>
              <w:t xml:space="preserve">SVM </w:t>
            </w:r>
            <m:oMath>
              <m:r>
                <m:rPr>
                  <m:sty m:val="bi"/>
                </m:rPr>
                <w:rPr>
                  <w:rFonts w:ascii="Cambria Math" w:hAnsi="Cambria Math" w:cstheme="majorHAnsi"/>
                  <w:color w:val="auto"/>
                </w:rPr>
                <m:t>C</m:t>
              </m:r>
            </m:oMath>
          </w:p>
        </w:tc>
      </w:tr>
      <w:tr w:rsidR="00554339" w:rsidRPr="00CC7E2D" w14:paraId="132161FF" w14:textId="127DF9DE" w:rsidTr="00F2385E">
        <w:trPr>
          <w:trHeight w:val="236"/>
        </w:trPr>
        <w:tc>
          <w:tcPr>
            <w:tcW w:w="2036" w:type="dxa"/>
            <w:tcBorders>
              <w:top w:val="single" w:sz="4" w:space="0" w:color="auto"/>
            </w:tcBorders>
          </w:tcPr>
          <w:p w14:paraId="3C75E15B" w14:textId="77777777" w:rsidR="00554339" w:rsidRPr="00CC7E2D" w:rsidRDefault="00554339" w:rsidP="00E56776">
            <w:pPr>
              <w:pBdr>
                <w:top w:val="none" w:sz="0" w:space="0" w:color="auto"/>
                <w:left w:val="none" w:sz="0" w:space="0" w:color="auto"/>
                <w:bottom w:val="none" w:sz="0" w:space="0" w:color="auto"/>
                <w:right w:val="none" w:sz="0" w:space="0" w:color="auto"/>
                <w:between w:val="none" w:sz="0" w:space="0" w:color="auto"/>
              </w:pBdr>
              <w:spacing w:before="240" w:line="360" w:lineRule="auto"/>
              <w:rPr>
                <w:rFonts w:asciiTheme="majorHAnsi" w:hAnsiTheme="majorHAnsi" w:cstheme="majorHAnsi"/>
                <w:b/>
                <w:color w:val="auto"/>
              </w:rPr>
            </w:pPr>
            <w:r w:rsidRPr="00CC7E2D">
              <w:rPr>
                <w:rFonts w:asciiTheme="majorHAnsi" w:hAnsiTheme="majorHAnsi" w:cstheme="majorHAnsi"/>
                <w:b/>
                <w:color w:val="auto"/>
              </w:rPr>
              <w:t>acAN-TP1 vs. HC</w:t>
            </w:r>
          </w:p>
        </w:tc>
        <w:tc>
          <w:tcPr>
            <w:tcW w:w="1743" w:type="dxa"/>
            <w:tcBorders>
              <w:top w:val="single" w:sz="4" w:space="0" w:color="auto"/>
            </w:tcBorders>
          </w:tcPr>
          <w:p w14:paraId="1153218D" w14:textId="0EE9BB52" w:rsidR="00554339" w:rsidRPr="00CC7E2D" w:rsidRDefault="00554339" w:rsidP="00E56776">
            <w:pPr>
              <w:pBdr>
                <w:top w:val="none" w:sz="0" w:space="0" w:color="auto"/>
                <w:left w:val="none" w:sz="0" w:space="0" w:color="auto"/>
                <w:bottom w:val="none" w:sz="0" w:space="0" w:color="auto"/>
                <w:right w:val="none" w:sz="0" w:space="0" w:color="auto"/>
                <w:between w:val="none" w:sz="0" w:space="0" w:color="auto"/>
              </w:pBdr>
              <w:spacing w:before="240" w:line="360" w:lineRule="auto"/>
              <w:jc w:val="center"/>
              <w:rPr>
                <w:rFonts w:asciiTheme="majorHAnsi" w:hAnsiTheme="majorHAnsi" w:cstheme="majorHAnsi"/>
                <w:color w:val="auto"/>
              </w:rPr>
            </w:pPr>
            <w:r w:rsidRPr="00CC7E2D">
              <w:rPr>
                <w:rFonts w:asciiTheme="majorHAnsi" w:hAnsiTheme="majorHAnsi" w:cstheme="majorHAnsi"/>
                <w:color w:val="auto"/>
              </w:rPr>
              <w:t>0.7</w:t>
            </w:r>
          </w:p>
        </w:tc>
        <w:tc>
          <w:tcPr>
            <w:tcW w:w="2607" w:type="dxa"/>
            <w:tcBorders>
              <w:top w:val="single" w:sz="4" w:space="0" w:color="auto"/>
            </w:tcBorders>
          </w:tcPr>
          <w:p w14:paraId="3D3AC842" w14:textId="58F8CC23" w:rsidR="00554339" w:rsidRPr="00CC7E2D" w:rsidRDefault="00554339" w:rsidP="00E56776">
            <w:pPr>
              <w:pBdr>
                <w:top w:val="none" w:sz="0" w:space="0" w:color="auto"/>
                <w:left w:val="none" w:sz="0" w:space="0" w:color="auto"/>
                <w:bottom w:val="none" w:sz="0" w:space="0" w:color="auto"/>
                <w:right w:val="none" w:sz="0" w:space="0" w:color="auto"/>
                <w:between w:val="none" w:sz="0" w:space="0" w:color="auto"/>
              </w:pBdr>
              <w:spacing w:before="240" w:line="360" w:lineRule="auto"/>
              <w:jc w:val="center"/>
              <w:rPr>
                <w:rFonts w:asciiTheme="majorHAnsi" w:hAnsiTheme="majorHAnsi" w:cstheme="majorHAnsi"/>
                <w:color w:val="auto"/>
              </w:rPr>
            </w:pPr>
            <w:r w:rsidRPr="00CC7E2D">
              <w:rPr>
                <w:rFonts w:asciiTheme="majorHAnsi" w:hAnsiTheme="majorHAnsi" w:cstheme="majorHAnsi"/>
                <w:color w:val="auto"/>
              </w:rPr>
              <w:t>0.0001</w:t>
            </w:r>
          </w:p>
        </w:tc>
      </w:tr>
      <w:tr w:rsidR="00554339" w:rsidRPr="00CC7E2D" w14:paraId="1724B484" w14:textId="1C96DC2D" w:rsidTr="00F2385E">
        <w:trPr>
          <w:trHeight w:val="236"/>
        </w:trPr>
        <w:tc>
          <w:tcPr>
            <w:tcW w:w="2036" w:type="dxa"/>
          </w:tcPr>
          <w:p w14:paraId="02B93B33" w14:textId="77777777" w:rsidR="00554339" w:rsidRPr="00CC7E2D" w:rsidRDefault="00554339" w:rsidP="00E56776">
            <w:pPr>
              <w:pBdr>
                <w:top w:val="none" w:sz="0" w:space="0" w:color="auto"/>
                <w:left w:val="none" w:sz="0" w:space="0" w:color="auto"/>
                <w:bottom w:val="none" w:sz="0" w:space="0" w:color="auto"/>
                <w:right w:val="none" w:sz="0" w:space="0" w:color="auto"/>
                <w:between w:val="none" w:sz="0" w:space="0" w:color="auto"/>
              </w:pBdr>
              <w:spacing w:before="240" w:line="360" w:lineRule="auto"/>
              <w:rPr>
                <w:rFonts w:asciiTheme="majorHAnsi" w:hAnsiTheme="majorHAnsi" w:cstheme="majorHAnsi"/>
                <w:b/>
                <w:color w:val="auto"/>
              </w:rPr>
            </w:pPr>
            <w:r w:rsidRPr="00CC7E2D">
              <w:rPr>
                <w:rFonts w:asciiTheme="majorHAnsi" w:hAnsiTheme="majorHAnsi" w:cstheme="majorHAnsi"/>
                <w:b/>
                <w:color w:val="auto"/>
              </w:rPr>
              <w:t>acAN-TP2 vs. HC</w:t>
            </w:r>
          </w:p>
        </w:tc>
        <w:tc>
          <w:tcPr>
            <w:tcW w:w="1743" w:type="dxa"/>
          </w:tcPr>
          <w:p w14:paraId="1720B28D" w14:textId="58CF8496" w:rsidR="00554339" w:rsidRPr="00CC7E2D" w:rsidRDefault="00554339" w:rsidP="00E56776">
            <w:pPr>
              <w:pBdr>
                <w:top w:val="none" w:sz="0" w:space="0" w:color="auto"/>
                <w:left w:val="none" w:sz="0" w:space="0" w:color="auto"/>
                <w:bottom w:val="none" w:sz="0" w:space="0" w:color="auto"/>
                <w:right w:val="none" w:sz="0" w:space="0" w:color="auto"/>
                <w:between w:val="none" w:sz="0" w:space="0" w:color="auto"/>
              </w:pBdr>
              <w:spacing w:before="240" w:line="360" w:lineRule="auto"/>
              <w:jc w:val="center"/>
              <w:rPr>
                <w:rFonts w:asciiTheme="majorHAnsi" w:hAnsiTheme="majorHAnsi" w:cstheme="majorHAnsi"/>
                <w:color w:val="auto"/>
              </w:rPr>
            </w:pPr>
            <w:r w:rsidRPr="00CC7E2D">
              <w:rPr>
                <w:rFonts w:asciiTheme="majorHAnsi" w:hAnsiTheme="majorHAnsi" w:cstheme="majorHAnsi"/>
                <w:color w:val="auto"/>
              </w:rPr>
              <w:t>0.7</w:t>
            </w:r>
          </w:p>
        </w:tc>
        <w:tc>
          <w:tcPr>
            <w:tcW w:w="2607" w:type="dxa"/>
          </w:tcPr>
          <w:p w14:paraId="5C6E8658" w14:textId="6174D803" w:rsidR="00554339" w:rsidRPr="00CC7E2D" w:rsidRDefault="00554339" w:rsidP="00E56776">
            <w:pPr>
              <w:pBdr>
                <w:top w:val="none" w:sz="0" w:space="0" w:color="auto"/>
                <w:left w:val="none" w:sz="0" w:space="0" w:color="auto"/>
                <w:bottom w:val="none" w:sz="0" w:space="0" w:color="auto"/>
                <w:right w:val="none" w:sz="0" w:space="0" w:color="auto"/>
                <w:between w:val="none" w:sz="0" w:space="0" w:color="auto"/>
              </w:pBdr>
              <w:spacing w:before="240" w:line="360" w:lineRule="auto"/>
              <w:jc w:val="center"/>
              <w:rPr>
                <w:rFonts w:asciiTheme="majorHAnsi" w:hAnsiTheme="majorHAnsi" w:cstheme="majorHAnsi"/>
                <w:color w:val="auto"/>
              </w:rPr>
            </w:pPr>
            <w:r w:rsidRPr="00CC7E2D">
              <w:rPr>
                <w:rFonts w:asciiTheme="majorHAnsi" w:hAnsiTheme="majorHAnsi" w:cstheme="majorHAnsi"/>
                <w:color w:val="auto"/>
              </w:rPr>
              <w:t>0.05</w:t>
            </w:r>
          </w:p>
        </w:tc>
      </w:tr>
      <w:tr w:rsidR="00554339" w:rsidRPr="00CC7E2D" w14:paraId="71008353" w14:textId="4C8AA62F" w:rsidTr="00F2385E">
        <w:trPr>
          <w:trHeight w:val="328"/>
        </w:trPr>
        <w:tc>
          <w:tcPr>
            <w:tcW w:w="2036" w:type="dxa"/>
            <w:tcBorders>
              <w:bottom w:val="single" w:sz="4" w:space="0" w:color="auto"/>
            </w:tcBorders>
          </w:tcPr>
          <w:p w14:paraId="762DD78F" w14:textId="77777777" w:rsidR="00554339" w:rsidRPr="00CC7E2D" w:rsidRDefault="00554339" w:rsidP="00E56776">
            <w:pPr>
              <w:pBdr>
                <w:top w:val="none" w:sz="0" w:space="0" w:color="auto"/>
                <w:left w:val="none" w:sz="0" w:space="0" w:color="auto"/>
                <w:bottom w:val="none" w:sz="0" w:space="0" w:color="auto"/>
                <w:right w:val="none" w:sz="0" w:space="0" w:color="auto"/>
                <w:between w:val="none" w:sz="0" w:space="0" w:color="auto"/>
              </w:pBdr>
              <w:spacing w:before="240" w:line="360" w:lineRule="auto"/>
              <w:rPr>
                <w:rFonts w:asciiTheme="majorHAnsi" w:hAnsiTheme="majorHAnsi" w:cstheme="majorHAnsi"/>
                <w:b/>
                <w:color w:val="auto"/>
              </w:rPr>
            </w:pPr>
            <w:r w:rsidRPr="00CC7E2D">
              <w:rPr>
                <w:rFonts w:asciiTheme="majorHAnsi" w:hAnsiTheme="majorHAnsi" w:cstheme="majorHAnsi"/>
                <w:b/>
                <w:color w:val="auto"/>
              </w:rPr>
              <w:t>recAN vs. HC</w:t>
            </w:r>
          </w:p>
        </w:tc>
        <w:tc>
          <w:tcPr>
            <w:tcW w:w="1743" w:type="dxa"/>
            <w:tcBorders>
              <w:bottom w:val="single" w:sz="4" w:space="0" w:color="auto"/>
            </w:tcBorders>
          </w:tcPr>
          <w:p w14:paraId="57B37E36" w14:textId="5299252F" w:rsidR="00554339" w:rsidRPr="00CC7E2D" w:rsidRDefault="00554339" w:rsidP="00E56776">
            <w:pPr>
              <w:pBdr>
                <w:top w:val="none" w:sz="0" w:space="0" w:color="auto"/>
                <w:left w:val="none" w:sz="0" w:space="0" w:color="auto"/>
                <w:bottom w:val="none" w:sz="0" w:space="0" w:color="auto"/>
                <w:right w:val="none" w:sz="0" w:space="0" w:color="auto"/>
                <w:between w:val="none" w:sz="0" w:space="0" w:color="auto"/>
              </w:pBdr>
              <w:spacing w:before="240" w:line="360" w:lineRule="auto"/>
              <w:jc w:val="center"/>
              <w:rPr>
                <w:rFonts w:asciiTheme="majorHAnsi" w:hAnsiTheme="majorHAnsi" w:cstheme="majorHAnsi"/>
                <w:color w:val="auto"/>
              </w:rPr>
            </w:pPr>
            <w:r w:rsidRPr="00CC7E2D">
              <w:rPr>
                <w:rFonts w:asciiTheme="majorHAnsi" w:hAnsiTheme="majorHAnsi" w:cstheme="majorHAnsi"/>
                <w:color w:val="auto"/>
              </w:rPr>
              <w:t>0.75</w:t>
            </w:r>
          </w:p>
        </w:tc>
        <w:tc>
          <w:tcPr>
            <w:tcW w:w="2607" w:type="dxa"/>
            <w:tcBorders>
              <w:bottom w:val="single" w:sz="4" w:space="0" w:color="auto"/>
            </w:tcBorders>
          </w:tcPr>
          <w:p w14:paraId="1BFDC1CD" w14:textId="58CD6CC5" w:rsidR="00554339" w:rsidRPr="00CC7E2D" w:rsidRDefault="00554339" w:rsidP="00E56776">
            <w:pPr>
              <w:pBdr>
                <w:top w:val="none" w:sz="0" w:space="0" w:color="auto"/>
                <w:left w:val="none" w:sz="0" w:space="0" w:color="auto"/>
                <w:bottom w:val="none" w:sz="0" w:space="0" w:color="auto"/>
                <w:right w:val="none" w:sz="0" w:space="0" w:color="auto"/>
                <w:between w:val="none" w:sz="0" w:space="0" w:color="auto"/>
              </w:pBdr>
              <w:spacing w:before="240" w:line="360" w:lineRule="auto"/>
              <w:jc w:val="center"/>
              <w:rPr>
                <w:rFonts w:asciiTheme="majorHAnsi" w:hAnsiTheme="majorHAnsi" w:cstheme="majorHAnsi"/>
                <w:color w:val="auto"/>
              </w:rPr>
            </w:pPr>
            <w:r w:rsidRPr="00CC7E2D">
              <w:rPr>
                <w:rFonts w:asciiTheme="majorHAnsi" w:hAnsiTheme="majorHAnsi" w:cstheme="majorHAnsi"/>
                <w:color w:val="auto"/>
              </w:rPr>
              <w:t>0.005</w:t>
            </w:r>
          </w:p>
        </w:tc>
      </w:tr>
    </w:tbl>
    <w:p w14:paraId="3BBB0DA6" w14:textId="77777777" w:rsidR="00CC7E2D" w:rsidRDefault="00CC7E2D" w:rsidP="00E56776">
      <w:pPr>
        <w:pStyle w:val="Text"/>
      </w:pPr>
    </w:p>
    <w:p w14:paraId="120774F2" w14:textId="39AD931E" w:rsidR="004F181C" w:rsidRPr="003B1BC0" w:rsidRDefault="00CC7E2D" w:rsidP="00E56776">
      <w:pPr>
        <w:pStyle w:val="Text"/>
      </w:pPr>
      <w:r w:rsidRPr="00707AC5">
        <w:t xml:space="preserve">For every AN time point vs. HC dataset a linear SVM model pipeline was </w:t>
      </w:r>
      <w:r>
        <w:t xml:space="preserve">built that included confounds subtraction and principal component analysis (PCA) for feature reduction. Two parameters had to be optimized, using grid search and cross-validation: </w:t>
      </w:r>
      <w:r w:rsidR="007E7B2A">
        <w:t>T</w:t>
      </w:r>
      <w:r>
        <w:t xml:space="preserve">he percent of variance explained by the retained principal components (PCA %Variance), </w:t>
      </w:r>
      <w:r w:rsidRPr="00707AC5">
        <w:t xml:space="preserve">and </w:t>
      </w:r>
      <w:r>
        <w:t xml:space="preserve">the </w:t>
      </w:r>
      <w:r w:rsidRPr="00707AC5">
        <w:t xml:space="preserve">SVM regularization parameter (SVM </w:t>
      </w:r>
      <m:oMath>
        <m:r>
          <w:rPr>
            <w:rFonts w:ascii="Cambria Math" w:hAnsi="Cambria Math"/>
          </w:rPr>
          <m:t>C</m:t>
        </m:r>
      </m:oMath>
      <w:r w:rsidRPr="00707AC5">
        <w:t xml:space="preserve">). The searched grid values were </w:t>
      </w:r>
      <w:r w:rsidRPr="007E2D68">
        <w:t>PCA %Variance</w:t>
      </w:r>
      <w:r w:rsidRPr="007E2D68" w:rsidDel="007E2D68">
        <w:t xml:space="preserve"> </w:t>
      </w:r>
      <w:r w:rsidRPr="00707AC5">
        <w:t xml:space="preserve">= [0.5, 0.6, 0.65, 0.7, 0.75, 0.8, 0.85, 0.9, 0.95, 1.0] and SVM </w:t>
      </w:r>
      <m:oMath>
        <m:r>
          <w:rPr>
            <w:rFonts w:ascii="Cambria Math" w:hAnsi="Cambria Math"/>
          </w:rPr>
          <m:t>C</m:t>
        </m:r>
      </m:oMath>
      <w:r w:rsidRPr="00707AC5">
        <w:t xml:space="preserve"> = [1e-4, 5e-4, 1e-3, 5e-3, 1e-2, 5e-2, 0.1, 0.5, 1.0, 10.0, 50.0</w:t>
      </w:r>
      <w:r w:rsidRPr="005B4D7A">
        <w:t>].</w:t>
      </w:r>
      <w:r w:rsidR="003F4CD0" w:rsidRPr="005B4D7A">
        <w:t xml:space="preserve"> </w:t>
      </w:r>
      <w:r w:rsidR="00554339" w:rsidRPr="005B4D7A">
        <w:t xml:space="preserve">Applying PCA with the displayed percentage of retained variance to the whole datasets </w:t>
      </w:r>
      <w:r w:rsidR="00A62D94" w:rsidRPr="005B4D7A">
        <w:t xml:space="preserve">resulted </w:t>
      </w:r>
      <w:r w:rsidR="00554339" w:rsidRPr="005B4D7A">
        <w:t xml:space="preserve">in a number of retained components of 17 (acAN-TP1), 23 (acAN-TP2), and 23 (recAN). </w:t>
      </w:r>
      <w:r w:rsidR="00A62D94" w:rsidRPr="005B4D7A">
        <w:t>Importantly, the number of events per variable (EPV) after performing PCA was &gt;13 for every classification task.</w:t>
      </w:r>
    </w:p>
    <w:p w14:paraId="783F545B" w14:textId="77777777" w:rsidR="004F181C" w:rsidRDefault="004F181C" w:rsidP="00E56776">
      <w:pPr>
        <w:spacing w:line="360" w:lineRule="auto"/>
      </w:pPr>
      <w:r>
        <w:br w:type="page"/>
      </w:r>
    </w:p>
    <w:p w14:paraId="18D6271A" w14:textId="5EC102DA" w:rsidR="00273FA9" w:rsidRPr="00E56776" w:rsidRDefault="00273FA9" w:rsidP="00E56776">
      <w:pPr>
        <w:pStyle w:val="berschrift2"/>
        <w:spacing w:before="0" w:after="240" w:line="360" w:lineRule="auto"/>
        <w:rPr>
          <w:rFonts w:ascii="Calibri" w:hAnsi="Calibri" w:cs="Calibri"/>
          <w:color w:val="auto"/>
          <w:sz w:val="24"/>
          <w:szCs w:val="24"/>
        </w:rPr>
      </w:pPr>
      <w:r w:rsidRPr="00E56776">
        <w:rPr>
          <w:rFonts w:ascii="Calibri" w:hAnsi="Calibri" w:cs="Calibri"/>
          <w:color w:val="auto"/>
          <w:sz w:val="24"/>
          <w:szCs w:val="24"/>
        </w:rPr>
        <w:lastRenderedPageBreak/>
        <w:t>Figures</w:t>
      </w:r>
    </w:p>
    <w:p w14:paraId="6C723663" w14:textId="2166FE17" w:rsidR="00CC7E2D" w:rsidRPr="00530C14" w:rsidRDefault="00E56776" w:rsidP="00E56776">
      <w:pPr>
        <w:spacing w:line="360" w:lineRule="auto"/>
        <w:jc w:val="center"/>
        <w:rPr>
          <w:rFonts w:asciiTheme="majorHAnsi" w:hAnsiTheme="majorHAnsi" w:cstheme="majorHAnsi"/>
          <w:b/>
          <w:color w:val="auto"/>
          <w:sz w:val="24"/>
          <w:szCs w:val="24"/>
        </w:rPr>
      </w:pPr>
      <w:r>
        <w:rPr>
          <w:rFonts w:asciiTheme="majorHAnsi" w:hAnsiTheme="majorHAnsi" w:cstheme="majorHAnsi"/>
          <w:b/>
          <w:color w:val="auto"/>
          <w:sz w:val="24"/>
          <w:szCs w:val="24"/>
        </w:rPr>
        <w:pict w14:anchorId="2950577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in;height:4in">
            <v:imagedata r:id="rId11" o:title="figure0"/>
          </v:shape>
        </w:pict>
      </w:r>
    </w:p>
    <w:p w14:paraId="749D5645" w14:textId="104DD58C" w:rsidR="00CC7E2D" w:rsidRDefault="00CC7E2D" w:rsidP="00E56776">
      <w:pPr>
        <w:pStyle w:val="Text"/>
      </w:pPr>
      <w:r w:rsidRPr="00530C14">
        <w:rPr>
          <w:b/>
        </w:rPr>
        <w:t>Fig</w:t>
      </w:r>
      <w:r w:rsidR="00143FEF">
        <w:rPr>
          <w:b/>
        </w:rPr>
        <w:t>ure</w:t>
      </w:r>
      <w:r w:rsidRPr="00530C14">
        <w:rPr>
          <w:b/>
        </w:rPr>
        <w:t xml:space="preserve"> S</w:t>
      </w:r>
      <w:r>
        <w:rPr>
          <w:b/>
        </w:rPr>
        <w:t>1</w:t>
      </w:r>
      <w:r w:rsidRPr="00707AC5">
        <w:rPr>
          <w:b/>
        </w:rPr>
        <w:t xml:space="preserve">. </w:t>
      </w:r>
      <w:r w:rsidRPr="00707AC5">
        <w:t xml:space="preserve">Overlaps of AN structural scan </w:t>
      </w:r>
      <w:proofErr w:type="gramStart"/>
      <w:r w:rsidRPr="00707AC5">
        <w:t>samples</w:t>
      </w:r>
      <w:proofErr w:type="gramEnd"/>
      <w:r w:rsidRPr="00707AC5">
        <w:t>. Of all participants in the final samples 50 were solely included as acAN-T</w:t>
      </w:r>
      <w:r w:rsidR="00831AFD">
        <w:t>P</w:t>
      </w:r>
      <w:r w:rsidRPr="00707AC5">
        <w:t>1, two solely as acAN-T</w:t>
      </w:r>
      <w:r w:rsidR="00831AFD">
        <w:t>P</w:t>
      </w:r>
      <w:r w:rsidRPr="00707AC5">
        <w:t>2, and 81 solely as recAN. For 107 acAN a scan was included for acAN-T</w:t>
      </w:r>
      <w:r w:rsidR="00831AFD">
        <w:t>P</w:t>
      </w:r>
      <w:r w:rsidRPr="00707AC5">
        <w:t>1 and acAN-T</w:t>
      </w:r>
      <w:r w:rsidR="00831AFD">
        <w:t>P</w:t>
      </w:r>
      <w:r w:rsidRPr="00707AC5">
        <w:t xml:space="preserve">2, respectively. Two </w:t>
      </w:r>
      <w:r>
        <w:t>participants we</w:t>
      </w:r>
      <w:r w:rsidRPr="00707AC5">
        <w:t>re included as acAN-T</w:t>
      </w:r>
      <w:r>
        <w:t>P</w:t>
      </w:r>
      <w:r w:rsidRPr="00707AC5">
        <w:t xml:space="preserve">1 and recAN. For six </w:t>
      </w:r>
      <w:r>
        <w:t xml:space="preserve">participants, </w:t>
      </w:r>
      <w:r w:rsidRPr="00707AC5">
        <w:t>a scan for every of the three time points was included, respectively.</w:t>
      </w:r>
    </w:p>
    <w:p w14:paraId="1506212C" w14:textId="1E4A2276" w:rsidR="007D2515" w:rsidRDefault="007D2515" w:rsidP="00E56776">
      <w:pPr>
        <w:spacing w:line="360" w:lineRule="auto"/>
      </w:pPr>
      <w:r>
        <w:br w:type="page"/>
      </w:r>
    </w:p>
    <w:p w14:paraId="0F633031" w14:textId="50B1CDD2" w:rsidR="005051B5" w:rsidRDefault="009D386D" w:rsidP="00E56776">
      <w:pPr>
        <w:spacing w:line="360" w:lineRule="auto"/>
      </w:pPr>
      <w:r>
        <w:rPr>
          <w:noProof/>
          <w:lang w:val="de-DE" w:eastAsia="de-DE"/>
        </w:rPr>
        <w:lastRenderedPageBreak/>
        <w:drawing>
          <wp:inline distT="0" distB="0" distL="0" distR="0" wp14:anchorId="5031CA61" wp14:editId="63EC24FD">
            <wp:extent cx="5760720" cy="3240405"/>
            <wp:effectExtent l="0" t="0" r="0" b="0"/>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ncv_diagram.tif"/>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60720" cy="3240405"/>
                    </a:xfrm>
                    <a:prstGeom prst="rect">
                      <a:avLst/>
                    </a:prstGeom>
                  </pic:spPr>
                </pic:pic>
              </a:graphicData>
            </a:graphic>
          </wp:inline>
        </w:drawing>
      </w:r>
    </w:p>
    <w:p w14:paraId="6B3C7FFF" w14:textId="672F9427" w:rsidR="005051B5" w:rsidRDefault="005051B5" w:rsidP="00E56776">
      <w:pPr>
        <w:spacing w:line="360" w:lineRule="auto"/>
      </w:pPr>
      <w:r w:rsidRPr="00B60F8C">
        <w:rPr>
          <w:b/>
        </w:rPr>
        <w:t>Fig</w:t>
      </w:r>
      <w:r>
        <w:rPr>
          <w:b/>
        </w:rPr>
        <w:t>ure</w:t>
      </w:r>
      <w:r w:rsidRPr="00B60F8C">
        <w:rPr>
          <w:b/>
        </w:rPr>
        <w:t xml:space="preserve"> S</w:t>
      </w:r>
      <w:r>
        <w:rPr>
          <w:b/>
        </w:rPr>
        <w:t>2</w:t>
      </w:r>
      <w:r w:rsidRPr="00B60F8C">
        <w:rPr>
          <w:b/>
        </w:rPr>
        <w:t xml:space="preserve">. </w:t>
      </w:r>
      <w:r>
        <w:t xml:space="preserve">Nested cross-validation (Supplementary methods 1.5). This procedure is used to estimate unbiased model performance when both parameters and hyperparameters need to be fitted. An outer cross-validation loop splits the whole dataset into </w:t>
      </w:r>
      <w:r w:rsidR="002C1357">
        <w:t>o</w:t>
      </w:r>
      <w:r>
        <w:t xml:space="preserve">uter </w:t>
      </w:r>
      <w:r w:rsidR="002C1357">
        <w:t>t</w:t>
      </w:r>
      <w:r>
        <w:t>rain</w:t>
      </w:r>
      <w:r w:rsidR="006F26D6">
        <w:t>ing</w:t>
      </w:r>
      <w:r>
        <w:t xml:space="preserve"> and </w:t>
      </w:r>
      <w:r w:rsidR="002C1357">
        <w:t>t</w:t>
      </w:r>
      <w:r>
        <w:t xml:space="preserve">est set </w:t>
      </w:r>
      <w:r w:rsidR="002C1357">
        <w:t>N</w:t>
      </w:r>
      <w:r w:rsidR="002C1357">
        <w:rPr>
          <w:vertAlign w:val="subscript"/>
        </w:rPr>
        <w:t>O</w:t>
      </w:r>
      <w:r w:rsidR="002C1357">
        <w:t xml:space="preserve"> </w:t>
      </w:r>
      <w:r>
        <w:t xml:space="preserve">times. For each split, the </w:t>
      </w:r>
      <w:r w:rsidR="002C1357">
        <w:t>o</w:t>
      </w:r>
      <w:r>
        <w:t xml:space="preserve">uter </w:t>
      </w:r>
      <w:r w:rsidR="002C1357">
        <w:t>t</w:t>
      </w:r>
      <w:r>
        <w:t>rain</w:t>
      </w:r>
      <w:r w:rsidR="006F26D6">
        <w:t>ing</w:t>
      </w:r>
      <w:r>
        <w:t xml:space="preserve"> set</w:t>
      </w:r>
      <w:r w:rsidR="006F26D6">
        <w:t xml:space="preserve"> (outer train)</w:t>
      </w:r>
      <w:r>
        <w:t xml:space="preserve"> is </w:t>
      </w:r>
      <w:r w:rsidR="002C1357">
        <w:t>passed to the model selection procedure</w:t>
      </w:r>
      <w:r>
        <w:t xml:space="preserve"> to search for the optimal model hyperparameters (Supplementary methods 1.4). This involves an inner cross</w:t>
      </w:r>
      <w:r w:rsidR="00587CA4">
        <w:t>-</w:t>
      </w:r>
      <w:r>
        <w:t xml:space="preserve">validation loop which splits the </w:t>
      </w:r>
      <w:r w:rsidR="002C1357">
        <w:t>o</w:t>
      </w:r>
      <w:r>
        <w:t xml:space="preserve">uter </w:t>
      </w:r>
      <w:r w:rsidR="002C1357">
        <w:t>t</w:t>
      </w:r>
      <w:r>
        <w:t>rain</w:t>
      </w:r>
      <w:r w:rsidR="006F26D6">
        <w:t>ing</w:t>
      </w:r>
      <w:r>
        <w:t xml:space="preserve"> set into train</w:t>
      </w:r>
      <w:r w:rsidR="006F26D6">
        <w:t>ing (train)</w:t>
      </w:r>
      <w:r>
        <w:t xml:space="preserve"> and validation (</w:t>
      </w:r>
      <w:proofErr w:type="spellStart"/>
      <w:r w:rsidR="002C1357">
        <w:t>v</w:t>
      </w:r>
      <w:r>
        <w:t>al</w:t>
      </w:r>
      <w:proofErr w:type="spellEnd"/>
      <w:r>
        <w:t xml:space="preserve">) set </w:t>
      </w:r>
      <w:r w:rsidR="002C1357">
        <w:t>N</w:t>
      </w:r>
      <w:r w:rsidR="002C1357">
        <w:rPr>
          <w:vertAlign w:val="subscript"/>
        </w:rPr>
        <w:t>I</w:t>
      </w:r>
      <w:r w:rsidR="002C1357">
        <w:t xml:space="preserve"> </w:t>
      </w:r>
      <w:r>
        <w:t>times. The optimal hyperparameters maximize the avera</w:t>
      </w:r>
      <w:r w:rsidR="001367DD">
        <w:t>ge validation set performance f </w:t>
      </w:r>
      <w:r>
        <w:t>(</w:t>
      </w:r>
      <w:proofErr w:type="spellStart"/>
      <w:r w:rsidR="002C1357">
        <w:t>v</w:t>
      </w:r>
      <w:r>
        <w:t>al</w:t>
      </w:r>
      <w:proofErr w:type="spellEnd"/>
      <w:r>
        <w:t xml:space="preserve">, n). Subsequently, for each outer split, the model with optimal hyperparameters is retrained on the </w:t>
      </w:r>
      <w:r w:rsidR="002C1357">
        <w:t>o</w:t>
      </w:r>
      <w:r>
        <w:t xml:space="preserve">uter </w:t>
      </w:r>
      <w:r w:rsidR="002C1357">
        <w:t>t</w:t>
      </w:r>
      <w:r>
        <w:t>rain</w:t>
      </w:r>
      <w:r w:rsidR="006F26D6">
        <w:t>ing</w:t>
      </w:r>
      <w:r>
        <w:t xml:space="preserve"> set and its performance</w:t>
      </w:r>
      <w:r w:rsidR="002C1357">
        <w:t xml:space="preserve"> f</w:t>
      </w:r>
      <w:r w:rsidR="001367DD">
        <w:t> </w:t>
      </w:r>
      <w:r w:rsidR="002C1357">
        <w:t>(test, n)</w:t>
      </w:r>
      <w:r>
        <w:t xml:space="preserve"> is evaluated on the so far unseen </w:t>
      </w:r>
      <w:r w:rsidR="002C1357">
        <w:t>t</w:t>
      </w:r>
      <w:r>
        <w:t xml:space="preserve">est set. Finally, averages over the </w:t>
      </w:r>
      <w:r w:rsidR="002C1357">
        <w:t>N</w:t>
      </w:r>
      <w:r w:rsidR="002C1357">
        <w:rPr>
          <w:vertAlign w:val="subscript"/>
        </w:rPr>
        <w:t>O</w:t>
      </w:r>
      <w:r w:rsidR="002C1357">
        <w:t xml:space="preserve"> </w:t>
      </w:r>
      <w:r>
        <w:t>outer splits give the test performance estimate f</w:t>
      </w:r>
      <w:r w:rsidR="001367DD">
        <w:t> </w:t>
      </w:r>
      <w:r>
        <w:t>(</w:t>
      </w:r>
      <w:r w:rsidR="002C1357">
        <w:t>t</w:t>
      </w:r>
      <w:r>
        <w:t>est), a</w:t>
      </w:r>
      <w:r w:rsidR="001367DD">
        <w:t>nd the validation performance f </w:t>
      </w:r>
      <w:r>
        <w:t>(</w:t>
      </w:r>
      <w:proofErr w:type="spellStart"/>
      <w:r w:rsidR="002C1357">
        <w:t>v</w:t>
      </w:r>
      <w:r>
        <w:t>al</w:t>
      </w:r>
      <w:proofErr w:type="spellEnd"/>
      <w:r>
        <w:t xml:space="preserve">). </w:t>
      </w:r>
      <w:r w:rsidR="001367DD">
        <w:t>f </w:t>
      </w:r>
      <w:r>
        <w:t>(</w:t>
      </w:r>
      <w:r w:rsidR="002C1357">
        <w:t>t</w:t>
      </w:r>
      <w:r>
        <w:t xml:space="preserve">est) constitutes our final estimate of the model performance. </w:t>
      </w:r>
      <w:r w:rsidR="002C1357">
        <w:t>f </w:t>
      </w:r>
      <w:r>
        <w:t>(</w:t>
      </w:r>
      <w:proofErr w:type="spellStart"/>
      <w:r w:rsidR="002C1357">
        <w:t>v</w:t>
      </w:r>
      <w:r>
        <w:t>al</w:t>
      </w:r>
      <w:proofErr w:type="spellEnd"/>
      <w:r>
        <w:t>) would be a biased estimate (over-optimistic</w:t>
      </w:r>
      <w:r w:rsidR="001367DD">
        <w:t>). A large gap [</w:t>
      </w:r>
      <w:r>
        <w:t>f</w:t>
      </w:r>
      <w:r w:rsidR="002C1357">
        <w:t> (</w:t>
      </w:r>
      <w:proofErr w:type="spellStart"/>
      <w:r w:rsidR="002C1357">
        <w:t>v</w:t>
      </w:r>
      <w:r>
        <w:t>al</w:t>
      </w:r>
      <w:proofErr w:type="spellEnd"/>
      <w:r>
        <w:t>)</w:t>
      </w:r>
      <w:r w:rsidR="002C1357">
        <w:t xml:space="preserve"> </w:t>
      </w:r>
      <w:r>
        <w:t>&gt;&gt;</w:t>
      </w:r>
      <w:r w:rsidR="002C1357">
        <w:t xml:space="preserve"> </w:t>
      </w:r>
      <w:r>
        <w:t>f</w:t>
      </w:r>
      <w:r w:rsidR="001367DD">
        <w:t> </w:t>
      </w:r>
      <w:r w:rsidR="002C1357">
        <w:t>(t</w:t>
      </w:r>
      <w:r w:rsidR="001367DD">
        <w:t>est)]</w:t>
      </w:r>
      <w:r>
        <w:t xml:space="preserve"> would indicate that the model is overfitting the data.</w:t>
      </w:r>
    </w:p>
    <w:p w14:paraId="78F2F79A" w14:textId="7EC8DBE1" w:rsidR="00AD39EB" w:rsidRPr="00707AC5" w:rsidRDefault="00025603" w:rsidP="00E56776">
      <w:pPr>
        <w:spacing w:line="360" w:lineRule="auto"/>
      </w:pPr>
      <w:r>
        <w:br w:type="page"/>
      </w:r>
    </w:p>
    <w:p w14:paraId="0107C25B" w14:textId="08413BED" w:rsidR="00CC7E2D" w:rsidRPr="00707AC5" w:rsidRDefault="009A6E94" w:rsidP="00E56776">
      <w:pPr>
        <w:spacing w:line="360" w:lineRule="auto"/>
        <w:rPr>
          <w:rFonts w:asciiTheme="majorHAnsi" w:hAnsiTheme="majorHAnsi" w:cstheme="majorHAnsi"/>
          <w:b/>
          <w:color w:val="auto"/>
          <w:sz w:val="24"/>
          <w:szCs w:val="24"/>
        </w:rPr>
      </w:pPr>
      <w:r>
        <w:rPr>
          <w:rFonts w:asciiTheme="majorHAnsi" w:hAnsiTheme="majorHAnsi" w:cstheme="majorHAnsi"/>
          <w:b/>
          <w:color w:val="auto"/>
          <w:sz w:val="24"/>
          <w:szCs w:val="24"/>
        </w:rPr>
        <w:lastRenderedPageBreak/>
        <w:pict w14:anchorId="6AA409CA">
          <v:shape id="_x0000_i1026" type="#_x0000_t75" style="width:453.05pt;height:208.55pt">
            <v:imagedata r:id="rId13" o:title="figure1"/>
          </v:shape>
        </w:pict>
      </w:r>
    </w:p>
    <w:p w14:paraId="24CD0EE1" w14:textId="58F0258C" w:rsidR="00DD1B57" w:rsidRDefault="00143FEF" w:rsidP="00E56776">
      <w:pPr>
        <w:pStyle w:val="Text"/>
        <w:rPr>
          <w:rStyle w:val="TextZchn"/>
        </w:rPr>
      </w:pPr>
      <w:r>
        <w:rPr>
          <w:rFonts w:asciiTheme="majorHAnsi" w:hAnsiTheme="majorHAnsi" w:cstheme="majorHAnsi"/>
          <w:b/>
          <w:color w:val="auto"/>
        </w:rPr>
        <w:t>Figure</w:t>
      </w:r>
      <w:r w:rsidR="00CC7E2D" w:rsidRPr="00707AC5">
        <w:rPr>
          <w:rFonts w:asciiTheme="majorHAnsi" w:hAnsiTheme="majorHAnsi" w:cstheme="majorHAnsi"/>
          <w:b/>
          <w:color w:val="auto"/>
        </w:rPr>
        <w:t xml:space="preserve"> S</w:t>
      </w:r>
      <w:r w:rsidR="00025603">
        <w:rPr>
          <w:rFonts w:asciiTheme="majorHAnsi" w:hAnsiTheme="majorHAnsi" w:cstheme="majorHAnsi"/>
          <w:b/>
          <w:color w:val="auto"/>
        </w:rPr>
        <w:t>3.</w:t>
      </w:r>
      <w:r w:rsidR="00CC7E2D">
        <w:rPr>
          <w:rFonts w:asciiTheme="majorHAnsi" w:hAnsiTheme="majorHAnsi" w:cstheme="majorHAnsi"/>
          <w:b/>
          <w:color w:val="auto"/>
        </w:rPr>
        <w:t xml:space="preserve"> </w:t>
      </w:r>
      <w:r w:rsidR="00DD1B57">
        <w:t>SVM test and validation</w:t>
      </w:r>
      <w:r w:rsidR="00873053">
        <w:t xml:space="preserve"> </w:t>
      </w:r>
      <w:r w:rsidR="00DD1B57">
        <w:t>performance curves estimated via nested cross-validation for acAN-TP1, acAN-TP2 and recAN vs. HC classifications</w:t>
      </w:r>
      <w:r w:rsidR="00292D00">
        <w:t xml:space="preserve"> (Supplementary methods 1.5)</w:t>
      </w:r>
      <w:r w:rsidR="00677C3D">
        <w:t>. These</w:t>
      </w:r>
      <w:r w:rsidR="00DD1B57">
        <w:t xml:space="preserve"> are the same results as in Figure </w:t>
      </w:r>
      <w:r w:rsidR="002D1C56">
        <w:t>2</w:t>
      </w:r>
      <w:r w:rsidR="00DD1B57">
        <w:t xml:space="preserve"> of the main manuscript, with additional validation</w:t>
      </w:r>
      <w:r w:rsidR="00873053">
        <w:t xml:space="preserve"> (</w:t>
      </w:r>
      <w:proofErr w:type="spellStart"/>
      <w:r w:rsidR="00873053">
        <w:t>val</w:t>
      </w:r>
      <w:proofErr w:type="spellEnd"/>
      <w:r w:rsidR="00873053">
        <w:t>)</w:t>
      </w:r>
      <w:r w:rsidR="00DD1B57">
        <w:t xml:space="preserve"> curves. </w:t>
      </w:r>
      <w:r w:rsidR="00DD1B57" w:rsidRPr="00D03F79">
        <w:rPr>
          <w:b/>
        </w:rPr>
        <w:t>A:</w:t>
      </w:r>
      <w:r w:rsidR="00DD1B57">
        <w:t xml:space="preserve"> Precision-Recall-curves and </w:t>
      </w:r>
      <w:r w:rsidR="00DD1B57" w:rsidRPr="00D03F79">
        <w:rPr>
          <w:b/>
        </w:rPr>
        <w:t>B</w:t>
      </w:r>
      <w:r w:rsidR="00DD1B57">
        <w:rPr>
          <w:b/>
        </w:rPr>
        <w:t>:</w:t>
      </w:r>
      <w:r w:rsidR="00DD1B57">
        <w:t xml:space="preserve"> corresponding ROC-curves. Shown are (ten times repeated, ten-fold) </w:t>
      </w:r>
      <w:r w:rsidR="00292D00">
        <w:t xml:space="preserve">outer </w:t>
      </w:r>
      <w:r w:rsidR="00DD1B57">
        <w:t xml:space="preserve">cross-validation averages and </w:t>
      </w:r>
      <w:proofErr w:type="spellStart"/>
      <w:r w:rsidR="00DD1B57">
        <w:t>s.d.</w:t>
      </w:r>
      <w:proofErr w:type="spellEnd"/>
      <w:r w:rsidR="00DD1B57">
        <w:t xml:space="preserve"> ranges. These</w:t>
      </w:r>
      <w:r w:rsidR="00292D00">
        <w:t xml:space="preserve"> test</w:t>
      </w:r>
      <w:r w:rsidR="00DD1B57">
        <w:t xml:space="preserve"> curves provide an estimate for the performance of our </w:t>
      </w:r>
      <w:r w:rsidR="00DD1B57">
        <w:rPr>
          <w:color w:val="auto"/>
        </w:rPr>
        <w:t>model selection procedure (Supplementary methods 1.4). Dashed lines represent chance performance. Permutation tests of the corresponding AUCs indicated a clear above-chance classification</w:t>
      </w:r>
      <w:r w:rsidR="00873053">
        <w:rPr>
          <w:color w:val="auto"/>
        </w:rPr>
        <w:t xml:space="preserve"> performance</w:t>
      </w:r>
      <w:r w:rsidR="00DD1B57">
        <w:rPr>
          <w:color w:val="auto"/>
        </w:rPr>
        <w:t xml:space="preserve"> for acAN-TP1 and acAN-TP2 but not for </w:t>
      </w:r>
      <w:r w:rsidR="00292D00">
        <w:rPr>
          <w:color w:val="auto"/>
        </w:rPr>
        <w:t>recAN (Supplementary methods 1.6</w:t>
      </w:r>
      <w:r w:rsidR="00E50770">
        <w:rPr>
          <w:color w:val="auto"/>
        </w:rPr>
        <w:t>, Figure S4</w:t>
      </w:r>
      <w:r w:rsidR="00DD1B57">
        <w:rPr>
          <w:color w:val="auto"/>
        </w:rPr>
        <w:t>).</w:t>
      </w:r>
    </w:p>
    <w:p w14:paraId="7418859E" w14:textId="49C7E650" w:rsidR="00AD39EB" w:rsidRPr="00025603" w:rsidRDefault="00025603" w:rsidP="00E56776">
      <w:pPr>
        <w:spacing w:line="360" w:lineRule="auto"/>
        <w:rPr>
          <w:rFonts w:asciiTheme="majorHAnsi" w:hAnsiTheme="majorHAnsi" w:cstheme="majorHAnsi"/>
          <w:color w:val="auto"/>
        </w:rPr>
      </w:pPr>
      <w:r>
        <w:rPr>
          <w:rFonts w:asciiTheme="majorHAnsi" w:hAnsiTheme="majorHAnsi" w:cstheme="majorHAnsi"/>
          <w:color w:val="auto"/>
        </w:rPr>
        <w:br w:type="page"/>
      </w:r>
    </w:p>
    <w:p w14:paraId="7483172F" w14:textId="1CF150F1" w:rsidR="00972FB4" w:rsidRPr="00EF753E" w:rsidRDefault="009A6E94" w:rsidP="00E56776">
      <w:pPr>
        <w:spacing w:after="0" w:line="360" w:lineRule="auto"/>
        <w:jc w:val="center"/>
        <w:rPr>
          <w:rFonts w:asciiTheme="majorHAnsi" w:eastAsia="Times New Roman" w:hAnsiTheme="majorHAnsi" w:cstheme="majorHAnsi"/>
          <w:color w:val="auto"/>
          <w:sz w:val="24"/>
          <w:szCs w:val="24"/>
        </w:rPr>
      </w:pPr>
      <w:r>
        <w:rPr>
          <w:rFonts w:asciiTheme="majorHAnsi" w:eastAsia="Times New Roman" w:hAnsiTheme="majorHAnsi" w:cstheme="majorHAnsi"/>
          <w:color w:val="auto"/>
          <w:sz w:val="24"/>
          <w:szCs w:val="24"/>
        </w:rPr>
        <w:lastRenderedPageBreak/>
        <w:pict w14:anchorId="7EF11CDE">
          <v:shape id="_x0000_i1027" type="#_x0000_t75" style="width:269pt;height:180pt">
            <v:imagedata r:id="rId14" o:title="figure2"/>
          </v:shape>
        </w:pict>
      </w:r>
    </w:p>
    <w:p w14:paraId="134B0DFB" w14:textId="2CA89E45" w:rsidR="00301AE9" w:rsidRDefault="00234C5E" w:rsidP="00E56776">
      <w:pPr>
        <w:pStyle w:val="Text"/>
        <w:rPr>
          <w:rStyle w:val="TextZchn"/>
        </w:rPr>
      </w:pPr>
      <w:r>
        <w:rPr>
          <w:rFonts w:asciiTheme="majorHAnsi" w:hAnsiTheme="majorHAnsi" w:cstheme="majorHAnsi"/>
          <w:b/>
          <w:color w:val="auto"/>
        </w:rPr>
        <w:t>Figure</w:t>
      </w:r>
      <w:r w:rsidR="00972FB4" w:rsidRPr="00707AC5">
        <w:rPr>
          <w:rFonts w:asciiTheme="majorHAnsi" w:hAnsiTheme="majorHAnsi" w:cstheme="majorHAnsi"/>
          <w:b/>
          <w:color w:val="auto"/>
        </w:rPr>
        <w:t xml:space="preserve"> S</w:t>
      </w:r>
      <w:r w:rsidR="00025603">
        <w:rPr>
          <w:rFonts w:asciiTheme="majorHAnsi" w:hAnsiTheme="majorHAnsi" w:cstheme="majorHAnsi"/>
          <w:b/>
          <w:color w:val="auto"/>
        </w:rPr>
        <w:t>4</w:t>
      </w:r>
      <w:r w:rsidR="00972FB4" w:rsidRPr="00707AC5">
        <w:rPr>
          <w:rFonts w:asciiTheme="majorHAnsi" w:hAnsiTheme="majorHAnsi" w:cstheme="majorHAnsi"/>
          <w:b/>
          <w:color w:val="auto"/>
        </w:rPr>
        <w:t xml:space="preserve">. </w:t>
      </w:r>
      <w:r w:rsidR="00972FB4" w:rsidRPr="00707AC5">
        <w:rPr>
          <w:rFonts w:asciiTheme="majorHAnsi" w:hAnsiTheme="majorHAnsi" w:cstheme="majorHAnsi"/>
          <w:color w:val="auto"/>
        </w:rPr>
        <w:t xml:space="preserve"> </w:t>
      </w:r>
      <w:r w:rsidR="00972FB4" w:rsidRPr="0071192A">
        <w:rPr>
          <w:rStyle w:val="TextZchn"/>
        </w:rPr>
        <w:t xml:space="preserve">Distribution of ROC-AUC permutation scores for the acAN-TP2 model with 100000 permutations. The solid line </w:t>
      </w:r>
      <w:r w:rsidR="00F85D8F" w:rsidRPr="0071192A">
        <w:rPr>
          <w:rStyle w:val="TextZchn"/>
        </w:rPr>
        <w:t>indicates</w:t>
      </w:r>
      <w:r w:rsidR="00972FB4" w:rsidRPr="0071192A">
        <w:rPr>
          <w:rStyle w:val="TextZchn"/>
        </w:rPr>
        <w:t xml:space="preserve"> the unpermuted score. The permutation test shows that the model significantly perform</w:t>
      </w:r>
      <w:r w:rsidR="00F85D8F" w:rsidRPr="0071192A">
        <w:rPr>
          <w:rStyle w:val="TextZchn"/>
        </w:rPr>
        <w:t>ed</w:t>
      </w:r>
      <w:r w:rsidR="00972FB4" w:rsidRPr="0071192A">
        <w:rPr>
          <w:rStyle w:val="TextZchn"/>
        </w:rPr>
        <w:t xml:space="preserve"> better than chance (p = 0.001).</w:t>
      </w:r>
    </w:p>
    <w:p w14:paraId="57D0D5B2" w14:textId="1DCC5718" w:rsidR="007F00B5" w:rsidRPr="00301AE9" w:rsidRDefault="00025603" w:rsidP="00E56776">
      <w:pPr>
        <w:spacing w:line="360" w:lineRule="auto"/>
      </w:pPr>
      <w:r>
        <w:rPr>
          <w:rStyle w:val="TextZchn"/>
        </w:rPr>
        <w:br w:type="page"/>
      </w:r>
    </w:p>
    <w:p w14:paraId="75625422" w14:textId="2004A892" w:rsidR="00234C5E" w:rsidRDefault="00433009" w:rsidP="00E56776">
      <w:pPr>
        <w:pStyle w:val="Text"/>
      </w:pPr>
      <w:r>
        <w:rPr>
          <w:b/>
          <w:noProof/>
          <w:lang w:val="de-DE" w:eastAsia="de-DE"/>
        </w:rPr>
        <w:lastRenderedPageBreak/>
        <w:drawing>
          <wp:inline distT="0" distB="0" distL="0" distR="0" wp14:anchorId="6FA80CEA" wp14:editId="35CF5A10">
            <wp:extent cx="5760720" cy="2658745"/>
            <wp:effectExtent l="0" t="0" r="0" b="825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figure4.tif"/>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720" cy="2658745"/>
                    </a:xfrm>
                    <a:prstGeom prst="rect">
                      <a:avLst/>
                    </a:prstGeom>
                  </pic:spPr>
                </pic:pic>
              </a:graphicData>
            </a:graphic>
          </wp:inline>
        </w:drawing>
      </w:r>
      <w:r w:rsidR="00234C5E">
        <w:rPr>
          <w:b/>
        </w:rPr>
        <w:t>Figure</w:t>
      </w:r>
      <w:r w:rsidR="00234C5E" w:rsidRPr="00707AC5">
        <w:rPr>
          <w:b/>
        </w:rPr>
        <w:t xml:space="preserve"> S</w:t>
      </w:r>
      <w:r w:rsidR="00025603">
        <w:rPr>
          <w:b/>
        </w:rPr>
        <w:t>5</w:t>
      </w:r>
      <w:r w:rsidR="00234C5E" w:rsidRPr="00707AC5">
        <w:rPr>
          <w:b/>
        </w:rPr>
        <w:t xml:space="preserve">. </w:t>
      </w:r>
      <w:r w:rsidR="00234C5E" w:rsidRPr="00707AC5">
        <w:t xml:space="preserve"> </w:t>
      </w:r>
      <w:r w:rsidR="00234C5E">
        <w:t>Neural net</w:t>
      </w:r>
      <w:r w:rsidR="00CF123B">
        <w:t>work</w:t>
      </w:r>
      <w:r w:rsidR="0014652E">
        <w:t xml:space="preserve"> (</w:t>
      </w:r>
      <w:r w:rsidR="00C00059">
        <w:t>Supplementary methods</w:t>
      </w:r>
      <w:r w:rsidR="0014652E">
        <w:t xml:space="preserve"> 1.</w:t>
      </w:r>
      <w:r w:rsidR="00A93847">
        <w:t>3</w:t>
      </w:r>
      <w:r w:rsidR="0014652E">
        <w:t>)</w:t>
      </w:r>
      <w:r w:rsidR="00234C5E" w:rsidRPr="00234C5E">
        <w:t xml:space="preserve"> </w:t>
      </w:r>
      <w:r w:rsidR="008A7D09">
        <w:t>validation</w:t>
      </w:r>
      <w:r w:rsidR="00836A71">
        <w:t xml:space="preserve"> </w:t>
      </w:r>
      <w:r w:rsidR="00234C5E" w:rsidRPr="00234C5E">
        <w:t>performance</w:t>
      </w:r>
      <w:r w:rsidR="00BA76E7">
        <w:t>s</w:t>
      </w:r>
      <w:r w:rsidR="00234C5E" w:rsidRPr="00234C5E">
        <w:t xml:space="preserve"> for acAN-TP1 (blue), acAN-TP2 (</w:t>
      </w:r>
      <w:r w:rsidR="00393B32">
        <w:t>yellow)</w:t>
      </w:r>
      <w:r w:rsidR="009526F9">
        <w:t>,</w:t>
      </w:r>
      <w:r w:rsidR="00393B32">
        <w:t xml:space="preserve"> and recAN (green) vs.</w:t>
      </w:r>
      <w:r w:rsidR="00234C5E" w:rsidRPr="00234C5E">
        <w:t xml:space="preserve"> HC classification</w:t>
      </w:r>
      <w:r w:rsidR="00BA76E7">
        <w:t xml:space="preserve"> do not exceed</w:t>
      </w:r>
      <w:r w:rsidR="00BC0D35">
        <w:t xml:space="preserve"> those </w:t>
      </w:r>
      <w:r w:rsidR="00BA76E7">
        <w:t xml:space="preserve">of the SVM classifier </w:t>
      </w:r>
      <w:r w:rsidR="00BC0D35">
        <w:t xml:space="preserve">in Figure </w:t>
      </w:r>
      <w:r w:rsidR="002D1C56">
        <w:t>2</w:t>
      </w:r>
      <w:r w:rsidR="00BC0D35">
        <w:t xml:space="preserve"> of the main manuscript.</w:t>
      </w:r>
      <w:r w:rsidR="00234C5E" w:rsidRPr="00234C5E">
        <w:t xml:space="preserve"> Shown are </w:t>
      </w:r>
      <w:r w:rsidR="00025603">
        <w:rPr>
          <w:b/>
        </w:rPr>
        <w:t>A:</w:t>
      </w:r>
      <w:r w:rsidR="00234C5E" w:rsidRPr="00234C5E">
        <w:t xml:space="preserve"> Precision-Recall-curves and </w:t>
      </w:r>
      <w:r w:rsidR="00025603">
        <w:rPr>
          <w:b/>
        </w:rPr>
        <w:t>B:</w:t>
      </w:r>
      <w:r w:rsidR="00234C5E" w:rsidRPr="00234C5E">
        <w:t xml:space="preserve"> corresponding ROC-curves averaged over ten repeats of </w:t>
      </w:r>
      <w:r w:rsidR="00AF53A8">
        <w:t>ten</w:t>
      </w:r>
      <w:r w:rsidR="00234C5E" w:rsidRPr="00234C5E">
        <w:t xml:space="preserve">-fold cross-validation and overlaid with the </w:t>
      </w:r>
      <w:r w:rsidR="00EE5A83">
        <w:t>standard deviation</w:t>
      </w:r>
      <w:r w:rsidR="00234C5E" w:rsidRPr="00234C5E">
        <w:t xml:space="preserve"> range for models with the optimal hyperparameters obtained through a cross-validation procedure (</w:t>
      </w:r>
      <w:r w:rsidR="00C00059">
        <w:t>Supplementary methods</w:t>
      </w:r>
      <w:r w:rsidR="00234C5E" w:rsidRPr="00234C5E">
        <w:t xml:space="preserve"> </w:t>
      </w:r>
      <w:r w:rsidR="009526F9">
        <w:t xml:space="preserve">1.3, </w:t>
      </w:r>
      <w:r w:rsidR="00234C5E" w:rsidRPr="00234C5E">
        <w:t>1.</w:t>
      </w:r>
      <w:r w:rsidR="00A93847">
        <w:t>4</w:t>
      </w:r>
      <w:r w:rsidR="00234C5E" w:rsidRPr="00234C5E">
        <w:t xml:space="preserve">). Dashed lines represent chance performance. </w:t>
      </w:r>
    </w:p>
    <w:p w14:paraId="32A8A925" w14:textId="3DD8533B" w:rsidR="00025603" w:rsidRDefault="00025603" w:rsidP="00E56776">
      <w:pPr>
        <w:spacing w:line="360" w:lineRule="auto"/>
      </w:pPr>
      <w:r>
        <w:br w:type="page"/>
      </w:r>
    </w:p>
    <w:p w14:paraId="7E7ACF69" w14:textId="55DBF149" w:rsidR="00C430A7" w:rsidRPr="00EF753E" w:rsidRDefault="009A6E94" w:rsidP="00E56776">
      <w:pPr>
        <w:pStyle w:val="Text"/>
      </w:pPr>
      <w:r>
        <w:lastRenderedPageBreak/>
        <w:pict w14:anchorId="365046EC">
          <v:shape id="_x0000_i1028" type="#_x0000_t75" style="width:453.05pt;height:161pt">
            <v:imagedata r:id="rId16" o:title="figure2-5"/>
          </v:shape>
        </w:pict>
      </w:r>
    </w:p>
    <w:p w14:paraId="4873E827" w14:textId="42330CEE" w:rsidR="00C430A7" w:rsidRDefault="00C430A7" w:rsidP="00E56776">
      <w:pPr>
        <w:pStyle w:val="Text"/>
      </w:pPr>
      <w:r w:rsidRPr="00707AC5">
        <w:rPr>
          <w:b/>
        </w:rPr>
        <w:t>F</w:t>
      </w:r>
      <w:r w:rsidR="00BE1E25">
        <w:rPr>
          <w:b/>
        </w:rPr>
        <w:t>ig</w:t>
      </w:r>
      <w:r w:rsidR="00143FEF">
        <w:rPr>
          <w:b/>
        </w:rPr>
        <w:t>ure</w:t>
      </w:r>
      <w:r w:rsidR="00BE1E25">
        <w:rPr>
          <w:b/>
        </w:rPr>
        <w:t xml:space="preserve"> S</w:t>
      </w:r>
      <w:r w:rsidR="00025603">
        <w:rPr>
          <w:b/>
        </w:rPr>
        <w:t>6</w:t>
      </w:r>
      <w:r w:rsidR="00BE1E25">
        <w:rPr>
          <w:b/>
        </w:rPr>
        <w:t>.</w:t>
      </w:r>
      <w:r w:rsidR="00BE1E25">
        <w:t xml:space="preserve"> </w:t>
      </w:r>
      <w:r w:rsidR="00A87ED7">
        <w:t>I</w:t>
      </w:r>
      <w:r>
        <w:t>mportance values</w:t>
      </w:r>
      <w:r w:rsidR="00A87ED7">
        <w:t xml:space="preserve"> for features that significantly contributed to the acAN-TP1 vs. HC classification after Bonferroni correction for multiple comparisons.</w:t>
      </w:r>
      <w:r>
        <w:t xml:space="preserve"> </w:t>
      </w:r>
      <w:r w:rsidR="00A87ED7">
        <w:t>The color scale encodes</w:t>
      </w:r>
      <w:r>
        <w:t xml:space="preserve"> reliability</w:t>
      </w:r>
      <w:r w:rsidR="00DD61A2">
        <w:t xml:space="preserve"> values</w:t>
      </w:r>
      <w:r>
        <w:t>.</w:t>
      </w:r>
      <w:r w:rsidR="00DD61A2">
        <w:t xml:space="preserve"> </w:t>
      </w:r>
      <w:r w:rsidR="00D14D88">
        <w:t>The only features</w:t>
      </w:r>
      <w:r w:rsidR="00A87ED7">
        <w:t xml:space="preserve"> that did not contribute significantly</w:t>
      </w:r>
      <w:r w:rsidR="00D14D88">
        <w:t xml:space="preserve"> were</w:t>
      </w:r>
      <w:r w:rsidR="00B93B48">
        <w:t xml:space="preserve"> </w:t>
      </w:r>
      <w:r w:rsidR="00E6243E" w:rsidRPr="00E6243E">
        <w:t xml:space="preserve">the </w:t>
      </w:r>
      <w:r w:rsidR="00E6243E">
        <w:t>cortical thickness</w:t>
      </w:r>
      <w:r w:rsidR="00E6243E" w:rsidRPr="00E6243E">
        <w:t xml:space="preserve"> in both hemispheres of the </w:t>
      </w:r>
      <w:proofErr w:type="spellStart"/>
      <w:r w:rsidR="00E6243E" w:rsidRPr="00E6243E">
        <w:t>transversetemporal</w:t>
      </w:r>
      <w:proofErr w:type="spellEnd"/>
      <w:r w:rsidR="00E6243E" w:rsidRPr="00E6243E">
        <w:t xml:space="preserve">, </w:t>
      </w:r>
      <w:proofErr w:type="spellStart"/>
      <w:r w:rsidR="00E6243E" w:rsidRPr="00E6243E">
        <w:t>rostralanteriorcingulate</w:t>
      </w:r>
      <w:proofErr w:type="spellEnd"/>
      <w:r w:rsidR="00E6243E" w:rsidRPr="00E6243E">
        <w:t xml:space="preserve">, </w:t>
      </w:r>
      <w:proofErr w:type="spellStart"/>
      <w:r w:rsidR="00E6243E" w:rsidRPr="00E6243E">
        <w:t>cautalanteriorcingulate</w:t>
      </w:r>
      <w:proofErr w:type="spellEnd"/>
      <w:r w:rsidR="00E6243E" w:rsidRPr="00E6243E">
        <w:t xml:space="preserve">, </w:t>
      </w:r>
      <w:proofErr w:type="spellStart"/>
      <w:r w:rsidR="00E6243E" w:rsidRPr="00E6243E">
        <w:t>parahippocampal</w:t>
      </w:r>
      <w:proofErr w:type="spellEnd"/>
      <w:r w:rsidR="00E6243E" w:rsidRPr="00E6243E">
        <w:t>, entorhinal,</w:t>
      </w:r>
      <w:r w:rsidR="00E6243E">
        <w:t xml:space="preserve"> and temporal pole (pole); </w:t>
      </w:r>
      <w:r w:rsidR="00E6243E" w:rsidRPr="00E6243E">
        <w:t xml:space="preserve">in the left hemisphere </w:t>
      </w:r>
      <w:r w:rsidR="00E6243E">
        <w:t xml:space="preserve">of the </w:t>
      </w:r>
      <w:r w:rsidR="00E6243E" w:rsidRPr="00E6243E">
        <w:t>insula and in the right</w:t>
      </w:r>
      <w:r w:rsidR="00E6243E">
        <w:t xml:space="preserve"> hemisphere of the pericalcarine;</w:t>
      </w:r>
      <w:r w:rsidR="00E6243E" w:rsidRPr="00E6243E">
        <w:t xml:space="preserve"> and the </w:t>
      </w:r>
      <w:r w:rsidR="00E6243E">
        <w:t xml:space="preserve">volumes of the subcortical regions </w:t>
      </w:r>
      <w:r w:rsidR="00E6243E" w:rsidRPr="00E6243E">
        <w:t>CC-mid-posterior, caudate, and CC-anterior volumes.</w:t>
      </w:r>
    </w:p>
    <w:p w14:paraId="3B83CED8" w14:textId="7980C493" w:rsidR="00025603" w:rsidRDefault="00025603" w:rsidP="00E56776">
      <w:pPr>
        <w:spacing w:line="360" w:lineRule="auto"/>
      </w:pPr>
      <w:r>
        <w:br w:type="page"/>
      </w:r>
    </w:p>
    <w:p w14:paraId="6722ABD1" w14:textId="113FDB5C" w:rsidR="002165B5" w:rsidRDefault="009A6E94" w:rsidP="00E56776">
      <w:pPr>
        <w:keepNext/>
        <w:spacing w:line="360" w:lineRule="auto"/>
        <w:jc w:val="center"/>
      </w:pPr>
      <w:r>
        <w:lastRenderedPageBreak/>
        <w:pict w14:anchorId="1DC8968D">
          <v:shape id="_x0000_i1029" type="#_x0000_t75" style="width:240.45pt;height:211.9pt">
            <v:imagedata r:id="rId17" o:title="figure2-6-1"/>
          </v:shape>
        </w:pict>
      </w:r>
    </w:p>
    <w:p w14:paraId="38265A47" w14:textId="64D77ECB" w:rsidR="002165B5" w:rsidRDefault="002165B5" w:rsidP="00E56776">
      <w:pPr>
        <w:pStyle w:val="Text"/>
      </w:pPr>
      <w:r w:rsidRPr="00BE1E25">
        <w:rPr>
          <w:b/>
        </w:rPr>
        <w:t>Fig</w:t>
      </w:r>
      <w:r>
        <w:rPr>
          <w:b/>
        </w:rPr>
        <w:t>ure</w:t>
      </w:r>
      <w:r w:rsidRPr="00BE1E25">
        <w:rPr>
          <w:b/>
        </w:rPr>
        <w:t xml:space="preserve"> S</w:t>
      </w:r>
      <w:r w:rsidR="00025603">
        <w:rPr>
          <w:b/>
        </w:rPr>
        <w:t>7</w:t>
      </w:r>
      <w:r>
        <w:rPr>
          <w:b/>
        </w:rPr>
        <w:t>.</w:t>
      </w:r>
      <w:r>
        <w:t xml:space="preserve"> </w:t>
      </w:r>
      <w:r w:rsidRPr="008F379C">
        <w:t>Reliability values for the acAN-TP</w:t>
      </w:r>
      <w:r>
        <w:t>2</w:t>
      </w:r>
      <w:r w:rsidRPr="008F379C">
        <w:t xml:space="preserve"> vs HC classification. Blue/red indicates negatively/positively signed feature importance.</w:t>
      </w:r>
      <w:r>
        <w:t xml:space="preserve"> Only features with significant Bonferroni corrected importance value are shown.</w:t>
      </w:r>
    </w:p>
    <w:p w14:paraId="3A2826A3" w14:textId="7AFAC75B" w:rsidR="00025603" w:rsidRDefault="00025603" w:rsidP="00E56776">
      <w:pPr>
        <w:spacing w:line="360" w:lineRule="auto"/>
      </w:pPr>
      <w:r>
        <w:br w:type="page"/>
      </w:r>
    </w:p>
    <w:p w14:paraId="19A98A79" w14:textId="1D534241" w:rsidR="008F379C" w:rsidRDefault="009A6E94" w:rsidP="00E56776">
      <w:pPr>
        <w:keepNext/>
        <w:spacing w:line="360" w:lineRule="auto"/>
      </w:pPr>
      <w:r>
        <w:lastRenderedPageBreak/>
        <w:pict w14:anchorId="61DDCEE9">
          <v:shape id="_x0000_i1030" type="#_x0000_t75" style="width:453.75pt;height:135.15pt">
            <v:imagedata r:id="rId18" o:title="figure2-6"/>
          </v:shape>
        </w:pict>
      </w:r>
    </w:p>
    <w:p w14:paraId="0EB9C7EC" w14:textId="40438D2D" w:rsidR="009C02D5" w:rsidRDefault="00BE1E25" w:rsidP="00E56776">
      <w:pPr>
        <w:pStyle w:val="Text"/>
      </w:pPr>
      <w:r w:rsidRPr="00BE1E25">
        <w:rPr>
          <w:b/>
        </w:rPr>
        <w:t>Fig</w:t>
      </w:r>
      <w:r w:rsidR="00143FEF">
        <w:rPr>
          <w:b/>
        </w:rPr>
        <w:t>ure</w:t>
      </w:r>
      <w:r w:rsidRPr="00BE1E25">
        <w:rPr>
          <w:b/>
        </w:rPr>
        <w:t xml:space="preserve"> S</w:t>
      </w:r>
      <w:r w:rsidR="00025603">
        <w:rPr>
          <w:b/>
        </w:rPr>
        <w:t>8</w:t>
      </w:r>
      <w:r>
        <w:rPr>
          <w:b/>
        </w:rPr>
        <w:t>.</w:t>
      </w:r>
      <w:r>
        <w:t xml:space="preserve"> </w:t>
      </w:r>
      <w:r w:rsidR="008F379C" w:rsidRPr="00BE1E25">
        <w:t>Reliability values for the acAN-TP1 vs</w:t>
      </w:r>
      <w:r w:rsidR="00034D6E" w:rsidRPr="00BE1E25">
        <w:t>.</w:t>
      </w:r>
      <w:r w:rsidR="008F379C" w:rsidRPr="00BE1E25">
        <w:t xml:space="preserve"> HC classification. Blue/red indicates negatively/positively signed feature importance.</w:t>
      </w:r>
      <w:r w:rsidR="00F27DCA" w:rsidRPr="00BE1E25">
        <w:t xml:space="preserve"> Only features with significant Bonferroni corrected importance</w:t>
      </w:r>
      <w:r w:rsidR="005A29BB" w:rsidRPr="00BE1E25">
        <w:t xml:space="preserve"> value</w:t>
      </w:r>
      <w:r w:rsidR="00F27DCA" w:rsidRPr="00BE1E25">
        <w:t xml:space="preserve"> are shown.</w:t>
      </w:r>
    </w:p>
    <w:p w14:paraId="6BA28F68" w14:textId="57865C94" w:rsidR="0086162F" w:rsidRPr="00E56776" w:rsidRDefault="00025603" w:rsidP="00E56776">
      <w:pPr>
        <w:spacing w:line="360" w:lineRule="auto"/>
      </w:pPr>
      <w:r>
        <w:br w:type="page"/>
      </w:r>
    </w:p>
    <w:p w14:paraId="68B46B0E" w14:textId="77777777" w:rsidR="0086162F" w:rsidRDefault="009A6E94" w:rsidP="00E56776">
      <w:pPr>
        <w:pStyle w:val="Text"/>
        <w:rPr>
          <w:b/>
        </w:rPr>
      </w:pPr>
      <w:r>
        <w:rPr>
          <w:b/>
        </w:rPr>
        <w:lastRenderedPageBreak/>
        <w:pict w14:anchorId="4481D396">
          <v:shape id="_x0000_i1031" type="#_x0000_t75" style="width:453.05pt;height:161pt">
            <v:imagedata r:id="rId19" o:title="figure5"/>
          </v:shape>
        </w:pict>
      </w:r>
    </w:p>
    <w:p w14:paraId="47399FD4" w14:textId="687FC6C1" w:rsidR="0010669A" w:rsidRDefault="00382BC9" w:rsidP="00E56776">
      <w:pPr>
        <w:pStyle w:val="Text"/>
      </w:pPr>
      <w:r>
        <w:rPr>
          <w:b/>
        </w:rPr>
        <w:t>Figure S</w:t>
      </w:r>
      <w:r w:rsidR="00025603">
        <w:rPr>
          <w:b/>
        </w:rPr>
        <w:t>9</w:t>
      </w:r>
      <w:r w:rsidRPr="00855E0F">
        <w:rPr>
          <w:b/>
        </w:rPr>
        <w:t>.</w:t>
      </w:r>
      <w:r w:rsidRPr="00821A7E">
        <w:t xml:space="preserve"> </w:t>
      </w:r>
      <w:r>
        <w:t>Feature importance and reliability using a neural net</w:t>
      </w:r>
      <w:r w:rsidR="00CF123B">
        <w:t>work</w:t>
      </w:r>
      <w:r>
        <w:t xml:space="preserve"> instead of </w:t>
      </w:r>
      <w:proofErr w:type="gramStart"/>
      <w:r>
        <w:t>a</w:t>
      </w:r>
      <w:proofErr w:type="gramEnd"/>
      <w:r>
        <w:t xml:space="preserve"> SVM as classifier in the classification pipeline. </w:t>
      </w:r>
      <w:r w:rsidR="00025603">
        <w:rPr>
          <w:b/>
        </w:rPr>
        <w:t>A:</w:t>
      </w:r>
      <w:r w:rsidRPr="00986E47">
        <w:t xml:space="preserve"> </w:t>
      </w:r>
      <w:r>
        <w:t>F</w:t>
      </w:r>
      <w:r w:rsidRPr="0055174B">
        <w:t>eature importance</w:t>
      </w:r>
      <w:r>
        <w:t xml:space="preserve"> values</w:t>
      </w:r>
      <w:r w:rsidRPr="0055174B">
        <w:t xml:space="preserve"> </w:t>
      </w:r>
      <w:r>
        <w:t>for</w:t>
      </w:r>
      <w:r w:rsidRPr="0055174B">
        <w:t xml:space="preserve"> the acAN-</w:t>
      </w:r>
      <w:r>
        <w:t>TP1 model (x-axis)</w:t>
      </w:r>
      <w:r w:rsidRPr="00DE7FBE">
        <w:t xml:space="preserve"> </w:t>
      </w:r>
      <w:r>
        <w:t>compared to the values</w:t>
      </w:r>
      <w:r w:rsidRPr="00DE7FBE">
        <w:t xml:space="preserve"> </w:t>
      </w:r>
      <w:r>
        <w:t>for</w:t>
      </w:r>
      <w:r w:rsidRPr="00DE7FBE">
        <w:t xml:space="preserve"> the acAN-</w:t>
      </w:r>
      <w:r>
        <w:t>TP2</w:t>
      </w:r>
      <w:r w:rsidRPr="003E3541">
        <w:t xml:space="preserve"> </w:t>
      </w:r>
      <w:r>
        <w:t>model (y-axis). Measures for c</w:t>
      </w:r>
      <w:r w:rsidRPr="003E3541">
        <w:t>ortical thickness</w:t>
      </w:r>
      <w:r>
        <w:t xml:space="preserve">, </w:t>
      </w:r>
      <w:r w:rsidRPr="003E3541">
        <w:t>volumes</w:t>
      </w:r>
      <w:r>
        <w:t xml:space="preserve"> of subcortical grey matter regions</w:t>
      </w:r>
      <w:r w:rsidRPr="003E3541">
        <w:t xml:space="preserve">, </w:t>
      </w:r>
      <w:r w:rsidR="009A6E94" w:rsidRPr="009A6E94">
        <w:t>cerebrospinal fluid (CSF) spaces</w:t>
      </w:r>
      <w:r w:rsidR="009A6E94">
        <w:t xml:space="preserve"> </w:t>
      </w:r>
      <w:r>
        <w:t>are shown in blue, red and orange, respectively</w:t>
      </w:r>
      <w:r w:rsidRPr="003E3541">
        <w:t>.</w:t>
      </w:r>
      <w:r w:rsidRPr="00320894">
        <w:rPr>
          <w:b/>
        </w:rPr>
        <w:t xml:space="preserve"> </w:t>
      </w:r>
      <w:r>
        <w:rPr>
          <w:b/>
        </w:rPr>
        <w:t>B</w:t>
      </w:r>
      <w:r w:rsidR="00025603">
        <w:rPr>
          <w:b/>
        </w:rPr>
        <w:t>:</w:t>
      </w:r>
      <w:r w:rsidRPr="00821A7E">
        <w:t xml:space="preserve"> </w:t>
      </w:r>
      <w:r>
        <w:t>The ranking of f</w:t>
      </w:r>
      <w:r w:rsidRPr="00B96447">
        <w:t>eature</w:t>
      </w:r>
      <w:r>
        <w:t xml:space="preserve"> importance values </w:t>
      </w:r>
      <w:r w:rsidRPr="003E3541">
        <w:t>for the acAN-</w:t>
      </w:r>
      <w:r>
        <w:t>TP2 vs. HC classification strongly agreed with the one found for the SVM</w:t>
      </w:r>
      <w:r w:rsidR="00EE5A83">
        <w:t xml:space="preserve"> (Figure </w:t>
      </w:r>
      <w:r w:rsidR="002D1C56">
        <w:t>3</w:t>
      </w:r>
      <w:r w:rsidR="00EE5A83">
        <w:t>)</w:t>
      </w:r>
      <w:r>
        <w:t>. The color code further illustrates the</w:t>
      </w:r>
      <w:r w:rsidR="00992EE8">
        <w:t xml:space="preserve"> </w:t>
      </w:r>
      <w:r>
        <w:t>reliab</w:t>
      </w:r>
      <w:r w:rsidR="00992EE8">
        <w:t>ility values of</w:t>
      </w:r>
      <w:r>
        <w:t xml:space="preserve"> features for classification. </w:t>
      </w:r>
      <w:r w:rsidRPr="00FE2320">
        <w:rPr>
          <w:b/>
        </w:rPr>
        <w:t>C/D</w:t>
      </w:r>
      <w:r w:rsidR="00025603" w:rsidRPr="00025603">
        <w:rPr>
          <w:b/>
        </w:rPr>
        <w:t>:</w:t>
      </w:r>
      <w:r>
        <w:t xml:space="preserve"> </w:t>
      </w:r>
      <w:r w:rsidR="00992EE8">
        <w:t>F</w:t>
      </w:r>
      <w:r>
        <w:t xml:space="preserve">eature importance values for the acAN-TP1/TP2 model </w:t>
      </w:r>
      <w:r w:rsidRPr="00CF7B5B">
        <w:t xml:space="preserve">plotted on the surface of the standard average </w:t>
      </w:r>
      <w:r>
        <w:t xml:space="preserve">brain </w:t>
      </w:r>
      <w:r>
        <w:fldChar w:fldCharType="begin"/>
      </w:r>
      <w:r w:rsidR="00AD3EA2">
        <w:instrText xml:space="preserve"> ADDIN ZOTERO_ITEM CSL_CITATION {"citationID":"8UWn3d0c","properties":{"formattedCitation":"(35)","plainCitation":"(35)","noteIndex":0},"citationItems":[{"id":60,"uris":["http://zotero.org/users/11105938/items/C4ACY7M9"],"itemData":{"id":60,"type":"article-journal","container-title":"Nature Methods","DOI":"10.1038/s41592-021-01186-4","ISSN":"1548-7091, 1548-7105","issue":"7","journalAbbreviation":"Nat Methods","language":"en","page":"698-700","source":"DOI.org (Crossref)","title":"The ENIGMA Toolbox: multiscale neural contextualization of multisite neuroimaging datasets","title-short":"The ENIGMA Toolbox","volume":"18","author":[{"family":"Larivière","given":"Sara"},{"family":"Paquola","given":"Casey"},{"family":"Park","given":"Bo-yong"},{"family":"Royer","given":"Jessica"},{"family":"Wang","given":"Yezhou"},{"family":"Benkarim","given":"Oualid"},{"family":"Vos de Wael","given":"Reinder"},{"family":"Valk","given":"Sofie L."},{"family":"Thomopoulos","given":"Sophia I."},{"family":"Kirschner","given":"Matthias"},{"family":"Lewis","given":"Lindsay B."},{"family":"Evans","given":"Alan C."},{"family":"Sisodiya","given":"Sanjay M."},{"family":"McDonald","given":"Carrie R."},{"family":"Thompson","given":"Paul M."},{"family":"Bernhardt","given":"Boris C."}],"issued":{"date-parts":[["2021",7]]}}}],"schema":"https://github.com/citation-style-language/schema/raw/master/csl-citation.json"} </w:instrText>
      </w:r>
      <w:r>
        <w:fldChar w:fldCharType="separate"/>
      </w:r>
      <w:r w:rsidR="00AD3EA2" w:rsidRPr="00AD3EA2">
        <w:t>(35)</w:t>
      </w:r>
      <w:r>
        <w:fldChar w:fldCharType="end"/>
      </w:r>
      <w:r>
        <w:t>.</w:t>
      </w:r>
      <w:r w:rsidRPr="00770B4E">
        <w:t xml:space="preserve"> </w:t>
      </w:r>
      <w:r>
        <w:t>The color code illustrates the magnitude of negatively (blue) and positively (red) signed feature importance.</w:t>
      </w:r>
    </w:p>
    <w:p w14:paraId="65AFE03B" w14:textId="77777777" w:rsidR="00654C32" w:rsidRDefault="00025603" w:rsidP="00E56776">
      <w:pPr>
        <w:pStyle w:val="Text"/>
      </w:pPr>
      <w:r>
        <w:br w:type="page"/>
      </w:r>
    </w:p>
    <w:p w14:paraId="273A280D" w14:textId="2EEF8EE4" w:rsidR="00654C32" w:rsidRPr="005B4D7A" w:rsidRDefault="00654C32" w:rsidP="00E56776">
      <w:pPr>
        <w:pStyle w:val="Text"/>
        <w:rPr>
          <w:rStyle w:val="EDITINSERTChar"/>
          <w:color w:val="000000"/>
          <w:u w:val="none"/>
        </w:rPr>
      </w:pPr>
      <w:r w:rsidRPr="005B4D7A">
        <w:rPr>
          <w:rStyle w:val="EDITINSERTChar"/>
          <w:b/>
          <w:noProof/>
          <w:color w:val="000000"/>
          <w:u w:val="none"/>
        </w:rPr>
        <w:lastRenderedPageBreak/>
        <w:drawing>
          <wp:anchor distT="0" distB="0" distL="114300" distR="114300" simplePos="0" relativeHeight="251660288" behindDoc="0" locked="0" layoutInCell="1" allowOverlap="1" wp14:anchorId="7D1F54C8" wp14:editId="786AAEC3">
            <wp:simplePos x="0" y="0"/>
            <wp:positionH relativeFrom="page">
              <wp:align>center</wp:align>
            </wp:positionH>
            <wp:positionV relativeFrom="paragraph">
              <wp:posOffset>527</wp:posOffset>
            </wp:positionV>
            <wp:extent cx="2865600" cy="2808000"/>
            <wp:effectExtent l="0" t="0" r="0" b="0"/>
            <wp:wrapTopAndBottom/>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portance_method_comparison.png"/>
                    <pic:cNvPicPr/>
                  </pic:nvPicPr>
                  <pic:blipFill>
                    <a:blip r:embed="rId20">
                      <a:extLst>
                        <a:ext uri="{28A0092B-C50C-407E-A947-70E740481C1C}">
                          <a14:useLocalDpi xmlns:a14="http://schemas.microsoft.com/office/drawing/2010/main" val="0"/>
                        </a:ext>
                      </a:extLst>
                    </a:blip>
                    <a:stretch>
                      <a:fillRect/>
                    </a:stretch>
                  </pic:blipFill>
                  <pic:spPr>
                    <a:xfrm>
                      <a:off x="0" y="0"/>
                      <a:ext cx="2865600" cy="2808000"/>
                    </a:xfrm>
                    <a:prstGeom prst="rect">
                      <a:avLst/>
                    </a:prstGeom>
                  </pic:spPr>
                </pic:pic>
              </a:graphicData>
            </a:graphic>
            <wp14:sizeRelH relativeFrom="margin">
              <wp14:pctWidth>0</wp14:pctWidth>
            </wp14:sizeRelH>
            <wp14:sizeRelV relativeFrom="margin">
              <wp14:pctHeight>0</wp14:pctHeight>
            </wp14:sizeRelV>
          </wp:anchor>
        </w:drawing>
      </w:r>
      <w:r w:rsidRPr="005B4D7A">
        <w:rPr>
          <w:rStyle w:val="EDITINSERTChar"/>
          <w:b/>
          <w:color w:val="000000"/>
          <w:u w:val="none"/>
        </w:rPr>
        <w:t>Figure S</w:t>
      </w:r>
      <w:r w:rsidR="005F4C38" w:rsidRPr="005B4D7A">
        <w:rPr>
          <w:rStyle w:val="EDITINSERTChar"/>
          <w:b/>
          <w:color w:val="000000"/>
          <w:u w:val="none"/>
        </w:rPr>
        <w:t>10</w:t>
      </w:r>
      <w:r w:rsidRPr="005B4D7A">
        <w:rPr>
          <w:rStyle w:val="EDITINSERTChar"/>
          <w:b/>
          <w:color w:val="000000"/>
          <w:u w:val="none"/>
        </w:rPr>
        <w:t>.</w:t>
      </w:r>
      <w:r w:rsidRPr="005B4D7A">
        <w:rPr>
          <w:rStyle w:val="EDITINSERTChar"/>
          <w:color w:val="000000"/>
          <w:u w:val="none"/>
        </w:rPr>
        <w:t xml:space="preserve"> Comparison between two different assessments of feature importance for the acAN-TP2 classification. Results obtained for permutation importance are plotted against those obtained using the definition proposed by </w:t>
      </w:r>
      <w:proofErr w:type="spellStart"/>
      <w:r w:rsidRPr="005B4D7A">
        <w:rPr>
          <w:rStyle w:val="EDITINSERTChar"/>
          <w:color w:val="000000"/>
          <w:u w:val="none"/>
        </w:rPr>
        <w:t>Haufe</w:t>
      </w:r>
      <w:proofErr w:type="spellEnd"/>
      <w:r w:rsidRPr="005B4D7A">
        <w:rPr>
          <w:rStyle w:val="EDITINSERTChar"/>
          <w:color w:val="000000"/>
          <w:u w:val="none"/>
        </w:rPr>
        <w:t xml:space="preserve"> et al. (x-axis). Values on the x-axis correspond to the results in Figure </w:t>
      </w:r>
      <w:r w:rsidR="002D1C56">
        <w:rPr>
          <w:rStyle w:val="EDITINSERTChar"/>
          <w:color w:val="000000"/>
          <w:u w:val="none"/>
        </w:rPr>
        <w:t>3</w:t>
      </w:r>
      <w:r w:rsidRPr="005B4D7A">
        <w:rPr>
          <w:rStyle w:val="EDITINSERTChar"/>
          <w:color w:val="000000"/>
          <w:u w:val="none"/>
        </w:rPr>
        <w:t xml:space="preserve">B of the main manuscript. Of note, since the two methods estimate different notions of feature importance, their absolute scales are not comparable. Permutation importance estimates the decrease in performance when eliminating the unique information provided by a feature, with values ranging from slightly negative/zero values (no unique information) to higher positive values (high importance). On the other hand, the feature importance method proposed by </w:t>
      </w:r>
      <w:proofErr w:type="spellStart"/>
      <w:r w:rsidRPr="005B4D7A">
        <w:rPr>
          <w:rStyle w:val="EDITINSERTChar"/>
          <w:color w:val="000000"/>
          <w:u w:val="none"/>
        </w:rPr>
        <w:t>Haufe</w:t>
      </w:r>
      <w:proofErr w:type="spellEnd"/>
      <w:r w:rsidRPr="005B4D7A">
        <w:rPr>
          <w:rStyle w:val="EDITINSERTChar"/>
          <w:color w:val="000000"/>
          <w:u w:val="none"/>
        </w:rPr>
        <w:t xml:space="preserve"> et al. estimates importance based on both shared and unique information, with the sign indicating whether high or low feature values are related to AN classification, respectively.</w:t>
      </w:r>
    </w:p>
    <w:p w14:paraId="7860C9A5" w14:textId="261BFDC1" w:rsidR="00025603" w:rsidRPr="00E56776" w:rsidRDefault="00654C32" w:rsidP="00E56776">
      <w:pPr>
        <w:pStyle w:val="Text"/>
        <w:rPr>
          <w:color w:val="00B050"/>
          <w:szCs w:val="20"/>
          <w:u w:val="single"/>
        </w:rPr>
      </w:pPr>
      <w:r>
        <w:rPr>
          <w:rStyle w:val="EDITINSERTChar"/>
          <w:b/>
        </w:rPr>
        <w:br w:type="page"/>
      </w:r>
    </w:p>
    <w:p w14:paraId="25942C02" w14:textId="70833398" w:rsidR="00802667" w:rsidRPr="00707AC5" w:rsidRDefault="009A6E94" w:rsidP="00E56776">
      <w:pPr>
        <w:spacing w:after="0" w:line="360" w:lineRule="auto"/>
        <w:rPr>
          <w:rFonts w:asciiTheme="majorHAnsi" w:eastAsia="Times New Roman" w:hAnsiTheme="majorHAnsi" w:cstheme="majorHAnsi"/>
          <w:i/>
          <w:color w:val="auto"/>
          <w:sz w:val="24"/>
          <w:szCs w:val="24"/>
        </w:rPr>
      </w:pPr>
      <w:r>
        <w:rPr>
          <w:rFonts w:asciiTheme="majorHAnsi" w:eastAsia="Times New Roman" w:hAnsiTheme="majorHAnsi" w:cstheme="majorHAnsi"/>
          <w:i/>
          <w:color w:val="auto"/>
          <w:sz w:val="24"/>
          <w:szCs w:val="24"/>
        </w:rPr>
        <w:lastRenderedPageBreak/>
        <w:pict w14:anchorId="77EE9EA7">
          <v:shape id="_x0000_i1032" type="#_x0000_t75" style="width:453.05pt;height:122.95pt">
            <v:imagedata r:id="rId21" o:title="figure2-7-5"/>
          </v:shape>
        </w:pict>
      </w:r>
    </w:p>
    <w:p w14:paraId="2605CCC9" w14:textId="7BCB44CE" w:rsidR="00866894" w:rsidRDefault="00143FEF" w:rsidP="00E56776">
      <w:pPr>
        <w:pStyle w:val="Text"/>
      </w:pPr>
      <w:r>
        <w:rPr>
          <w:b/>
        </w:rPr>
        <w:t>Figure</w:t>
      </w:r>
      <w:r w:rsidR="00BE1E25">
        <w:rPr>
          <w:b/>
        </w:rPr>
        <w:t xml:space="preserve"> S</w:t>
      </w:r>
      <w:r w:rsidR="00025603">
        <w:rPr>
          <w:b/>
        </w:rPr>
        <w:t>1</w:t>
      </w:r>
      <w:r w:rsidR="005F4C38">
        <w:rPr>
          <w:b/>
        </w:rPr>
        <w:t>1</w:t>
      </w:r>
      <w:r w:rsidR="00BE1E25">
        <w:rPr>
          <w:b/>
        </w:rPr>
        <w:t xml:space="preserve">. </w:t>
      </w:r>
      <w:r w:rsidR="00BE554B" w:rsidRPr="00802667">
        <w:t xml:space="preserve">Correlations between </w:t>
      </w:r>
      <w:r w:rsidR="00BE554B">
        <w:t>network centrality (on the x-axes)</w:t>
      </w:r>
      <w:r w:rsidR="00BE554B" w:rsidRPr="00802667">
        <w:t xml:space="preserve"> and </w:t>
      </w:r>
      <w:r w:rsidR="00BE554B">
        <w:t>feature importance profiles (on the y-axes) of the linear SVM model for the</w:t>
      </w:r>
      <w:r w:rsidR="00CF7A68" w:rsidRPr="00802667">
        <w:t xml:space="preserve"> </w:t>
      </w:r>
      <w:r w:rsidR="00CF7A68">
        <w:t>acAN-TP2 vs. HC classification</w:t>
      </w:r>
      <w:r w:rsidR="00CF7A68" w:rsidRPr="00802667">
        <w:t xml:space="preserve">. </w:t>
      </w:r>
      <w:r w:rsidR="00BE554B">
        <w:t>Network</w:t>
      </w:r>
      <w:r w:rsidR="00BE554B" w:rsidRPr="00802667">
        <w:t xml:space="preserve"> degree central</w:t>
      </w:r>
      <w:r w:rsidR="00BE554B">
        <w:t>ity</w:t>
      </w:r>
      <w:r w:rsidR="00992EE8">
        <w:t xml:space="preserve"> (hubs)</w:t>
      </w:r>
      <w:r w:rsidR="00BE554B">
        <w:t xml:space="preserve"> was computed on functional </w:t>
      </w:r>
      <w:r w:rsidR="00025603">
        <w:rPr>
          <w:b/>
        </w:rPr>
        <w:t>A,</w:t>
      </w:r>
      <w:r w:rsidR="0086162F">
        <w:rPr>
          <w:b/>
        </w:rPr>
        <w:t xml:space="preserve"> </w:t>
      </w:r>
      <w:r w:rsidR="00025603">
        <w:rPr>
          <w:b/>
        </w:rPr>
        <w:t>B:</w:t>
      </w:r>
      <w:r w:rsidR="00BE554B">
        <w:t xml:space="preserve"> and structural </w:t>
      </w:r>
      <w:r w:rsidR="00025603">
        <w:rPr>
          <w:b/>
        </w:rPr>
        <w:t>C,</w:t>
      </w:r>
      <w:r w:rsidR="0086162F">
        <w:rPr>
          <w:b/>
        </w:rPr>
        <w:t xml:space="preserve"> </w:t>
      </w:r>
      <w:r w:rsidR="00025603">
        <w:rPr>
          <w:b/>
        </w:rPr>
        <w:t>D:</w:t>
      </w:r>
      <w:r w:rsidR="00BE554B" w:rsidRPr="00802667">
        <w:t xml:space="preserve"> connectivity m</w:t>
      </w:r>
      <w:r w:rsidR="00BE554B">
        <w:t xml:space="preserve">atrices. </w:t>
      </w:r>
      <w:r w:rsidR="00CF7A68">
        <w:t xml:space="preserve">Correlations with feature importance values </w:t>
      </w:r>
      <w:r w:rsidR="00CF7A68" w:rsidRPr="00802667">
        <w:t xml:space="preserve">across the 68 </w:t>
      </w:r>
      <w:r w:rsidR="00CF7A68">
        <w:t xml:space="preserve">cortical and 14 subcortical </w:t>
      </w:r>
      <w:r w:rsidR="00CF7A68" w:rsidRPr="00802667">
        <w:t>regions of the left and right hemispheres</w:t>
      </w:r>
      <w:r w:rsidR="00CF7A68">
        <w:t xml:space="preserve"> in the </w:t>
      </w:r>
      <w:proofErr w:type="spellStart"/>
      <w:r w:rsidR="00CF7A68">
        <w:t>Desikan-Killiany</w:t>
      </w:r>
      <w:proofErr w:type="spellEnd"/>
      <w:r w:rsidR="00CF7A68">
        <w:t xml:space="preserve"> atlas </w:t>
      </w:r>
      <w:r w:rsidR="00CF7A68">
        <w:fldChar w:fldCharType="begin"/>
      </w:r>
      <w:r w:rsidR="00AD3EA2">
        <w:instrText xml:space="preserve"> ADDIN ZOTERO_ITEM CSL_CITATION {"citationID":"0cSSqLk1","properties":{"formattedCitation":"(18)","plainCitation":"(18)","noteIndex":0},"citationItems":[{"id":"yqG9ZuqL/S8CiQpPQ","uris":["http://zotero.org/users/2454035/items/I9CAF8XN"],"itemData":{"id":"UXoK1eQi/deEc77d7","type":"article-journal","abstract":"In this study, we have assessed the validity and reliability of an automated labeling system that we have developed for subdividing the human cerebral cortex on magnetic resonance images into gyral based regions of interest (ROIs). Using a dataset of 40 MRI scans we manually identified 34 cortical ROIs in each of the individual hemispheres. This information was then encoded in the form of an atlas that was utilized to automatically label ROIs. To examine the validity, as well as the intra- and inter-rater reliability of the automated system, we used both intraclass correlation coefficients (ICC), and a new method known as mean distance maps, to assess the degree of mismatch between the manual and the automated sets of ROIs. When compared with the manual ROIs, the automated ROIs were highly accurate, with an average ICC of 0.835 across all of the ROIs, and a mean distance error of less than 1 mm. Intra- and inter-rater comparisons yielded little to no difference between the sets of ROIs. These findings suggest that the automated method we have developed for subdividing the human cerebral cortex into standard gyral-based neuroanatomical regions is both anatomically valid and reliable. This method may be useful for both morphometric and functional studies of the cerebral cortex as well as for clinical investigations aimed at tracking the evolution of disease-induced changes over time, including clinical trials in which MRI-based measures are used to examine response to treatment.","container-title":"NeuroImage","DOI":"10.1016/j.neuroimage.2006.01.021","ISSN":"1053-8119","issue":"3","journalAbbreviation":"Neuroimage","language":"eng","note":"PMID: 16530430","page":"968-980","source":"PubMed","title":"An automated labeling system for subdividing the human cerebral cortex on MRI scans into gyral based regions of interest","volume":"31","author":[{"family":"Desikan","given":"Rahul S."},{"family":"Ségonne","given":"Florent"},{"family":"Fischl","given":"Bruce"},{"family":"Quinn","given":"Brian T."},{"family":"Dickerson","given":"Bradford C."},{"family":"Blacker","given":"Deborah"},{"family":"Buckner","given":"Randy L."},{"family":"Dale","given":"Anders M."},{"family":"Maguire","given":"R. Paul"},{"family":"Hyman","given":"Bradley T."},{"family":"Albert","given":"Marilyn S."},{"family":"Killiany","given":"Ronald J."}],"issued":{"date-parts":[["2006",7,1]]}}}],"schema":"https://github.com/citation-style-language/schema/raw/master/csl-citation.json"} </w:instrText>
      </w:r>
      <w:r w:rsidR="00CF7A68">
        <w:fldChar w:fldCharType="separate"/>
      </w:r>
      <w:r w:rsidR="00AD3EA2" w:rsidRPr="00AD3EA2">
        <w:t>(18)</w:t>
      </w:r>
      <w:r w:rsidR="00CF7A68">
        <w:fldChar w:fldCharType="end"/>
      </w:r>
      <w:r w:rsidR="00CF7A68">
        <w:t xml:space="preserve"> are shown.</w:t>
      </w:r>
    </w:p>
    <w:p w14:paraId="24357DBC" w14:textId="7BB388BD" w:rsidR="00025603" w:rsidRDefault="00025603" w:rsidP="00E56776">
      <w:pPr>
        <w:spacing w:line="360" w:lineRule="auto"/>
      </w:pPr>
      <w:r>
        <w:br w:type="page"/>
      </w:r>
    </w:p>
    <w:p w14:paraId="2A783678" w14:textId="3153AFD4" w:rsidR="006A4748" w:rsidRPr="00EF753E" w:rsidRDefault="009A6E94" w:rsidP="00E56776">
      <w:pPr>
        <w:spacing w:after="0" w:line="360" w:lineRule="auto"/>
        <w:rPr>
          <w:rFonts w:asciiTheme="majorHAnsi" w:eastAsia="Times New Roman" w:hAnsiTheme="majorHAnsi" w:cstheme="majorHAnsi"/>
          <w:color w:val="auto"/>
          <w:sz w:val="24"/>
          <w:szCs w:val="24"/>
        </w:rPr>
      </w:pPr>
      <w:r>
        <w:rPr>
          <w:rFonts w:asciiTheme="majorHAnsi" w:eastAsia="Times New Roman" w:hAnsiTheme="majorHAnsi" w:cstheme="majorHAnsi"/>
          <w:color w:val="auto"/>
          <w:sz w:val="24"/>
          <w:szCs w:val="24"/>
        </w:rPr>
        <w:lastRenderedPageBreak/>
        <w:pict w14:anchorId="08D0B4BA">
          <v:shape id="_x0000_i1033" type="#_x0000_t75" style="width:453.05pt;height:122.95pt">
            <v:imagedata r:id="rId22" o:title="figure2-7"/>
          </v:shape>
        </w:pict>
      </w:r>
    </w:p>
    <w:p w14:paraId="60CE705C" w14:textId="6E12669B" w:rsidR="006A4748" w:rsidRDefault="00143FEF" w:rsidP="00E56776">
      <w:pPr>
        <w:pStyle w:val="Text"/>
      </w:pPr>
      <w:r>
        <w:rPr>
          <w:b/>
        </w:rPr>
        <w:t>Figure</w:t>
      </w:r>
      <w:r w:rsidR="006A4748" w:rsidRPr="00707AC5">
        <w:rPr>
          <w:b/>
        </w:rPr>
        <w:t xml:space="preserve"> </w:t>
      </w:r>
      <w:r w:rsidR="006A4748">
        <w:rPr>
          <w:b/>
        </w:rPr>
        <w:t>S</w:t>
      </w:r>
      <w:r w:rsidR="00025603">
        <w:rPr>
          <w:b/>
        </w:rPr>
        <w:t>1</w:t>
      </w:r>
      <w:r w:rsidR="005F4C38">
        <w:rPr>
          <w:b/>
        </w:rPr>
        <w:t>2</w:t>
      </w:r>
      <w:r w:rsidR="006A4748">
        <w:rPr>
          <w:b/>
        </w:rPr>
        <w:t>.</w:t>
      </w:r>
      <w:r w:rsidR="006A4748" w:rsidRPr="00802667">
        <w:t xml:space="preserve"> Correlations between </w:t>
      </w:r>
      <w:r w:rsidR="006A4748">
        <w:t>network centrality (on the x-axes)</w:t>
      </w:r>
      <w:r w:rsidR="006A4748" w:rsidRPr="00802667">
        <w:t xml:space="preserve"> and </w:t>
      </w:r>
      <w:r w:rsidR="006A4748">
        <w:t>feature importance profiles (on the y-axes) of the linear SVM model for the</w:t>
      </w:r>
      <w:r w:rsidR="006A4748" w:rsidRPr="00802667">
        <w:t xml:space="preserve"> </w:t>
      </w:r>
      <w:r w:rsidR="006A4748">
        <w:t>acAN-TP1 vs. HC classification</w:t>
      </w:r>
      <w:r w:rsidR="006A4748" w:rsidRPr="00802667">
        <w:t xml:space="preserve">. </w:t>
      </w:r>
      <w:r w:rsidR="006A4748">
        <w:t>Network</w:t>
      </w:r>
      <w:r w:rsidR="006A4748" w:rsidRPr="00802667">
        <w:t xml:space="preserve"> degree central</w:t>
      </w:r>
      <w:r w:rsidR="006A4748">
        <w:t>ity</w:t>
      </w:r>
      <w:r w:rsidR="00992EE8">
        <w:t xml:space="preserve"> (hubs)</w:t>
      </w:r>
      <w:r w:rsidR="006A4748">
        <w:t xml:space="preserve"> was computed on functional </w:t>
      </w:r>
      <w:r w:rsidR="00025603">
        <w:rPr>
          <w:b/>
        </w:rPr>
        <w:t>A,</w:t>
      </w:r>
      <w:r w:rsidR="0086162F">
        <w:rPr>
          <w:b/>
        </w:rPr>
        <w:t xml:space="preserve"> </w:t>
      </w:r>
      <w:r w:rsidR="00025603">
        <w:rPr>
          <w:b/>
        </w:rPr>
        <w:t>B:</w:t>
      </w:r>
      <w:r w:rsidR="006A4748">
        <w:t xml:space="preserve"> and structural </w:t>
      </w:r>
      <w:r w:rsidR="00025603">
        <w:rPr>
          <w:b/>
        </w:rPr>
        <w:t>C,</w:t>
      </w:r>
      <w:r w:rsidR="0086162F">
        <w:rPr>
          <w:b/>
        </w:rPr>
        <w:t xml:space="preserve"> </w:t>
      </w:r>
      <w:r w:rsidR="00025603">
        <w:rPr>
          <w:b/>
        </w:rPr>
        <w:t>D:</w:t>
      </w:r>
      <w:r w:rsidR="006A4748" w:rsidRPr="00802667">
        <w:t xml:space="preserve"> connectivity m</w:t>
      </w:r>
      <w:r w:rsidR="006A4748">
        <w:t xml:space="preserve">atrices. Correlations with feature importance values </w:t>
      </w:r>
      <w:r w:rsidR="006A4748" w:rsidRPr="00802667">
        <w:t xml:space="preserve">across the 68 </w:t>
      </w:r>
      <w:r w:rsidR="006A4748">
        <w:t xml:space="preserve">cortical and 14 subcortical </w:t>
      </w:r>
      <w:r w:rsidR="006A4748" w:rsidRPr="00802667">
        <w:t>regions of the left and right hemispheres</w:t>
      </w:r>
      <w:r w:rsidR="006A4748">
        <w:t xml:space="preserve"> in the </w:t>
      </w:r>
      <w:proofErr w:type="spellStart"/>
      <w:r w:rsidR="006A4748">
        <w:t>Desikan-Killiany</w:t>
      </w:r>
      <w:proofErr w:type="spellEnd"/>
      <w:r w:rsidR="006A4748">
        <w:t xml:space="preserve"> atlas </w:t>
      </w:r>
      <w:r w:rsidR="006A4748">
        <w:fldChar w:fldCharType="begin"/>
      </w:r>
      <w:r w:rsidR="00AD3EA2">
        <w:instrText xml:space="preserve"> ADDIN ZOTERO_ITEM CSL_CITATION {"citationID":"i2shcH3p","properties":{"formattedCitation":"(18)","plainCitation":"(18)","noteIndex":0},"citationItems":[{"id":"yqG9ZuqL/S8CiQpPQ","uris":["http://zotero.org/users/2454035/items/I9CAF8XN"],"itemData":{"id":"UXoK1eQi/deEc77d7","type":"article-journal","abstract":"In this study, we have assessed the validity and reliability of an automated labeling system that we have developed for subdividing the human cerebral cortex on magnetic resonance images into gyral based regions of interest (ROIs). Using a dataset of 40 MRI scans we manually identified 34 cortical ROIs in each of the individual hemispheres. This information was then encoded in the form of an atlas that was utilized to automatically label ROIs. To examine the validity, as well as the intra- and inter-rater reliability of the automated system, we used both intraclass correlation coefficients (ICC), and a new method known as mean distance maps, to assess the degree of mismatch between the manual and the automated sets of ROIs. When compared with the manual ROIs, the automated ROIs were highly accurate, with an average ICC of 0.835 across all of the ROIs, and a mean distance error of less than 1 mm. Intra- and inter-rater comparisons yielded little to no difference between the sets of ROIs. These findings suggest that the automated method we have developed for subdividing the human cerebral cortex into standard gyral-based neuroanatomical regions is both anatomically valid and reliable. This method may be useful for both morphometric and functional studies of the cerebral cortex as well as for clinical investigations aimed at tracking the evolution of disease-induced changes over time, including clinical trials in which MRI-based measures are used to examine response to treatment.","container-title":"NeuroImage","DOI":"10.1016/j.neuroimage.2006.01.021","ISSN":"1053-8119","issue":"3","journalAbbreviation":"Neuroimage","language":"eng","note":"PMID: 16530430","page":"968-980","source":"PubMed","title":"An automated labeling system for subdividing the human cerebral cortex on MRI scans into gyral based regions of interest","volume":"31","author":[{"family":"Desikan","given":"Rahul S."},{"family":"Ségonne","given":"Florent"},{"family":"Fischl","given":"Bruce"},{"family":"Quinn","given":"Brian T."},{"family":"Dickerson","given":"Bradford C."},{"family":"Blacker","given":"Deborah"},{"family":"Buckner","given":"Randy L."},{"family":"Dale","given":"Anders M."},{"family":"Maguire","given":"R. Paul"},{"family":"Hyman","given":"Bradley T."},{"family":"Albert","given":"Marilyn S."},{"family":"Killiany","given":"Ronald J."}],"issued":{"date-parts":[["2006",7,1]]}}}],"schema":"https://github.com/citation-style-language/schema/raw/master/csl-citation.json"} </w:instrText>
      </w:r>
      <w:r w:rsidR="006A4748">
        <w:fldChar w:fldCharType="separate"/>
      </w:r>
      <w:r w:rsidR="00AD3EA2" w:rsidRPr="00AD3EA2">
        <w:t>(18)</w:t>
      </w:r>
      <w:r w:rsidR="006A4748">
        <w:fldChar w:fldCharType="end"/>
      </w:r>
      <w:r w:rsidR="006A4748">
        <w:t xml:space="preserve"> are shown.</w:t>
      </w:r>
    </w:p>
    <w:p w14:paraId="507C5069" w14:textId="11AE8933" w:rsidR="00025603" w:rsidRDefault="00025603" w:rsidP="00E56776">
      <w:pPr>
        <w:spacing w:line="360" w:lineRule="auto"/>
      </w:pPr>
      <w:r>
        <w:br w:type="page"/>
      </w:r>
    </w:p>
    <w:p w14:paraId="2B089B92" w14:textId="4BE328A4" w:rsidR="00177840" w:rsidRPr="003E3541" w:rsidRDefault="009A6E94" w:rsidP="00E56776">
      <w:pPr>
        <w:spacing w:line="360" w:lineRule="auto"/>
        <w:rPr>
          <w:rFonts w:asciiTheme="majorHAnsi" w:hAnsiTheme="majorHAnsi" w:cstheme="majorHAnsi"/>
        </w:rPr>
      </w:pPr>
      <w:r>
        <w:rPr>
          <w:rFonts w:asciiTheme="majorHAnsi" w:hAnsiTheme="majorHAnsi" w:cstheme="majorHAnsi"/>
        </w:rPr>
        <w:lastRenderedPageBreak/>
        <w:pict w14:anchorId="0D4688B3">
          <v:shape id="_x0000_i1034" type="#_x0000_t75" style="width:453.05pt;height:208.55pt">
            <v:imagedata r:id="rId23" o:title="figure11"/>
          </v:shape>
        </w:pict>
      </w:r>
    </w:p>
    <w:p w14:paraId="3CE4855A" w14:textId="52F74477" w:rsidR="00AC4FAB" w:rsidRDefault="00143FEF" w:rsidP="00E56776">
      <w:pPr>
        <w:pStyle w:val="Text"/>
      </w:pPr>
      <w:r>
        <w:rPr>
          <w:b/>
        </w:rPr>
        <w:t>Figure S</w:t>
      </w:r>
      <w:r w:rsidR="002165B5">
        <w:rPr>
          <w:b/>
        </w:rPr>
        <w:t>1</w:t>
      </w:r>
      <w:r w:rsidR="005F4C38">
        <w:rPr>
          <w:b/>
        </w:rPr>
        <w:t>3</w:t>
      </w:r>
      <w:r w:rsidR="00177840">
        <w:rPr>
          <w:b/>
        </w:rPr>
        <w:t xml:space="preserve">. </w:t>
      </w:r>
      <w:r w:rsidR="00177840">
        <w:t xml:space="preserve">Cross-validated performances of </w:t>
      </w:r>
      <w:r w:rsidR="00885D7D">
        <w:t xml:space="preserve">SVM </w:t>
      </w:r>
      <w:r w:rsidR="00F90EE4">
        <w:t>models</w:t>
      </w:r>
      <w:r w:rsidR="00177840">
        <w:t xml:space="preserve"> with optimal </w:t>
      </w:r>
      <w:r w:rsidR="00E957EB">
        <w:t>hyperparameters</w:t>
      </w:r>
      <w:r w:rsidR="00177840">
        <w:t xml:space="preserve"> (Table S</w:t>
      </w:r>
      <w:r w:rsidR="0010669A">
        <w:t>2</w:t>
      </w:r>
      <w:r w:rsidR="00177840">
        <w:t>) for acAN-TP1/acAN-TP2 vs. HC</w:t>
      </w:r>
      <w:r w:rsidR="00F90EE4">
        <w:t xml:space="preserve"> classification</w:t>
      </w:r>
      <w:r w:rsidR="00177840">
        <w:t xml:space="preserve">, respectively (blue/orange), compared to performances achieved by the same models when classifying acAN-TP2/acAN-TP1 vs. HC, respectively (green/red). In the latter case we subsampled the over-represented class of the test data to ensure the same class ratio as in the training data. </w:t>
      </w:r>
      <w:r w:rsidR="00177840" w:rsidRPr="003E3541">
        <w:t xml:space="preserve">Shown are averages and the one </w:t>
      </w:r>
      <w:r w:rsidR="00F90EE4">
        <w:t>standard deviation</w:t>
      </w:r>
      <w:r w:rsidR="00177840" w:rsidRPr="003E3541">
        <w:t xml:space="preserve"> range</w:t>
      </w:r>
      <w:r w:rsidR="00177840">
        <w:t xml:space="preserve"> over cross-validation splits</w:t>
      </w:r>
      <w:r w:rsidR="009446C6">
        <w:t xml:space="preserve"> (</w:t>
      </w:r>
      <w:r w:rsidR="00586CE0">
        <w:t xml:space="preserve">ten repeats, </w:t>
      </w:r>
      <w:r w:rsidR="00AF53A8">
        <w:t>ten</w:t>
      </w:r>
      <w:r w:rsidR="009446C6">
        <w:t>-fold)</w:t>
      </w:r>
      <w:r w:rsidR="00177840" w:rsidRPr="003E3541">
        <w:t xml:space="preserve"> of </w:t>
      </w:r>
      <w:r w:rsidR="00177840" w:rsidRPr="00BC0CDF">
        <w:rPr>
          <w:b/>
        </w:rPr>
        <w:t>A:</w:t>
      </w:r>
      <w:r w:rsidR="00177840" w:rsidRPr="00855E0F">
        <w:t xml:space="preserve"> PR-curves and </w:t>
      </w:r>
      <w:r w:rsidR="00177840" w:rsidRPr="00821A7E">
        <w:rPr>
          <w:b/>
        </w:rPr>
        <w:t>B:</w:t>
      </w:r>
      <w:r w:rsidR="00177840" w:rsidRPr="00821A7E">
        <w:t xml:space="preserve"> corresponding ROC-curves with their AUCs.</w:t>
      </w:r>
      <w:r w:rsidR="00177840">
        <w:t xml:space="preserve"> </w:t>
      </w:r>
      <w:r w:rsidR="00177840" w:rsidRPr="00821A7E">
        <w:t>Dashed lines represent chance performance</w:t>
      </w:r>
      <w:r w:rsidR="00177840">
        <w:t xml:space="preserve">. While the acAN-TP2 model seemed to differentiate acAN-TP1 from HC (red) the acAN-TP1 model performance dropped to chance level when differentiating acAN-TP2 </w:t>
      </w:r>
      <w:r w:rsidR="00F90EE4">
        <w:t>vs.</w:t>
      </w:r>
      <w:r w:rsidR="00177840">
        <w:t xml:space="preserve"> HC (green).</w:t>
      </w:r>
      <w:r w:rsidR="00E957EB">
        <w:t xml:space="preserve"> </w:t>
      </w:r>
      <w:r w:rsidR="00E957EB" w:rsidRPr="00E957EB">
        <w:t>We also applied the models trained on acAN-TP1 or acAN-</w:t>
      </w:r>
      <w:r w:rsidR="00E957EB">
        <w:t>TP2 data to the recAN</w:t>
      </w:r>
      <w:r w:rsidR="00E957EB" w:rsidRPr="00E957EB">
        <w:t xml:space="preserve"> sample respectively but found them to perform at chance level.</w:t>
      </w:r>
    </w:p>
    <w:p w14:paraId="072BA619" w14:textId="5F1F4F28" w:rsidR="00025603" w:rsidRDefault="00025603" w:rsidP="00E56776">
      <w:pPr>
        <w:spacing w:line="360" w:lineRule="auto"/>
      </w:pPr>
      <w:r>
        <w:br w:type="page"/>
      </w:r>
    </w:p>
    <w:p w14:paraId="4F73C627" w14:textId="4D930DDA" w:rsidR="00382BC9" w:rsidRPr="00EF753E" w:rsidRDefault="00433009" w:rsidP="00E56776">
      <w:pPr>
        <w:spacing w:after="0" w:line="360" w:lineRule="auto"/>
        <w:rPr>
          <w:rFonts w:asciiTheme="majorHAnsi" w:eastAsia="Times New Roman" w:hAnsiTheme="majorHAnsi" w:cstheme="majorHAnsi"/>
          <w:color w:val="auto"/>
          <w:sz w:val="24"/>
          <w:szCs w:val="24"/>
        </w:rPr>
      </w:pPr>
      <w:r>
        <w:rPr>
          <w:rFonts w:asciiTheme="majorHAnsi" w:eastAsia="Times New Roman" w:hAnsiTheme="majorHAnsi" w:cstheme="majorHAnsi"/>
          <w:noProof/>
          <w:color w:val="auto"/>
          <w:sz w:val="24"/>
          <w:szCs w:val="24"/>
          <w:lang w:val="de-DE" w:eastAsia="de-DE"/>
        </w:rPr>
        <w:lastRenderedPageBreak/>
        <w:drawing>
          <wp:inline distT="0" distB="0" distL="0" distR="0" wp14:anchorId="1D874A7A" wp14:editId="10CE6287">
            <wp:extent cx="5760720" cy="2658745"/>
            <wp:effectExtent l="0" t="0" r="0" b="825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figure12.tif"/>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760720" cy="2658745"/>
                    </a:xfrm>
                    <a:prstGeom prst="rect">
                      <a:avLst/>
                    </a:prstGeom>
                  </pic:spPr>
                </pic:pic>
              </a:graphicData>
            </a:graphic>
          </wp:inline>
        </w:drawing>
      </w:r>
    </w:p>
    <w:p w14:paraId="28805D1A" w14:textId="706ABC80" w:rsidR="004F181C" w:rsidRDefault="00382BC9" w:rsidP="00E56776">
      <w:pPr>
        <w:pStyle w:val="Text"/>
      </w:pPr>
      <w:r w:rsidRPr="00B60F8C">
        <w:rPr>
          <w:b/>
        </w:rPr>
        <w:t>Fig</w:t>
      </w:r>
      <w:r w:rsidR="007D286E">
        <w:rPr>
          <w:b/>
        </w:rPr>
        <w:t>ure</w:t>
      </w:r>
      <w:r w:rsidRPr="00B60F8C">
        <w:rPr>
          <w:b/>
        </w:rPr>
        <w:t xml:space="preserve"> S</w:t>
      </w:r>
      <w:r w:rsidR="00025603">
        <w:rPr>
          <w:b/>
        </w:rPr>
        <w:t>1</w:t>
      </w:r>
      <w:r w:rsidR="005F4C38">
        <w:rPr>
          <w:b/>
        </w:rPr>
        <w:t>4</w:t>
      </w:r>
      <w:r w:rsidRPr="00B60F8C">
        <w:rPr>
          <w:b/>
        </w:rPr>
        <w:t xml:space="preserve">. </w:t>
      </w:r>
      <w:r>
        <w:t>Validation p</w:t>
      </w:r>
      <w:r w:rsidRPr="00B60F8C">
        <w:t xml:space="preserve">erformance curves for </w:t>
      </w:r>
      <w:r w:rsidR="00025603">
        <w:rPr>
          <w:b/>
        </w:rPr>
        <w:t>A:</w:t>
      </w:r>
      <w:r w:rsidRPr="00B60F8C">
        <w:t xml:space="preserve"> PR and </w:t>
      </w:r>
      <w:r w:rsidR="00025603">
        <w:rPr>
          <w:b/>
        </w:rPr>
        <w:t>B:</w:t>
      </w:r>
      <w:r w:rsidRPr="00B60F8C">
        <w:t xml:space="preserve"> ROC computed as in </w:t>
      </w:r>
      <w:r w:rsidR="00F61B88">
        <w:t>Figure S1</w:t>
      </w:r>
      <w:r w:rsidR="005F4C38">
        <w:t>3</w:t>
      </w:r>
      <w:r>
        <w:t xml:space="preserve"> but</w:t>
      </w:r>
      <w:r w:rsidRPr="00B60F8C">
        <w:t xml:space="preserve"> for a non-linear neural net</w:t>
      </w:r>
      <w:r w:rsidR="00CF123B">
        <w:t>work</w:t>
      </w:r>
      <w:r w:rsidRPr="00B60F8C">
        <w:t xml:space="preserve"> as classifier</w:t>
      </w:r>
      <w:r w:rsidR="00BC0D35">
        <w:t xml:space="preserve"> (</w:t>
      </w:r>
      <w:r w:rsidR="00C00059">
        <w:t>Supplementary methods</w:t>
      </w:r>
      <w:r w:rsidR="00BC0D35">
        <w:t xml:space="preserve"> 1.</w:t>
      </w:r>
      <w:r w:rsidR="00A93847">
        <w:t>3</w:t>
      </w:r>
      <w:r w:rsidR="00BC0D35">
        <w:t>)</w:t>
      </w:r>
      <w:r w:rsidRPr="00B60F8C">
        <w:t xml:space="preserve"> in the model pipeline. The AUC performances d</w:t>
      </w:r>
      <w:r>
        <w:t>id</w:t>
      </w:r>
      <w:r w:rsidRPr="00B60F8C">
        <w:t xml:space="preserve"> not exceed those of the linear SVM model.</w:t>
      </w:r>
      <w:bookmarkStart w:id="14" w:name="_3z2xifp9yzin" w:colFirst="0" w:colLast="0"/>
      <w:bookmarkStart w:id="15" w:name="_30j0zll" w:colFirst="0" w:colLast="0"/>
      <w:bookmarkEnd w:id="14"/>
      <w:bookmarkEnd w:id="15"/>
    </w:p>
    <w:p w14:paraId="244007B7" w14:textId="4070C9A9" w:rsidR="00025603" w:rsidRDefault="00025603" w:rsidP="00E56776">
      <w:pPr>
        <w:spacing w:line="360" w:lineRule="auto"/>
      </w:pPr>
      <w:r>
        <w:br w:type="page"/>
      </w:r>
    </w:p>
    <w:p w14:paraId="16A76D27" w14:textId="2B2EA7F0" w:rsidR="00E00218" w:rsidRPr="00E56776" w:rsidRDefault="00236FF4" w:rsidP="00E56776">
      <w:pPr>
        <w:pStyle w:val="berschrift2"/>
        <w:spacing w:after="240" w:line="360" w:lineRule="auto"/>
        <w:rPr>
          <w:sz w:val="24"/>
          <w:szCs w:val="24"/>
        </w:rPr>
      </w:pPr>
      <w:bookmarkStart w:id="16" w:name="_GoBack"/>
      <w:r w:rsidRPr="00E56776">
        <w:rPr>
          <w:rFonts w:asciiTheme="majorHAnsi" w:eastAsia="Calibri" w:hAnsiTheme="majorHAnsi" w:cstheme="majorHAnsi"/>
          <w:color w:val="auto"/>
          <w:sz w:val="24"/>
          <w:szCs w:val="24"/>
        </w:rPr>
        <w:lastRenderedPageBreak/>
        <w:t>Supplementary references</w:t>
      </w:r>
    </w:p>
    <w:bookmarkEnd w:id="16"/>
    <w:p w14:paraId="6557182B" w14:textId="77777777" w:rsidR="002C237E" w:rsidRPr="002C237E" w:rsidRDefault="009257F3" w:rsidP="00E56776">
      <w:pPr>
        <w:pStyle w:val="Literaturverzeichnis"/>
        <w:spacing w:line="360" w:lineRule="auto"/>
      </w:pPr>
      <w:r>
        <w:fldChar w:fldCharType="begin"/>
      </w:r>
      <w:r w:rsidR="002C237E">
        <w:instrText xml:space="preserve"> ADDIN ZOTERO_BIBL {"uncited":[],"omitted":[],"custom":[]} CSL_BIBLIOGRAPHY </w:instrText>
      </w:r>
      <w:r>
        <w:fldChar w:fldCharType="separate"/>
      </w:r>
      <w:r w:rsidR="002C237E" w:rsidRPr="002C237E">
        <w:t>1.</w:t>
      </w:r>
      <w:r w:rsidR="002C237E" w:rsidRPr="002C237E">
        <w:tab/>
        <w:t xml:space="preserve">Fichter M, Quadflieg N. The structured interview for anorexic and bulimic disorders for DSM-IV and ICD-10 (SIAB-EX): reliability and validity. Eur Psychiatry. 2001 Feb;16(1):38–48. </w:t>
      </w:r>
    </w:p>
    <w:p w14:paraId="59470854" w14:textId="77777777" w:rsidR="002C237E" w:rsidRPr="000F40EF" w:rsidRDefault="002C237E" w:rsidP="00E56776">
      <w:pPr>
        <w:pStyle w:val="Literaturverzeichnis"/>
        <w:spacing w:line="360" w:lineRule="auto"/>
        <w:rPr>
          <w:lang w:val="de-DE"/>
        </w:rPr>
      </w:pPr>
      <w:r w:rsidRPr="002C237E">
        <w:t>2.</w:t>
      </w:r>
      <w:r w:rsidRPr="002C237E">
        <w:tab/>
        <w:t xml:space="preserve">Sheehan DV, Lecrubier Y, Sheehan KH, Amorim P, Janavs J, Weiller E, et al. The Mini-International Neuropsychiatric Interview (M.I.N.I): The development and validation of a structured diagnostic psychiatric interview for DSM-IV and ICD-103. </w:t>
      </w:r>
      <w:r w:rsidRPr="000F40EF">
        <w:rPr>
          <w:lang w:val="de-DE"/>
        </w:rPr>
        <w:t xml:space="preserve">J Clin Psychiatry. 1998;59:22–33. </w:t>
      </w:r>
    </w:p>
    <w:p w14:paraId="15176F23" w14:textId="77777777" w:rsidR="002C237E" w:rsidRPr="002C237E" w:rsidRDefault="002C237E" w:rsidP="00E56776">
      <w:pPr>
        <w:pStyle w:val="Literaturverzeichnis"/>
        <w:spacing w:line="360" w:lineRule="auto"/>
      </w:pPr>
      <w:r w:rsidRPr="000F40EF">
        <w:rPr>
          <w:lang w:val="de-DE"/>
        </w:rPr>
        <w:t>3.</w:t>
      </w:r>
      <w:r w:rsidRPr="000F40EF">
        <w:rPr>
          <w:lang w:val="de-DE"/>
        </w:rPr>
        <w:tab/>
        <w:t xml:space="preserve">Bahnsen K, Bernardoni F, King JA, Geisler D, Weidner K, Roessner V, et al. </w:t>
      </w:r>
      <w:r w:rsidRPr="002C237E">
        <w:t>Dynamic Structural Brain Changes in Anorexia Nervosa: A Replication Study, Mega-analysis, and Virtual Histology Approach. J Am Acad Child Adolesc Psychiatry [Internet]. 2022 Apr [cited 2022 Jun 29]; Available from: https://linkinghub.elsevier.com/retrieve/pii/S0890856722001836</w:t>
      </w:r>
    </w:p>
    <w:p w14:paraId="3F0F456A" w14:textId="77777777" w:rsidR="002C237E" w:rsidRPr="002C237E" w:rsidRDefault="002C237E" w:rsidP="00E56776">
      <w:pPr>
        <w:pStyle w:val="Literaturverzeichnis"/>
        <w:spacing w:line="360" w:lineRule="auto"/>
      </w:pPr>
      <w:r w:rsidRPr="000F40EF">
        <w:rPr>
          <w:lang w:val="de-DE"/>
        </w:rPr>
        <w:t>4.</w:t>
      </w:r>
      <w:r w:rsidRPr="000F40EF">
        <w:rPr>
          <w:lang w:val="de-DE"/>
        </w:rPr>
        <w:tab/>
        <w:t xml:space="preserve">Bernardoni F, King JA, Geisler D, Birkenstock J, Tam FI, Weidner K, et al. </w:t>
      </w:r>
      <w:r w:rsidRPr="002C237E">
        <w:t>Nutritional Status Affects Cortical Folding: Lessons Learned From Anorexia Nervosa. Biol Psychiatry [Internet]. 2018 May [cited 2018 Sep 4]; Available from: https://linkinghub.elsevier.com/retrieve/pii/S0006322318315221</w:t>
      </w:r>
    </w:p>
    <w:p w14:paraId="47E6DA16" w14:textId="77777777" w:rsidR="002C237E" w:rsidRPr="000F40EF" w:rsidRDefault="002C237E" w:rsidP="00E56776">
      <w:pPr>
        <w:pStyle w:val="Literaturverzeichnis"/>
        <w:spacing w:line="360" w:lineRule="auto"/>
        <w:rPr>
          <w:lang w:val="de-DE"/>
        </w:rPr>
      </w:pPr>
      <w:r w:rsidRPr="000F40EF">
        <w:rPr>
          <w:lang w:val="de-DE"/>
        </w:rPr>
        <w:t>5.</w:t>
      </w:r>
      <w:r w:rsidRPr="000F40EF">
        <w:rPr>
          <w:lang w:val="de-DE"/>
        </w:rPr>
        <w:tab/>
        <w:t xml:space="preserve">Bernardoni F, King JA, Geisler D, Stein E, Jaite C, Nätsch D, et al. </w:t>
      </w:r>
      <w:r w:rsidRPr="002C237E">
        <w:t xml:space="preserve">Weight restoration therapy rapidly reverses cortical thinning in anorexia nervosa: A longitudinal study. </w:t>
      </w:r>
      <w:r w:rsidRPr="000F40EF">
        <w:rPr>
          <w:lang w:val="de-DE"/>
        </w:rPr>
        <w:t xml:space="preserve">NeuroImage. 2016 Apr 15;130:214–22. </w:t>
      </w:r>
    </w:p>
    <w:p w14:paraId="7E494B04" w14:textId="77777777" w:rsidR="002C237E" w:rsidRPr="002C237E" w:rsidRDefault="002C237E" w:rsidP="00E56776">
      <w:pPr>
        <w:pStyle w:val="Literaturverzeichnis"/>
        <w:spacing w:line="360" w:lineRule="auto"/>
      </w:pPr>
      <w:r w:rsidRPr="000F40EF">
        <w:rPr>
          <w:lang w:val="de-DE"/>
        </w:rPr>
        <w:t>6.</w:t>
      </w:r>
      <w:r w:rsidRPr="000F40EF">
        <w:rPr>
          <w:lang w:val="de-DE"/>
        </w:rPr>
        <w:tab/>
        <w:t xml:space="preserve">King JA, Geisler D, Ritschel F, Boehm I, Seidel M, Roschinski B, et al. </w:t>
      </w:r>
      <w:r w:rsidRPr="002C237E">
        <w:t xml:space="preserve">Global cortical thinning in acute anorexia nervosa normalizes following long-term weight restoration. Biol Psychiatry. 2015 Apr 1;77(7):624–32. </w:t>
      </w:r>
    </w:p>
    <w:p w14:paraId="5CCFCE2A" w14:textId="77777777" w:rsidR="002C237E" w:rsidRPr="002C237E" w:rsidRDefault="002C237E" w:rsidP="00E56776">
      <w:pPr>
        <w:pStyle w:val="Literaturverzeichnis"/>
        <w:spacing w:line="360" w:lineRule="auto"/>
      </w:pPr>
      <w:r w:rsidRPr="002C237E">
        <w:t>7.</w:t>
      </w:r>
      <w:r w:rsidRPr="002C237E">
        <w:tab/>
        <w:t xml:space="preserve">Cole TJ. The LMS method for constructing normalized growth standards. Eur J Clin Nutr. 1990 Jan;44(1):45–60. </w:t>
      </w:r>
    </w:p>
    <w:p w14:paraId="2B2508E3" w14:textId="77777777" w:rsidR="002C237E" w:rsidRPr="000F40EF" w:rsidRDefault="002C237E" w:rsidP="00E56776">
      <w:pPr>
        <w:pStyle w:val="Literaturverzeichnis"/>
        <w:spacing w:line="360" w:lineRule="auto"/>
        <w:rPr>
          <w:lang w:val="de-DE"/>
        </w:rPr>
      </w:pPr>
      <w:r w:rsidRPr="002C237E">
        <w:t>8.</w:t>
      </w:r>
      <w:r w:rsidRPr="002C237E">
        <w:tab/>
        <w:t xml:space="preserve">Hemmelmann C, Brose S, Vens M, Hebebrand J, Ziegler A. [Percentiles of body mass index of 18-80-year-old German adults based on data from the Second National Nutrition Survey]. </w:t>
      </w:r>
      <w:r w:rsidRPr="000F40EF">
        <w:rPr>
          <w:lang w:val="de-DE"/>
        </w:rPr>
        <w:t xml:space="preserve">Dtsch Med Wochenschr 1946. 2010 Apr;135(17):848–52. </w:t>
      </w:r>
    </w:p>
    <w:p w14:paraId="46D2A7F5" w14:textId="77777777" w:rsidR="002C237E" w:rsidRPr="000F40EF" w:rsidRDefault="002C237E" w:rsidP="00E56776">
      <w:pPr>
        <w:pStyle w:val="Literaturverzeichnis"/>
        <w:spacing w:line="360" w:lineRule="auto"/>
        <w:rPr>
          <w:lang w:val="de-DE"/>
        </w:rPr>
      </w:pPr>
      <w:r w:rsidRPr="000F40EF">
        <w:rPr>
          <w:lang w:val="de-DE"/>
        </w:rPr>
        <w:lastRenderedPageBreak/>
        <w:t>9.</w:t>
      </w:r>
      <w:r w:rsidRPr="000F40EF">
        <w:rPr>
          <w:lang w:val="de-DE"/>
        </w:rPr>
        <w:tab/>
        <w:t xml:space="preserve">Kromeyer-Hauschild K, Wabitsch M, Kunze D, Geller F, Geiß HC, Hesse V, et al. Perzentile für den Body-mass-Index für das Kindes- und Jugendalter unter Heranziehung verschiedener deutscher Stichproben. Monatsschr Kinderheilkd. 2001 Aug;149(8):807–18. </w:t>
      </w:r>
    </w:p>
    <w:p w14:paraId="1A824463" w14:textId="77777777" w:rsidR="002C237E" w:rsidRPr="002C237E" w:rsidRDefault="002C237E" w:rsidP="00E56776">
      <w:pPr>
        <w:pStyle w:val="Literaturverzeichnis"/>
        <w:spacing w:line="360" w:lineRule="auto"/>
      </w:pPr>
      <w:r w:rsidRPr="000F40EF">
        <w:rPr>
          <w:lang w:val="de-DE"/>
        </w:rPr>
        <w:t>10.</w:t>
      </w:r>
      <w:r w:rsidRPr="000F40EF">
        <w:rPr>
          <w:lang w:val="de-DE"/>
        </w:rPr>
        <w:tab/>
        <w:t xml:space="preserve">Patrick K, Norman GJ, Calfas KJ, Sallis JF, Zabinski MF, Rupp J, et al. </w:t>
      </w:r>
      <w:r w:rsidRPr="002C237E">
        <w:t xml:space="preserve">Diet, Physical Activity, and Sedentary Behaviors as Risk Factors for Overweight in Adolescence. Arch Pediatr Adolesc Med. 2004 Apr 1;158(4):385. </w:t>
      </w:r>
    </w:p>
    <w:p w14:paraId="12865067" w14:textId="77777777" w:rsidR="002C237E" w:rsidRPr="002C237E" w:rsidRDefault="002C237E" w:rsidP="00E56776">
      <w:pPr>
        <w:pStyle w:val="Literaturverzeichnis"/>
        <w:spacing w:line="360" w:lineRule="auto"/>
      </w:pPr>
      <w:r w:rsidRPr="002C237E">
        <w:t>11.</w:t>
      </w:r>
      <w:r w:rsidRPr="002C237E">
        <w:tab/>
        <w:t xml:space="preserve">Harris PA, Taylor R, Thielke R, Payne J, Gonzalez N, Conde JG. Research electronic data capture (REDCap)—A metadata-driven methodology and workflow process for providing translational research informatics support. J Biomed Inform. 2009 Apr;42(2):377–81. </w:t>
      </w:r>
    </w:p>
    <w:p w14:paraId="45C72901" w14:textId="77777777" w:rsidR="002C237E" w:rsidRPr="000F40EF" w:rsidRDefault="002C237E" w:rsidP="00E56776">
      <w:pPr>
        <w:pStyle w:val="Literaturverzeichnis"/>
        <w:spacing w:line="360" w:lineRule="auto"/>
        <w:rPr>
          <w:lang w:val="de-DE"/>
        </w:rPr>
      </w:pPr>
      <w:r w:rsidRPr="002C237E">
        <w:t>12.</w:t>
      </w:r>
      <w:r w:rsidRPr="002C237E">
        <w:tab/>
        <w:t xml:space="preserve">Bargiacchi A, Clarke J, Paulsen A, Leger J. Refeeding in anorexia nervosa. </w:t>
      </w:r>
      <w:r w:rsidRPr="000F40EF">
        <w:rPr>
          <w:lang w:val="de-DE"/>
        </w:rPr>
        <w:t xml:space="preserve">Eur J Pediatr. 2019 Mar;178(3):413–22. </w:t>
      </w:r>
    </w:p>
    <w:p w14:paraId="047CDDF0" w14:textId="77777777" w:rsidR="002C237E" w:rsidRPr="002C237E" w:rsidRDefault="002C237E" w:rsidP="00E56776">
      <w:pPr>
        <w:pStyle w:val="Literaturverzeichnis"/>
        <w:spacing w:line="360" w:lineRule="auto"/>
      </w:pPr>
      <w:r w:rsidRPr="000F40EF">
        <w:rPr>
          <w:lang w:val="de-DE"/>
        </w:rPr>
        <w:t>13.</w:t>
      </w:r>
      <w:r w:rsidRPr="000F40EF">
        <w:rPr>
          <w:lang w:val="de-DE"/>
        </w:rPr>
        <w:tab/>
        <w:t xml:space="preserve">Paul T, Thiel A. Eating Disorder Inventory-2 (EDI-2): deutsche Version. </w:t>
      </w:r>
      <w:r w:rsidRPr="002C237E">
        <w:t xml:space="preserve">Hogrefe; 2005. </w:t>
      </w:r>
    </w:p>
    <w:p w14:paraId="455AFA1B" w14:textId="77777777" w:rsidR="002C237E" w:rsidRPr="002C237E" w:rsidRDefault="002C237E" w:rsidP="00E56776">
      <w:pPr>
        <w:pStyle w:val="Literaturverzeichnis"/>
        <w:spacing w:line="360" w:lineRule="auto"/>
      </w:pPr>
      <w:r w:rsidRPr="002C237E">
        <w:t>14.</w:t>
      </w:r>
      <w:r w:rsidRPr="002C237E">
        <w:tab/>
        <w:t xml:space="preserve">Hautzinger M, Keller F, Beck AT, Kühner C. Beck Depressions-Inventar : BDI II ; Manual. Pearson Assessment; 2009. 35 p. </w:t>
      </w:r>
    </w:p>
    <w:p w14:paraId="4E39C74F" w14:textId="77777777" w:rsidR="002C237E" w:rsidRPr="002C237E" w:rsidRDefault="002C237E" w:rsidP="00E56776">
      <w:pPr>
        <w:pStyle w:val="Literaturverzeichnis"/>
        <w:spacing w:line="360" w:lineRule="auto"/>
      </w:pPr>
      <w:r w:rsidRPr="002C237E">
        <w:t>15.</w:t>
      </w:r>
      <w:r w:rsidRPr="002C237E">
        <w:tab/>
        <w:t xml:space="preserve">Morgan HG, Hayward AE. Clinical Assessment of Anorexia Nervosa: The Morgan-Russell Outcome Assessment Schedule. Br J Psychiatry. 1988 Mar;152(3):367–71. </w:t>
      </w:r>
    </w:p>
    <w:p w14:paraId="199FF1F3" w14:textId="77777777" w:rsidR="002C237E" w:rsidRPr="002C237E" w:rsidRDefault="002C237E" w:rsidP="00E56776">
      <w:pPr>
        <w:pStyle w:val="Literaturverzeichnis"/>
        <w:spacing w:line="360" w:lineRule="auto"/>
      </w:pPr>
      <w:r w:rsidRPr="002C237E">
        <w:t>16.</w:t>
      </w:r>
      <w:r w:rsidRPr="002C237E">
        <w:tab/>
        <w:t xml:space="preserve">Boehm I, Mohr H, King JA, Steding J, Geisler D, Wronski ML, et al. Aberrant neural representation of food stimuli in women with acute anorexia nervosa predicts treatment outcome and is improved in weight restored individuals. Transl Psychiatry. 2021 Dec;11(1):532. </w:t>
      </w:r>
    </w:p>
    <w:p w14:paraId="2811BF5C" w14:textId="77777777" w:rsidR="002C237E" w:rsidRPr="002C237E" w:rsidRDefault="002C237E" w:rsidP="00E56776">
      <w:pPr>
        <w:pStyle w:val="Literaturverzeichnis"/>
        <w:spacing w:line="360" w:lineRule="auto"/>
      </w:pPr>
      <w:r w:rsidRPr="002C237E">
        <w:t>17.</w:t>
      </w:r>
      <w:r w:rsidRPr="002C237E">
        <w:tab/>
        <w:t xml:space="preserve">Dale AM, Fischl B, Sereno MI. Cortical surface-based analysis. I. Segmentation and surface reconstruction. NeuroImage. 1999 Feb;9(2):179–94. </w:t>
      </w:r>
    </w:p>
    <w:p w14:paraId="4BE6FC38" w14:textId="77777777" w:rsidR="002C237E" w:rsidRPr="002C237E" w:rsidRDefault="002C237E" w:rsidP="00E56776">
      <w:pPr>
        <w:pStyle w:val="Literaturverzeichnis"/>
        <w:spacing w:line="360" w:lineRule="auto"/>
      </w:pPr>
      <w:r w:rsidRPr="002C237E">
        <w:t>18.</w:t>
      </w:r>
      <w:r w:rsidRPr="002C237E">
        <w:tab/>
        <w:t xml:space="preserve">Desikan RS, Ségonne F, Fischl B, Quinn BT, Dickerson BC, Blacker D, et al. An automated labeling system for subdividing the human cerebral cortex on MRI scans into gyral based regions of interest. NeuroImage. 2006 Jul 1;31(3):968–80. </w:t>
      </w:r>
    </w:p>
    <w:p w14:paraId="7766DB57" w14:textId="77777777" w:rsidR="002C237E" w:rsidRPr="002C237E" w:rsidRDefault="002C237E" w:rsidP="00E56776">
      <w:pPr>
        <w:pStyle w:val="Literaturverzeichnis"/>
        <w:spacing w:line="360" w:lineRule="auto"/>
      </w:pPr>
      <w:r w:rsidRPr="002C237E">
        <w:t>19.</w:t>
      </w:r>
      <w:r w:rsidRPr="002C237E">
        <w:tab/>
        <w:t xml:space="preserve">Fischl B, Sereno MI, Dale AM. Cortical surface-based analysis. II: Inflation, flattening, and a surface-based coordinate system. NeuroImage. 1999 Feb;9(2):195–207. </w:t>
      </w:r>
    </w:p>
    <w:p w14:paraId="3FF98121" w14:textId="77777777" w:rsidR="002C237E" w:rsidRPr="000F40EF" w:rsidRDefault="002C237E" w:rsidP="00E56776">
      <w:pPr>
        <w:pStyle w:val="Literaturverzeichnis"/>
        <w:spacing w:line="360" w:lineRule="auto"/>
        <w:rPr>
          <w:lang w:val="de-DE"/>
        </w:rPr>
      </w:pPr>
      <w:r w:rsidRPr="002C237E">
        <w:lastRenderedPageBreak/>
        <w:t>20.</w:t>
      </w:r>
      <w:r w:rsidRPr="002C237E">
        <w:tab/>
        <w:t xml:space="preserve">Fischl B, Sereno MI, Tootell RB, Dale AM. High-resolution intersubject averaging and a coordinate system for the cortical surface. </w:t>
      </w:r>
      <w:r w:rsidRPr="000F40EF">
        <w:rPr>
          <w:lang w:val="de-DE"/>
        </w:rPr>
        <w:t xml:space="preserve">Hum Brain Mapp. 1999;8(4):272–84. </w:t>
      </w:r>
    </w:p>
    <w:p w14:paraId="61DBB7D0" w14:textId="77777777" w:rsidR="002C237E" w:rsidRPr="002C237E" w:rsidRDefault="002C237E" w:rsidP="00E56776">
      <w:pPr>
        <w:pStyle w:val="Literaturverzeichnis"/>
        <w:spacing w:line="360" w:lineRule="auto"/>
      </w:pPr>
      <w:r w:rsidRPr="000F40EF">
        <w:rPr>
          <w:lang w:val="de-DE"/>
        </w:rPr>
        <w:t>21.</w:t>
      </w:r>
      <w:r w:rsidRPr="000F40EF">
        <w:rPr>
          <w:lang w:val="de-DE"/>
        </w:rPr>
        <w:tab/>
        <w:t xml:space="preserve">Fischl B, Salat DH, Busa E, Albert M, Dieterich M, Haselgrove C, et al. </w:t>
      </w:r>
      <w:r w:rsidRPr="002C237E">
        <w:t xml:space="preserve">Whole brain segmentation: automated labeling of neuroanatomical structures in the human brain. Neuron. 2002 Jan 31;33(3):341–55. </w:t>
      </w:r>
    </w:p>
    <w:p w14:paraId="452784D3" w14:textId="77777777" w:rsidR="002C237E" w:rsidRPr="002C237E" w:rsidRDefault="002C237E" w:rsidP="00E56776">
      <w:pPr>
        <w:pStyle w:val="Literaturverzeichnis"/>
        <w:spacing w:line="360" w:lineRule="auto"/>
      </w:pPr>
      <w:r w:rsidRPr="002C237E">
        <w:t>22.</w:t>
      </w:r>
      <w:r w:rsidRPr="002C237E">
        <w:tab/>
        <w:t xml:space="preserve">Fischl B, Salat DH, van der Kouwe AJW, Makris N, Ségonne F, Quinn BT, et al. Sequence-independent segmentation of magnetic resonance images. NeuroImage. 2004;23 Suppl 1:S69-84. </w:t>
      </w:r>
    </w:p>
    <w:p w14:paraId="181F5976" w14:textId="77777777" w:rsidR="002C237E" w:rsidRPr="000F40EF" w:rsidRDefault="002C237E" w:rsidP="00E56776">
      <w:pPr>
        <w:pStyle w:val="Literaturverzeichnis"/>
        <w:spacing w:line="360" w:lineRule="auto"/>
        <w:rPr>
          <w:lang w:val="de-DE"/>
        </w:rPr>
      </w:pPr>
      <w:r w:rsidRPr="002C237E">
        <w:t>23.</w:t>
      </w:r>
      <w:r w:rsidRPr="002C237E">
        <w:tab/>
        <w:t xml:space="preserve">Segonne F, Pacheco J, Fischl B. Geometrically Accurate Topology-Correction of Cortical Surfaces Using Nonseparating Loops. </w:t>
      </w:r>
      <w:r w:rsidRPr="000F40EF">
        <w:rPr>
          <w:lang w:val="de-DE"/>
        </w:rPr>
        <w:t xml:space="preserve">IEEE Trans Med Imaging. 2007 Apr;26(4):518–29. </w:t>
      </w:r>
    </w:p>
    <w:p w14:paraId="05B7D04C" w14:textId="77777777" w:rsidR="002C237E" w:rsidRPr="000F40EF" w:rsidRDefault="002C237E" w:rsidP="00E56776">
      <w:pPr>
        <w:pStyle w:val="Literaturverzeichnis"/>
        <w:spacing w:line="360" w:lineRule="auto"/>
        <w:rPr>
          <w:lang w:val="de-DE"/>
        </w:rPr>
      </w:pPr>
      <w:r w:rsidRPr="000F40EF">
        <w:rPr>
          <w:lang w:val="de-DE"/>
        </w:rPr>
        <w:t>24.</w:t>
      </w:r>
      <w:r w:rsidRPr="000F40EF">
        <w:rPr>
          <w:lang w:val="de-DE"/>
        </w:rPr>
        <w:tab/>
        <w:t xml:space="preserve">Fischl B, van der Kouwe A, Destrieux C, Halgren E, Ségonne F, Salat DH, et al. </w:t>
      </w:r>
      <w:r w:rsidRPr="002C237E">
        <w:t xml:space="preserve">Automatically parcellating the human cerebral cortex. Cereb Cortex N Y N 1991. </w:t>
      </w:r>
      <w:r w:rsidRPr="000F40EF">
        <w:rPr>
          <w:lang w:val="de-DE"/>
        </w:rPr>
        <w:t xml:space="preserve">2004 Jan;14(1):11–22. </w:t>
      </w:r>
    </w:p>
    <w:p w14:paraId="77BEB192" w14:textId="77777777" w:rsidR="002C237E" w:rsidRPr="002C237E" w:rsidRDefault="002C237E" w:rsidP="00E56776">
      <w:pPr>
        <w:pStyle w:val="Literaturverzeichnis"/>
        <w:spacing w:line="360" w:lineRule="auto"/>
      </w:pPr>
      <w:r w:rsidRPr="000F40EF">
        <w:rPr>
          <w:lang w:val="de-DE"/>
        </w:rPr>
        <w:t>25.</w:t>
      </w:r>
      <w:r w:rsidRPr="000F40EF">
        <w:rPr>
          <w:lang w:val="de-DE"/>
        </w:rPr>
        <w:tab/>
        <w:t xml:space="preserve">Ségonne F, Dale AM, Busa E, Glessner M, Salat D, Hahn HK, et al. </w:t>
      </w:r>
      <w:r w:rsidRPr="002C237E">
        <w:t xml:space="preserve">A hybrid approach to the skull stripping problem in MRI. NeuroImage. 2004 Jul;22(3):1060–75. </w:t>
      </w:r>
    </w:p>
    <w:p w14:paraId="69AF368E" w14:textId="77777777" w:rsidR="002C237E" w:rsidRPr="002C237E" w:rsidRDefault="002C237E" w:rsidP="00E56776">
      <w:pPr>
        <w:pStyle w:val="Literaturverzeichnis"/>
        <w:spacing w:line="360" w:lineRule="auto"/>
      </w:pPr>
      <w:r w:rsidRPr="002C237E">
        <w:t>26.</w:t>
      </w:r>
      <w:r w:rsidRPr="002C237E">
        <w:tab/>
        <w:t xml:space="preserve">Cybenko G. Approximation by superpositions of a sigmoidal function. Math Control Signals Syst. 1989 Dec;2(4):303–14. </w:t>
      </w:r>
    </w:p>
    <w:p w14:paraId="01CCE3FE" w14:textId="77777777" w:rsidR="002C237E" w:rsidRPr="002C237E" w:rsidRDefault="002C237E" w:rsidP="00E56776">
      <w:pPr>
        <w:pStyle w:val="Literaturverzeichnis"/>
        <w:spacing w:line="360" w:lineRule="auto"/>
      </w:pPr>
      <w:r w:rsidRPr="002C237E">
        <w:t>27.</w:t>
      </w:r>
      <w:r w:rsidRPr="002C237E">
        <w:tab/>
        <w:t xml:space="preserve">Noirhomme Q, Lesenfants D, Gomez F, Soddu A, Schrouff J, Garraux G, et al. Biased binomial assessment of cross-validated estimation of classification accuracies illustrated in diagnosis predictions. NeuroImage Clin. 2014;4:687–94. </w:t>
      </w:r>
    </w:p>
    <w:p w14:paraId="2C534B29" w14:textId="77777777" w:rsidR="002C237E" w:rsidRPr="002C237E" w:rsidRDefault="002C237E" w:rsidP="00E56776">
      <w:pPr>
        <w:pStyle w:val="Literaturverzeichnis"/>
        <w:spacing w:line="360" w:lineRule="auto"/>
      </w:pPr>
      <w:r w:rsidRPr="002C237E">
        <w:t>28.</w:t>
      </w:r>
      <w:r w:rsidRPr="002C237E">
        <w:tab/>
        <w:t xml:space="preserve">Golland P, Fischl B. Permutation Tests for Classification: Towards Statistical Significance in Image-Based Studies. In: Taylor C, Noble JA, editors. Information Processing in Medical Imaging [Internet]. </w:t>
      </w:r>
      <w:r w:rsidRPr="000F40EF">
        <w:rPr>
          <w:lang w:val="de-DE"/>
        </w:rPr>
        <w:t xml:space="preserve">Berlin, Heidelberg: Springer Berlin Heidelberg; 2003 [cited 2021 Mar 26]. p. 330–41. (Goos G, Hartmanis J, van Leeuwen J, editors. </w:t>
      </w:r>
      <w:r w:rsidRPr="002C237E">
        <w:t>Lecture Notes in Computer Science; vol. 2732). Available from: http://link.springer.com/10.1007/978-3-540-45087-0_28</w:t>
      </w:r>
    </w:p>
    <w:p w14:paraId="12772D1B" w14:textId="77777777" w:rsidR="002C237E" w:rsidRPr="002C237E" w:rsidRDefault="002C237E" w:rsidP="00E56776">
      <w:pPr>
        <w:pStyle w:val="Literaturverzeichnis"/>
        <w:spacing w:line="360" w:lineRule="auto"/>
      </w:pPr>
      <w:r w:rsidRPr="002C237E">
        <w:t>29.</w:t>
      </w:r>
      <w:r w:rsidRPr="002C237E">
        <w:tab/>
        <w:t xml:space="preserve">Ojala M, Garriga GC. Permutation tests for studying classifier performance. J Mach Learn Res. 2010;11(6). </w:t>
      </w:r>
    </w:p>
    <w:p w14:paraId="010A1AB0" w14:textId="77777777" w:rsidR="002C237E" w:rsidRPr="002C237E" w:rsidRDefault="002C237E" w:rsidP="00E56776">
      <w:pPr>
        <w:pStyle w:val="Literaturverzeichnis"/>
        <w:spacing w:line="360" w:lineRule="auto"/>
      </w:pPr>
      <w:r w:rsidRPr="002C237E">
        <w:lastRenderedPageBreak/>
        <w:t>30.</w:t>
      </w:r>
      <w:r w:rsidRPr="002C237E">
        <w:tab/>
        <w:t>Dinga R, Schmaal L, Penninx BWJH, Veltman DJ, Marquand AF. Controlling for effects of confounding variables on machine learning predictions [Internet]. Bioinformatics; 2020 Aug [cited 2021 Mar 8]. Available from: http://biorxiv.org/lookup/doi/10.1101/2020.08.17.255034</w:t>
      </w:r>
    </w:p>
    <w:p w14:paraId="7BAE760D" w14:textId="77777777" w:rsidR="002C237E" w:rsidRPr="002C237E" w:rsidRDefault="002C237E" w:rsidP="00E56776">
      <w:pPr>
        <w:pStyle w:val="Literaturverzeichnis"/>
        <w:spacing w:line="360" w:lineRule="auto"/>
      </w:pPr>
      <w:r w:rsidRPr="002C237E">
        <w:t>31.</w:t>
      </w:r>
      <w:r w:rsidRPr="002C237E">
        <w:tab/>
        <w:t>Höfling H, Tibshirani R. A study of pre-validation. Ann Appl Stat [Internet]. 2008 Jun 1 [cited 2021 Mar 26];2(2). Available from: https://projecteuclid.org/journals/annals-of-applied-statistics/volume-2/issue-2/A-study-of-pre-validation/10.1214/07-AOAS152.full</w:t>
      </w:r>
    </w:p>
    <w:p w14:paraId="6EF3BFB1" w14:textId="77777777" w:rsidR="002C237E" w:rsidRPr="002C237E" w:rsidRDefault="002C237E" w:rsidP="00E56776">
      <w:pPr>
        <w:pStyle w:val="Literaturverzeichnis"/>
        <w:spacing w:line="360" w:lineRule="auto"/>
      </w:pPr>
      <w:r w:rsidRPr="000F40EF">
        <w:rPr>
          <w:lang w:val="de-DE"/>
        </w:rPr>
        <w:t>32.</w:t>
      </w:r>
      <w:r w:rsidRPr="000F40EF">
        <w:rPr>
          <w:lang w:val="de-DE"/>
        </w:rPr>
        <w:tab/>
        <w:t xml:space="preserve">Haufe S, Meinecke F, Görgen K, Dähne S, Haynes JD, Blankertz B, et al. </w:t>
      </w:r>
      <w:r w:rsidRPr="002C237E">
        <w:t xml:space="preserve">On the interpretation of weight vectors of linear models in multivariate neuroimaging. NeuroImage. 2014 Feb;87:96–110. </w:t>
      </w:r>
    </w:p>
    <w:p w14:paraId="180DCF22" w14:textId="77777777" w:rsidR="002C237E" w:rsidRPr="002C237E" w:rsidRDefault="002C237E" w:rsidP="00E56776">
      <w:pPr>
        <w:pStyle w:val="Literaturverzeichnis"/>
        <w:spacing w:line="360" w:lineRule="auto"/>
      </w:pPr>
      <w:r w:rsidRPr="002C237E">
        <w:t>33.</w:t>
      </w:r>
      <w:r w:rsidRPr="002C237E">
        <w:tab/>
        <w:t>Nogueira S, Brown G. Measuring the Stability of Feature Selection. In: Frasconi P, Landwehr N, Manco G, Vreeken J, editors. Machine Learning and Knowledge Discovery in Databases [Internet]. Cham: Springer International Publishing; 2016 [cited 2021 Jun 15]. p. 442–57. (Lecture Notes in Computer Science; vol. 9852). Available from: http://link.springer.com/10.1007/978-3-319-46227-1_28</w:t>
      </w:r>
    </w:p>
    <w:p w14:paraId="64CFF921" w14:textId="77777777" w:rsidR="002C237E" w:rsidRPr="002C237E" w:rsidRDefault="002C237E" w:rsidP="00E56776">
      <w:pPr>
        <w:pStyle w:val="Literaturverzeichnis"/>
        <w:spacing w:line="360" w:lineRule="auto"/>
      </w:pPr>
      <w:r w:rsidRPr="002C237E">
        <w:t>34.</w:t>
      </w:r>
      <w:r w:rsidRPr="002C237E">
        <w:tab/>
        <w:t xml:space="preserve">Breiman L. Random forests. Mach Learn. 2001;45:5–32. </w:t>
      </w:r>
    </w:p>
    <w:p w14:paraId="19956685" w14:textId="77777777" w:rsidR="002C237E" w:rsidRPr="002C237E" w:rsidRDefault="002C237E" w:rsidP="00E56776">
      <w:pPr>
        <w:pStyle w:val="Literaturverzeichnis"/>
        <w:spacing w:line="360" w:lineRule="auto"/>
      </w:pPr>
      <w:r w:rsidRPr="002C237E">
        <w:t>35.</w:t>
      </w:r>
      <w:r w:rsidRPr="002C237E">
        <w:tab/>
        <w:t xml:space="preserve">Larivière S, Paquola C, Park B yong, Royer J, Wang Y, Benkarim O, et al. The ENIGMA Toolbox: multiscale neural contextualization of multisite neuroimaging datasets. Nat Methods. 2021 Jul;18(7):698–700. </w:t>
      </w:r>
    </w:p>
    <w:p w14:paraId="138AB5A4" w14:textId="77777777" w:rsidR="002C237E" w:rsidRPr="002C237E" w:rsidRDefault="002C237E" w:rsidP="00E56776">
      <w:pPr>
        <w:pStyle w:val="Literaturverzeichnis"/>
        <w:spacing w:line="360" w:lineRule="auto"/>
      </w:pPr>
      <w:r w:rsidRPr="002C237E">
        <w:t>36.</w:t>
      </w:r>
      <w:r w:rsidRPr="002C237E">
        <w:tab/>
        <w:t xml:space="preserve">Toga AW, Clark KA, Thompson PM, Shattuck DW, Van Horn JD. Mapping the Human Connectome: Neurosurgery. 2012 Jul;71(1):1–5. </w:t>
      </w:r>
    </w:p>
    <w:p w14:paraId="4B670655" w14:textId="77777777" w:rsidR="002C237E" w:rsidRPr="002C237E" w:rsidRDefault="002C237E" w:rsidP="00E56776">
      <w:pPr>
        <w:pStyle w:val="Literaturverzeichnis"/>
        <w:spacing w:line="360" w:lineRule="auto"/>
      </w:pPr>
      <w:r w:rsidRPr="002C237E">
        <w:t>37.</w:t>
      </w:r>
      <w:r w:rsidRPr="002C237E">
        <w:tab/>
        <w:t xml:space="preserve">Alexander-Bloch AF, Shou H, Liu S, Satterthwaite TD, Glahn DC, Shinohara RT, et al. On testing for spatial correspondence between maps of human brain structure and function. NeuroImage. 2018 Sep;178:540–51. </w:t>
      </w:r>
    </w:p>
    <w:p w14:paraId="4A6AB5BB" w14:textId="77777777" w:rsidR="002C237E" w:rsidRPr="002C237E" w:rsidRDefault="002C237E" w:rsidP="00E56776">
      <w:pPr>
        <w:pStyle w:val="Literaturverzeichnis"/>
        <w:spacing w:line="360" w:lineRule="auto"/>
      </w:pPr>
      <w:r w:rsidRPr="002C237E">
        <w:t>38.</w:t>
      </w:r>
      <w:r w:rsidRPr="002C237E">
        <w:tab/>
        <w:t xml:space="preserve">Zhang-James Y, Helminen EC, Liu J, Franke B, Hoogman M, Faraone SV. Evidence for similar structural brain anomalies in youth and adult attention-deficit/hyperactivity disorder: a machine learning analysis. Transl Psychiatry. 2021 Jun;11(1):82. </w:t>
      </w:r>
    </w:p>
    <w:p w14:paraId="4EF33C51" w14:textId="7ACAB261" w:rsidR="00BB30F3" w:rsidRPr="00B60F8C" w:rsidRDefault="009257F3" w:rsidP="00E56776">
      <w:pPr>
        <w:pStyle w:val="Literaturverzeichnis"/>
        <w:spacing w:line="360" w:lineRule="auto"/>
      </w:pPr>
      <w:r>
        <w:fldChar w:fldCharType="end"/>
      </w:r>
    </w:p>
    <w:sectPr w:rsidR="00BB30F3" w:rsidRPr="00B60F8C" w:rsidSect="009565D1">
      <w:footerReference w:type="default" r:id="rId25"/>
      <w:pgSz w:w="11906" w:h="16838"/>
      <w:pgMar w:top="1417" w:right="1417" w:bottom="1134" w:left="1417" w:header="708" w:footer="708" w:gutter="0"/>
      <w:lnNumType w:countBy="1" w:restart="continuous"/>
      <w:pgNumType w:start="1"/>
      <w:cols w:space="720"/>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4FDEBA44" w14:textId="77777777" w:rsidR="00EF3E0F" w:rsidRDefault="00EF3E0F">
      <w:pPr>
        <w:spacing w:after="0" w:line="240" w:lineRule="auto"/>
      </w:pPr>
      <w:r>
        <w:separator/>
      </w:r>
    </w:p>
  </w:endnote>
  <w:endnote w:type="continuationSeparator" w:id="0">
    <w:p w14:paraId="497BFA24" w14:textId="77777777" w:rsidR="00EF3E0F" w:rsidRDefault="00EF3E0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D4EDAD" w14:textId="4BF73DE8" w:rsidR="002C1357" w:rsidRDefault="002C1357">
    <w:pPr>
      <w:tabs>
        <w:tab w:val="center" w:pos="4536"/>
        <w:tab w:val="right" w:pos="9072"/>
      </w:tabs>
      <w:spacing w:after="0" w:line="240" w:lineRule="auto"/>
      <w:jc w:val="right"/>
    </w:pPr>
    <w:r>
      <w:fldChar w:fldCharType="begin"/>
    </w:r>
    <w:r>
      <w:instrText>PAGE</w:instrText>
    </w:r>
    <w:r>
      <w:fldChar w:fldCharType="separate"/>
    </w:r>
    <w:r w:rsidR="004F57E9">
      <w:rPr>
        <w:noProof/>
      </w:rPr>
      <w:t>3</w:t>
    </w:r>
    <w:r>
      <w:fldChar w:fldCharType="end"/>
    </w:r>
  </w:p>
  <w:p w14:paraId="42AEE2AF" w14:textId="77777777" w:rsidR="002C1357" w:rsidRDefault="002C1357">
    <w:pPr>
      <w:tabs>
        <w:tab w:val="center" w:pos="4536"/>
        <w:tab w:val="right" w:pos="9072"/>
      </w:tabs>
      <w:spacing w:after="0" w:line="240" w:lineRule="auto"/>
    </w:pPr>
  </w:p>
  <w:p w14:paraId="4A3B2F70" w14:textId="77777777" w:rsidR="002C1357" w:rsidRDefault="002C1357">
    <w:pPr>
      <w:tabs>
        <w:tab w:val="center" w:pos="4536"/>
        <w:tab w:val="right" w:pos="9072"/>
      </w:tabs>
      <w:spacing w:after="0" w:line="240" w:lineRule="auto"/>
    </w:pPr>
  </w:p>
  <w:p w14:paraId="5B97A9B0" w14:textId="77777777" w:rsidR="002C1357" w:rsidRDefault="002C1357">
    <w:pPr>
      <w:tabs>
        <w:tab w:val="center" w:pos="4536"/>
        <w:tab w:val="right" w:pos="9072"/>
      </w:tabs>
      <w:spacing w:after="0" w:line="240" w:lineRule="auto"/>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3A5D760" w14:textId="77777777" w:rsidR="00EF3E0F" w:rsidRDefault="00EF3E0F">
      <w:pPr>
        <w:spacing w:after="0" w:line="240" w:lineRule="auto"/>
      </w:pPr>
      <w:r>
        <w:separator/>
      </w:r>
    </w:p>
  </w:footnote>
  <w:footnote w:type="continuationSeparator" w:id="0">
    <w:p w14:paraId="3F963653" w14:textId="77777777" w:rsidR="00EF3E0F" w:rsidRDefault="00EF3E0F">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BB3628"/>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 w15:restartNumberingAfterBreak="0">
    <w:nsid w:val="04CD665F"/>
    <w:multiLevelType w:val="multilevel"/>
    <w:tmpl w:val="1EA8600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5A66974"/>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 w15:restartNumberingAfterBreak="0">
    <w:nsid w:val="17E44582"/>
    <w:multiLevelType w:val="multilevel"/>
    <w:tmpl w:val="4E9642BE"/>
    <w:lvl w:ilvl="0">
      <w:start w:val="1"/>
      <w:numFmt w:val="decimal"/>
      <w:lvlText w:val="%1."/>
      <w:lvlJc w:val="left"/>
      <w:pPr>
        <w:ind w:left="360" w:hanging="360"/>
      </w:pPr>
      <w:rPr>
        <w:rFonts w:hint="default"/>
        <w:color w:val="auto"/>
        <w:sz w:val="24"/>
      </w:rPr>
    </w:lvl>
    <w:lvl w:ilvl="1">
      <w:start w:val="1"/>
      <w:numFmt w:val="decimal"/>
      <w:lvlText w:val="%1.%2."/>
      <w:lvlJc w:val="left"/>
      <w:pPr>
        <w:ind w:left="0" w:firstLine="0"/>
      </w:pPr>
      <w:rPr>
        <w:rFonts w:hint="default"/>
        <w:color w:val="auto"/>
        <w:sz w:val="22"/>
      </w:rPr>
    </w:lvl>
    <w:lvl w:ilvl="2">
      <w:start w:val="1"/>
      <w:numFmt w:val="decimal"/>
      <w:lvlText w:val="%1.%2.%3."/>
      <w:lvlJc w:val="left"/>
      <w:pPr>
        <w:ind w:left="0" w:firstLine="0"/>
      </w:pPr>
      <w:rPr>
        <w:rFonts w:hint="default"/>
        <w:color w:val="auto"/>
        <w:sz w:val="22"/>
      </w:rPr>
    </w:lvl>
    <w:lvl w:ilvl="3">
      <w:start w:val="1"/>
      <w:numFmt w:val="decimal"/>
      <w:lvlText w:val="%1.%2.%3.%4."/>
      <w:lvlJc w:val="left"/>
      <w:pPr>
        <w:ind w:left="1728" w:hanging="648"/>
      </w:pPr>
      <w:rPr>
        <w:rFonts w:hint="default"/>
        <w:color w:val="auto"/>
        <w:sz w:val="22"/>
      </w:rPr>
    </w:lvl>
    <w:lvl w:ilvl="4">
      <w:start w:val="1"/>
      <w:numFmt w:val="decimal"/>
      <w:lvlText w:val="%1.%2.%3.%4.%5."/>
      <w:lvlJc w:val="left"/>
      <w:pPr>
        <w:ind w:left="2232" w:hanging="792"/>
      </w:pPr>
      <w:rPr>
        <w:rFonts w:hint="default"/>
        <w:color w:val="auto"/>
        <w:sz w:val="22"/>
      </w:rPr>
    </w:lvl>
    <w:lvl w:ilvl="5">
      <w:start w:val="1"/>
      <w:numFmt w:val="decimal"/>
      <w:lvlText w:val="%1.%2.%3.%4.%5.%6."/>
      <w:lvlJc w:val="left"/>
      <w:pPr>
        <w:ind w:left="2736" w:hanging="936"/>
      </w:pPr>
      <w:rPr>
        <w:rFonts w:hint="default"/>
        <w:color w:val="auto"/>
        <w:sz w:val="22"/>
      </w:rPr>
    </w:lvl>
    <w:lvl w:ilvl="6">
      <w:start w:val="1"/>
      <w:numFmt w:val="decimal"/>
      <w:lvlText w:val="%1.%2.%3.%4.%5.%6.%7."/>
      <w:lvlJc w:val="left"/>
      <w:pPr>
        <w:ind w:left="3240" w:hanging="1080"/>
      </w:pPr>
      <w:rPr>
        <w:rFonts w:hint="default"/>
        <w:color w:val="auto"/>
        <w:sz w:val="22"/>
      </w:rPr>
    </w:lvl>
    <w:lvl w:ilvl="7">
      <w:start w:val="1"/>
      <w:numFmt w:val="decimal"/>
      <w:lvlText w:val="%1.%2.%3.%4.%5.%6.%7.%8."/>
      <w:lvlJc w:val="left"/>
      <w:pPr>
        <w:ind w:left="3744" w:hanging="1224"/>
      </w:pPr>
      <w:rPr>
        <w:rFonts w:hint="default"/>
        <w:color w:val="auto"/>
        <w:sz w:val="22"/>
      </w:rPr>
    </w:lvl>
    <w:lvl w:ilvl="8">
      <w:start w:val="1"/>
      <w:numFmt w:val="decimal"/>
      <w:lvlText w:val="%1.%2.%3.%4.%5.%6.%7.%8.%9."/>
      <w:lvlJc w:val="left"/>
      <w:pPr>
        <w:ind w:left="4320" w:hanging="1440"/>
      </w:pPr>
      <w:rPr>
        <w:rFonts w:hint="default"/>
        <w:color w:val="auto"/>
        <w:sz w:val="22"/>
      </w:rPr>
    </w:lvl>
  </w:abstractNum>
  <w:abstractNum w:abstractNumId="4" w15:restartNumberingAfterBreak="0">
    <w:nsid w:val="20C60667"/>
    <w:multiLevelType w:val="multilevel"/>
    <w:tmpl w:val="0407001F"/>
    <w:lvl w:ilvl="0">
      <w:start w:val="1"/>
      <w:numFmt w:val="decimal"/>
      <w:lvlText w:val="%1."/>
      <w:lvlJc w:val="left"/>
      <w:pPr>
        <w:ind w:left="720" w:hanging="360"/>
      </w:pPr>
    </w:lvl>
    <w:lvl w:ilvl="1">
      <w:start w:val="1"/>
      <w:numFmt w:val="decimal"/>
      <w:lvlText w:val="%1.%2."/>
      <w:lvlJc w:val="left"/>
      <w:pPr>
        <w:ind w:left="1152" w:hanging="432"/>
      </w:pPr>
    </w:lvl>
    <w:lvl w:ilvl="2">
      <w:start w:val="1"/>
      <w:numFmt w:val="decimal"/>
      <w:lvlText w:val="%1.%2.%3."/>
      <w:lvlJc w:val="left"/>
      <w:pPr>
        <w:ind w:left="1584" w:hanging="504"/>
      </w:pPr>
    </w:lvl>
    <w:lvl w:ilvl="3">
      <w:start w:val="1"/>
      <w:numFmt w:val="decimal"/>
      <w:lvlText w:val="%1.%2.%3.%4."/>
      <w:lvlJc w:val="left"/>
      <w:pPr>
        <w:ind w:left="2088" w:hanging="648"/>
      </w:pPr>
    </w:lvl>
    <w:lvl w:ilvl="4">
      <w:start w:val="1"/>
      <w:numFmt w:val="decimal"/>
      <w:lvlText w:val="%1.%2.%3.%4.%5."/>
      <w:lvlJc w:val="left"/>
      <w:pPr>
        <w:ind w:left="2592" w:hanging="792"/>
      </w:pPr>
    </w:lvl>
    <w:lvl w:ilvl="5">
      <w:start w:val="1"/>
      <w:numFmt w:val="decimal"/>
      <w:lvlText w:val="%1.%2.%3.%4.%5.%6."/>
      <w:lvlJc w:val="left"/>
      <w:pPr>
        <w:ind w:left="3096" w:hanging="936"/>
      </w:pPr>
    </w:lvl>
    <w:lvl w:ilvl="6">
      <w:start w:val="1"/>
      <w:numFmt w:val="decimal"/>
      <w:lvlText w:val="%1.%2.%3.%4.%5.%6.%7."/>
      <w:lvlJc w:val="left"/>
      <w:pPr>
        <w:ind w:left="3600" w:hanging="1080"/>
      </w:pPr>
    </w:lvl>
    <w:lvl w:ilvl="7">
      <w:start w:val="1"/>
      <w:numFmt w:val="decimal"/>
      <w:lvlText w:val="%1.%2.%3.%4.%5.%6.%7.%8."/>
      <w:lvlJc w:val="left"/>
      <w:pPr>
        <w:ind w:left="4104" w:hanging="1224"/>
      </w:pPr>
    </w:lvl>
    <w:lvl w:ilvl="8">
      <w:start w:val="1"/>
      <w:numFmt w:val="decimal"/>
      <w:lvlText w:val="%1.%2.%3.%4.%5.%6.%7.%8.%9."/>
      <w:lvlJc w:val="left"/>
      <w:pPr>
        <w:ind w:left="4680" w:hanging="1440"/>
      </w:pPr>
    </w:lvl>
  </w:abstractNum>
  <w:abstractNum w:abstractNumId="5" w15:restartNumberingAfterBreak="0">
    <w:nsid w:val="25D878E3"/>
    <w:multiLevelType w:val="hybridMultilevel"/>
    <w:tmpl w:val="E45C204C"/>
    <w:lvl w:ilvl="0" w:tplc="3D1250D8">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 w15:restartNumberingAfterBreak="0">
    <w:nsid w:val="353D20B1"/>
    <w:multiLevelType w:val="hybridMultilevel"/>
    <w:tmpl w:val="E078EFDA"/>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7" w15:restartNumberingAfterBreak="0">
    <w:nsid w:val="37753D67"/>
    <w:multiLevelType w:val="multilevel"/>
    <w:tmpl w:val="C9FA2AB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8" w15:restartNumberingAfterBreak="0">
    <w:nsid w:val="3A690A9D"/>
    <w:multiLevelType w:val="multilevel"/>
    <w:tmpl w:val="0407001F"/>
    <w:lvl w:ilvl="0">
      <w:start w:val="1"/>
      <w:numFmt w:val="decimal"/>
      <w:lvlText w:val="%1."/>
      <w:lvlJc w:val="left"/>
      <w:pPr>
        <w:ind w:left="360" w:hanging="360"/>
      </w:pPr>
      <w:rPr>
        <w:rFonts w:hint="default"/>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15:restartNumberingAfterBreak="0">
    <w:nsid w:val="47E13488"/>
    <w:multiLevelType w:val="hybridMultilevel"/>
    <w:tmpl w:val="21F40B7C"/>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10" w15:restartNumberingAfterBreak="0">
    <w:nsid w:val="59AA27BE"/>
    <w:multiLevelType w:val="multilevel"/>
    <w:tmpl w:val="753AB7BE"/>
    <w:lvl w:ilvl="0">
      <w:start w:val="1"/>
      <w:numFmt w:val="decimal"/>
      <w:lvlText w:val="%1."/>
      <w:lvlJc w:val="left"/>
      <w:pPr>
        <w:ind w:left="360" w:hanging="360"/>
      </w:pPr>
      <w:rPr>
        <w:rFonts w:hint="default"/>
        <w:color w:val="auto"/>
        <w:sz w:val="22"/>
      </w:rPr>
    </w:lvl>
    <w:lvl w:ilvl="1">
      <w:start w:val="1"/>
      <w:numFmt w:val="decimal"/>
      <w:lvlText w:val="%1.%2"/>
      <w:lvlJc w:val="left"/>
      <w:pPr>
        <w:ind w:left="720" w:hanging="360"/>
      </w:pPr>
      <w:rPr>
        <w:rFonts w:eastAsia="Cambria" w:hint="default"/>
        <w:color w:val="auto"/>
        <w:sz w:val="22"/>
      </w:rPr>
    </w:lvl>
    <w:lvl w:ilvl="2">
      <w:start w:val="1"/>
      <w:numFmt w:val="decimal"/>
      <w:lvlText w:val="%1.%2.%3"/>
      <w:lvlJc w:val="left"/>
      <w:pPr>
        <w:ind w:left="1440" w:hanging="720"/>
      </w:pPr>
      <w:rPr>
        <w:rFonts w:eastAsia="Cambria" w:hint="default"/>
        <w:color w:val="auto"/>
        <w:sz w:val="22"/>
      </w:rPr>
    </w:lvl>
    <w:lvl w:ilvl="3">
      <w:start w:val="1"/>
      <w:numFmt w:val="decimal"/>
      <w:lvlText w:val="%1.%2.%3.%4"/>
      <w:lvlJc w:val="left"/>
      <w:pPr>
        <w:ind w:left="2160" w:hanging="1080"/>
      </w:pPr>
      <w:rPr>
        <w:rFonts w:eastAsia="Cambria" w:hint="default"/>
        <w:color w:val="auto"/>
        <w:sz w:val="22"/>
      </w:rPr>
    </w:lvl>
    <w:lvl w:ilvl="4">
      <w:start w:val="1"/>
      <w:numFmt w:val="decimal"/>
      <w:lvlText w:val="%1.%2.%3.%4.%5"/>
      <w:lvlJc w:val="left"/>
      <w:pPr>
        <w:ind w:left="2520" w:hanging="1080"/>
      </w:pPr>
      <w:rPr>
        <w:rFonts w:eastAsia="Cambria" w:hint="default"/>
        <w:color w:val="auto"/>
        <w:sz w:val="22"/>
      </w:rPr>
    </w:lvl>
    <w:lvl w:ilvl="5">
      <w:start w:val="1"/>
      <w:numFmt w:val="decimal"/>
      <w:lvlText w:val="%1.%2.%3.%4.%5.%6"/>
      <w:lvlJc w:val="left"/>
      <w:pPr>
        <w:ind w:left="3240" w:hanging="1440"/>
      </w:pPr>
      <w:rPr>
        <w:rFonts w:eastAsia="Cambria" w:hint="default"/>
        <w:color w:val="auto"/>
        <w:sz w:val="22"/>
      </w:rPr>
    </w:lvl>
    <w:lvl w:ilvl="6">
      <w:start w:val="1"/>
      <w:numFmt w:val="decimal"/>
      <w:lvlText w:val="%1.%2.%3.%4.%5.%6.%7"/>
      <w:lvlJc w:val="left"/>
      <w:pPr>
        <w:ind w:left="3600" w:hanging="1440"/>
      </w:pPr>
      <w:rPr>
        <w:rFonts w:eastAsia="Cambria" w:hint="default"/>
        <w:color w:val="auto"/>
        <w:sz w:val="22"/>
      </w:rPr>
    </w:lvl>
    <w:lvl w:ilvl="7">
      <w:start w:val="1"/>
      <w:numFmt w:val="decimal"/>
      <w:lvlText w:val="%1.%2.%3.%4.%5.%6.%7.%8"/>
      <w:lvlJc w:val="left"/>
      <w:pPr>
        <w:ind w:left="4320" w:hanging="1800"/>
      </w:pPr>
      <w:rPr>
        <w:rFonts w:eastAsia="Cambria" w:hint="default"/>
        <w:color w:val="auto"/>
        <w:sz w:val="22"/>
      </w:rPr>
    </w:lvl>
    <w:lvl w:ilvl="8">
      <w:start w:val="1"/>
      <w:numFmt w:val="decimal"/>
      <w:lvlText w:val="%1.%2.%3.%4.%5.%6.%7.%8.%9"/>
      <w:lvlJc w:val="left"/>
      <w:pPr>
        <w:ind w:left="5040" w:hanging="2160"/>
      </w:pPr>
      <w:rPr>
        <w:rFonts w:eastAsia="Cambria" w:hint="default"/>
        <w:color w:val="auto"/>
        <w:sz w:val="22"/>
      </w:rPr>
    </w:lvl>
  </w:abstractNum>
  <w:abstractNum w:abstractNumId="11" w15:restartNumberingAfterBreak="0">
    <w:nsid w:val="65FA72D5"/>
    <w:multiLevelType w:val="hybridMultilevel"/>
    <w:tmpl w:val="2B9C7012"/>
    <w:lvl w:ilvl="0" w:tplc="E450801C">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67CB2AAF"/>
    <w:multiLevelType w:val="hybridMultilevel"/>
    <w:tmpl w:val="8556D068"/>
    <w:lvl w:ilvl="0" w:tplc="AA2A9486">
      <w:numFmt w:val="bullet"/>
      <w:lvlText w:val="-"/>
      <w:lvlJc w:val="left"/>
      <w:pPr>
        <w:ind w:left="720" w:hanging="360"/>
      </w:pPr>
      <w:rPr>
        <w:rFonts w:ascii="Calibri" w:eastAsia="Calibri" w:hAnsi="Calibri" w:cs="Calibr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3" w15:restartNumberingAfterBreak="0">
    <w:nsid w:val="6F6F4250"/>
    <w:multiLevelType w:val="multilevel"/>
    <w:tmpl w:val="562ADB68"/>
    <w:lvl w:ilvl="0">
      <w:start w:val="2"/>
      <w:numFmt w:val="decimal"/>
      <w:lvlText w:val="%1."/>
      <w:lvlJc w:val="left"/>
      <w:pPr>
        <w:ind w:left="390" w:hanging="39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72876C45"/>
    <w:multiLevelType w:val="multilevel"/>
    <w:tmpl w:val="A2181CB4"/>
    <w:lvl w:ilvl="0">
      <w:start w:val="1"/>
      <w:numFmt w:val="decimal"/>
      <w:lvlText w:val="%1"/>
      <w:lvlJc w:val="left"/>
      <w:pPr>
        <w:ind w:left="360" w:hanging="360"/>
      </w:pPr>
      <w:rPr>
        <w:rFonts w:eastAsia="Cambria" w:hint="default"/>
        <w:color w:val="auto"/>
        <w:sz w:val="22"/>
      </w:rPr>
    </w:lvl>
    <w:lvl w:ilvl="1">
      <w:start w:val="1"/>
      <w:numFmt w:val="decimal"/>
      <w:lvlText w:val="%1.%2"/>
      <w:lvlJc w:val="left"/>
      <w:pPr>
        <w:ind w:left="720" w:hanging="360"/>
      </w:pPr>
      <w:rPr>
        <w:rFonts w:eastAsia="Cambria" w:hint="default"/>
        <w:color w:val="auto"/>
        <w:sz w:val="22"/>
      </w:rPr>
    </w:lvl>
    <w:lvl w:ilvl="2">
      <w:start w:val="1"/>
      <w:numFmt w:val="decimal"/>
      <w:lvlText w:val="%1.%2.%3"/>
      <w:lvlJc w:val="left"/>
      <w:pPr>
        <w:ind w:left="1440" w:hanging="720"/>
      </w:pPr>
      <w:rPr>
        <w:rFonts w:eastAsia="Cambria" w:hint="default"/>
        <w:color w:val="auto"/>
        <w:sz w:val="22"/>
      </w:rPr>
    </w:lvl>
    <w:lvl w:ilvl="3">
      <w:start w:val="1"/>
      <w:numFmt w:val="decimal"/>
      <w:lvlText w:val="%1.%2.%3.%4"/>
      <w:lvlJc w:val="left"/>
      <w:pPr>
        <w:ind w:left="2160" w:hanging="1080"/>
      </w:pPr>
      <w:rPr>
        <w:rFonts w:eastAsia="Cambria" w:hint="default"/>
        <w:color w:val="auto"/>
        <w:sz w:val="22"/>
      </w:rPr>
    </w:lvl>
    <w:lvl w:ilvl="4">
      <w:start w:val="1"/>
      <w:numFmt w:val="decimal"/>
      <w:lvlText w:val="%1.%2.%3.%4.%5"/>
      <w:lvlJc w:val="left"/>
      <w:pPr>
        <w:ind w:left="2520" w:hanging="1080"/>
      </w:pPr>
      <w:rPr>
        <w:rFonts w:eastAsia="Cambria" w:hint="default"/>
        <w:color w:val="auto"/>
        <w:sz w:val="22"/>
      </w:rPr>
    </w:lvl>
    <w:lvl w:ilvl="5">
      <w:start w:val="1"/>
      <w:numFmt w:val="decimal"/>
      <w:lvlText w:val="%1.%2.%3.%4.%5.%6"/>
      <w:lvlJc w:val="left"/>
      <w:pPr>
        <w:ind w:left="3240" w:hanging="1440"/>
      </w:pPr>
      <w:rPr>
        <w:rFonts w:eastAsia="Cambria" w:hint="default"/>
        <w:color w:val="auto"/>
        <w:sz w:val="22"/>
      </w:rPr>
    </w:lvl>
    <w:lvl w:ilvl="6">
      <w:start w:val="1"/>
      <w:numFmt w:val="decimal"/>
      <w:lvlText w:val="%1.%2.%3.%4.%5.%6.%7"/>
      <w:lvlJc w:val="left"/>
      <w:pPr>
        <w:ind w:left="3600" w:hanging="1440"/>
      </w:pPr>
      <w:rPr>
        <w:rFonts w:eastAsia="Cambria" w:hint="default"/>
        <w:color w:val="auto"/>
        <w:sz w:val="22"/>
      </w:rPr>
    </w:lvl>
    <w:lvl w:ilvl="7">
      <w:start w:val="1"/>
      <w:numFmt w:val="decimal"/>
      <w:lvlText w:val="%1.%2.%3.%4.%5.%6.%7.%8"/>
      <w:lvlJc w:val="left"/>
      <w:pPr>
        <w:ind w:left="4320" w:hanging="1800"/>
      </w:pPr>
      <w:rPr>
        <w:rFonts w:eastAsia="Cambria" w:hint="default"/>
        <w:color w:val="auto"/>
        <w:sz w:val="22"/>
      </w:rPr>
    </w:lvl>
    <w:lvl w:ilvl="8">
      <w:start w:val="1"/>
      <w:numFmt w:val="decimal"/>
      <w:lvlText w:val="%1.%2.%3.%4.%5.%6.%7.%8.%9"/>
      <w:lvlJc w:val="left"/>
      <w:pPr>
        <w:ind w:left="5040" w:hanging="2160"/>
      </w:pPr>
      <w:rPr>
        <w:rFonts w:eastAsia="Cambria" w:hint="default"/>
        <w:color w:val="auto"/>
        <w:sz w:val="22"/>
      </w:rPr>
    </w:lvl>
  </w:abstractNum>
  <w:abstractNum w:abstractNumId="15" w15:restartNumberingAfterBreak="0">
    <w:nsid w:val="735A02E7"/>
    <w:multiLevelType w:val="hybridMultilevel"/>
    <w:tmpl w:val="11A2C24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6" w15:restartNumberingAfterBreak="0">
    <w:nsid w:val="73EA2896"/>
    <w:multiLevelType w:val="multilevel"/>
    <w:tmpl w:val="255A57F6"/>
    <w:lvl w:ilvl="0">
      <w:start w:val="1"/>
      <w:numFmt w:val="decimal"/>
      <w:lvlText w:val="%1."/>
      <w:lvlJc w:val="left"/>
      <w:pPr>
        <w:ind w:left="360" w:hanging="360"/>
      </w:pPr>
      <w:rPr>
        <w:rFonts w:hint="default"/>
        <w:color w:val="auto"/>
        <w:sz w:val="22"/>
      </w:rPr>
    </w:lvl>
    <w:lvl w:ilvl="1">
      <w:start w:val="1"/>
      <w:numFmt w:val="decimal"/>
      <w:lvlText w:val="%1.%2."/>
      <w:lvlJc w:val="left"/>
      <w:pPr>
        <w:ind w:left="792" w:hanging="792"/>
      </w:pPr>
      <w:rPr>
        <w:rFonts w:hint="default"/>
        <w:color w:val="auto"/>
        <w:sz w:val="22"/>
      </w:rPr>
    </w:lvl>
    <w:lvl w:ilvl="2">
      <w:start w:val="1"/>
      <w:numFmt w:val="decimal"/>
      <w:lvlText w:val="%1.%2.%3."/>
      <w:lvlJc w:val="left"/>
      <w:pPr>
        <w:ind w:left="1224" w:hanging="504"/>
      </w:pPr>
      <w:rPr>
        <w:rFonts w:hint="default"/>
        <w:color w:val="auto"/>
        <w:sz w:val="22"/>
      </w:rPr>
    </w:lvl>
    <w:lvl w:ilvl="3">
      <w:start w:val="1"/>
      <w:numFmt w:val="decimal"/>
      <w:lvlText w:val="%1.%2.%3.%4."/>
      <w:lvlJc w:val="left"/>
      <w:pPr>
        <w:ind w:left="1728" w:hanging="648"/>
      </w:pPr>
      <w:rPr>
        <w:rFonts w:hint="default"/>
        <w:color w:val="auto"/>
        <w:sz w:val="22"/>
      </w:rPr>
    </w:lvl>
    <w:lvl w:ilvl="4">
      <w:start w:val="1"/>
      <w:numFmt w:val="decimal"/>
      <w:lvlText w:val="%1.%2.%3.%4.%5."/>
      <w:lvlJc w:val="left"/>
      <w:pPr>
        <w:ind w:left="2232" w:hanging="792"/>
      </w:pPr>
      <w:rPr>
        <w:rFonts w:hint="default"/>
        <w:color w:val="auto"/>
        <w:sz w:val="22"/>
      </w:rPr>
    </w:lvl>
    <w:lvl w:ilvl="5">
      <w:start w:val="1"/>
      <w:numFmt w:val="decimal"/>
      <w:lvlText w:val="%1.%2.%3.%4.%5.%6."/>
      <w:lvlJc w:val="left"/>
      <w:pPr>
        <w:ind w:left="2736" w:hanging="936"/>
      </w:pPr>
      <w:rPr>
        <w:rFonts w:hint="default"/>
        <w:color w:val="auto"/>
        <w:sz w:val="22"/>
      </w:rPr>
    </w:lvl>
    <w:lvl w:ilvl="6">
      <w:start w:val="1"/>
      <w:numFmt w:val="decimal"/>
      <w:lvlText w:val="%1.%2.%3.%4.%5.%6.%7."/>
      <w:lvlJc w:val="left"/>
      <w:pPr>
        <w:ind w:left="3240" w:hanging="1080"/>
      </w:pPr>
      <w:rPr>
        <w:rFonts w:hint="default"/>
        <w:color w:val="auto"/>
        <w:sz w:val="22"/>
      </w:rPr>
    </w:lvl>
    <w:lvl w:ilvl="7">
      <w:start w:val="1"/>
      <w:numFmt w:val="decimal"/>
      <w:lvlText w:val="%1.%2.%3.%4.%5.%6.%7.%8."/>
      <w:lvlJc w:val="left"/>
      <w:pPr>
        <w:ind w:left="3744" w:hanging="1224"/>
      </w:pPr>
      <w:rPr>
        <w:rFonts w:hint="default"/>
        <w:color w:val="auto"/>
        <w:sz w:val="22"/>
      </w:rPr>
    </w:lvl>
    <w:lvl w:ilvl="8">
      <w:start w:val="1"/>
      <w:numFmt w:val="decimal"/>
      <w:lvlText w:val="%1.%2.%3.%4.%5.%6.%7.%8.%9."/>
      <w:lvlJc w:val="left"/>
      <w:pPr>
        <w:ind w:left="4320" w:hanging="1440"/>
      </w:pPr>
      <w:rPr>
        <w:rFonts w:hint="default"/>
        <w:color w:val="auto"/>
        <w:sz w:val="22"/>
      </w:rPr>
    </w:lvl>
  </w:abstractNum>
  <w:abstractNum w:abstractNumId="17" w15:restartNumberingAfterBreak="0">
    <w:nsid w:val="7DFD2A95"/>
    <w:multiLevelType w:val="hybridMultilevel"/>
    <w:tmpl w:val="99EEC388"/>
    <w:lvl w:ilvl="0" w:tplc="0407000F">
      <w:start w:val="1"/>
      <w:numFmt w:val="decimal"/>
      <w:lvlText w:val="%1."/>
      <w:lvlJc w:val="left"/>
      <w:pPr>
        <w:ind w:left="1440" w:hanging="360"/>
      </w:p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num w:numId="1">
    <w:abstractNumId w:val="7"/>
  </w:num>
  <w:num w:numId="2">
    <w:abstractNumId w:val="12"/>
  </w:num>
  <w:num w:numId="3">
    <w:abstractNumId w:val="5"/>
  </w:num>
  <w:num w:numId="4">
    <w:abstractNumId w:val="8"/>
  </w:num>
  <w:num w:numId="5">
    <w:abstractNumId w:val="0"/>
  </w:num>
  <w:num w:numId="6">
    <w:abstractNumId w:val="14"/>
  </w:num>
  <w:num w:numId="7">
    <w:abstractNumId w:val="10"/>
  </w:num>
  <w:num w:numId="8">
    <w:abstractNumId w:val="3"/>
  </w:num>
  <w:num w:numId="9">
    <w:abstractNumId w:val="2"/>
  </w:num>
  <w:num w:numId="10">
    <w:abstractNumId w:val="9"/>
  </w:num>
  <w:num w:numId="11">
    <w:abstractNumId w:val="4"/>
  </w:num>
  <w:num w:numId="12">
    <w:abstractNumId w:val="17"/>
  </w:num>
  <w:num w:numId="13">
    <w:abstractNumId w:val="16"/>
  </w:num>
  <w:num w:numId="14">
    <w:abstractNumId w:val="11"/>
  </w:num>
  <w:num w:numId="15">
    <w:abstractNumId w:val="1"/>
  </w:num>
  <w:num w:numId="16">
    <w:abstractNumId w:val="13"/>
  </w:num>
  <w:num w:numId="17">
    <w:abstractNumId w:val="6"/>
  </w:num>
  <w:num w:numId="18">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activeWritingStyle w:appName="MSWord" w:lang="de-DE" w:vendorID="64" w:dllVersion="6" w:nlCheck="1" w:checkStyle="0"/>
  <w:activeWritingStyle w:appName="MSWord" w:lang="en-US" w:vendorID="64" w:dllVersion="6" w:nlCheck="1" w:checkStyle="1"/>
  <w:activeWritingStyle w:appName="MSWord" w:lang="en-US" w:vendorID="64" w:dllVersion="4096" w:nlCheck="1" w:checkStyle="0"/>
  <w:activeWritingStyle w:appName="MSWord" w:lang="de-DE" w:vendorID="64" w:dllVersion="4096" w:nlCheck="1" w:checkStyle="0"/>
  <w:activeWritingStyle w:appName="MSWord" w:lang="it-IT" w:vendorID="64" w:dllVersion="4096" w:nlCheck="1" w:checkStyle="0"/>
  <w:proofState w:spelling="clean" w:grammar="clean"/>
  <w:defaultTabStop w:val="720"/>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B30F3"/>
    <w:rsid w:val="000009B2"/>
    <w:rsid w:val="00001D5B"/>
    <w:rsid w:val="00001F50"/>
    <w:rsid w:val="00003003"/>
    <w:rsid w:val="00004BB5"/>
    <w:rsid w:val="00007028"/>
    <w:rsid w:val="000109EB"/>
    <w:rsid w:val="00024AD7"/>
    <w:rsid w:val="00025603"/>
    <w:rsid w:val="0002605F"/>
    <w:rsid w:val="000266BB"/>
    <w:rsid w:val="000308F2"/>
    <w:rsid w:val="00030919"/>
    <w:rsid w:val="00031ABE"/>
    <w:rsid w:val="00033C1A"/>
    <w:rsid w:val="00034D6E"/>
    <w:rsid w:val="00035589"/>
    <w:rsid w:val="00047080"/>
    <w:rsid w:val="000479D4"/>
    <w:rsid w:val="000511D0"/>
    <w:rsid w:val="00052368"/>
    <w:rsid w:val="000525FB"/>
    <w:rsid w:val="00053709"/>
    <w:rsid w:val="00056B8D"/>
    <w:rsid w:val="00056BFF"/>
    <w:rsid w:val="0005772D"/>
    <w:rsid w:val="0007140D"/>
    <w:rsid w:val="00073A47"/>
    <w:rsid w:val="00073E3B"/>
    <w:rsid w:val="0008084C"/>
    <w:rsid w:val="0008282A"/>
    <w:rsid w:val="00082B8B"/>
    <w:rsid w:val="00084CF6"/>
    <w:rsid w:val="000916BB"/>
    <w:rsid w:val="00094CA7"/>
    <w:rsid w:val="000A101B"/>
    <w:rsid w:val="000A3DC8"/>
    <w:rsid w:val="000A5B72"/>
    <w:rsid w:val="000A6576"/>
    <w:rsid w:val="000A7F2D"/>
    <w:rsid w:val="000B06A3"/>
    <w:rsid w:val="000B4146"/>
    <w:rsid w:val="000C21DB"/>
    <w:rsid w:val="000C4009"/>
    <w:rsid w:val="000C5619"/>
    <w:rsid w:val="000D5B06"/>
    <w:rsid w:val="000D6DB7"/>
    <w:rsid w:val="000E0EED"/>
    <w:rsid w:val="000E109C"/>
    <w:rsid w:val="000E279F"/>
    <w:rsid w:val="000E3701"/>
    <w:rsid w:val="000E51DC"/>
    <w:rsid w:val="000E65A1"/>
    <w:rsid w:val="000E6D0F"/>
    <w:rsid w:val="000F26A3"/>
    <w:rsid w:val="000F40EF"/>
    <w:rsid w:val="00101243"/>
    <w:rsid w:val="00101DA9"/>
    <w:rsid w:val="001039E3"/>
    <w:rsid w:val="00106126"/>
    <w:rsid w:val="0010669A"/>
    <w:rsid w:val="001107FF"/>
    <w:rsid w:val="001130A8"/>
    <w:rsid w:val="001241D3"/>
    <w:rsid w:val="00124671"/>
    <w:rsid w:val="00124811"/>
    <w:rsid w:val="00125DD4"/>
    <w:rsid w:val="00127064"/>
    <w:rsid w:val="00127B99"/>
    <w:rsid w:val="001314D8"/>
    <w:rsid w:val="00133EEB"/>
    <w:rsid w:val="00135B73"/>
    <w:rsid w:val="0013603F"/>
    <w:rsid w:val="001367DD"/>
    <w:rsid w:val="001401B6"/>
    <w:rsid w:val="001408C2"/>
    <w:rsid w:val="00141F25"/>
    <w:rsid w:val="00142439"/>
    <w:rsid w:val="00143FEF"/>
    <w:rsid w:val="00144E5D"/>
    <w:rsid w:val="00146384"/>
    <w:rsid w:val="0014652E"/>
    <w:rsid w:val="00150196"/>
    <w:rsid w:val="00151186"/>
    <w:rsid w:val="00151A08"/>
    <w:rsid w:val="001539BF"/>
    <w:rsid w:val="00157C2B"/>
    <w:rsid w:val="00161393"/>
    <w:rsid w:val="00166952"/>
    <w:rsid w:val="001700AF"/>
    <w:rsid w:val="001701FE"/>
    <w:rsid w:val="00174902"/>
    <w:rsid w:val="00175525"/>
    <w:rsid w:val="00175EE1"/>
    <w:rsid w:val="001760C8"/>
    <w:rsid w:val="001769C7"/>
    <w:rsid w:val="00177840"/>
    <w:rsid w:val="00180BA6"/>
    <w:rsid w:val="001829EB"/>
    <w:rsid w:val="00184940"/>
    <w:rsid w:val="00184EC0"/>
    <w:rsid w:val="0018573A"/>
    <w:rsid w:val="00192095"/>
    <w:rsid w:val="00192AEA"/>
    <w:rsid w:val="001937CF"/>
    <w:rsid w:val="0019397D"/>
    <w:rsid w:val="00194167"/>
    <w:rsid w:val="0019762E"/>
    <w:rsid w:val="001A5A3E"/>
    <w:rsid w:val="001B3835"/>
    <w:rsid w:val="001B4203"/>
    <w:rsid w:val="001B48AC"/>
    <w:rsid w:val="001C182B"/>
    <w:rsid w:val="001C36E7"/>
    <w:rsid w:val="001C679C"/>
    <w:rsid w:val="001D3738"/>
    <w:rsid w:val="001D5C3D"/>
    <w:rsid w:val="001D661A"/>
    <w:rsid w:val="001E1977"/>
    <w:rsid w:val="001E3803"/>
    <w:rsid w:val="001E3DAE"/>
    <w:rsid w:val="001E546F"/>
    <w:rsid w:val="001E6C04"/>
    <w:rsid w:val="001E7CF8"/>
    <w:rsid w:val="001F3AD9"/>
    <w:rsid w:val="001F41A9"/>
    <w:rsid w:val="00201A63"/>
    <w:rsid w:val="00202017"/>
    <w:rsid w:val="00205A37"/>
    <w:rsid w:val="00212CA6"/>
    <w:rsid w:val="002165B5"/>
    <w:rsid w:val="00223970"/>
    <w:rsid w:val="0022444F"/>
    <w:rsid w:val="002268EB"/>
    <w:rsid w:val="00231464"/>
    <w:rsid w:val="00233C24"/>
    <w:rsid w:val="00234C5E"/>
    <w:rsid w:val="002361C6"/>
    <w:rsid w:val="00236FF4"/>
    <w:rsid w:val="00242D3E"/>
    <w:rsid w:val="00250AB5"/>
    <w:rsid w:val="00255138"/>
    <w:rsid w:val="00255E89"/>
    <w:rsid w:val="00262EDC"/>
    <w:rsid w:val="002638CD"/>
    <w:rsid w:val="002652FA"/>
    <w:rsid w:val="0027146B"/>
    <w:rsid w:val="00273FA9"/>
    <w:rsid w:val="0027624E"/>
    <w:rsid w:val="002762E4"/>
    <w:rsid w:val="00280607"/>
    <w:rsid w:val="00280A50"/>
    <w:rsid w:val="002811BC"/>
    <w:rsid w:val="00281DEC"/>
    <w:rsid w:val="0028286F"/>
    <w:rsid w:val="00284FF5"/>
    <w:rsid w:val="002875FC"/>
    <w:rsid w:val="00291DBE"/>
    <w:rsid w:val="00292D00"/>
    <w:rsid w:val="002932DA"/>
    <w:rsid w:val="002942C8"/>
    <w:rsid w:val="00295E0E"/>
    <w:rsid w:val="002A09ED"/>
    <w:rsid w:val="002A2CA5"/>
    <w:rsid w:val="002A79EC"/>
    <w:rsid w:val="002B32FF"/>
    <w:rsid w:val="002C042B"/>
    <w:rsid w:val="002C1357"/>
    <w:rsid w:val="002C237E"/>
    <w:rsid w:val="002C587B"/>
    <w:rsid w:val="002C648F"/>
    <w:rsid w:val="002D19AD"/>
    <w:rsid w:val="002D1C56"/>
    <w:rsid w:val="002D5352"/>
    <w:rsid w:val="002E08E1"/>
    <w:rsid w:val="002E465F"/>
    <w:rsid w:val="002E538E"/>
    <w:rsid w:val="00301AE9"/>
    <w:rsid w:val="003022F3"/>
    <w:rsid w:val="003101FB"/>
    <w:rsid w:val="003116BB"/>
    <w:rsid w:val="00312958"/>
    <w:rsid w:val="00312A53"/>
    <w:rsid w:val="00320B42"/>
    <w:rsid w:val="00321CED"/>
    <w:rsid w:val="00324D26"/>
    <w:rsid w:val="00325C0E"/>
    <w:rsid w:val="00325F2B"/>
    <w:rsid w:val="003261DA"/>
    <w:rsid w:val="00330414"/>
    <w:rsid w:val="00330978"/>
    <w:rsid w:val="00332278"/>
    <w:rsid w:val="003324B9"/>
    <w:rsid w:val="00340FAB"/>
    <w:rsid w:val="00341A1F"/>
    <w:rsid w:val="00342F0F"/>
    <w:rsid w:val="0034365E"/>
    <w:rsid w:val="00343CBB"/>
    <w:rsid w:val="00344764"/>
    <w:rsid w:val="0035463C"/>
    <w:rsid w:val="00354861"/>
    <w:rsid w:val="003554BE"/>
    <w:rsid w:val="003572D0"/>
    <w:rsid w:val="003675CB"/>
    <w:rsid w:val="003701E3"/>
    <w:rsid w:val="003740A6"/>
    <w:rsid w:val="00374197"/>
    <w:rsid w:val="00382BC9"/>
    <w:rsid w:val="00383C14"/>
    <w:rsid w:val="00384B0D"/>
    <w:rsid w:val="0038667A"/>
    <w:rsid w:val="00390DCC"/>
    <w:rsid w:val="00393B32"/>
    <w:rsid w:val="003A067B"/>
    <w:rsid w:val="003A3F6A"/>
    <w:rsid w:val="003B1BC0"/>
    <w:rsid w:val="003B3805"/>
    <w:rsid w:val="003B3B73"/>
    <w:rsid w:val="003B4725"/>
    <w:rsid w:val="003B57CB"/>
    <w:rsid w:val="003C02A7"/>
    <w:rsid w:val="003C6641"/>
    <w:rsid w:val="003C766A"/>
    <w:rsid w:val="003D3081"/>
    <w:rsid w:val="003D4379"/>
    <w:rsid w:val="003D5DC2"/>
    <w:rsid w:val="003D7291"/>
    <w:rsid w:val="003E1FA5"/>
    <w:rsid w:val="003E235F"/>
    <w:rsid w:val="003E4262"/>
    <w:rsid w:val="003E6D73"/>
    <w:rsid w:val="003E7F92"/>
    <w:rsid w:val="003F0EE6"/>
    <w:rsid w:val="003F2DD2"/>
    <w:rsid w:val="003F4C3F"/>
    <w:rsid w:val="003F4CD0"/>
    <w:rsid w:val="003F7327"/>
    <w:rsid w:val="0040143C"/>
    <w:rsid w:val="00411185"/>
    <w:rsid w:val="00413657"/>
    <w:rsid w:val="004164CD"/>
    <w:rsid w:val="00420EE4"/>
    <w:rsid w:val="00422868"/>
    <w:rsid w:val="00426830"/>
    <w:rsid w:val="00433009"/>
    <w:rsid w:val="0043350A"/>
    <w:rsid w:val="0043430A"/>
    <w:rsid w:val="004371C8"/>
    <w:rsid w:val="00437667"/>
    <w:rsid w:val="00446ACF"/>
    <w:rsid w:val="00447188"/>
    <w:rsid w:val="0045292D"/>
    <w:rsid w:val="00453A9A"/>
    <w:rsid w:val="00461523"/>
    <w:rsid w:val="00463C05"/>
    <w:rsid w:val="004640F8"/>
    <w:rsid w:val="0046593F"/>
    <w:rsid w:val="0047170E"/>
    <w:rsid w:val="00473A84"/>
    <w:rsid w:val="00477057"/>
    <w:rsid w:val="00477557"/>
    <w:rsid w:val="00482FF5"/>
    <w:rsid w:val="00483073"/>
    <w:rsid w:val="00483B9C"/>
    <w:rsid w:val="00490537"/>
    <w:rsid w:val="00491EDE"/>
    <w:rsid w:val="00494E20"/>
    <w:rsid w:val="004959ED"/>
    <w:rsid w:val="00496C7B"/>
    <w:rsid w:val="004A0543"/>
    <w:rsid w:val="004A0EB3"/>
    <w:rsid w:val="004A2AFB"/>
    <w:rsid w:val="004A2C09"/>
    <w:rsid w:val="004A34FC"/>
    <w:rsid w:val="004B0BFB"/>
    <w:rsid w:val="004B1C1E"/>
    <w:rsid w:val="004B28AB"/>
    <w:rsid w:val="004B4951"/>
    <w:rsid w:val="004B5D6B"/>
    <w:rsid w:val="004B7ED2"/>
    <w:rsid w:val="004C35FB"/>
    <w:rsid w:val="004C5A18"/>
    <w:rsid w:val="004C7182"/>
    <w:rsid w:val="004D03D7"/>
    <w:rsid w:val="004D238F"/>
    <w:rsid w:val="004D5313"/>
    <w:rsid w:val="004E2DEC"/>
    <w:rsid w:val="004E69A5"/>
    <w:rsid w:val="004E7F38"/>
    <w:rsid w:val="004F0D98"/>
    <w:rsid w:val="004F181C"/>
    <w:rsid w:val="004F2EB7"/>
    <w:rsid w:val="004F4A76"/>
    <w:rsid w:val="004F51BE"/>
    <w:rsid w:val="004F57E9"/>
    <w:rsid w:val="004F7A1C"/>
    <w:rsid w:val="005010A3"/>
    <w:rsid w:val="00501CA8"/>
    <w:rsid w:val="00503A53"/>
    <w:rsid w:val="005051B5"/>
    <w:rsid w:val="00510709"/>
    <w:rsid w:val="00511436"/>
    <w:rsid w:val="005156E7"/>
    <w:rsid w:val="005214D2"/>
    <w:rsid w:val="00524DBE"/>
    <w:rsid w:val="00525C1B"/>
    <w:rsid w:val="0052611C"/>
    <w:rsid w:val="005263F9"/>
    <w:rsid w:val="005270E8"/>
    <w:rsid w:val="00530C14"/>
    <w:rsid w:val="00532026"/>
    <w:rsid w:val="00532DD6"/>
    <w:rsid w:val="005338CE"/>
    <w:rsid w:val="00534A97"/>
    <w:rsid w:val="005418D3"/>
    <w:rsid w:val="00541F69"/>
    <w:rsid w:val="00552803"/>
    <w:rsid w:val="00553314"/>
    <w:rsid w:val="00553A65"/>
    <w:rsid w:val="00554339"/>
    <w:rsid w:val="00560D28"/>
    <w:rsid w:val="00562706"/>
    <w:rsid w:val="005627E4"/>
    <w:rsid w:val="00566B7E"/>
    <w:rsid w:val="0057165A"/>
    <w:rsid w:val="00577778"/>
    <w:rsid w:val="00581EDC"/>
    <w:rsid w:val="00585574"/>
    <w:rsid w:val="00586CE0"/>
    <w:rsid w:val="00587CA4"/>
    <w:rsid w:val="00590961"/>
    <w:rsid w:val="005917A2"/>
    <w:rsid w:val="00592E49"/>
    <w:rsid w:val="00594744"/>
    <w:rsid w:val="00594F95"/>
    <w:rsid w:val="005A06FD"/>
    <w:rsid w:val="005A0E3F"/>
    <w:rsid w:val="005A248A"/>
    <w:rsid w:val="005A29BB"/>
    <w:rsid w:val="005A396E"/>
    <w:rsid w:val="005A4532"/>
    <w:rsid w:val="005A4CFA"/>
    <w:rsid w:val="005A6CD1"/>
    <w:rsid w:val="005B0375"/>
    <w:rsid w:val="005B0BCB"/>
    <w:rsid w:val="005B0C10"/>
    <w:rsid w:val="005B4D7A"/>
    <w:rsid w:val="005B612A"/>
    <w:rsid w:val="005C0616"/>
    <w:rsid w:val="005D1533"/>
    <w:rsid w:val="005D37F2"/>
    <w:rsid w:val="005E273A"/>
    <w:rsid w:val="005E6FDA"/>
    <w:rsid w:val="005F256B"/>
    <w:rsid w:val="005F4C38"/>
    <w:rsid w:val="005F6606"/>
    <w:rsid w:val="0060059F"/>
    <w:rsid w:val="006005FE"/>
    <w:rsid w:val="00604260"/>
    <w:rsid w:val="00604CFD"/>
    <w:rsid w:val="00612298"/>
    <w:rsid w:val="00616789"/>
    <w:rsid w:val="00620E7F"/>
    <w:rsid w:val="006229EF"/>
    <w:rsid w:val="00631123"/>
    <w:rsid w:val="00633A9C"/>
    <w:rsid w:val="0063446C"/>
    <w:rsid w:val="006350A7"/>
    <w:rsid w:val="0064032E"/>
    <w:rsid w:val="00641F09"/>
    <w:rsid w:val="006424BC"/>
    <w:rsid w:val="00643242"/>
    <w:rsid w:val="00644CD6"/>
    <w:rsid w:val="006451C2"/>
    <w:rsid w:val="006452B0"/>
    <w:rsid w:val="006459C9"/>
    <w:rsid w:val="00646C43"/>
    <w:rsid w:val="00647277"/>
    <w:rsid w:val="006503C4"/>
    <w:rsid w:val="00651CE0"/>
    <w:rsid w:val="00652927"/>
    <w:rsid w:val="00654C32"/>
    <w:rsid w:val="00654F1B"/>
    <w:rsid w:val="00654FFB"/>
    <w:rsid w:val="00655491"/>
    <w:rsid w:val="00661437"/>
    <w:rsid w:val="00661967"/>
    <w:rsid w:val="00663C16"/>
    <w:rsid w:val="006641D8"/>
    <w:rsid w:val="00664B36"/>
    <w:rsid w:val="00666B23"/>
    <w:rsid w:val="0066736A"/>
    <w:rsid w:val="00667CF9"/>
    <w:rsid w:val="00670EE5"/>
    <w:rsid w:val="00677878"/>
    <w:rsid w:val="00677C3D"/>
    <w:rsid w:val="00682191"/>
    <w:rsid w:val="00682670"/>
    <w:rsid w:val="006849E6"/>
    <w:rsid w:val="00690025"/>
    <w:rsid w:val="00692957"/>
    <w:rsid w:val="0069550E"/>
    <w:rsid w:val="006978E0"/>
    <w:rsid w:val="006A283F"/>
    <w:rsid w:val="006A431B"/>
    <w:rsid w:val="006A4748"/>
    <w:rsid w:val="006A7254"/>
    <w:rsid w:val="006B4E3F"/>
    <w:rsid w:val="006B7605"/>
    <w:rsid w:val="006C0FA4"/>
    <w:rsid w:val="006C347E"/>
    <w:rsid w:val="006C5C50"/>
    <w:rsid w:val="006D181A"/>
    <w:rsid w:val="006D2414"/>
    <w:rsid w:val="006D6126"/>
    <w:rsid w:val="006D6DEC"/>
    <w:rsid w:val="006E2157"/>
    <w:rsid w:val="006E4E10"/>
    <w:rsid w:val="006E62CA"/>
    <w:rsid w:val="006E63E5"/>
    <w:rsid w:val="006E74E9"/>
    <w:rsid w:val="006F1B9F"/>
    <w:rsid w:val="006F1E8C"/>
    <w:rsid w:val="006F26D6"/>
    <w:rsid w:val="006F4EEA"/>
    <w:rsid w:val="006F6D73"/>
    <w:rsid w:val="00702C9C"/>
    <w:rsid w:val="007033B2"/>
    <w:rsid w:val="00704B0B"/>
    <w:rsid w:val="00705035"/>
    <w:rsid w:val="00707AC5"/>
    <w:rsid w:val="0071192A"/>
    <w:rsid w:val="00711F4F"/>
    <w:rsid w:val="00715BB9"/>
    <w:rsid w:val="00721FE3"/>
    <w:rsid w:val="0073149D"/>
    <w:rsid w:val="00736E83"/>
    <w:rsid w:val="007379A9"/>
    <w:rsid w:val="007421B3"/>
    <w:rsid w:val="0074270E"/>
    <w:rsid w:val="0074587D"/>
    <w:rsid w:val="00755ED5"/>
    <w:rsid w:val="00756604"/>
    <w:rsid w:val="00756E9F"/>
    <w:rsid w:val="007626F0"/>
    <w:rsid w:val="0076285B"/>
    <w:rsid w:val="00764589"/>
    <w:rsid w:val="007659DC"/>
    <w:rsid w:val="00766CF7"/>
    <w:rsid w:val="007670D1"/>
    <w:rsid w:val="00770B4E"/>
    <w:rsid w:val="0077133A"/>
    <w:rsid w:val="00772A10"/>
    <w:rsid w:val="0077321F"/>
    <w:rsid w:val="0077379C"/>
    <w:rsid w:val="00776DE7"/>
    <w:rsid w:val="00776F48"/>
    <w:rsid w:val="00777C02"/>
    <w:rsid w:val="007822E3"/>
    <w:rsid w:val="0078459B"/>
    <w:rsid w:val="0078653E"/>
    <w:rsid w:val="007902CA"/>
    <w:rsid w:val="0079343E"/>
    <w:rsid w:val="0079397A"/>
    <w:rsid w:val="007940BE"/>
    <w:rsid w:val="007A24C3"/>
    <w:rsid w:val="007A3148"/>
    <w:rsid w:val="007A33E6"/>
    <w:rsid w:val="007A7144"/>
    <w:rsid w:val="007B081C"/>
    <w:rsid w:val="007B1FFF"/>
    <w:rsid w:val="007B2F1A"/>
    <w:rsid w:val="007C551C"/>
    <w:rsid w:val="007D2515"/>
    <w:rsid w:val="007D286E"/>
    <w:rsid w:val="007D3CAC"/>
    <w:rsid w:val="007D3D09"/>
    <w:rsid w:val="007D68AD"/>
    <w:rsid w:val="007E2492"/>
    <w:rsid w:val="007E2D68"/>
    <w:rsid w:val="007E3C29"/>
    <w:rsid w:val="007E62A2"/>
    <w:rsid w:val="007E7B2A"/>
    <w:rsid w:val="007F00B5"/>
    <w:rsid w:val="007F2105"/>
    <w:rsid w:val="007F3F1F"/>
    <w:rsid w:val="007F7257"/>
    <w:rsid w:val="008021A5"/>
    <w:rsid w:val="00802667"/>
    <w:rsid w:val="00803B0A"/>
    <w:rsid w:val="00804B6E"/>
    <w:rsid w:val="008102AF"/>
    <w:rsid w:val="00811954"/>
    <w:rsid w:val="00812BC8"/>
    <w:rsid w:val="00813367"/>
    <w:rsid w:val="008150B3"/>
    <w:rsid w:val="00815414"/>
    <w:rsid w:val="00815611"/>
    <w:rsid w:val="008158CE"/>
    <w:rsid w:val="00821261"/>
    <w:rsid w:val="0082247A"/>
    <w:rsid w:val="00831AFD"/>
    <w:rsid w:val="00831B07"/>
    <w:rsid w:val="00832B4B"/>
    <w:rsid w:val="00836A71"/>
    <w:rsid w:val="0083757D"/>
    <w:rsid w:val="00843689"/>
    <w:rsid w:val="008448FA"/>
    <w:rsid w:val="00846D6D"/>
    <w:rsid w:val="00854EFB"/>
    <w:rsid w:val="00855950"/>
    <w:rsid w:val="00856628"/>
    <w:rsid w:val="00856837"/>
    <w:rsid w:val="00857912"/>
    <w:rsid w:val="00860DCA"/>
    <w:rsid w:val="0086162F"/>
    <w:rsid w:val="008655F2"/>
    <w:rsid w:val="00866894"/>
    <w:rsid w:val="0086788B"/>
    <w:rsid w:val="00870AB6"/>
    <w:rsid w:val="00870D64"/>
    <w:rsid w:val="00873053"/>
    <w:rsid w:val="00875721"/>
    <w:rsid w:val="008832AF"/>
    <w:rsid w:val="0088351A"/>
    <w:rsid w:val="00883629"/>
    <w:rsid w:val="0088595B"/>
    <w:rsid w:val="00885D7D"/>
    <w:rsid w:val="0088660B"/>
    <w:rsid w:val="008939B0"/>
    <w:rsid w:val="00895C26"/>
    <w:rsid w:val="00897CA9"/>
    <w:rsid w:val="008A1CDF"/>
    <w:rsid w:val="008A3866"/>
    <w:rsid w:val="008A488A"/>
    <w:rsid w:val="008A57CE"/>
    <w:rsid w:val="008A7D09"/>
    <w:rsid w:val="008B09FA"/>
    <w:rsid w:val="008B0D44"/>
    <w:rsid w:val="008B217B"/>
    <w:rsid w:val="008C3023"/>
    <w:rsid w:val="008D003C"/>
    <w:rsid w:val="008D03F5"/>
    <w:rsid w:val="008D5628"/>
    <w:rsid w:val="008D7473"/>
    <w:rsid w:val="008D7EEB"/>
    <w:rsid w:val="008E32D8"/>
    <w:rsid w:val="008E44E2"/>
    <w:rsid w:val="008F06B0"/>
    <w:rsid w:val="008F1EA2"/>
    <w:rsid w:val="008F3031"/>
    <w:rsid w:val="008F379C"/>
    <w:rsid w:val="008F77A3"/>
    <w:rsid w:val="0090649A"/>
    <w:rsid w:val="009124D3"/>
    <w:rsid w:val="0091323C"/>
    <w:rsid w:val="00915F33"/>
    <w:rsid w:val="0091668D"/>
    <w:rsid w:val="009214B0"/>
    <w:rsid w:val="009257F3"/>
    <w:rsid w:val="00931E64"/>
    <w:rsid w:val="00933875"/>
    <w:rsid w:val="009339B3"/>
    <w:rsid w:val="00935715"/>
    <w:rsid w:val="0093649B"/>
    <w:rsid w:val="009365C4"/>
    <w:rsid w:val="0094009D"/>
    <w:rsid w:val="009402D8"/>
    <w:rsid w:val="0094102B"/>
    <w:rsid w:val="009446C6"/>
    <w:rsid w:val="009450C4"/>
    <w:rsid w:val="009508B8"/>
    <w:rsid w:val="009526F9"/>
    <w:rsid w:val="00954B95"/>
    <w:rsid w:val="009565D1"/>
    <w:rsid w:val="009602E5"/>
    <w:rsid w:val="0096108F"/>
    <w:rsid w:val="009620B6"/>
    <w:rsid w:val="009721A5"/>
    <w:rsid w:val="00972B17"/>
    <w:rsid w:val="00972FB4"/>
    <w:rsid w:val="00974745"/>
    <w:rsid w:val="00975636"/>
    <w:rsid w:val="00976373"/>
    <w:rsid w:val="00982EBF"/>
    <w:rsid w:val="00983B2A"/>
    <w:rsid w:val="00984341"/>
    <w:rsid w:val="009843EF"/>
    <w:rsid w:val="00990722"/>
    <w:rsid w:val="00992EE8"/>
    <w:rsid w:val="009A5A4F"/>
    <w:rsid w:val="009A6E94"/>
    <w:rsid w:val="009B09E9"/>
    <w:rsid w:val="009B0F46"/>
    <w:rsid w:val="009B3388"/>
    <w:rsid w:val="009C02D5"/>
    <w:rsid w:val="009C3EC6"/>
    <w:rsid w:val="009D28A5"/>
    <w:rsid w:val="009D386D"/>
    <w:rsid w:val="009D3F55"/>
    <w:rsid w:val="009D4C8F"/>
    <w:rsid w:val="009D76F5"/>
    <w:rsid w:val="009E0DAC"/>
    <w:rsid w:val="009E1203"/>
    <w:rsid w:val="009E2EB0"/>
    <w:rsid w:val="009E4D6F"/>
    <w:rsid w:val="009F1401"/>
    <w:rsid w:val="009F1995"/>
    <w:rsid w:val="009F1FA8"/>
    <w:rsid w:val="009F52BE"/>
    <w:rsid w:val="009F773E"/>
    <w:rsid w:val="00A02516"/>
    <w:rsid w:val="00A02537"/>
    <w:rsid w:val="00A05BBF"/>
    <w:rsid w:val="00A06FEB"/>
    <w:rsid w:val="00A07831"/>
    <w:rsid w:val="00A103A6"/>
    <w:rsid w:val="00A126C8"/>
    <w:rsid w:val="00A16FBA"/>
    <w:rsid w:val="00A21A54"/>
    <w:rsid w:val="00A21C74"/>
    <w:rsid w:val="00A23BC8"/>
    <w:rsid w:val="00A27D4E"/>
    <w:rsid w:val="00A30056"/>
    <w:rsid w:val="00A30FF7"/>
    <w:rsid w:val="00A31F3A"/>
    <w:rsid w:val="00A37B2E"/>
    <w:rsid w:val="00A43D65"/>
    <w:rsid w:val="00A454C9"/>
    <w:rsid w:val="00A46EC4"/>
    <w:rsid w:val="00A56F43"/>
    <w:rsid w:val="00A578AF"/>
    <w:rsid w:val="00A62D94"/>
    <w:rsid w:val="00A63327"/>
    <w:rsid w:val="00A70C50"/>
    <w:rsid w:val="00A717F6"/>
    <w:rsid w:val="00A746FF"/>
    <w:rsid w:val="00A84371"/>
    <w:rsid w:val="00A855A1"/>
    <w:rsid w:val="00A866E2"/>
    <w:rsid w:val="00A87ED7"/>
    <w:rsid w:val="00A90B17"/>
    <w:rsid w:val="00A9115E"/>
    <w:rsid w:val="00A91C1A"/>
    <w:rsid w:val="00A93847"/>
    <w:rsid w:val="00A95594"/>
    <w:rsid w:val="00A95D9A"/>
    <w:rsid w:val="00A96343"/>
    <w:rsid w:val="00A9706E"/>
    <w:rsid w:val="00A97653"/>
    <w:rsid w:val="00AA0CC1"/>
    <w:rsid w:val="00AA3B31"/>
    <w:rsid w:val="00AA4C80"/>
    <w:rsid w:val="00AA508F"/>
    <w:rsid w:val="00AA50EB"/>
    <w:rsid w:val="00AA5DBF"/>
    <w:rsid w:val="00AB03E6"/>
    <w:rsid w:val="00AB05C9"/>
    <w:rsid w:val="00AB069E"/>
    <w:rsid w:val="00AB3636"/>
    <w:rsid w:val="00AC3419"/>
    <w:rsid w:val="00AC4FAB"/>
    <w:rsid w:val="00AD0A28"/>
    <w:rsid w:val="00AD34EF"/>
    <w:rsid w:val="00AD39EB"/>
    <w:rsid w:val="00AD3EA2"/>
    <w:rsid w:val="00AD47FC"/>
    <w:rsid w:val="00AD74A2"/>
    <w:rsid w:val="00AE3F52"/>
    <w:rsid w:val="00AE6558"/>
    <w:rsid w:val="00AF11F8"/>
    <w:rsid w:val="00AF53A8"/>
    <w:rsid w:val="00AF70D2"/>
    <w:rsid w:val="00AF7CD6"/>
    <w:rsid w:val="00B01B78"/>
    <w:rsid w:val="00B02530"/>
    <w:rsid w:val="00B05ED3"/>
    <w:rsid w:val="00B1141F"/>
    <w:rsid w:val="00B11CFF"/>
    <w:rsid w:val="00B12765"/>
    <w:rsid w:val="00B157CF"/>
    <w:rsid w:val="00B177A2"/>
    <w:rsid w:val="00B248AB"/>
    <w:rsid w:val="00B24FD9"/>
    <w:rsid w:val="00B252FA"/>
    <w:rsid w:val="00B2548C"/>
    <w:rsid w:val="00B27F0E"/>
    <w:rsid w:val="00B3020C"/>
    <w:rsid w:val="00B32703"/>
    <w:rsid w:val="00B436BF"/>
    <w:rsid w:val="00B449DB"/>
    <w:rsid w:val="00B478EF"/>
    <w:rsid w:val="00B47C03"/>
    <w:rsid w:val="00B5537B"/>
    <w:rsid w:val="00B55C16"/>
    <w:rsid w:val="00B56C16"/>
    <w:rsid w:val="00B60F8C"/>
    <w:rsid w:val="00B61864"/>
    <w:rsid w:val="00B63516"/>
    <w:rsid w:val="00B63663"/>
    <w:rsid w:val="00B63A7E"/>
    <w:rsid w:val="00B65EEA"/>
    <w:rsid w:val="00B678D5"/>
    <w:rsid w:val="00B71F32"/>
    <w:rsid w:val="00B725E5"/>
    <w:rsid w:val="00B758CD"/>
    <w:rsid w:val="00B764BA"/>
    <w:rsid w:val="00B80BB0"/>
    <w:rsid w:val="00B90FDA"/>
    <w:rsid w:val="00B919A1"/>
    <w:rsid w:val="00B92C4F"/>
    <w:rsid w:val="00B93B48"/>
    <w:rsid w:val="00B94150"/>
    <w:rsid w:val="00B94F11"/>
    <w:rsid w:val="00B957D0"/>
    <w:rsid w:val="00B9600A"/>
    <w:rsid w:val="00B965FC"/>
    <w:rsid w:val="00BA0BF9"/>
    <w:rsid w:val="00BA274C"/>
    <w:rsid w:val="00BA30C5"/>
    <w:rsid w:val="00BA51A9"/>
    <w:rsid w:val="00BA5FEA"/>
    <w:rsid w:val="00BA76E7"/>
    <w:rsid w:val="00BB00FF"/>
    <w:rsid w:val="00BB029B"/>
    <w:rsid w:val="00BB30F3"/>
    <w:rsid w:val="00BB6C71"/>
    <w:rsid w:val="00BB6E60"/>
    <w:rsid w:val="00BC0D35"/>
    <w:rsid w:val="00BD24AE"/>
    <w:rsid w:val="00BD6C15"/>
    <w:rsid w:val="00BE14E8"/>
    <w:rsid w:val="00BE1E25"/>
    <w:rsid w:val="00BE1E8A"/>
    <w:rsid w:val="00BE2F49"/>
    <w:rsid w:val="00BE39AE"/>
    <w:rsid w:val="00BE554B"/>
    <w:rsid w:val="00BE5D66"/>
    <w:rsid w:val="00BE7868"/>
    <w:rsid w:val="00BE7FA0"/>
    <w:rsid w:val="00BF0027"/>
    <w:rsid w:val="00BF1558"/>
    <w:rsid w:val="00BF5D59"/>
    <w:rsid w:val="00BF754B"/>
    <w:rsid w:val="00BF77E0"/>
    <w:rsid w:val="00C00059"/>
    <w:rsid w:val="00C007E1"/>
    <w:rsid w:val="00C01AED"/>
    <w:rsid w:val="00C0234A"/>
    <w:rsid w:val="00C02B5D"/>
    <w:rsid w:val="00C04F2A"/>
    <w:rsid w:val="00C052DE"/>
    <w:rsid w:val="00C07EC5"/>
    <w:rsid w:val="00C115E6"/>
    <w:rsid w:val="00C16BFF"/>
    <w:rsid w:val="00C21A4A"/>
    <w:rsid w:val="00C227F9"/>
    <w:rsid w:val="00C31072"/>
    <w:rsid w:val="00C36803"/>
    <w:rsid w:val="00C36E8D"/>
    <w:rsid w:val="00C4272D"/>
    <w:rsid w:val="00C430A7"/>
    <w:rsid w:val="00C45203"/>
    <w:rsid w:val="00C46D24"/>
    <w:rsid w:val="00C47554"/>
    <w:rsid w:val="00C520FF"/>
    <w:rsid w:val="00C52C16"/>
    <w:rsid w:val="00C53BC3"/>
    <w:rsid w:val="00C613BF"/>
    <w:rsid w:val="00C71095"/>
    <w:rsid w:val="00C728E7"/>
    <w:rsid w:val="00C86147"/>
    <w:rsid w:val="00C9389B"/>
    <w:rsid w:val="00C9685E"/>
    <w:rsid w:val="00C96960"/>
    <w:rsid w:val="00C972A6"/>
    <w:rsid w:val="00CA0AB0"/>
    <w:rsid w:val="00CA1AA1"/>
    <w:rsid w:val="00CA2261"/>
    <w:rsid w:val="00CA3114"/>
    <w:rsid w:val="00CA3885"/>
    <w:rsid w:val="00CB1E3E"/>
    <w:rsid w:val="00CB6E83"/>
    <w:rsid w:val="00CC1CA2"/>
    <w:rsid w:val="00CC22B2"/>
    <w:rsid w:val="00CC2503"/>
    <w:rsid w:val="00CC25ED"/>
    <w:rsid w:val="00CC3EC8"/>
    <w:rsid w:val="00CC5827"/>
    <w:rsid w:val="00CC7AD8"/>
    <w:rsid w:val="00CC7E2D"/>
    <w:rsid w:val="00CD1A2B"/>
    <w:rsid w:val="00CE33BB"/>
    <w:rsid w:val="00CE7773"/>
    <w:rsid w:val="00CF09AE"/>
    <w:rsid w:val="00CF123B"/>
    <w:rsid w:val="00CF571F"/>
    <w:rsid w:val="00CF7A68"/>
    <w:rsid w:val="00D006E7"/>
    <w:rsid w:val="00D019D4"/>
    <w:rsid w:val="00D03396"/>
    <w:rsid w:val="00D03B79"/>
    <w:rsid w:val="00D03F79"/>
    <w:rsid w:val="00D054CA"/>
    <w:rsid w:val="00D07B6F"/>
    <w:rsid w:val="00D11C3B"/>
    <w:rsid w:val="00D12429"/>
    <w:rsid w:val="00D14D88"/>
    <w:rsid w:val="00D20513"/>
    <w:rsid w:val="00D22A05"/>
    <w:rsid w:val="00D25AA9"/>
    <w:rsid w:val="00D27C12"/>
    <w:rsid w:val="00D30ABE"/>
    <w:rsid w:val="00D32468"/>
    <w:rsid w:val="00D34629"/>
    <w:rsid w:val="00D34738"/>
    <w:rsid w:val="00D43189"/>
    <w:rsid w:val="00D4338F"/>
    <w:rsid w:val="00D441EF"/>
    <w:rsid w:val="00D47E5F"/>
    <w:rsid w:val="00D54BF5"/>
    <w:rsid w:val="00D561BC"/>
    <w:rsid w:val="00D56796"/>
    <w:rsid w:val="00D57DA1"/>
    <w:rsid w:val="00D61161"/>
    <w:rsid w:val="00D61CB3"/>
    <w:rsid w:val="00D64BC7"/>
    <w:rsid w:val="00D658A1"/>
    <w:rsid w:val="00D67564"/>
    <w:rsid w:val="00D719AA"/>
    <w:rsid w:val="00D741A6"/>
    <w:rsid w:val="00D7512D"/>
    <w:rsid w:val="00D77D43"/>
    <w:rsid w:val="00D819BB"/>
    <w:rsid w:val="00D83A76"/>
    <w:rsid w:val="00D856FE"/>
    <w:rsid w:val="00D86735"/>
    <w:rsid w:val="00D8773F"/>
    <w:rsid w:val="00D90BF4"/>
    <w:rsid w:val="00D943BF"/>
    <w:rsid w:val="00DA3A26"/>
    <w:rsid w:val="00DA3FA6"/>
    <w:rsid w:val="00DA5110"/>
    <w:rsid w:val="00DB197C"/>
    <w:rsid w:val="00DB77D5"/>
    <w:rsid w:val="00DC1515"/>
    <w:rsid w:val="00DC16DC"/>
    <w:rsid w:val="00DC1C58"/>
    <w:rsid w:val="00DD1B57"/>
    <w:rsid w:val="00DD247F"/>
    <w:rsid w:val="00DD325B"/>
    <w:rsid w:val="00DD4D48"/>
    <w:rsid w:val="00DD61A2"/>
    <w:rsid w:val="00DD7E8A"/>
    <w:rsid w:val="00DE1031"/>
    <w:rsid w:val="00DE1D9F"/>
    <w:rsid w:val="00DE4A18"/>
    <w:rsid w:val="00DE5FD4"/>
    <w:rsid w:val="00DE6685"/>
    <w:rsid w:val="00DF70CF"/>
    <w:rsid w:val="00DF7274"/>
    <w:rsid w:val="00E00218"/>
    <w:rsid w:val="00E10EFA"/>
    <w:rsid w:val="00E12284"/>
    <w:rsid w:val="00E12B33"/>
    <w:rsid w:val="00E21848"/>
    <w:rsid w:val="00E24196"/>
    <w:rsid w:val="00E25DCE"/>
    <w:rsid w:val="00E3389E"/>
    <w:rsid w:val="00E36FA2"/>
    <w:rsid w:val="00E41AC6"/>
    <w:rsid w:val="00E41F7F"/>
    <w:rsid w:val="00E438A0"/>
    <w:rsid w:val="00E45DB3"/>
    <w:rsid w:val="00E4770E"/>
    <w:rsid w:val="00E50770"/>
    <w:rsid w:val="00E54CEB"/>
    <w:rsid w:val="00E56776"/>
    <w:rsid w:val="00E621BA"/>
    <w:rsid w:val="00E6243E"/>
    <w:rsid w:val="00E63105"/>
    <w:rsid w:val="00E635C7"/>
    <w:rsid w:val="00E64AD1"/>
    <w:rsid w:val="00E669C9"/>
    <w:rsid w:val="00E66D1B"/>
    <w:rsid w:val="00E711E0"/>
    <w:rsid w:val="00E75734"/>
    <w:rsid w:val="00E76FD3"/>
    <w:rsid w:val="00E77303"/>
    <w:rsid w:val="00E8126C"/>
    <w:rsid w:val="00E84979"/>
    <w:rsid w:val="00E90623"/>
    <w:rsid w:val="00E90B9E"/>
    <w:rsid w:val="00E94A0D"/>
    <w:rsid w:val="00E957EB"/>
    <w:rsid w:val="00E95817"/>
    <w:rsid w:val="00E96C08"/>
    <w:rsid w:val="00EA0008"/>
    <w:rsid w:val="00EA163F"/>
    <w:rsid w:val="00EA599D"/>
    <w:rsid w:val="00EA5A56"/>
    <w:rsid w:val="00EA5CBC"/>
    <w:rsid w:val="00EA6A1B"/>
    <w:rsid w:val="00EB2422"/>
    <w:rsid w:val="00EB4ACF"/>
    <w:rsid w:val="00EB6B27"/>
    <w:rsid w:val="00EB7549"/>
    <w:rsid w:val="00EC13C2"/>
    <w:rsid w:val="00EC1FDD"/>
    <w:rsid w:val="00EC393F"/>
    <w:rsid w:val="00EC4E3E"/>
    <w:rsid w:val="00EC61FC"/>
    <w:rsid w:val="00ED396E"/>
    <w:rsid w:val="00ED4DC5"/>
    <w:rsid w:val="00ED6900"/>
    <w:rsid w:val="00EE1F3C"/>
    <w:rsid w:val="00EE35B8"/>
    <w:rsid w:val="00EE46BB"/>
    <w:rsid w:val="00EE5A83"/>
    <w:rsid w:val="00EF37E2"/>
    <w:rsid w:val="00EF3E0F"/>
    <w:rsid w:val="00EF48C4"/>
    <w:rsid w:val="00EF753E"/>
    <w:rsid w:val="00F005FB"/>
    <w:rsid w:val="00F03A22"/>
    <w:rsid w:val="00F1169D"/>
    <w:rsid w:val="00F1390F"/>
    <w:rsid w:val="00F154C3"/>
    <w:rsid w:val="00F15505"/>
    <w:rsid w:val="00F21FE2"/>
    <w:rsid w:val="00F22D74"/>
    <w:rsid w:val="00F2385E"/>
    <w:rsid w:val="00F26568"/>
    <w:rsid w:val="00F27DCA"/>
    <w:rsid w:val="00F31318"/>
    <w:rsid w:val="00F413CA"/>
    <w:rsid w:val="00F41AAA"/>
    <w:rsid w:val="00F43A7C"/>
    <w:rsid w:val="00F4463E"/>
    <w:rsid w:val="00F47A46"/>
    <w:rsid w:val="00F52784"/>
    <w:rsid w:val="00F54128"/>
    <w:rsid w:val="00F54EBB"/>
    <w:rsid w:val="00F558A6"/>
    <w:rsid w:val="00F574C4"/>
    <w:rsid w:val="00F61118"/>
    <w:rsid w:val="00F61B88"/>
    <w:rsid w:val="00F638B4"/>
    <w:rsid w:val="00F63E44"/>
    <w:rsid w:val="00F66C4F"/>
    <w:rsid w:val="00F66DD1"/>
    <w:rsid w:val="00F71ADA"/>
    <w:rsid w:val="00F75E07"/>
    <w:rsid w:val="00F77F36"/>
    <w:rsid w:val="00F827D8"/>
    <w:rsid w:val="00F85D8F"/>
    <w:rsid w:val="00F868CF"/>
    <w:rsid w:val="00F87EF1"/>
    <w:rsid w:val="00F90EE4"/>
    <w:rsid w:val="00FA11D8"/>
    <w:rsid w:val="00FA48E3"/>
    <w:rsid w:val="00FB1BD3"/>
    <w:rsid w:val="00FB2C16"/>
    <w:rsid w:val="00FB592D"/>
    <w:rsid w:val="00FC2242"/>
    <w:rsid w:val="00FC2388"/>
    <w:rsid w:val="00FC2A1C"/>
    <w:rsid w:val="00FC339D"/>
    <w:rsid w:val="00FC5432"/>
    <w:rsid w:val="00FC71FC"/>
    <w:rsid w:val="00FC7B63"/>
    <w:rsid w:val="00FD0B6C"/>
    <w:rsid w:val="00FD19A9"/>
    <w:rsid w:val="00FD19AF"/>
    <w:rsid w:val="00FD2F8A"/>
    <w:rsid w:val="00FD4111"/>
    <w:rsid w:val="00FD7A61"/>
    <w:rsid w:val="00FE07FA"/>
    <w:rsid w:val="00FE2320"/>
    <w:rsid w:val="00FE2E6F"/>
    <w:rsid w:val="00FE3A51"/>
    <w:rsid w:val="00FE4CC8"/>
    <w:rsid w:val="00FE76D0"/>
    <w:rsid w:val="00FF1AEA"/>
    <w:rsid w:val="00FF244A"/>
    <w:rsid w:val="00FF2D7E"/>
    <w:rsid w:val="00FF3DE0"/>
    <w:rsid w:val="00FF5E8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14:docId w14:val="7653E69C"/>
  <w15:docId w15:val="{00E1E76D-E4B1-4DD7-8456-F757CB18892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color w:val="000000"/>
        <w:sz w:val="22"/>
        <w:szCs w:val="22"/>
        <w:lang w:val="en-US" w:eastAsia="en-US" w:bidi="ar-SA"/>
      </w:rPr>
    </w:rPrDefault>
    <w:pPrDefault>
      <w:pPr>
        <w:pBdr>
          <w:top w:val="nil"/>
          <w:left w:val="nil"/>
          <w:bottom w:val="nil"/>
          <w:right w:val="nil"/>
          <w:between w:val="nil"/>
        </w:pBd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qFormat="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qFormat="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Standard">
    <w:name w:val="Normal"/>
  </w:style>
  <w:style w:type="paragraph" w:styleId="berschrift1">
    <w:name w:val="heading 1"/>
    <w:basedOn w:val="Standard"/>
    <w:next w:val="Standard"/>
    <w:pPr>
      <w:keepNext/>
      <w:keepLines/>
      <w:spacing w:before="480" w:after="0"/>
      <w:outlineLvl w:val="0"/>
    </w:pPr>
    <w:rPr>
      <w:rFonts w:ascii="Cambria" w:eastAsia="Cambria" w:hAnsi="Cambria" w:cs="Cambria"/>
      <w:b/>
      <w:color w:val="366091"/>
      <w:sz w:val="28"/>
      <w:szCs w:val="28"/>
    </w:rPr>
  </w:style>
  <w:style w:type="paragraph" w:styleId="berschrift2">
    <w:name w:val="heading 2"/>
    <w:basedOn w:val="Standard"/>
    <w:next w:val="Standard"/>
    <w:pPr>
      <w:keepNext/>
      <w:keepLines/>
      <w:spacing w:before="200" w:after="0"/>
      <w:outlineLvl w:val="1"/>
    </w:pPr>
    <w:rPr>
      <w:rFonts w:ascii="Cambria" w:eastAsia="Cambria" w:hAnsi="Cambria" w:cs="Cambria"/>
      <w:b/>
      <w:color w:val="4F81BD"/>
      <w:sz w:val="26"/>
      <w:szCs w:val="26"/>
    </w:rPr>
  </w:style>
  <w:style w:type="paragraph" w:styleId="berschrift3">
    <w:name w:val="heading 3"/>
    <w:basedOn w:val="Standard"/>
    <w:next w:val="Standard"/>
    <w:pPr>
      <w:keepNext/>
      <w:keepLines/>
      <w:spacing w:before="200" w:after="0"/>
      <w:outlineLvl w:val="2"/>
    </w:pPr>
    <w:rPr>
      <w:rFonts w:ascii="Cambria" w:eastAsia="Cambria" w:hAnsi="Cambria" w:cs="Cambria"/>
      <w:b/>
      <w:color w:val="4F81BD"/>
    </w:rPr>
  </w:style>
  <w:style w:type="paragraph" w:styleId="berschrift4">
    <w:name w:val="heading 4"/>
    <w:basedOn w:val="Standard"/>
    <w:next w:val="Standard"/>
    <w:pPr>
      <w:keepNext/>
      <w:keepLines/>
      <w:spacing w:before="240" w:after="40"/>
      <w:outlineLvl w:val="3"/>
    </w:pPr>
    <w:rPr>
      <w:b/>
      <w:sz w:val="24"/>
      <w:szCs w:val="24"/>
    </w:rPr>
  </w:style>
  <w:style w:type="paragraph" w:styleId="berschrift5">
    <w:name w:val="heading 5"/>
    <w:basedOn w:val="Standard"/>
    <w:next w:val="Standard"/>
    <w:pPr>
      <w:keepNext/>
      <w:keepLines/>
      <w:spacing w:before="220" w:after="40"/>
      <w:outlineLvl w:val="4"/>
    </w:pPr>
    <w:rPr>
      <w:b/>
    </w:rPr>
  </w:style>
  <w:style w:type="paragraph" w:styleId="berschrift6">
    <w:name w:val="heading 6"/>
    <w:basedOn w:val="Standard"/>
    <w:next w:val="Standard"/>
    <w:pPr>
      <w:keepNext/>
      <w:keepLines/>
      <w:spacing w:before="200" w:after="40"/>
      <w:outlineLvl w:val="5"/>
    </w:pPr>
    <w:rPr>
      <w:b/>
      <w:sz w:val="20"/>
      <w:szCs w:val="20"/>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el">
    <w:name w:val="Title"/>
    <w:basedOn w:val="Standard"/>
    <w:next w:val="Standard"/>
    <w:pPr>
      <w:pBdr>
        <w:bottom w:val="single" w:sz="8" w:space="4" w:color="4F81BD"/>
      </w:pBdr>
      <w:spacing w:after="300" w:line="240" w:lineRule="auto"/>
      <w:contextualSpacing/>
    </w:pPr>
    <w:rPr>
      <w:rFonts w:ascii="Cambria" w:eastAsia="Cambria" w:hAnsi="Cambria" w:cs="Cambria"/>
      <w:color w:val="17365D"/>
      <w:sz w:val="52"/>
      <w:szCs w:val="52"/>
    </w:rPr>
  </w:style>
  <w:style w:type="paragraph" w:styleId="Untertitel">
    <w:name w:val="Subtitle"/>
    <w:basedOn w:val="Standard"/>
    <w:next w:val="Standard"/>
    <w:rPr>
      <w:rFonts w:ascii="Cambria" w:eastAsia="Cambria" w:hAnsi="Cambria" w:cs="Cambria"/>
      <w:i/>
      <w:color w:val="4F81BD"/>
      <w:sz w:val="24"/>
      <w:szCs w:val="24"/>
    </w:rPr>
  </w:style>
  <w:style w:type="table" w:customStyle="1" w:styleId="3">
    <w:name w:val="3"/>
    <w:basedOn w:val="TableNormal1"/>
    <w:pPr>
      <w:spacing w:after="0" w:line="240" w:lineRule="auto"/>
    </w:pPr>
    <w:tblPr>
      <w:tblStyleRowBandSize w:val="1"/>
      <w:tblStyleColBandSize w:val="1"/>
      <w:tblCellMar>
        <w:left w:w="108" w:type="dxa"/>
        <w:right w:w="108" w:type="dxa"/>
      </w:tblCellMar>
    </w:tblPr>
  </w:style>
  <w:style w:type="table" w:customStyle="1" w:styleId="2">
    <w:name w:val="2"/>
    <w:basedOn w:val="TableNormal1"/>
    <w:pPr>
      <w:spacing w:after="0" w:line="240" w:lineRule="auto"/>
    </w:pPr>
    <w:tblPr>
      <w:tblStyleRowBandSize w:val="1"/>
      <w:tblStyleColBandSize w:val="1"/>
      <w:tblCellMar>
        <w:left w:w="108" w:type="dxa"/>
        <w:right w:w="108" w:type="dxa"/>
      </w:tblCellMar>
    </w:tblPr>
  </w:style>
  <w:style w:type="table" w:customStyle="1" w:styleId="1">
    <w:name w:val="1"/>
    <w:basedOn w:val="TableNormal1"/>
    <w:tblPr>
      <w:tblStyleRowBandSize w:val="1"/>
      <w:tblStyleColBandSize w:val="1"/>
      <w:tblCellMar>
        <w:top w:w="100" w:type="dxa"/>
        <w:left w:w="100" w:type="dxa"/>
        <w:bottom w:w="100" w:type="dxa"/>
        <w:right w:w="100" w:type="dxa"/>
      </w:tblCellMar>
    </w:tblPr>
  </w:style>
  <w:style w:type="paragraph" w:styleId="Kommentartext">
    <w:name w:val="annotation text"/>
    <w:basedOn w:val="Standard"/>
    <w:link w:val="KommentartextZchn"/>
    <w:unhideWhenUsed/>
    <w:qFormat/>
    <w:pPr>
      <w:spacing w:line="240" w:lineRule="auto"/>
    </w:pPr>
    <w:rPr>
      <w:sz w:val="20"/>
      <w:szCs w:val="20"/>
    </w:rPr>
  </w:style>
  <w:style w:type="character" w:customStyle="1" w:styleId="KommentartextZchn">
    <w:name w:val="Kommentartext Zchn"/>
    <w:basedOn w:val="Absatz-Standardschriftart"/>
    <w:link w:val="Kommentartext"/>
    <w:rPr>
      <w:sz w:val="20"/>
      <w:szCs w:val="20"/>
    </w:rPr>
  </w:style>
  <w:style w:type="character" w:styleId="Kommentarzeichen">
    <w:name w:val="annotation reference"/>
    <w:basedOn w:val="Absatz-Standardschriftart"/>
    <w:unhideWhenUsed/>
    <w:qFormat/>
    <w:rPr>
      <w:sz w:val="16"/>
      <w:szCs w:val="16"/>
    </w:rPr>
  </w:style>
  <w:style w:type="paragraph" w:styleId="Sprechblasentext">
    <w:name w:val="Balloon Text"/>
    <w:basedOn w:val="Standard"/>
    <w:link w:val="SprechblasentextZchn"/>
    <w:uiPriority w:val="99"/>
    <w:semiHidden/>
    <w:unhideWhenUsed/>
    <w:rsid w:val="00A95594"/>
    <w:pPr>
      <w:spacing w:after="0"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A95594"/>
    <w:rPr>
      <w:rFonts w:ascii="Tahoma" w:hAnsi="Tahoma" w:cs="Tahoma"/>
      <w:sz w:val="16"/>
      <w:szCs w:val="16"/>
    </w:rPr>
  </w:style>
  <w:style w:type="character" w:styleId="Platzhaltertext">
    <w:name w:val="Placeholder Text"/>
    <w:basedOn w:val="Absatz-Standardschriftart"/>
    <w:uiPriority w:val="99"/>
    <w:semiHidden/>
    <w:rsid w:val="000109EB"/>
    <w:rPr>
      <w:color w:val="808080"/>
    </w:rPr>
  </w:style>
  <w:style w:type="paragraph" w:styleId="Kommentarthema">
    <w:name w:val="annotation subject"/>
    <w:basedOn w:val="Kommentartext"/>
    <w:next w:val="Kommentartext"/>
    <w:link w:val="KommentarthemaZchn"/>
    <w:uiPriority w:val="99"/>
    <w:semiHidden/>
    <w:unhideWhenUsed/>
    <w:rsid w:val="0079397A"/>
    <w:rPr>
      <w:b/>
      <w:bCs/>
    </w:rPr>
  </w:style>
  <w:style w:type="character" w:customStyle="1" w:styleId="KommentarthemaZchn">
    <w:name w:val="Kommentarthema Zchn"/>
    <w:basedOn w:val="KommentartextZchn"/>
    <w:link w:val="Kommentarthema"/>
    <w:uiPriority w:val="99"/>
    <w:semiHidden/>
    <w:rsid w:val="0079397A"/>
    <w:rPr>
      <w:b/>
      <w:bCs/>
      <w:sz w:val="20"/>
      <w:szCs w:val="20"/>
    </w:rPr>
  </w:style>
  <w:style w:type="paragraph" w:styleId="Literaturverzeichnis">
    <w:name w:val="Bibliography"/>
    <w:basedOn w:val="Standard"/>
    <w:next w:val="Standard"/>
    <w:uiPriority w:val="37"/>
    <w:unhideWhenUsed/>
    <w:rsid w:val="00E00218"/>
    <w:pPr>
      <w:tabs>
        <w:tab w:val="left" w:pos="504"/>
      </w:tabs>
      <w:spacing w:after="240" w:line="240" w:lineRule="auto"/>
      <w:ind w:left="504" w:hanging="504"/>
    </w:pPr>
  </w:style>
  <w:style w:type="table" w:styleId="Tabellenraster">
    <w:name w:val="Table Grid"/>
    <w:basedOn w:val="NormaleTabelle"/>
    <w:uiPriority w:val="59"/>
    <w:rsid w:val="00E438A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erarbeitung">
    <w:name w:val="Revision"/>
    <w:hidden/>
    <w:uiPriority w:val="99"/>
    <w:semiHidden/>
    <w:rsid w:val="007626F0"/>
    <w:pPr>
      <w:pBdr>
        <w:top w:val="none" w:sz="0" w:space="0" w:color="auto"/>
        <w:left w:val="none" w:sz="0" w:space="0" w:color="auto"/>
        <w:bottom w:val="none" w:sz="0" w:space="0" w:color="auto"/>
        <w:right w:val="none" w:sz="0" w:space="0" w:color="auto"/>
        <w:between w:val="none" w:sz="0" w:space="0" w:color="auto"/>
      </w:pBdr>
      <w:spacing w:after="0" w:line="240" w:lineRule="auto"/>
    </w:pPr>
  </w:style>
  <w:style w:type="character" w:styleId="Hyperlink">
    <w:name w:val="Hyperlink"/>
    <w:basedOn w:val="Absatz-Standardschriftart"/>
    <w:uiPriority w:val="99"/>
    <w:unhideWhenUsed/>
    <w:rsid w:val="00CE7773"/>
    <w:rPr>
      <w:color w:val="0000FF" w:themeColor="hyperlink"/>
      <w:u w:val="single"/>
    </w:rPr>
  </w:style>
  <w:style w:type="paragraph" w:styleId="Beschriftung">
    <w:name w:val="caption"/>
    <w:basedOn w:val="Standard"/>
    <w:next w:val="Standard"/>
    <w:uiPriority w:val="35"/>
    <w:unhideWhenUsed/>
    <w:qFormat/>
    <w:rsid w:val="008F379C"/>
    <w:pPr>
      <w:spacing w:line="240" w:lineRule="auto"/>
    </w:pPr>
    <w:rPr>
      <w:i/>
      <w:iCs/>
      <w:color w:val="1F497D" w:themeColor="text2"/>
      <w:sz w:val="18"/>
      <w:szCs w:val="18"/>
    </w:rPr>
  </w:style>
  <w:style w:type="paragraph" w:styleId="Kopfzeile">
    <w:name w:val="header"/>
    <w:basedOn w:val="Standard"/>
    <w:link w:val="KopfzeileZchn"/>
    <w:uiPriority w:val="99"/>
    <w:unhideWhenUsed/>
    <w:rsid w:val="002268EB"/>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2268EB"/>
  </w:style>
  <w:style w:type="paragraph" w:styleId="Fuzeile">
    <w:name w:val="footer"/>
    <w:basedOn w:val="Standard"/>
    <w:link w:val="FuzeileZchn"/>
    <w:uiPriority w:val="99"/>
    <w:unhideWhenUsed/>
    <w:rsid w:val="002268EB"/>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2268EB"/>
  </w:style>
  <w:style w:type="paragraph" w:styleId="Listenabsatz">
    <w:name w:val="List Paragraph"/>
    <w:basedOn w:val="Standard"/>
    <w:uiPriority w:val="34"/>
    <w:qFormat/>
    <w:rsid w:val="0069550E"/>
    <w:pPr>
      <w:ind w:left="720"/>
      <w:contextualSpacing/>
    </w:pPr>
  </w:style>
  <w:style w:type="paragraph" w:customStyle="1" w:styleId="Text">
    <w:name w:val="Text"/>
    <w:basedOn w:val="Standard"/>
    <w:link w:val="TextZchn"/>
    <w:qFormat/>
    <w:rsid w:val="0071192A"/>
    <w:pPr>
      <w:spacing w:after="160" w:line="360" w:lineRule="auto"/>
      <w:jc w:val="both"/>
    </w:pPr>
  </w:style>
  <w:style w:type="character" w:customStyle="1" w:styleId="TextZchn">
    <w:name w:val="Text Zchn"/>
    <w:basedOn w:val="Absatz-Standardschriftart"/>
    <w:link w:val="Text"/>
    <w:rsid w:val="0071192A"/>
  </w:style>
  <w:style w:type="character" w:customStyle="1" w:styleId="CaptionTextZchn">
    <w:name w:val="Caption_Text Zchn"/>
    <w:basedOn w:val="Absatz-Standardschriftart"/>
    <w:link w:val="CaptionText"/>
    <w:locked/>
    <w:rsid w:val="00875721"/>
    <w:rPr>
      <w:b/>
      <w:szCs w:val="20"/>
    </w:rPr>
  </w:style>
  <w:style w:type="paragraph" w:customStyle="1" w:styleId="CaptionText">
    <w:name w:val="Caption_Text"/>
    <w:basedOn w:val="Standard"/>
    <w:link w:val="CaptionTextZchn"/>
    <w:autoRedefine/>
    <w:qFormat/>
    <w:rsid w:val="00875721"/>
    <w:pPr>
      <w:pBdr>
        <w:top w:val="none" w:sz="0" w:space="0" w:color="auto"/>
        <w:left w:val="none" w:sz="0" w:space="0" w:color="auto"/>
        <w:bottom w:val="none" w:sz="0" w:space="0" w:color="auto"/>
        <w:right w:val="none" w:sz="0" w:space="0" w:color="auto"/>
        <w:between w:val="none" w:sz="0" w:space="0" w:color="auto"/>
      </w:pBdr>
      <w:spacing w:after="0" w:line="360" w:lineRule="auto"/>
      <w:jc w:val="both"/>
    </w:pPr>
    <w:rPr>
      <w:b/>
      <w:szCs w:val="20"/>
    </w:rPr>
  </w:style>
  <w:style w:type="paragraph" w:customStyle="1" w:styleId="EDITINSERT">
    <w:name w:val="EDIT_INSERT"/>
    <w:basedOn w:val="Text"/>
    <w:link w:val="EDITINSERTChar"/>
    <w:qFormat/>
    <w:rsid w:val="0052611C"/>
    <w:rPr>
      <w:color w:val="00B050"/>
      <w:u w:val="single"/>
    </w:rPr>
  </w:style>
  <w:style w:type="paragraph" w:customStyle="1" w:styleId="EDITDELETE">
    <w:name w:val="EDIT_DELETE"/>
    <w:basedOn w:val="Text"/>
    <w:link w:val="EDITDELETEChar"/>
    <w:qFormat/>
    <w:rsid w:val="00426830"/>
    <w:rPr>
      <w:b/>
      <w:strike/>
      <w:color w:val="C00000"/>
    </w:rPr>
  </w:style>
  <w:style w:type="character" w:customStyle="1" w:styleId="EDITINSERTChar">
    <w:name w:val="EDIT_INSERT Char"/>
    <w:basedOn w:val="TextZchn"/>
    <w:link w:val="EDITINSERT"/>
    <w:rsid w:val="0052611C"/>
    <w:rPr>
      <w:color w:val="00B050"/>
      <w:u w:val="single"/>
    </w:rPr>
  </w:style>
  <w:style w:type="character" w:customStyle="1" w:styleId="EDITDELETEChar">
    <w:name w:val="EDIT_DELETE Char"/>
    <w:basedOn w:val="TextZchn"/>
    <w:link w:val="EDITDELETE"/>
    <w:rsid w:val="00426830"/>
    <w:rPr>
      <w:b/>
      <w:strike/>
      <w:color w:val="C00000"/>
    </w:rPr>
  </w:style>
  <w:style w:type="paragraph" w:customStyle="1" w:styleId="Default">
    <w:name w:val="Default"/>
    <w:rsid w:val="00B01B78"/>
    <w:pPr>
      <w:pBdr>
        <w:top w:val="none" w:sz="0" w:space="0" w:color="auto"/>
        <w:left w:val="none" w:sz="0" w:space="0" w:color="auto"/>
        <w:bottom w:val="none" w:sz="0" w:space="0" w:color="auto"/>
        <w:right w:val="none" w:sz="0" w:space="0" w:color="auto"/>
        <w:between w:val="none" w:sz="0" w:space="0" w:color="auto"/>
      </w:pBdr>
      <w:autoSpaceDE w:val="0"/>
      <w:autoSpaceDN w:val="0"/>
      <w:adjustRightInd w:val="0"/>
      <w:spacing w:after="0" w:line="240" w:lineRule="auto"/>
    </w:pPr>
    <w:rPr>
      <w:rFonts w:eastAsiaTheme="minorHAnsi"/>
      <w:sz w:val="24"/>
      <w:szCs w:val="24"/>
      <w:lang w:val="de-DE"/>
    </w:rPr>
  </w:style>
  <w:style w:type="paragraph" w:styleId="NurText">
    <w:name w:val="Plain Text"/>
    <w:basedOn w:val="Standard"/>
    <w:link w:val="NurTextZchn"/>
    <w:uiPriority w:val="99"/>
    <w:semiHidden/>
    <w:unhideWhenUsed/>
    <w:rsid w:val="00B55C16"/>
    <w:pPr>
      <w:pBdr>
        <w:top w:val="none" w:sz="0" w:space="0" w:color="auto"/>
        <w:left w:val="none" w:sz="0" w:space="0" w:color="auto"/>
        <w:bottom w:val="none" w:sz="0" w:space="0" w:color="auto"/>
        <w:right w:val="none" w:sz="0" w:space="0" w:color="auto"/>
        <w:between w:val="none" w:sz="0" w:space="0" w:color="auto"/>
      </w:pBdr>
      <w:spacing w:after="0" w:line="240" w:lineRule="auto"/>
    </w:pPr>
    <w:rPr>
      <w:rFonts w:eastAsiaTheme="minorHAnsi" w:cstheme="minorBidi"/>
      <w:color w:val="auto"/>
      <w:szCs w:val="21"/>
      <w:lang w:val="de-DE"/>
    </w:rPr>
  </w:style>
  <w:style w:type="character" w:customStyle="1" w:styleId="NurTextZchn">
    <w:name w:val="Nur Text Zchn"/>
    <w:basedOn w:val="Absatz-Standardschriftart"/>
    <w:link w:val="NurText"/>
    <w:uiPriority w:val="99"/>
    <w:semiHidden/>
    <w:rsid w:val="00B55C16"/>
    <w:rPr>
      <w:rFonts w:eastAsiaTheme="minorHAnsi" w:cstheme="minorBidi"/>
      <w:color w:val="auto"/>
      <w:szCs w:val="21"/>
      <w:lang w:val="de-DE"/>
    </w:rPr>
  </w:style>
  <w:style w:type="character" w:customStyle="1" w:styleId="EDITINSERTZchn">
    <w:name w:val="EDIT_INSERT Zchn"/>
    <w:basedOn w:val="TextZchn"/>
    <w:rsid w:val="00777C02"/>
    <w:rPr>
      <w:b/>
      <w:color w:val="0070C0"/>
    </w:rPr>
  </w:style>
  <w:style w:type="character" w:styleId="Zeilennummer">
    <w:name w:val="line number"/>
    <w:basedOn w:val="Absatz-Standardschriftart"/>
    <w:uiPriority w:val="99"/>
    <w:semiHidden/>
    <w:unhideWhenUsed/>
    <w:rsid w:val="009565D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34819097">
      <w:bodyDiv w:val="1"/>
      <w:marLeft w:val="0"/>
      <w:marRight w:val="0"/>
      <w:marTop w:val="0"/>
      <w:marBottom w:val="0"/>
      <w:divBdr>
        <w:top w:val="none" w:sz="0" w:space="0" w:color="auto"/>
        <w:left w:val="none" w:sz="0" w:space="0" w:color="auto"/>
        <w:bottom w:val="none" w:sz="0" w:space="0" w:color="auto"/>
        <w:right w:val="none" w:sz="0" w:space="0" w:color="auto"/>
      </w:divBdr>
    </w:div>
    <w:div w:id="259724145">
      <w:bodyDiv w:val="1"/>
      <w:marLeft w:val="0"/>
      <w:marRight w:val="0"/>
      <w:marTop w:val="0"/>
      <w:marBottom w:val="0"/>
      <w:divBdr>
        <w:top w:val="none" w:sz="0" w:space="0" w:color="auto"/>
        <w:left w:val="none" w:sz="0" w:space="0" w:color="auto"/>
        <w:bottom w:val="none" w:sz="0" w:space="0" w:color="auto"/>
        <w:right w:val="none" w:sz="0" w:space="0" w:color="auto"/>
      </w:divBdr>
    </w:div>
    <w:div w:id="418791120">
      <w:bodyDiv w:val="1"/>
      <w:marLeft w:val="0"/>
      <w:marRight w:val="0"/>
      <w:marTop w:val="0"/>
      <w:marBottom w:val="0"/>
      <w:divBdr>
        <w:top w:val="none" w:sz="0" w:space="0" w:color="auto"/>
        <w:left w:val="none" w:sz="0" w:space="0" w:color="auto"/>
        <w:bottom w:val="none" w:sz="0" w:space="0" w:color="auto"/>
        <w:right w:val="none" w:sz="0" w:space="0" w:color="auto"/>
      </w:divBdr>
    </w:div>
    <w:div w:id="479659847">
      <w:bodyDiv w:val="1"/>
      <w:marLeft w:val="0"/>
      <w:marRight w:val="0"/>
      <w:marTop w:val="0"/>
      <w:marBottom w:val="0"/>
      <w:divBdr>
        <w:top w:val="none" w:sz="0" w:space="0" w:color="auto"/>
        <w:left w:val="none" w:sz="0" w:space="0" w:color="auto"/>
        <w:bottom w:val="none" w:sz="0" w:space="0" w:color="auto"/>
        <w:right w:val="none" w:sz="0" w:space="0" w:color="auto"/>
      </w:divBdr>
    </w:div>
    <w:div w:id="622034803">
      <w:bodyDiv w:val="1"/>
      <w:marLeft w:val="0"/>
      <w:marRight w:val="0"/>
      <w:marTop w:val="0"/>
      <w:marBottom w:val="0"/>
      <w:divBdr>
        <w:top w:val="none" w:sz="0" w:space="0" w:color="auto"/>
        <w:left w:val="none" w:sz="0" w:space="0" w:color="auto"/>
        <w:bottom w:val="none" w:sz="0" w:space="0" w:color="auto"/>
        <w:right w:val="none" w:sz="0" w:space="0" w:color="auto"/>
      </w:divBdr>
    </w:div>
    <w:div w:id="1078207927">
      <w:bodyDiv w:val="1"/>
      <w:marLeft w:val="0"/>
      <w:marRight w:val="0"/>
      <w:marTop w:val="0"/>
      <w:marBottom w:val="0"/>
      <w:divBdr>
        <w:top w:val="none" w:sz="0" w:space="0" w:color="auto"/>
        <w:left w:val="none" w:sz="0" w:space="0" w:color="auto"/>
        <w:bottom w:val="none" w:sz="0" w:space="0" w:color="auto"/>
        <w:right w:val="none" w:sz="0" w:space="0" w:color="auto"/>
      </w:divBdr>
    </w:div>
    <w:div w:id="1230114977">
      <w:bodyDiv w:val="1"/>
      <w:marLeft w:val="0"/>
      <w:marRight w:val="0"/>
      <w:marTop w:val="0"/>
      <w:marBottom w:val="0"/>
      <w:divBdr>
        <w:top w:val="none" w:sz="0" w:space="0" w:color="auto"/>
        <w:left w:val="none" w:sz="0" w:space="0" w:color="auto"/>
        <w:bottom w:val="none" w:sz="0" w:space="0" w:color="auto"/>
        <w:right w:val="none" w:sz="0" w:space="0" w:color="auto"/>
      </w:divBdr>
    </w:div>
    <w:div w:id="1405569822">
      <w:bodyDiv w:val="1"/>
      <w:marLeft w:val="0"/>
      <w:marRight w:val="0"/>
      <w:marTop w:val="0"/>
      <w:marBottom w:val="0"/>
      <w:divBdr>
        <w:top w:val="none" w:sz="0" w:space="0" w:color="auto"/>
        <w:left w:val="none" w:sz="0" w:space="0" w:color="auto"/>
        <w:bottom w:val="none" w:sz="0" w:space="0" w:color="auto"/>
        <w:right w:val="none" w:sz="0" w:space="0" w:color="auto"/>
      </w:divBdr>
    </w:div>
    <w:div w:id="1508013202">
      <w:bodyDiv w:val="1"/>
      <w:marLeft w:val="0"/>
      <w:marRight w:val="0"/>
      <w:marTop w:val="0"/>
      <w:marBottom w:val="0"/>
      <w:divBdr>
        <w:top w:val="none" w:sz="0" w:space="0" w:color="auto"/>
        <w:left w:val="none" w:sz="0" w:space="0" w:color="auto"/>
        <w:bottom w:val="none" w:sz="0" w:space="0" w:color="auto"/>
        <w:right w:val="none" w:sz="0" w:space="0" w:color="auto"/>
      </w:divBdr>
    </w:div>
    <w:div w:id="1570382030">
      <w:bodyDiv w:val="1"/>
      <w:marLeft w:val="0"/>
      <w:marRight w:val="0"/>
      <w:marTop w:val="0"/>
      <w:marBottom w:val="0"/>
      <w:divBdr>
        <w:top w:val="none" w:sz="0" w:space="0" w:color="auto"/>
        <w:left w:val="none" w:sz="0" w:space="0" w:color="auto"/>
        <w:bottom w:val="none" w:sz="0" w:space="0" w:color="auto"/>
        <w:right w:val="none" w:sz="0" w:space="0" w:color="auto"/>
      </w:divBdr>
    </w:div>
    <w:div w:id="1917132225">
      <w:bodyDiv w:val="1"/>
      <w:marLeft w:val="0"/>
      <w:marRight w:val="0"/>
      <w:marTop w:val="0"/>
      <w:marBottom w:val="0"/>
      <w:divBdr>
        <w:top w:val="none" w:sz="0" w:space="0" w:color="auto"/>
        <w:left w:val="none" w:sz="0" w:space="0" w:color="auto"/>
        <w:bottom w:val="none" w:sz="0" w:space="0" w:color="auto"/>
        <w:right w:val="none" w:sz="0" w:space="0" w:color="auto"/>
      </w:divBdr>
    </w:div>
    <w:div w:id="2081292361">
      <w:bodyDiv w:val="1"/>
      <w:marLeft w:val="0"/>
      <w:marRight w:val="0"/>
      <w:marTop w:val="0"/>
      <w:marBottom w:val="0"/>
      <w:divBdr>
        <w:top w:val="none" w:sz="0" w:space="0" w:color="auto"/>
        <w:left w:val="none" w:sz="0" w:space="0" w:color="auto"/>
        <w:bottom w:val="none" w:sz="0" w:space="0" w:color="auto"/>
        <w:right w:val="none" w:sz="0" w:space="0" w:color="auto"/>
      </w:divBdr>
      <w:divsChild>
        <w:div w:id="1199974356">
          <w:marLeft w:val="0"/>
          <w:marRight w:val="0"/>
          <w:marTop w:val="0"/>
          <w:marBottom w:val="0"/>
          <w:divBdr>
            <w:top w:val="none" w:sz="0" w:space="0" w:color="auto"/>
            <w:left w:val="none" w:sz="0" w:space="0" w:color="auto"/>
            <w:bottom w:val="none" w:sz="0" w:space="0" w:color="auto"/>
            <w:right w:val="none" w:sz="0" w:space="0" w:color="auto"/>
          </w:divBdr>
          <w:divsChild>
            <w:div w:id="16068884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project-redcap.org" TargetMode="External"/><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1.png"/><Relationship Id="rId7" Type="http://schemas.openxmlformats.org/officeDocument/2006/relationships/endnotes" Target="endnotes.xml"/><Relationship Id="rId12" Type="http://schemas.openxmlformats.org/officeDocument/2006/relationships/image" Target="media/image2.tiff"/><Relationship Id="rId17" Type="http://schemas.openxmlformats.org/officeDocument/2006/relationships/image" Target="media/image7.png"/><Relationship Id="rId25"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1.png"/><Relationship Id="rId24" Type="http://schemas.openxmlformats.org/officeDocument/2006/relationships/image" Target="media/image14.tiff"/><Relationship Id="rId5" Type="http://schemas.openxmlformats.org/officeDocument/2006/relationships/webSettings" Target="webSettings.xml"/><Relationship Id="rId15" Type="http://schemas.openxmlformats.org/officeDocument/2006/relationships/image" Target="media/image5.tiff"/><Relationship Id="rId23" Type="http://schemas.openxmlformats.org/officeDocument/2006/relationships/image" Target="media/image13.png"/><Relationship Id="rId10" Type="http://schemas.openxmlformats.org/officeDocument/2006/relationships/hyperlink" Target="https://surfer.nmr.mgh.harvard.edu/fswiki/QATools" TargetMode="External"/><Relationship Id="rId19" Type="http://schemas.openxmlformats.org/officeDocument/2006/relationships/image" Target="media/image9.png"/><Relationship Id="rId4" Type="http://schemas.openxmlformats.org/officeDocument/2006/relationships/settings" Target="settings.xml"/><Relationship Id="rId9" Type="http://schemas.openxmlformats.org/officeDocument/2006/relationships/hyperlink" Target="http://surfer.nmr.mgh.harvard.edu/" TargetMode="External"/><Relationship Id="rId14" Type="http://schemas.openxmlformats.org/officeDocument/2006/relationships/image" Target="media/image4.png"/><Relationship Id="rId22" Type="http://schemas.openxmlformats.org/officeDocument/2006/relationships/image" Target="media/image12.png"/><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1BA45D-566E-4DF3-B26F-3C1DACA074C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34</Pages>
  <Words>16513</Words>
  <Characters>104038</Characters>
  <Application>Microsoft Office Word</Application>
  <DocSecurity>0</DocSecurity>
  <Lines>866</Lines>
  <Paragraphs>240</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UKD</Company>
  <LinksUpToDate>false</LinksUpToDate>
  <CharactersWithSpaces>120311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Bernardoni, Fabio</dc:creator>
  <cp:keywords/>
  <dc:description/>
  <cp:lastModifiedBy>Bernardoni, Fabio</cp:lastModifiedBy>
  <cp:revision>30</cp:revision>
  <cp:lastPrinted>2022-08-01T12:33:00Z</cp:lastPrinted>
  <dcterms:created xsi:type="dcterms:W3CDTF">2023-03-16T10:50:00Z</dcterms:created>
  <dcterms:modified xsi:type="dcterms:W3CDTF">2023-06-08T13:12:00Z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zotero-version="6.0.22"&gt;&lt;session id="yqG9ZuqL"/&gt;&lt;style id="http://www.zotero.org/styles/vancouver" locale="en-US" hasBibliography="1" bibliographyStyleHasBeenSet="1"/&gt;&lt;prefs&gt;&lt;pref name="fieldType" value="Field"/&gt;&lt;pref name="automati</vt:lpwstr>
  </property>
  <property fmtid="{D5CDD505-2E9C-101B-9397-08002B2CF9AE}" pid="3" name="ZOTERO_PREF_2">
    <vt:lpwstr>cJournalAbbreviations" value="true"/&gt;&lt;/prefs&gt;&lt;/data&gt;</vt:lpwstr>
  </property>
</Properties>
</file>