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7C07" w14:textId="684FA1B6" w:rsidR="00C121D9" w:rsidRDefault="00CD1ADD">
      <w:r w:rsidRPr="00CD1ADD">
        <w:rPr>
          <w:b/>
          <w:bCs/>
        </w:rPr>
        <w:t xml:space="preserve">SUPPLEMENTAL TABLE </w:t>
      </w:r>
      <w:r w:rsidR="00621FB1">
        <w:rPr>
          <w:b/>
          <w:bCs/>
        </w:rPr>
        <w:t>1</w:t>
      </w:r>
      <w:r w:rsidRPr="00CD1ADD">
        <w:rPr>
          <w:b/>
          <w:bCs/>
        </w:rPr>
        <w:t>.</w:t>
      </w:r>
      <w:r>
        <w:rPr>
          <w:b/>
          <w:bCs/>
        </w:rPr>
        <w:t xml:space="preserve">  </w:t>
      </w:r>
      <w:r w:rsidRPr="00CD1ADD">
        <w:t>A</w:t>
      </w:r>
      <w:r w:rsidR="002E48A6">
        <w:t xml:space="preserve">dverse Events </w:t>
      </w:r>
      <w:r w:rsidR="00C121D9">
        <w:t xml:space="preserve">(frequency) </w:t>
      </w:r>
      <w:r>
        <w:t>a</w:t>
      </w:r>
      <w:r w:rsidR="002E48A6">
        <w:t xml:space="preserve">ssessed systematically </w:t>
      </w:r>
      <w:r>
        <w:t xml:space="preserve">at month </w:t>
      </w:r>
      <w:proofErr w:type="gramStart"/>
      <w:r>
        <w:t>one</w:t>
      </w:r>
      <w:proofErr w:type="gramEnd"/>
      <w:r>
        <w:t xml:space="preserve"> </w:t>
      </w:r>
    </w:p>
    <w:p w14:paraId="385BB37C" w14:textId="24E5A981" w:rsidR="002E48A6" w:rsidRDefault="00CD1ADD">
      <w:r>
        <w:t xml:space="preserve">of the Stage 2 </w:t>
      </w:r>
      <w:r w:rsidR="002E48A6">
        <w:t>maintenance</w:t>
      </w:r>
      <w:r>
        <w:t xml:space="preserve"> </w:t>
      </w:r>
      <w:r w:rsidR="002E48A6">
        <w:t xml:space="preserve">treatment </w:t>
      </w:r>
      <w:r>
        <w:t xml:space="preserve">(among </w:t>
      </w:r>
      <w:r w:rsidR="002E48A6">
        <w:t xml:space="preserve">responders to initial </w:t>
      </w:r>
      <w:r>
        <w:t xml:space="preserve">Stage 1 </w:t>
      </w:r>
      <w:r w:rsidR="002E48A6">
        <w:t>acute treatments</w:t>
      </w:r>
      <w:r>
        <w:t>)</w:t>
      </w:r>
      <w:r w:rsidR="002E48A6">
        <w:t>.</w:t>
      </w:r>
    </w:p>
    <w:p w14:paraId="7A99457A" w14:textId="49C87080" w:rsidR="004077B2" w:rsidRDefault="004077B2">
      <w:r>
        <w:t>__________________________________________________________________</w:t>
      </w:r>
    </w:p>
    <w:tbl>
      <w:tblPr>
        <w:tblW w:w="17199" w:type="dxa"/>
        <w:tblLook w:val="04A0" w:firstRow="1" w:lastRow="0" w:firstColumn="1" w:lastColumn="0" w:noHBand="0" w:noVBand="1"/>
      </w:tblPr>
      <w:tblGrid>
        <w:gridCol w:w="2446"/>
        <w:gridCol w:w="1699"/>
        <w:gridCol w:w="2233"/>
        <w:gridCol w:w="5424"/>
        <w:gridCol w:w="5397"/>
      </w:tblGrid>
      <w:tr w:rsidR="004077B2" w:rsidRPr="002E48A6" w14:paraId="79DE3724" w14:textId="3DCF9CA5" w:rsidTr="004077B2">
        <w:trPr>
          <w:gridAfter w:val="1"/>
          <w:wAfter w:w="5397" w:type="dxa"/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21C" w14:textId="2ECDD9A3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B829" w14:textId="3F89230F" w:rsidR="004077B2" w:rsidRPr="004077B2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4077B2">
              <w:rPr>
                <w:rFonts w:ascii="Calibri" w:eastAsia="Times New Roman" w:hAnsi="Calibri" w:cs="Calibri"/>
                <w:color w:val="000000"/>
                <w:u w:val="single"/>
              </w:rPr>
              <w:t>Placebo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A1E9" w14:textId="23D2AE45" w:rsidR="004077B2" w:rsidRPr="004077B2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4077B2">
              <w:rPr>
                <w:rFonts w:ascii="Calibri" w:eastAsia="Times New Roman" w:hAnsi="Calibri" w:cs="Calibri"/>
                <w:color w:val="000000"/>
                <w:u w:val="single"/>
              </w:rPr>
              <w:t>Naltrexone/bupropion</w:t>
            </w:r>
          </w:p>
        </w:tc>
        <w:tc>
          <w:tcPr>
            <w:tcW w:w="5424" w:type="dxa"/>
            <w:vAlign w:val="bottom"/>
          </w:tcPr>
          <w:p w14:paraId="60B92EFF" w14:textId="636D9C41" w:rsidR="004077B2" w:rsidRPr="002E48A6" w:rsidRDefault="004077B2" w:rsidP="004077B2"/>
        </w:tc>
      </w:tr>
      <w:tr w:rsidR="004077B2" w:rsidRPr="002E48A6" w14:paraId="05EC902A" w14:textId="0BF9A166" w:rsidTr="004077B2">
        <w:trPr>
          <w:gridAfter w:val="1"/>
          <w:wAfter w:w="5397" w:type="dxa"/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3578" w14:textId="2AE9BB97" w:rsidR="004077B2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CF65590" w14:textId="2A060687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All-Cause Mortality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6E52" w14:textId="7677B69C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0/34 (0%)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270A" w14:textId="4DB58176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0/32 (0%)</w:t>
            </w:r>
          </w:p>
        </w:tc>
        <w:tc>
          <w:tcPr>
            <w:tcW w:w="5424" w:type="dxa"/>
            <w:vAlign w:val="bottom"/>
          </w:tcPr>
          <w:p w14:paraId="02B18D17" w14:textId="7F105A60" w:rsidR="004077B2" w:rsidRPr="002E48A6" w:rsidRDefault="004077B2" w:rsidP="004077B2"/>
        </w:tc>
      </w:tr>
      <w:tr w:rsidR="004077B2" w:rsidRPr="002E48A6" w14:paraId="4D5C620C" w14:textId="3C28561F" w:rsidTr="004077B2">
        <w:trPr>
          <w:gridAfter w:val="1"/>
          <w:wAfter w:w="5397" w:type="dxa"/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5374" w14:textId="0A7C963E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Serious Adverse Events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6BD3" w14:textId="69A56EC3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0/34 (0%)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3999" w14:textId="3F208596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0/32 (0%)</w:t>
            </w:r>
          </w:p>
        </w:tc>
        <w:tc>
          <w:tcPr>
            <w:tcW w:w="5424" w:type="dxa"/>
            <w:vAlign w:val="bottom"/>
          </w:tcPr>
          <w:p w14:paraId="727CB741" w14:textId="3168233D" w:rsidR="004077B2" w:rsidRPr="002E48A6" w:rsidRDefault="004077B2" w:rsidP="004077B2"/>
        </w:tc>
      </w:tr>
      <w:tr w:rsidR="004077B2" w:rsidRPr="002E48A6" w14:paraId="485C172A" w14:textId="5052F4D1" w:rsidTr="004077B2">
        <w:trPr>
          <w:gridAfter w:val="1"/>
          <w:wAfter w:w="5397" w:type="dxa"/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45EE" w14:textId="689C7854" w:rsidR="004077B2" w:rsidRPr="002E48A6" w:rsidRDefault="004077B2" w:rsidP="004077B2">
            <w:pPr>
              <w:spacing w:after="0" w:line="240" w:lineRule="auto"/>
              <w:ind w:left="158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 xml:space="preserve">Hypertensive Crisis 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9C45" w14:textId="0A9724DB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0/34 (0%)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D09E" w14:textId="02432983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0/32 (0%)</w:t>
            </w:r>
          </w:p>
        </w:tc>
        <w:tc>
          <w:tcPr>
            <w:tcW w:w="5424" w:type="dxa"/>
            <w:vAlign w:val="bottom"/>
          </w:tcPr>
          <w:p w14:paraId="1986CD4B" w14:textId="031CB980" w:rsidR="004077B2" w:rsidRPr="002E48A6" w:rsidRDefault="004077B2" w:rsidP="004077B2"/>
        </w:tc>
      </w:tr>
      <w:tr w:rsidR="004077B2" w:rsidRPr="002E48A6" w14:paraId="3C876AE1" w14:textId="77777777" w:rsidTr="004077B2">
        <w:trPr>
          <w:gridAfter w:val="2"/>
          <w:wAfter w:w="10821" w:type="dxa"/>
          <w:trHeight w:val="300"/>
        </w:trPr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D99E" w14:textId="77777777" w:rsidR="004077B2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FF170F7" w14:textId="2990B4AB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Other (Not Including Serious) Adverse Events</w:t>
            </w:r>
          </w:p>
        </w:tc>
      </w:tr>
      <w:tr w:rsidR="004077B2" w:rsidRPr="002E48A6" w14:paraId="434F1D20" w14:textId="3640F65A" w:rsidTr="004077B2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797" w14:textId="23B8BBEA" w:rsidR="004077B2" w:rsidRPr="002E48A6" w:rsidRDefault="004077B2" w:rsidP="004077B2">
            <w:pPr>
              <w:spacing w:after="0" w:line="240" w:lineRule="auto"/>
              <w:ind w:left="158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 xml:space="preserve">Constipation 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FB20" w14:textId="7AD7C5F1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5/34 (14.7%)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0191" w14:textId="259593C6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10/32 (31.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E48A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10821" w:type="dxa"/>
            <w:gridSpan w:val="2"/>
            <w:vAlign w:val="bottom"/>
          </w:tcPr>
          <w:p w14:paraId="7537BB46" w14:textId="35C16252" w:rsidR="004077B2" w:rsidRPr="002E48A6" w:rsidRDefault="004077B2" w:rsidP="004077B2"/>
        </w:tc>
      </w:tr>
      <w:tr w:rsidR="004077B2" w:rsidRPr="002E48A6" w14:paraId="3E69887F" w14:textId="22D2AB9A" w:rsidTr="004077B2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1B6F" w14:textId="1C9F3B75" w:rsidR="004077B2" w:rsidRPr="002E48A6" w:rsidRDefault="004077B2" w:rsidP="004077B2">
            <w:pPr>
              <w:spacing w:after="0" w:line="240" w:lineRule="auto"/>
              <w:ind w:left="158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 xml:space="preserve">Diarrhea 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3DC0" w14:textId="42D1968D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5/34 (14.7%)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D315" w14:textId="27D28D78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2/32 (6.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E48A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10821" w:type="dxa"/>
            <w:gridSpan w:val="2"/>
            <w:vAlign w:val="bottom"/>
          </w:tcPr>
          <w:p w14:paraId="070DFC9B" w14:textId="56E5AD98" w:rsidR="004077B2" w:rsidRPr="002E48A6" w:rsidRDefault="004077B2" w:rsidP="004077B2"/>
        </w:tc>
      </w:tr>
      <w:tr w:rsidR="004077B2" w:rsidRPr="002E48A6" w14:paraId="6E5A0414" w14:textId="2ADAA34F" w:rsidTr="004077B2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EFF" w14:textId="72114C0B" w:rsidR="004077B2" w:rsidRPr="002E48A6" w:rsidRDefault="004077B2" w:rsidP="004077B2">
            <w:pPr>
              <w:spacing w:after="0" w:line="240" w:lineRule="auto"/>
              <w:ind w:left="158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 xml:space="preserve">Nausea 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704B" w14:textId="7D897D8E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3/34 (8.8%)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DB733" w14:textId="6E8A15D6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8/32 (25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  <w:r w:rsidRPr="002E48A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10821" w:type="dxa"/>
            <w:gridSpan w:val="2"/>
            <w:vAlign w:val="bottom"/>
          </w:tcPr>
          <w:p w14:paraId="20B7D7BB" w14:textId="444176D6" w:rsidR="004077B2" w:rsidRPr="002E48A6" w:rsidRDefault="004077B2" w:rsidP="004077B2"/>
        </w:tc>
      </w:tr>
      <w:tr w:rsidR="004077B2" w:rsidRPr="002E48A6" w14:paraId="37FC6E19" w14:textId="5A16F34B" w:rsidTr="004077B2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6A54" w14:textId="0756BCA2" w:rsidR="004077B2" w:rsidRPr="002E48A6" w:rsidRDefault="004077B2" w:rsidP="004077B2">
            <w:pPr>
              <w:spacing w:after="0" w:line="240" w:lineRule="auto"/>
              <w:ind w:left="158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 xml:space="preserve">Vomiting 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AE41E" w14:textId="1EA2A4BA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3/34 (8.8%)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374E" w14:textId="06414DF9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3/32 (9.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2E48A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10821" w:type="dxa"/>
            <w:gridSpan w:val="2"/>
            <w:vAlign w:val="bottom"/>
          </w:tcPr>
          <w:p w14:paraId="3D807683" w14:textId="1E78C8AF" w:rsidR="004077B2" w:rsidRPr="002E48A6" w:rsidRDefault="004077B2" w:rsidP="004077B2"/>
        </w:tc>
      </w:tr>
      <w:tr w:rsidR="004077B2" w:rsidRPr="002E48A6" w14:paraId="69AF05C9" w14:textId="73298280" w:rsidTr="004077B2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88DA" w14:textId="258F5085" w:rsidR="004077B2" w:rsidRPr="002E48A6" w:rsidRDefault="004077B2" w:rsidP="004077B2">
            <w:pPr>
              <w:spacing w:after="0" w:line="240" w:lineRule="auto"/>
              <w:ind w:left="158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 xml:space="preserve">Dizziness 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EFE2" w14:textId="0184E2AF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4/34 (11.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E48A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7F08" w14:textId="410CCC82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4/32 (12.5%)</w:t>
            </w:r>
          </w:p>
        </w:tc>
        <w:tc>
          <w:tcPr>
            <w:tcW w:w="10821" w:type="dxa"/>
            <w:gridSpan w:val="2"/>
            <w:vAlign w:val="bottom"/>
          </w:tcPr>
          <w:p w14:paraId="1A806422" w14:textId="1AB7AC5B" w:rsidR="004077B2" w:rsidRPr="002E48A6" w:rsidRDefault="004077B2" w:rsidP="004077B2"/>
        </w:tc>
      </w:tr>
      <w:tr w:rsidR="004077B2" w:rsidRPr="002E48A6" w14:paraId="241BE3DE" w14:textId="4D7E2A9D" w:rsidTr="004077B2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CC7A" w14:textId="0610C49A" w:rsidR="004077B2" w:rsidRPr="002E48A6" w:rsidRDefault="004077B2" w:rsidP="004077B2">
            <w:pPr>
              <w:spacing w:after="0" w:line="240" w:lineRule="auto"/>
              <w:ind w:left="158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 xml:space="preserve">Dry Mouth 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A6A11" w14:textId="61F917AF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3/34 (8.8%)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F0DB" w14:textId="74B74F50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10/32 (31.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E48A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10821" w:type="dxa"/>
            <w:gridSpan w:val="2"/>
            <w:vAlign w:val="bottom"/>
          </w:tcPr>
          <w:p w14:paraId="7C359E86" w14:textId="135BDD2D" w:rsidR="004077B2" w:rsidRPr="002E48A6" w:rsidRDefault="004077B2" w:rsidP="004077B2"/>
        </w:tc>
      </w:tr>
      <w:tr w:rsidR="004077B2" w:rsidRPr="002E48A6" w14:paraId="6D1787AA" w14:textId="5E5CD117" w:rsidTr="004077B2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7B1C" w14:textId="4C5309F5" w:rsidR="004077B2" w:rsidRPr="002E48A6" w:rsidRDefault="004077B2" w:rsidP="004077B2">
            <w:pPr>
              <w:spacing w:after="0" w:line="240" w:lineRule="auto"/>
              <w:ind w:left="158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 xml:space="preserve">Headache 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CDB9B" w14:textId="1728E016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4/34 (11.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E48A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19B81" w14:textId="376AB8A8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9/32 (28.1%)</w:t>
            </w:r>
          </w:p>
        </w:tc>
        <w:tc>
          <w:tcPr>
            <w:tcW w:w="10821" w:type="dxa"/>
            <w:gridSpan w:val="2"/>
            <w:vAlign w:val="bottom"/>
          </w:tcPr>
          <w:p w14:paraId="29CE3E37" w14:textId="4640D114" w:rsidR="004077B2" w:rsidRPr="002E48A6" w:rsidRDefault="004077B2" w:rsidP="004077B2"/>
        </w:tc>
      </w:tr>
      <w:tr w:rsidR="004077B2" w:rsidRPr="002E48A6" w14:paraId="746BA8C4" w14:textId="6BB515CE" w:rsidTr="004077B2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2DD" w14:textId="28B1D6D2" w:rsidR="004077B2" w:rsidRPr="002E48A6" w:rsidRDefault="004077B2" w:rsidP="004077B2">
            <w:pPr>
              <w:spacing w:after="0" w:line="240" w:lineRule="auto"/>
              <w:ind w:left="158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 xml:space="preserve">Insomnia 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526BC" w14:textId="4ABFA243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9/34 (26.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2E48A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BDAF5" w14:textId="1CAD4D88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7/32 (21.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2E48A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10821" w:type="dxa"/>
            <w:gridSpan w:val="2"/>
            <w:vAlign w:val="bottom"/>
          </w:tcPr>
          <w:p w14:paraId="1D12672A" w14:textId="3FA1BBEA" w:rsidR="004077B2" w:rsidRPr="002E48A6" w:rsidRDefault="004077B2" w:rsidP="004077B2"/>
        </w:tc>
      </w:tr>
      <w:tr w:rsidR="004077B2" w:rsidRPr="002E48A6" w14:paraId="689B588F" w14:textId="080A02E6" w:rsidTr="004077B2">
        <w:trPr>
          <w:trHeight w:val="3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725" w14:textId="498AEF76" w:rsidR="004077B2" w:rsidRPr="002E48A6" w:rsidRDefault="004077B2" w:rsidP="004077B2">
            <w:pPr>
              <w:spacing w:after="0" w:line="240" w:lineRule="auto"/>
              <w:ind w:left="158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 xml:space="preserve">Anxiety 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0EAA" w14:textId="522F28CC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6/34 (17.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2E48A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8300" w14:textId="2943D318" w:rsidR="004077B2" w:rsidRPr="002E48A6" w:rsidRDefault="004077B2" w:rsidP="00407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48A6">
              <w:rPr>
                <w:rFonts w:ascii="Calibri" w:eastAsia="Times New Roman" w:hAnsi="Calibri" w:cs="Calibri"/>
                <w:color w:val="000000"/>
              </w:rPr>
              <w:t>2/32 (6.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E48A6">
              <w:rPr>
                <w:rFonts w:ascii="Calibri" w:eastAsia="Times New Roman" w:hAnsi="Calibri" w:cs="Calibri"/>
                <w:color w:val="000000"/>
              </w:rPr>
              <w:t>%)</w:t>
            </w:r>
          </w:p>
        </w:tc>
        <w:tc>
          <w:tcPr>
            <w:tcW w:w="10821" w:type="dxa"/>
            <w:gridSpan w:val="2"/>
            <w:vAlign w:val="bottom"/>
          </w:tcPr>
          <w:p w14:paraId="031DF25F" w14:textId="3AB2DD12" w:rsidR="004077B2" w:rsidRPr="002E48A6" w:rsidRDefault="004077B2" w:rsidP="004077B2"/>
        </w:tc>
      </w:tr>
    </w:tbl>
    <w:p w14:paraId="102C068E" w14:textId="62A7FEA9" w:rsidR="004077B2" w:rsidRPr="00003759" w:rsidRDefault="004077B2" w:rsidP="00003759">
      <w:r>
        <w:t>_____________________________________________________________________</w:t>
      </w:r>
    </w:p>
    <w:p w14:paraId="4AD58A3E" w14:textId="2E0B01C6" w:rsidR="002E48A6" w:rsidRPr="00003759" w:rsidRDefault="004077B2" w:rsidP="004077B2">
      <w:pPr>
        <w:spacing w:after="0" w:line="360" w:lineRule="auto"/>
      </w:pPr>
      <w:r>
        <w:t xml:space="preserve">Note:  Adverse (side effect) events reported </w:t>
      </w:r>
      <w:r w:rsidRPr="00003759">
        <w:t xml:space="preserve">by </w:t>
      </w:r>
      <w:r w:rsidRPr="00003759">
        <w:rPr>
          <w:u w:val="single"/>
        </w:rPr>
        <w:t>&gt;</w:t>
      </w:r>
      <w:r w:rsidRPr="00003759">
        <w:t xml:space="preserve">5% of participants in either </w:t>
      </w:r>
      <w:r>
        <w:t>naltrexone/bupropion</w:t>
      </w:r>
      <w:r w:rsidR="00DF6C21">
        <w:t xml:space="preserve"> </w:t>
      </w:r>
      <w:r>
        <w:t>or placebo treatment conditions</w:t>
      </w:r>
      <w:r w:rsidR="002E48A6" w:rsidRPr="00003759">
        <w:t xml:space="preserve"> </w:t>
      </w:r>
      <w:r>
        <w:t xml:space="preserve">during systematic assessment at month one during this maintenance trial. These adverse event data are included in the </w:t>
      </w:r>
      <w:r w:rsidR="002E48A6" w:rsidRPr="00003759">
        <w:t xml:space="preserve">clinicaltrials.gov record (NCT03047005). We report side effects experienced by </w:t>
      </w:r>
      <w:r w:rsidR="002E48A6" w:rsidRPr="00003759">
        <w:rPr>
          <w:u w:val="single"/>
        </w:rPr>
        <w:t>&gt;</w:t>
      </w:r>
      <w:r w:rsidR="002E48A6" w:rsidRPr="00003759">
        <w:t>5% of participants in either arm.</w:t>
      </w:r>
    </w:p>
    <w:sectPr w:rsidR="002E48A6" w:rsidRPr="00003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A6"/>
    <w:rsid w:val="00003759"/>
    <w:rsid w:val="002E48A6"/>
    <w:rsid w:val="004077B2"/>
    <w:rsid w:val="00621FB1"/>
    <w:rsid w:val="00764E87"/>
    <w:rsid w:val="007C56F9"/>
    <w:rsid w:val="00C121D9"/>
    <w:rsid w:val="00CD1ADD"/>
    <w:rsid w:val="00D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778C"/>
  <w15:chartTrackingRefBased/>
  <w15:docId w15:val="{E4331448-1FBC-4B93-8BD7-485E2DAF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Lydecker, Janet</dc:creator>
  <cp:keywords/>
  <dc:description/>
  <cp:lastModifiedBy>Grilo, Carlos</cp:lastModifiedBy>
  <cp:revision>2</cp:revision>
  <dcterms:created xsi:type="dcterms:W3CDTF">2023-05-02T15:32:00Z</dcterms:created>
  <dcterms:modified xsi:type="dcterms:W3CDTF">2023-05-02T15:32:00Z</dcterms:modified>
</cp:coreProperties>
</file>