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9356" w14:textId="5713549C" w:rsidR="001465BD" w:rsidRPr="007A66ED" w:rsidRDefault="007A66E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66ED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Methods</w:t>
      </w:r>
    </w:p>
    <w:p w14:paraId="234FCE11" w14:textId="5D8D65C7" w:rsidR="007A66ED" w:rsidRDefault="007A66ED" w:rsidP="007A66ED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Functional MRI image acquisition protocol</w:t>
      </w:r>
    </w:p>
    <w:p w14:paraId="47A12742" w14:textId="77777777" w:rsidR="007A66ED" w:rsidRDefault="007A66ED" w:rsidP="007A66E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MRI data were acquired at Copenhagen University Hospital,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Righospitalet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using a 3-Tesla Siemens Prisma scanner and a 64-channel head-neck coil. We acquired two T2*-weighted gradient echo spiral echo-planar (EPI) blood-oxygen-level-dependent (BOLD) sequences with the same parameters during performance of the spatial and verbal </w:t>
      </w:r>
      <w:r w:rsidRPr="003110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N-back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tasks: echo time (TE) of 30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repetition time (TR) of 2 s, and flip angle of 90°. The volumes consisted of 32 slices with a slice thickness of 3 mm with 25% gaps in-between and a field-of-view of 230×230 mm using a 64×64 grid. There were 300 and 230 volumes acquired for the verbal and spatial </w:t>
      </w:r>
      <w:r w:rsidRPr="003110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N-back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tasks, respectively. The BOLD images were registered to a T1-weighted structural images acquired with a TR=1900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; TE=2.58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; flip angle=9°; distance factor=50%; field-of-view (FOV)=230×230 mm; slice thickness=0.9 mm. Further, we also acquired a standard B0 field map sequence with the same FOV and resolution as the fMRI sequence (TR=400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; TEs=4.92 and 7.38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; flip angle=60°) and used for geometric distortions correction of the</w:t>
      </w:r>
      <w:r w:rsidDel="00FE18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BOLD images. We ensured image quality through visual inspection of each individual participant’s neuroimages. During fMRI scans, task paradigms were displayed on a screen that participants viewed through an angled mirror in the scanner.</w:t>
      </w:r>
    </w:p>
    <w:p w14:paraId="53478110" w14:textId="77777777" w:rsidR="00466F58" w:rsidRDefault="00466F58" w:rsidP="00466F5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D9D1A5" w14:textId="6D5E3C98" w:rsidR="00466F58" w:rsidRDefault="00466F58" w:rsidP="00466F5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66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7FB2EDF0" w14:textId="792F27BD" w:rsidR="00466F58" w:rsidRPr="00466F58" w:rsidRDefault="00466F58" w:rsidP="00466F5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3DE4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Post-hoc analysis of the effect of medication on WM-related activations</w:t>
      </w:r>
    </w:p>
    <w:p w14:paraId="0E5EFEB6" w14:textId="493E9796" w:rsidR="00466F58" w:rsidRDefault="00466F58" w:rsidP="00466F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7162555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0B8">
        <w:rPr>
          <w:rFonts w:ascii="Times New Roman" w:hAnsi="Times New Roman" w:cs="Times New Roman"/>
          <w:sz w:val="24"/>
          <w:szCs w:val="24"/>
          <w:lang w:val="en-US"/>
        </w:rPr>
        <w:t>omparison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76E">
        <w:rPr>
          <w:rFonts w:ascii="Times New Roman" w:hAnsi="Times New Roman" w:cs="Times New Roman"/>
          <w:sz w:val="24"/>
          <w:szCs w:val="24"/>
          <w:lang w:val="en-US"/>
        </w:rPr>
        <w:t>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medicated (80%) vs. unmedicated (20%) patients revealed significantly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increased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left MFG activity during verbal N-back performance in those not receiving medication (BOLD response, M=0.47, SD=0.22) relative to those receiving medication (BOLD response, M=0.20, SD=0.25), (</w:t>
      </w:r>
      <w:proofErr w:type="gramStart"/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64)=2.36,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=0.021) (remaining clusters: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s≥0.2). Patients receiving antipsychotics (UD, n=2 (11%); BD, n=20 (43%)) displayed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increased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activity of the right MFG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dlPFC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and posterior SMG (all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≤0.04) during verbal N-back compared to those not receiving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antipsychotics (UD, n=17 (89%); BD, n=27 (57%)) (remaining </w:t>
      </w:r>
      <w:r w:rsidRPr="003510A5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s≥0.1). In contrast, patients receiving antidepressants (UD, n=11 (58%); BD, n=9 (19%)) had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activity of the left SFG during visuospatial N-back (2-back&gt;0-back), left posterior and medial SFG (dmPFC), right MFG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dlPFC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left MFG, right posterior SMG, and precuneus (all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≤0.02) compared to those not receiving antidepressants (UD patients, n=8 (42%); BD, n=16 (81%), remaining </w:t>
      </w:r>
      <w:r w:rsidRPr="003510A5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≥0.1). There were no differences in BOLD response across the 12 clusters between patients treated vs. not treated with anticonvulsants, lithium, or other medications (all </w:t>
      </w:r>
      <w:r w:rsidRPr="00FA735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≥0.2).</w:t>
      </w:r>
    </w:p>
    <w:p w14:paraId="33CD346B" w14:textId="77777777" w:rsidR="001E276E" w:rsidRDefault="001E276E" w:rsidP="00466F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B5FDFC" w14:textId="4148AB36" w:rsidR="001E276E" w:rsidRPr="00466F58" w:rsidRDefault="001E276E" w:rsidP="001E276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3D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Post-hoc analysis of the effect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diagnosis</w:t>
      </w:r>
      <w:r w:rsidRPr="00E73D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 WM-related activations</w:t>
      </w:r>
    </w:p>
    <w:p w14:paraId="43F42499" w14:textId="082CDA3A" w:rsidR="004914C3" w:rsidRPr="004914C3" w:rsidRDefault="001E276E" w:rsidP="001E276E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17162698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0B8">
        <w:rPr>
          <w:rFonts w:ascii="Times New Roman" w:hAnsi="Times New Roman" w:cs="Times New Roman"/>
          <w:sz w:val="24"/>
          <w:szCs w:val="24"/>
          <w:lang w:val="en-US"/>
        </w:rPr>
        <w:t>omparison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patients with unipolar (</w:t>
      </w:r>
      <w:r w:rsidR="006C6752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%) vs. bipolar (</w:t>
      </w:r>
      <w:r w:rsidR="006C6752">
        <w:rPr>
          <w:rFonts w:ascii="Times New Roman" w:hAnsi="Times New Roman" w:cs="Times New Roman"/>
          <w:sz w:val="24"/>
          <w:szCs w:val="24"/>
          <w:lang w:val="en-US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>%) disorder revealed</w:t>
      </w:r>
      <w:r w:rsidR="006C6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significant differences in WM-related activations (BOLD response) across </w:t>
      </w:r>
      <w:r w:rsidR="006C6752">
        <w:rPr>
          <w:rFonts w:ascii="Times New Roman" w:hAnsi="Times New Roman" w:cs="Times New Roman"/>
          <w:sz w:val="24"/>
          <w:szCs w:val="24"/>
          <w:lang w:val="en-US"/>
        </w:rPr>
        <w:t xml:space="preserve">the 12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clusters: </w:t>
      </w:r>
      <w:bookmarkEnd w:id="1"/>
    </w:p>
    <w:p w14:paraId="783EF760" w14:textId="3BBC91FA" w:rsidR="004914C3" w:rsidRDefault="001E276E" w:rsidP="001E276E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D49">
        <w:rPr>
          <w:rFonts w:ascii="Times New Roman" w:hAnsi="Times New Roman" w:cs="Times New Roman"/>
          <w:i/>
          <w:iCs/>
          <w:sz w:val="24"/>
          <w:szCs w:val="24"/>
          <w:lang w:val="en-US"/>
        </w:rPr>
        <w:t>Visuospatial N-back</w:t>
      </w:r>
      <w:r w:rsidR="004914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6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ROI right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dlPFC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(2&gt;0) (BD: M=0.48, SD=0.37; UD: M=0.41, SD=0.29), </w:t>
      </w:r>
      <w:r w:rsidRPr="00B64D4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=0.5; ROI right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dlPFC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(2&gt;1) (BD: M=0.19, SD=0.23; UD: M=0.11, SD=0.28), </w:t>
      </w:r>
      <w:r w:rsidRPr="002F6B9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=0.2; right SFG (BD: M=0.25, SD=0.26; UD: M=0.23, SD=0.27), </w:t>
      </w:r>
      <w:r w:rsidRPr="002F6B9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=0.8; left SFG (BD: M=0.27, SD=0.26; UD: M=0.25, SD=0.28), </w:t>
      </w:r>
      <w:r w:rsidRPr="002F6B9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=0.7; left OFC (BD: M= -0.38, SD=0.43; UD: M= -0.41, SD=0.47), </w:t>
      </w:r>
      <w:r w:rsidRPr="002F6B9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=0.8.</w:t>
      </w:r>
    </w:p>
    <w:p w14:paraId="3FB8E177" w14:textId="77777777" w:rsidR="004914C3" w:rsidRDefault="004914C3" w:rsidP="001E276E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2D33DF0" w14:textId="4C38F26B" w:rsidR="001E276E" w:rsidRPr="003E3431" w:rsidRDefault="001E276E" w:rsidP="001E276E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D49">
        <w:rPr>
          <w:rFonts w:ascii="Times New Roman" w:hAnsi="Times New Roman" w:cs="Times New Roman"/>
          <w:i/>
          <w:iCs/>
          <w:sz w:val="24"/>
          <w:szCs w:val="24"/>
          <w:lang w:val="en-US"/>
        </w:rPr>
        <w:t>Verbal N-back</w:t>
      </w:r>
      <w:r w:rsidR="004914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6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Left </w:t>
      </w:r>
      <w:proofErr w:type="spellStart"/>
      <w:r w:rsidRPr="003E3431">
        <w:rPr>
          <w:rFonts w:ascii="Times New Roman" w:hAnsi="Times New Roman" w:cs="Times New Roman"/>
          <w:sz w:val="24"/>
          <w:szCs w:val="24"/>
          <w:lang w:val="en-US"/>
        </w:rPr>
        <w:t>dlPFC</w:t>
      </w:r>
      <w:proofErr w:type="spellEnd"/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 (BD: M=0.</w:t>
      </w:r>
      <w:r w:rsidRPr="00B64D49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 w:rsidRPr="00B64D4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M=0.</w:t>
      </w:r>
      <w:r w:rsidRPr="00B64D4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SD=0.2</w:t>
      </w:r>
      <w:r w:rsidRPr="00B64D4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 w:rsidRPr="00B64D49">
        <w:rPr>
          <w:rFonts w:ascii="Times New Roman" w:hAnsi="Times New Roman" w:cs="Times New Roman"/>
          <w:sz w:val="24"/>
          <w:szCs w:val="24"/>
          <w:lang w:val="en-US"/>
        </w:rPr>
        <w:t>4; left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posterior SFG (dmPFC)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 (BD: M=0.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 w:rsidRPr="002F6B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M=0.</w:t>
      </w:r>
      <w:r w:rsidRPr="002F6B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3; </w:t>
      </w:r>
      <w:r w:rsidRPr="002F6B94">
        <w:rPr>
          <w:rFonts w:ascii="Times New Roman" w:hAnsi="Times New Roman" w:cs="Times New Roman"/>
          <w:sz w:val="24"/>
          <w:szCs w:val="24"/>
          <w:lang w:val="en-US"/>
        </w:rPr>
        <w:t>left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medial SFG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M=0.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M=0.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>8; right MFG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dlPFC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M=0.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M=0.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>2;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MFG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M=0.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M=0.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8; right SMG (posterior)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M=0.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M=0.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>3;</w:t>
      </w:r>
      <w:r w:rsidRPr="00147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precuneus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M=0.</w:t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M=0.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2; left SMG (anterior)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-0.01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>3;</w:t>
      </w:r>
      <w:r w:rsidRPr="00147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postcentral gyrus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-0.11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4; left OFC 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(BD: M=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; UD: M=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-0.23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, SD=0.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E3431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E3431">
        <w:rPr>
          <w:rFonts w:ascii="Times New Roman" w:hAnsi="Times New Roman" w:cs="Times New Roman"/>
          <w:sz w:val="24"/>
          <w:szCs w:val="24"/>
          <w:lang w:val="en-US"/>
        </w:rPr>
        <w:t>=0.</w:t>
      </w:r>
      <w:r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14:paraId="79946A8A" w14:textId="77777777" w:rsidR="001E276E" w:rsidRDefault="001E276E" w:rsidP="00466F58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4037"/>
      </w:tblGrid>
      <w:tr w:rsidR="007A66ED" w:rsidRPr="00462D37" w14:paraId="43F6E47C" w14:textId="77777777" w:rsidTr="000F7FA9">
        <w:trPr>
          <w:trHeight w:val="584"/>
        </w:trPr>
        <w:tc>
          <w:tcPr>
            <w:tcW w:w="9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0DC4E2B9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>Supplementary Table 1.</w:t>
            </w: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  Grouping of neurocognitive tests into cognitive domains</w:t>
            </w:r>
          </w:p>
          <w:p w14:paraId="553A8F73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  <w:p w14:paraId="429E0A1D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7A66ED" w:rsidRPr="004914C3" w14:paraId="5021BD12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A83CBD" w14:textId="77777777" w:rsidR="007A66ED" w:rsidRPr="004914C3" w:rsidRDefault="007A66ED" w:rsidP="000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Cognitive domains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2F1ABD" w14:textId="77777777" w:rsidR="007A66ED" w:rsidRPr="004914C3" w:rsidRDefault="007A66ED" w:rsidP="000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Neurocognitive test</w:t>
            </w:r>
          </w:p>
        </w:tc>
      </w:tr>
      <w:tr w:rsidR="007A66ED" w:rsidRPr="004914C3" w14:paraId="0FC926D5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168" w14:textId="77777777" w:rsidR="007A66ED" w:rsidRPr="004914C3" w:rsidRDefault="007A66ED" w:rsidP="000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Attention and psychomotor speed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42C4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CANTAB RVP A’</w:t>
            </w:r>
          </w:p>
        </w:tc>
      </w:tr>
      <w:tr w:rsidR="007A66ED" w:rsidRPr="004914C3" w14:paraId="5175C1C3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73C0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5355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CANTAB RVP Mean Latency </w:t>
            </w:r>
          </w:p>
        </w:tc>
      </w:tr>
      <w:tr w:rsidR="007A66ED" w:rsidRPr="004914C3" w14:paraId="1A729B25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689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071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RBANS Coding</w:t>
            </w:r>
          </w:p>
        </w:tc>
      </w:tr>
      <w:tr w:rsidR="007A66ED" w:rsidRPr="004914C3" w14:paraId="7170978D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7D8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D54C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RBANS Digit Span</w:t>
            </w:r>
          </w:p>
        </w:tc>
      </w:tr>
      <w:tr w:rsidR="007A66ED" w:rsidRPr="004914C3" w14:paraId="568C18EF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FF5A" w14:textId="77777777" w:rsidR="007A66ED" w:rsidRPr="004914C3" w:rsidRDefault="007A66ED" w:rsidP="000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CE60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TMT-A</w:t>
            </w:r>
          </w:p>
        </w:tc>
      </w:tr>
      <w:tr w:rsidR="007A66ED" w:rsidRPr="00462D37" w14:paraId="081B9202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D6B" w14:textId="77777777" w:rsidR="007A66ED" w:rsidRPr="004914C3" w:rsidRDefault="007A66ED" w:rsidP="000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Verbal learning and memory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AE7B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RAVLT List I-V Total recall</w:t>
            </w:r>
          </w:p>
        </w:tc>
      </w:tr>
      <w:tr w:rsidR="007A66ED" w:rsidRPr="004914C3" w14:paraId="51C942D4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ACE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3D88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RAVLT Immediate recall</w:t>
            </w:r>
          </w:p>
        </w:tc>
      </w:tr>
      <w:tr w:rsidR="007A66ED" w:rsidRPr="004914C3" w14:paraId="1DD926B2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03E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611C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RAVLT Delayed recall</w:t>
            </w:r>
          </w:p>
        </w:tc>
      </w:tr>
      <w:tr w:rsidR="007A66ED" w:rsidRPr="004914C3" w14:paraId="176783CB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E44FF" w14:textId="77777777" w:rsidR="007A66ED" w:rsidRPr="004914C3" w:rsidRDefault="007A66ED" w:rsidP="000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A54E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RAVLT Recognition</w:t>
            </w:r>
          </w:p>
        </w:tc>
      </w:tr>
      <w:tr w:rsidR="007A66ED" w:rsidRPr="004914C3" w14:paraId="1D59A6BB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04B" w14:textId="77777777" w:rsidR="007A66ED" w:rsidRPr="004914C3" w:rsidRDefault="007A66ED" w:rsidP="000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Working memory and executive functions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CD5F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CANTAB SWM Between errors</w:t>
            </w:r>
          </w:p>
        </w:tc>
      </w:tr>
      <w:tr w:rsidR="007A66ED" w:rsidRPr="004914C3" w14:paraId="33618183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918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7A4C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CANTAB SWM Strategy</w:t>
            </w:r>
          </w:p>
        </w:tc>
      </w:tr>
      <w:tr w:rsidR="007A66ED" w:rsidRPr="004914C3" w14:paraId="497D9B22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881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581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TMT-B</w:t>
            </w:r>
          </w:p>
        </w:tc>
      </w:tr>
      <w:tr w:rsidR="007A66ED" w:rsidRPr="00462D37" w14:paraId="3292DDC0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35F3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99DF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Verbal Fluency (letters S+D)</w:t>
            </w:r>
          </w:p>
        </w:tc>
      </w:tr>
      <w:tr w:rsidR="007A66ED" w:rsidRPr="004914C3" w14:paraId="7F6C1766" w14:textId="77777777" w:rsidTr="000F7FA9">
        <w:trPr>
          <w:trHeight w:val="584"/>
        </w:trPr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CB24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0D5B" w14:textId="77777777" w:rsidR="007A66ED" w:rsidRPr="004914C3" w:rsidRDefault="007A66ED" w:rsidP="000F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WAIS-III LNS</w:t>
            </w:r>
          </w:p>
        </w:tc>
      </w:tr>
      <w:tr w:rsidR="007A66ED" w:rsidRPr="00462D37" w14:paraId="283D5309" w14:textId="77777777" w:rsidTr="000F7FA9">
        <w:trPr>
          <w:trHeight w:val="584"/>
        </w:trPr>
        <w:tc>
          <w:tcPr>
            <w:tcW w:w="9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9EDC" w14:textId="77777777" w:rsidR="007A66ED" w:rsidRPr="004914C3" w:rsidRDefault="007A66ED" w:rsidP="000F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49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Abbreviations: CANTAB=Cambridge Neuropsychological Test Automated Battery; RVP=Rapid Visual Information Processing; RBANS=Repeatable Battery for the Assessment of Neuropsychological Status; RAVLT=Rey Auditory Verbal Learning Test; TMT-A=Trail Making Test Part A; TMT-B=Trail Making Test Part B; SWM=Spatial Working Memory; WAIS-III LNS: Wechsler’s Adult Intelligence Scale 3</w:t>
            </w:r>
            <w:r w:rsidRPr="0049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rd</w:t>
            </w:r>
            <w:r w:rsidRPr="0049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edition Letter-Number-Sequencing; </w:t>
            </w:r>
          </w:p>
        </w:tc>
      </w:tr>
    </w:tbl>
    <w:p w14:paraId="6446A49E" w14:textId="3A95E219" w:rsidR="00466F58" w:rsidRDefault="00466F58">
      <w:pPr>
        <w:spacing w:line="259" w:lineRule="auto"/>
        <w:rPr>
          <w:lang w:val="en-US"/>
        </w:rPr>
      </w:pPr>
    </w:p>
    <w:sectPr w:rsidR="00466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C"/>
    <w:rsid w:val="001465BD"/>
    <w:rsid w:val="00183BEC"/>
    <w:rsid w:val="001E276E"/>
    <w:rsid w:val="002E190E"/>
    <w:rsid w:val="00462D37"/>
    <w:rsid w:val="00466F58"/>
    <w:rsid w:val="004914C3"/>
    <w:rsid w:val="006C6752"/>
    <w:rsid w:val="00702657"/>
    <w:rsid w:val="007A66ED"/>
    <w:rsid w:val="007D0E79"/>
    <w:rsid w:val="00872DE5"/>
    <w:rsid w:val="008D54FD"/>
    <w:rsid w:val="00BD330C"/>
    <w:rsid w:val="00D67198"/>
    <w:rsid w:val="00D75F5D"/>
    <w:rsid w:val="00E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D04D"/>
  <w15:chartTrackingRefBased/>
  <w15:docId w15:val="{C91400D0-BB00-476E-B749-53299120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728</Words>
  <Characters>4151</Characters>
  <Application>Microsoft Office Word</Application>
  <DocSecurity>0</DocSecurity>
  <Lines>34</Lines>
  <Paragraphs>9</Paragraphs>
  <ScaleCrop>false</ScaleCrop>
  <Company>Region Hovedstaden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Zarp Petersen</dc:creator>
  <cp:keywords/>
  <dc:description/>
  <cp:lastModifiedBy>Julian Macoveanu</cp:lastModifiedBy>
  <cp:revision>14</cp:revision>
  <dcterms:created xsi:type="dcterms:W3CDTF">2022-03-28T12:50:00Z</dcterms:created>
  <dcterms:modified xsi:type="dcterms:W3CDTF">2023-01-29T19:57:00Z</dcterms:modified>
</cp:coreProperties>
</file>