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816B" w14:textId="77777777" w:rsidR="00420237" w:rsidRDefault="00420237" w:rsidP="00CF493F">
      <w:pPr>
        <w:pStyle w:val="ArticleTitle"/>
        <w:spacing w:line="240" w:lineRule="auto"/>
        <w:jc w:val="left"/>
        <w:rPr>
          <w:rFonts w:asciiTheme="minorHAnsi" w:hAnsiTheme="minorHAnsi" w:cstheme="minorHAnsi"/>
          <w:b/>
          <w:sz w:val="28"/>
          <w:szCs w:val="28"/>
        </w:rPr>
      </w:pPr>
      <w:r>
        <w:rPr>
          <w:rFonts w:asciiTheme="minorHAnsi" w:hAnsiTheme="minorHAnsi" w:cstheme="minorHAnsi"/>
          <w:b/>
          <w:sz w:val="28"/>
          <w:szCs w:val="28"/>
        </w:rPr>
        <w:t>Using</w:t>
      </w:r>
      <w:r w:rsidRPr="00A57D18">
        <w:rPr>
          <w:rFonts w:asciiTheme="minorHAnsi" w:hAnsiTheme="minorHAnsi" w:cstheme="minorHAnsi"/>
          <w:b/>
          <w:sz w:val="28"/>
          <w:szCs w:val="28"/>
        </w:rPr>
        <w:t xml:space="preserve"> </w:t>
      </w:r>
      <w:r w:rsidRPr="00A57D18">
        <w:rPr>
          <w:rFonts w:asciiTheme="minorHAnsi" w:hAnsiTheme="minorHAnsi" w:cstheme="minorHAnsi"/>
          <w:b/>
          <w:sz w:val="28"/>
          <w:szCs w:val="28"/>
        </w:rPr>
        <w:t xml:space="preserve">local scientific knowledge </w:t>
      </w:r>
      <w:r>
        <w:rPr>
          <w:rFonts w:asciiTheme="minorHAnsi" w:hAnsiTheme="minorHAnsi" w:cstheme="minorHAnsi"/>
          <w:b/>
          <w:sz w:val="28"/>
          <w:szCs w:val="28"/>
        </w:rPr>
        <w:t xml:space="preserve">for </w:t>
      </w:r>
      <w:r w:rsidRPr="00A57D18">
        <w:rPr>
          <w:rFonts w:asciiTheme="minorHAnsi" w:hAnsiTheme="minorHAnsi" w:cstheme="minorHAnsi"/>
          <w:b/>
          <w:sz w:val="28"/>
          <w:szCs w:val="28"/>
        </w:rPr>
        <w:t xml:space="preserve">transboundary </w:t>
      </w:r>
      <w:r>
        <w:rPr>
          <w:rFonts w:asciiTheme="minorHAnsi" w:hAnsiTheme="minorHAnsi" w:cstheme="minorHAnsi"/>
          <w:b/>
          <w:sz w:val="28"/>
          <w:szCs w:val="28"/>
        </w:rPr>
        <w:t>conservation:</w:t>
      </w:r>
      <w:r w:rsidRPr="00A57D18">
        <w:rPr>
          <w:rFonts w:asciiTheme="minorHAnsi" w:hAnsiTheme="minorHAnsi" w:cstheme="minorHAnsi"/>
          <w:b/>
          <w:sz w:val="28"/>
          <w:szCs w:val="28"/>
        </w:rPr>
        <w:t xml:space="preserve"> </w:t>
      </w:r>
      <w:r>
        <w:rPr>
          <w:rFonts w:asciiTheme="minorHAnsi" w:hAnsiTheme="minorHAnsi" w:cstheme="minorHAnsi"/>
          <w:b/>
          <w:sz w:val="28"/>
          <w:szCs w:val="28"/>
        </w:rPr>
        <w:t xml:space="preserve">distribution </w:t>
      </w:r>
      <w:r w:rsidRPr="00A57D18">
        <w:rPr>
          <w:rFonts w:asciiTheme="minorHAnsi" w:hAnsiTheme="minorHAnsi" w:cstheme="minorHAnsi"/>
          <w:b/>
          <w:sz w:val="28"/>
          <w:szCs w:val="28"/>
        </w:rPr>
        <w:t>modelling for the taruka in South America</w:t>
      </w:r>
    </w:p>
    <w:p w14:paraId="3E95834A" w14:textId="77777777" w:rsidR="00420237" w:rsidRPr="00A57D18" w:rsidRDefault="00420237" w:rsidP="00F2011C">
      <w:pPr>
        <w:pStyle w:val="ArticleTitle"/>
        <w:spacing w:line="240" w:lineRule="auto"/>
        <w:jc w:val="left"/>
        <w:rPr>
          <w:rFonts w:asciiTheme="minorHAnsi" w:hAnsiTheme="minorHAnsi" w:cstheme="minorHAnsi"/>
          <w:b/>
          <w:sz w:val="28"/>
          <w:szCs w:val="28"/>
        </w:rPr>
      </w:pPr>
    </w:p>
    <w:p w14:paraId="731C88F3" w14:textId="570E50FB" w:rsidR="0030569A" w:rsidRDefault="00A643F4" w:rsidP="00CF493F">
      <w:pPr>
        <w:pStyle w:val="Namesaddresses"/>
        <w:spacing w:line="240" w:lineRule="auto"/>
        <w:jc w:val="right"/>
        <w:rPr>
          <w:rStyle w:val="Oryxauthornames"/>
          <w:lang w:val="es-CL"/>
        </w:rPr>
      </w:pPr>
      <w:r w:rsidRPr="0093394C">
        <w:rPr>
          <w:rStyle w:val="Oryxauthornames"/>
          <w:lang w:val="es-CL"/>
        </w:rPr>
        <w:t xml:space="preserve">Nicolás Fuentes-Allende, Cristina Mata, Javier Barrio, Paulo Corti, Gabriel Llerena, Velia Mendoza, Ángela Nuñez, Ramiro Ovejero, Luis F. Pacheco, Hernán Pastore, Josef Rechberger, Hector A. Regidor, Jhonson Vizcarra, </w:t>
      </w:r>
    </w:p>
    <w:p w14:paraId="26513C42" w14:textId="001CE874" w:rsidR="00A643F4" w:rsidRPr="009C7E2B" w:rsidRDefault="00A643F4" w:rsidP="00F2011C">
      <w:pPr>
        <w:pStyle w:val="Namesaddresses"/>
        <w:spacing w:line="240" w:lineRule="auto"/>
        <w:jc w:val="right"/>
        <w:rPr>
          <w:lang w:val="es-CL"/>
        </w:rPr>
      </w:pPr>
      <w:r w:rsidRPr="0093394C">
        <w:rPr>
          <w:rStyle w:val="Oryxauthornames"/>
          <w:lang w:val="es-CL"/>
        </w:rPr>
        <w:t>Esteban Zúñiga</w:t>
      </w:r>
      <w:r w:rsidR="0030569A" w:rsidRPr="00F2011C">
        <w:rPr>
          <w:rStyle w:val="Oryxauthornames"/>
          <w:smallCaps w:val="0"/>
          <w:lang w:val="es-CL"/>
        </w:rPr>
        <w:t xml:space="preserve"> and</w:t>
      </w:r>
      <w:r w:rsidRPr="0093394C">
        <w:rPr>
          <w:rStyle w:val="Oryxauthornames"/>
          <w:lang w:val="es-CL"/>
        </w:rPr>
        <w:t xml:space="preserve"> Benito A. González</w:t>
      </w:r>
    </w:p>
    <w:p w14:paraId="28A61F2F" w14:textId="77777777" w:rsidR="00863539" w:rsidRDefault="00863539" w:rsidP="00CF493F">
      <w:pPr>
        <w:pStyle w:val="Level1header"/>
        <w:spacing w:line="240" w:lineRule="auto"/>
        <w:rPr>
          <w:rFonts w:ascii="Times New Roman" w:hAnsi="Times New Roman"/>
          <w:b w:val="0"/>
          <w:lang w:val="es-CL"/>
        </w:rPr>
      </w:pPr>
    </w:p>
    <w:p w14:paraId="0107994E" w14:textId="77777777" w:rsidR="00863539" w:rsidRPr="002C2FEA" w:rsidRDefault="00863539" w:rsidP="00863539">
      <w:pPr>
        <w:shd w:val="clear" w:color="auto" w:fill="B4C6E7" w:themeFill="accent1" w:themeFillTint="66"/>
        <w:spacing w:line="240" w:lineRule="auto"/>
        <w:rPr>
          <w:rFonts w:ascii="Times New Roman" w:eastAsia="Times New Roman" w:hAnsi="Times New Roman" w:cs="Times New Roman"/>
          <w:sz w:val="24"/>
          <w:szCs w:val="24"/>
          <w:lang w:eastAsia="zh-CN"/>
        </w:rPr>
      </w:pPr>
      <w:bookmarkStart w:id="0" w:name="_Hlk149844669"/>
      <w:r w:rsidRPr="002C2FEA">
        <w:rPr>
          <w:rFonts w:ascii="Times New Roman" w:eastAsia="Times New Roman" w:hAnsi="Times New Roman" w:cs="Times New Roman"/>
          <w:sz w:val="24"/>
          <w:szCs w:val="24"/>
          <w:lang w:eastAsia="zh-CN"/>
        </w:rPr>
        <w:t>Supplementa</w:t>
      </w:r>
      <w:r>
        <w:rPr>
          <w:rFonts w:ascii="Times New Roman" w:eastAsia="Times New Roman" w:hAnsi="Times New Roman" w:cs="Times New Roman"/>
          <w:sz w:val="24"/>
          <w:szCs w:val="24"/>
          <w:lang w:eastAsia="zh-CN"/>
        </w:rPr>
        <w:t>ry</w:t>
      </w:r>
      <w:r w:rsidRPr="002C2FEA">
        <w:rPr>
          <w:rFonts w:ascii="Times New Roman" w:eastAsia="Times New Roman" w:hAnsi="Times New Roman" w:cs="Times New Roman"/>
          <w:sz w:val="24"/>
          <w:szCs w:val="24"/>
          <w:lang w:eastAsia="zh-CN"/>
        </w:rPr>
        <w:t xml:space="preserve"> material is published as supplied by the authors. It is not checked for accuracy, copyedited, typeset or proofread. The responsibility for accuracy and file functionality remains with the authors.</w:t>
      </w:r>
    </w:p>
    <w:bookmarkEnd w:id="0"/>
    <w:p w14:paraId="4054A8F3" w14:textId="6DB1B6D6" w:rsidR="00251866" w:rsidRDefault="00CF493F" w:rsidP="00CF493F">
      <w:pPr>
        <w:pStyle w:val="Level1header"/>
        <w:spacing w:line="240" w:lineRule="auto"/>
        <w:rPr>
          <w:rFonts w:ascii="Times New Roman" w:hAnsi="Times New Roman" w:cs="Times New Roman"/>
          <w:b w:val="0"/>
          <w:bCs/>
        </w:rPr>
      </w:pPr>
      <w:r w:rsidRPr="00F2011C">
        <w:rPr>
          <w:rFonts w:ascii="Times New Roman" w:hAnsi="Times New Roman" w:cs="Times New Roman"/>
          <w:b w:val="0"/>
          <w:bCs/>
          <w:smallCaps/>
        </w:rPr>
        <w:t>Supplementary Material</w:t>
      </w:r>
      <w:r w:rsidRPr="00F2011C">
        <w:rPr>
          <w:rFonts w:ascii="Times New Roman" w:hAnsi="Times New Roman" w:cs="Times New Roman"/>
          <w:b w:val="0"/>
          <w:bCs/>
        </w:rPr>
        <w:t xml:space="preserve"> 1 </w:t>
      </w:r>
      <w:r w:rsidR="00031BB9">
        <w:rPr>
          <w:rFonts w:ascii="Times New Roman" w:hAnsi="Times New Roman" w:cs="Times New Roman"/>
          <w:b w:val="0"/>
          <w:bCs/>
        </w:rPr>
        <w:t xml:space="preserve">Additional details </w:t>
      </w:r>
      <w:r w:rsidR="00C2276C">
        <w:rPr>
          <w:rFonts w:ascii="Times New Roman" w:hAnsi="Times New Roman" w:cs="Times New Roman"/>
          <w:b w:val="0"/>
          <w:bCs/>
        </w:rPr>
        <w:t>on</w:t>
      </w:r>
      <w:r w:rsidR="00031BB9">
        <w:rPr>
          <w:rFonts w:ascii="Times New Roman" w:hAnsi="Times New Roman" w:cs="Times New Roman"/>
          <w:b w:val="0"/>
          <w:bCs/>
        </w:rPr>
        <w:t xml:space="preserve"> the Methods.</w:t>
      </w:r>
    </w:p>
    <w:p w14:paraId="7C4E8A77" w14:textId="77777777" w:rsidR="00913B3D" w:rsidRDefault="00913B3D" w:rsidP="00913B3D">
      <w:pPr>
        <w:pStyle w:val="Level1header"/>
        <w:spacing w:line="240" w:lineRule="auto"/>
        <w:rPr>
          <w:rFonts w:asciiTheme="minorHAnsi" w:hAnsiTheme="minorHAnsi" w:cstheme="minorHAnsi"/>
          <w:b w:val="0"/>
          <w:bCs/>
        </w:rPr>
      </w:pPr>
    </w:p>
    <w:p w14:paraId="1ED04A1D" w14:textId="0FA306F4" w:rsidR="00846688" w:rsidRDefault="00CF493F" w:rsidP="00F2011C">
      <w:pPr>
        <w:pStyle w:val="Level1header"/>
        <w:spacing w:line="240" w:lineRule="auto"/>
        <w:rPr>
          <w:rFonts w:asciiTheme="minorHAnsi" w:hAnsiTheme="minorHAnsi" w:cstheme="minorHAnsi"/>
          <w:b w:val="0"/>
          <w:bCs/>
        </w:rPr>
      </w:pPr>
      <w:r w:rsidRPr="00F2011C">
        <w:rPr>
          <w:rFonts w:asciiTheme="minorHAnsi" w:hAnsiTheme="minorHAnsi" w:cstheme="minorHAnsi"/>
          <w:b w:val="0"/>
          <w:bCs/>
        </w:rPr>
        <w:t>Data sources of taruka</w:t>
      </w:r>
      <w:r w:rsidR="00932D3C" w:rsidRPr="00F2011C">
        <w:rPr>
          <w:rFonts w:asciiTheme="minorHAnsi" w:hAnsiTheme="minorHAnsi" w:cstheme="minorHAnsi"/>
        </w:rPr>
        <w:t xml:space="preserve"> </w:t>
      </w:r>
      <w:r w:rsidR="00932D3C" w:rsidRPr="00F2011C">
        <w:rPr>
          <w:rFonts w:asciiTheme="minorHAnsi" w:hAnsiTheme="minorHAnsi" w:cstheme="minorHAnsi"/>
          <w:b w:val="0"/>
          <w:bCs/>
          <w:i/>
          <w:iCs/>
        </w:rPr>
        <w:t>Hippocamelus antisensis</w:t>
      </w:r>
      <w:r w:rsidRPr="00F2011C">
        <w:rPr>
          <w:rFonts w:asciiTheme="minorHAnsi" w:hAnsiTheme="minorHAnsi" w:cstheme="minorHAnsi"/>
          <w:b w:val="0"/>
          <w:bCs/>
        </w:rPr>
        <w:t xml:space="preserve"> locations</w:t>
      </w:r>
    </w:p>
    <w:p w14:paraId="1276715E" w14:textId="77777777" w:rsidR="00913B3D" w:rsidRPr="00F2011C" w:rsidRDefault="00913B3D" w:rsidP="00F2011C">
      <w:pPr>
        <w:pStyle w:val="BodyText"/>
        <w:spacing w:after="0" w:line="240" w:lineRule="auto"/>
      </w:pPr>
    </w:p>
    <w:p w14:paraId="5A58E183" w14:textId="4CA2769D" w:rsidR="00846688" w:rsidRDefault="00F1074F" w:rsidP="00F2011C">
      <w:pPr>
        <w:pStyle w:val="BodyText"/>
        <w:spacing w:after="0" w:line="240" w:lineRule="auto"/>
        <w:jc w:val="left"/>
        <w:rPr>
          <w:lang w:val="en-US"/>
        </w:rPr>
      </w:pPr>
      <w:r>
        <w:t>Location data was gathered from personal information from all the collaborators of this group</w:t>
      </w:r>
      <w:r w:rsidR="00321DD0">
        <w:t>, as well as</w:t>
      </w:r>
      <w:r>
        <w:t xml:space="preserve"> the following</w:t>
      </w:r>
      <w:r w:rsidRPr="00F1074F">
        <w:rPr>
          <w:lang w:val="en-US"/>
        </w:rPr>
        <w:t xml:space="preserve"> </w:t>
      </w:r>
      <w:r>
        <w:rPr>
          <w:lang w:val="en-US"/>
        </w:rPr>
        <w:t>literature:</w:t>
      </w:r>
    </w:p>
    <w:p w14:paraId="2C34C9B8" w14:textId="77777777" w:rsidR="00F1074F" w:rsidRPr="00F1074F" w:rsidRDefault="00F1074F" w:rsidP="00F2011C">
      <w:pPr>
        <w:pStyle w:val="BodyText"/>
        <w:numPr>
          <w:ilvl w:val="0"/>
          <w:numId w:val="1"/>
        </w:numPr>
        <w:spacing w:line="240" w:lineRule="auto"/>
        <w:rPr>
          <w:lang w:val="es-CL"/>
        </w:rPr>
      </w:pPr>
      <w:r w:rsidRPr="00F1074F">
        <w:rPr>
          <w:lang w:val="en-US"/>
        </w:rPr>
        <w:t>Anderson, S. 1997. Mammals of Bolivia, Taxonomy and Distribution. Bulletin of the American Museum of Natural History 231:652p.</w:t>
      </w:r>
    </w:p>
    <w:p w14:paraId="26563965" w14:textId="77777777" w:rsidR="00F1074F" w:rsidRDefault="00F1074F" w:rsidP="00F2011C">
      <w:pPr>
        <w:pStyle w:val="BodyText"/>
        <w:numPr>
          <w:ilvl w:val="0"/>
          <w:numId w:val="1"/>
        </w:numPr>
        <w:spacing w:line="240" w:lineRule="auto"/>
        <w:rPr>
          <w:lang w:val="es-CL"/>
        </w:rPr>
      </w:pPr>
      <w:r w:rsidRPr="00F1074F">
        <w:rPr>
          <w:lang w:val="es-CL"/>
        </w:rPr>
        <w:t>Brunetto, L., Sarapura, D., Saravia, M., Jara, R. 2020. Monitoreo de taruca (Hippocamelus antisensis) en las Serranías de Calilegua. INVESTIGACIÓN Y MONITOREO EN ÁREAS PROTEGIDAS DE LA REGIÓN NOA 3:13-14.</w:t>
      </w:r>
    </w:p>
    <w:p w14:paraId="6383CA76" w14:textId="77777777" w:rsidR="00F1074F" w:rsidRPr="00F1074F" w:rsidRDefault="00F1074F" w:rsidP="00F2011C">
      <w:pPr>
        <w:pStyle w:val="BodyText"/>
        <w:numPr>
          <w:ilvl w:val="0"/>
          <w:numId w:val="1"/>
        </w:numPr>
        <w:spacing w:line="240" w:lineRule="auto"/>
        <w:rPr>
          <w:lang w:val="en-US"/>
        </w:rPr>
      </w:pPr>
      <w:r w:rsidRPr="00F1074F">
        <w:rPr>
          <w:lang w:val="es-CL"/>
        </w:rPr>
        <w:t xml:space="preserve">Gomez-Puerta, L. A., Pacheco, J., Gonzales-Viera, O., Lopez-Urbina, M. T., Gonzalez, A. E. 2015. </w:t>
      </w:r>
      <w:r w:rsidRPr="00F1074F">
        <w:rPr>
          <w:lang w:val="en-US"/>
        </w:rPr>
        <w:t xml:space="preserve">The taruca (Hippocamelus antisensis) and the red brocket </w:t>
      </w:r>
      <w:proofErr w:type="gramStart"/>
      <w:r w:rsidRPr="00F1074F">
        <w:rPr>
          <w:lang w:val="en-US"/>
        </w:rPr>
        <w:t>deer(</w:t>
      </w:r>
      <w:proofErr w:type="gramEnd"/>
      <w:r w:rsidRPr="00F1074F">
        <w:rPr>
          <w:lang w:val="en-US"/>
        </w:rPr>
        <w:t xml:space="preserve">Mazama americana) as intermediate hosts of Taenia hydatigena in Peru, morphological and molecular evidence. </w:t>
      </w:r>
      <w:r w:rsidRPr="00F1074F">
        <w:rPr>
          <w:lang w:val="es-CL"/>
        </w:rPr>
        <w:t>Veterinary Parasitology.</w:t>
      </w:r>
    </w:p>
    <w:p w14:paraId="016F45AC" w14:textId="77777777" w:rsidR="00F1074F" w:rsidRPr="00F1074F" w:rsidRDefault="00F1074F" w:rsidP="00F2011C">
      <w:pPr>
        <w:pStyle w:val="BodyText"/>
        <w:numPr>
          <w:ilvl w:val="0"/>
          <w:numId w:val="1"/>
        </w:numPr>
        <w:spacing w:line="240" w:lineRule="auto"/>
        <w:rPr>
          <w:lang w:val="es-CL"/>
        </w:rPr>
      </w:pPr>
      <w:r w:rsidRPr="00F1074F">
        <w:rPr>
          <w:lang w:val="es-CL"/>
        </w:rPr>
        <w:t xml:space="preserve">Guillemi, E. C., De la Fourniere, S., Orozco, M., Peña-Martinez, J., Correa, E., Fernandez, J., Lopez-Arias, L., Paoletta, M., Corona, B., Pinarello, V., Wilkowsky, S. E., Farber, M. D. 2016. </w:t>
      </w:r>
      <w:r w:rsidRPr="00F1074F">
        <w:rPr>
          <w:lang w:val="en-US"/>
        </w:rPr>
        <w:t>Molecular identification of Anaplasma marginale in two autochthonous South American wild species revealed an identical new genotype and its phylogenetic relationship with those of bovines. Parasites &amp; Vectors 9(305).</w:t>
      </w:r>
    </w:p>
    <w:p w14:paraId="27027CFC" w14:textId="77777777" w:rsidR="00F1074F" w:rsidRDefault="00F1074F" w:rsidP="00F2011C">
      <w:pPr>
        <w:pStyle w:val="BodyText"/>
        <w:numPr>
          <w:ilvl w:val="0"/>
          <w:numId w:val="1"/>
        </w:numPr>
        <w:spacing w:line="240" w:lineRule="auto"/>
        <w:rPr>
          <w:lang w:val="es-CL"/>
        </w:rPr>
      </w:pPr>
      <w:r w:rsidRPr="003C59BA">
        <w:rPr>
          <w:lang w:val="de-DE"/>
        </w:rPr>
        <w:t xml:space="preserve">Jungius, H. 1974. Beobachtungen am Weisswedelhirsch und an anderen Cerviden in Bolivien. </w:t>
      </w:r>
      <w:r w:rsidRPr="00F1074F">
        <w:rPr>
          <w:lang w:val="es-CL"/>
        </w:rPr>
        <w:t>Zeitschrift Saugetierkunde 39:373-383.</w:t>
      </w:r>
    </w:p>
    <w:p w14:paraId="7C280E44" w14:textId="77777777" w:rsidR="00F1074F" w:rsidRDefault="00F1074F" w:rsidP="00F2011C">
      <w:pPr>
        <w:pStyle w:val="BodyText"/>
        <w:numPr>
          <w:ilvl w:val="0"/>
          <w:numId w:val="1"/>
        </w:numPr>
        <w:spacing w:line="240" w:lineRule="auto"/>
        <w:rPr>
          <w:lang w:val="es-CL"/>
        </w:rPr>
      </w:pPr>
      <w:r w:rsidRPr="00F1074F">
        <w:rPr>
          <w:lang w:val="es-CL"/>
        </w:rPr>
        <w:lastRenderedPageBreak/>
        <w:t>Hofmann, R. 1970. La población de vicuñas en Negromayo y Yaurihuiri (Dpto. de Ayacucho). Instituto de Investigaciones Forestales.UNA/DGFCT. Informe Técnico Nº 26. 4 p.</w:t>
      </w:r>
    </w:p>
    <w:p w14:paraId="41F7FE91" w14:textId="77777777" w:rsidR="00F1074F" w:rsidRPr="00B2666D" w:rsidRDefault="00F1074F" w:rsidP="00F2011C">
      <w:pPr>
        <w:pStyle w:val="BodyText"/>
        <w:numPr>
          <w:ilvl w:val="0"/>
          <w:numId w:val="1"/>
        </w:numPr>
        <w:spacing w:line="240" w:lineRule="auto"/>
        <w:rPr>
          <w:lang w:val="es-CL"/>
        </w:rPr>
      </w:pPr>
      <w:r w:rsidRPr="00F1074F">
        <w:rPr>
          <w:lang w:val="es-CL"/>
        </w:rPr>
        <w:t>Hofmann, R. y Ponce, C. 1970. Evaluaciones preliminares de las poblaciones de taruka y ciervo de los pantanos. Inst. de Inv. Forestales. UNA/DGFCT. Informe de trabajo. 6 p.</w:t>
      </w:r>
    </w:p>
    <w:p w14:paraId="7EE0E63C" w14:textId="77777777" w:rsidR="00F1074F" w:rsidRDefault="00F1074F" w:rsidP="00F2011C">
      <w:pPr>
        <w:pStyle w:val="BodyText"/>
        <w:numPr>
          <w:ilvl w:val="0"/>
          <w:numId w:val="1"/>
        </w:numPr>
        <w:spacing w:line="240" w:lineRule="auto"/>
        <w:rPr>
          <w:lang w:val="en-US"/>
        </w:rPr>
      </w:pPr>
      <w:r w:rsidRPr="00F1074F">
        <w:rPr>
          <w:lang w:val="en-US"/>
        </w:rPr>
        <w:t>Merkt, J.  1985.  Social structure of Andean deer (Hippocamelus antisensis) in southern Peru.  M.S. Thesis.  University of British Columbia, Vancouver, Canada.</w:t>
      </w:r>
    </w:p>
    <w:p w14:paraId="340C4140" w14:textId="77777777" w:rsidR="00F1074F" w:rsidRPr="00F1074F" w:rsidRDefault="00F1074F" w:rsidP="00F2011C">
      <w:pPr>
        <w:pStyle w:val="BodyText"/>
        <w:numPr>
          <w:ilvl w:val="0"/>
          <w:numId w:val="1"/>
        </w:numPr>
        <w:spacing w:line="240" w:lineRule="auto"/>
        <w:rPr>
          <w:lang w:val="es-CL"/>
        </w:rPr>
      </w:pPr>
      <w:r w:rsidRPr="00F1074F">
        <w:rPr>
          <w:lang w:val="es-CL"/>
        </w:rPr>
        <w:t xml:space="preserve">Patrón, H.Z., Pacheco, V., Baraybar, L. 2001. </w:t>
      </w:r>
      <w:r w:rsidRPr="00F1074F">
        <w:rPr>
          <w:lang w:val="en-US"/>
        </w:rPr>
        <w:t>Diversity and conservation of mammals from Arequipa, Peru. Revista Peruana de Biología 8(2):94-104.</w:t>
      </w:r>
    </w:p>
    <w:p w14:paraId="3B460FC3" w14:textId="77777777" w:rsidR="00F1074F" w:rsidRPr="00F1074F" w:rsidRDefault="00F1074F" w:rsidP="00F2011C">
      <w:pPr>
        <w:pStyle w:val="BodyText"/>
        <w:numPr>
          <w:ilvl w:val="0"/>
          <w:numId w:val="1"/>
        </w:numPr>
        <w:spacing w:line="240" w:lineRule="auto"/>
        <w:rPr>
          <w:lang w:val="es-CL"/>
        </w:rPr>
      </w:pPr>
      <w:r w:rsidRPr="00F1074F">
        <w:rPr>
          <w:lang w:val="es-CL"/>
        </w:rPr>
        <w:t>Reider, K. 2015. Libreta de campo, Proyecto Sibinacocha.</w:t>
      </w:r>
    </w:p>
    <w:p w14:paraId="64FF5ADF" w14:textId="77777777" w:rsidR="00F1074F" w:rsidRPr="00B61C50" w:rsidRDefault="00F1074F" w:rsidP="00F2011C">
      <w:pPr>
        <w:pStyle w:val="BodyText"/>
        <w:numPr>
          <w:ilvl w:val="0"/>
          <w:numId w:val="1"/>
        </w:numPr>
        <w:spacing w:line="240" w:lineRule="auto"/>
        <w:rPr>
          <w:lang w:val="en-US"/>
        </w:rPr>
      </w:pPr>
      <w:r w:rsidRPr="00F1074F">
        <w:rPr>
          <w:lang w:val="en-US"/>
        </w:rPr>
        <w:t>Roe, N., and Rees, W.  1976. Preliminary observations of the taruca (Hippocamelus antisensis: Cervidae) in southern Peru.  J. Mammal., 57: 722-730.</w:t>
      </w:r>
    </w:p>
    <w:p w14:paraId="07363709" w14:textId="77777777" w:rsidR="00F1074F" w:rsidRPr="00F1074F" w:rsidRDefault="00F1074F" w:rsidP="00F2011C">
      <w:pPr>
        <w:pStyle w:val="BodyText"/>
        <w:numPr>
          <w:ilvl w:val="0"/>
          <w:numId w:val="1"/>
        </w:numPr>
        <w:spacing w:line="240" w:lineRule="auto"/>
        <w:rPr>
          <w:lang w:val="en-US"/>
        </w:rPr>
      </w:pPr>
      <w:r w:rsidRPr="00F1074F">
        <w:rPr>
          <w:lang w:val="fr-FR"/>
        </w:rPr>
        <w:t xml:space="preserve">Rumiz, D. I., Eulert, C. F., Arispe, R. 1998. </w:t>
      </w:r>
      <w:r w:rsidRPr="00F1074F">
        <w:rPr>
          <w:lang w:val="en-US"/>
        </w:rPr>
        <w:t xml:space="preserve">Assessing diversity og large and medium size mammals in the Carrasco National Park (Cochabamba-Bolivia). </w:t>
      </w:r>
      <w:r w:rsidRPr="00F1074F">
        <w:rPr>
          <w:lang w:val="es-CL"/>
        </w:rPr>
        <w:t>Revista Boliviana de Ecología y Conservación Ambiental 4:77-90.</w:t>
      </w:r>
    </w:p>
    <w:p w14:paraId="4A519277" w14:textId="77777777" w:rsidR="00F1074F" w:rsidRDefault="00F1074F" w:rsidP="00F2011C">
      <w:pPr>
        <w:pStyle w:val="BodyText"/>
        <w:numPr>
          <w:ilvl w:val="0"/>
          <w:numId w:val="1"/>
        </w:numPr>
        <w:spacing w:line="240" w:lineRule="auto"/>
        <w:rPr>
          <w:lang w:val="en-US"/>
        </w:rPr>
      </w:pPr>
      <w:r w:rsidRPr="00F1074F">
        <w:rPr>
          <w:lang w:val="es-CL"/>
        </w:rPr>
        <w:t xml:space="preserve">Salazar-Bravo, J., Yensen, E., Tarifa, T., Yates, T. L. 2002. </w:t>
      </w:r>
      <w:r w:rsidRPr="00F1074F">
        <w:rPr>
          <w:lang w:val="en-US"/>
        </w:rPr>
        <w:t>Distributional records of Bolivian mammals. Mastozoología Neotropical 9(1).</w:t>
      </w:r>
    </w:p>
    <w:p w14:paraId="48973DC6" w14:textId="77777777" w:rsidR="00F1074F" w:rsidRPr="00F1074F" w:rsidRDefault="00F1074F" w:rsidP="00F2011C">
      <w:pPr>
        <w:pStyle w:val="BodyText"/>
        <w:numPr>
          <w:ilvl w:val="0"/>
          <w:numId w:val="1"/>
        </w:numPr>
        <w:spacing w:line="240" w:lineRule="auto"/>
        <w:rPr>
          <w:lang w:val="es-CL"/>
        </w:rPr>
      </w:pPr>
      <w:r w:rsidRPr="00F1074F">
        <w:rPr>
          <w:lang w:val="en-US"/>
        </w:rPr>
        <w:t xml:space="preserve">Sanborn, C. 1953. Mammals from the departments of Cusco and Puno, Peru. </w:t>
      </w:r>
      <w:r w:rsidRPr="00F1074F">
        <w:rPr>
          <w:lang w:val="es-CL"/>
        </w:rPr>
        <w:t xml:space="preserve">Publicaciones del Museo de Historia Natural "Javier Prado". Serie A. Zoología N° 12. </w:t>
      </w:r>
      <w:r w:rsidRPr="00F1074F">
        <w:rPr>
          <w:lang w:val="en-US"/>
        </w:rPr>
        <w:t>8 p.</w:t>
      </w:r>
    </w:p>
    <w:p w14:paraId="4999E3B6" w14:textId="77777777" w:rsidR="00F1074F" w:rsidRPr="00F1074F" w:rsidRDefault="00F1074F" w:rsidP="00F2011C">
      <w:pPr>
        <w:pStyle w:val="BodyText"/>
        <w:numPr>
          <w:ilvl w:val="0"/>
          <w:numId w:val="1"/>
        </w:numPr>
        <w:spacing w:line="240" w:lineRule="auto"/>
        <w:rPr>
          <w:lang w:val="en-US"/>
        </w:rPr>
      </w:pPr>
      <w:r w:rsidRPr="003C59BA">
        <w:rPr>
          <w:lang w:val="de-DE"/>
        </w:rPr>
        <w:t xml:space="preserve">Sielfeld, W., Guzmán, J. A. 2011. </w:t>
      </w:r>
      <w:r w:rsidRPr="00F1074F">
        <w:rPr>
          <w:lang w:val="en-US"/>
        </w:rPr>
        <w:t xml:space="preserve">Distribution, reproduction and grouping patterns in the taruca deer (Hippocamelus antinsensis D'=rbigny, 1834) in the extreme north of Chile. </w:t>
      </w:r>
      <w:r w:rsidRPr="00F1074F">
        <w:rPr>
          <w:lang w:val="es-CL"/>
        </w:rPr>
        <w:t>Animal Production Science 51(4).</w:t>
      </w:r>
    </w:p>
    <w:p w14:paraId="728657A6" w14:textId="77777777" w:rsidR="00F1074F" w:rsidRPr="00F1074F" w:rsidRDefault="00F1074F" w:rsidP="00F2011C">
      <w:pPr>
        <w:pStyle w:val="BodyText"/>
        <w:numPr>
          <w:ilvl w:val="0"/>
          <w:numId w:val="1"/>
        </w:numPr>
        <w:spacing w:line="240" w:lineRule="auto"/>
        <w:rPr>
          <w:lang w:val="en-US"/>
        </w:rPr>
      </w:pPr>
      <w:r w:rsidRPr="00F1074F">
        <w:rPr>
          <w:lang w:val="es-CL"/>
        </w:rPr>
        <w:t>Velarde, E. 1987. Determinación de la población actual de vicuñas en el Dpto. de Huancavelica. INFOR, CORDE-Huancavelica, Subproyecto Vicuña-Huancavelica. 2 tomos. 46 p.</w:t>
      </w:r>
    </w:p>
    <w:p w14:paraId="133777B5" w14:textId="6716D8C1" w:rsidR="00F1074F" w:rsidRPr="00321DD0" w:rsidRDefault="00F1074F" w:rsidP="00F2011C">
      <w:pPr>
        <w:pStyle w:val="BodyText"/>
        <w:numPr>
          <w:ilvl w:val="0"/>
          <w:numId w:val="1"/>
        </w:numPr>
        <w:spacing w:line="240" w:lineRule="auto"/>
        <w:rPr>
          <w:lang w:val="es-CL"/>
        </w:rPr>
      </w:pPr>
      <w:r w:rsidRPr="00F1074F">
        <w:rPr>
          <w:lang w:val="es-CL"/>
        </w:rPr>
        <w:t xml:space="preserve">Zeballos, H., Pacheco, V., Baraybar, L.  2001.  Diversidad y conservación de los mamíferos de Arequipa, Perú.  </w:t>
      </w:r>
      <w:r w:rsidRPr="00B61C50">
        <w:rPr>
          <w:lang w:val="es-CL"/>
        </w:rPr>
        <w:t xml:space="preserve">Rev. Per. </w:t>
      </w:r>
      <w:r w:rsidRPr="00321DD0">
        <w:rPr>
          <w:lang w:val="es-CL"/>
        </w:rPr>
        <w:t>Biol., 8 (2)</w:t>
      </w:r>
    </w:p>
    <w:p w14:paraId="459FEBE2" w14:textId="77777777" w:rsidR="00031BB9" w:rsidRDefault="00031BB9" w:rsidP="00CF493F">
      <w:pPr>
        <w:pStyle w:val="BodyText"/>
        <w:spacing w:line="240" w:lineRule="auto"/>
      </w:pPr>
    </w:p>
    <w:p w14:paraId="64FBBD36" w14:textId="45308D6E" w:rsidR="000C5499" w:rsidRDefault="00F1074F" w:rsidP="00F2011C">
      <w:pPr>
        <w:pStyle w:val="BodyText"/>
        <w:spacing w:line="240" w:lineRule="auto"/>
        <w:jc w:val="left"/>
      </w:pPr>
      <w:r>
        <w:t xml:space="preserve">Location data was also shared </w:t>
      </w:r>
      <w:r w:rsidR="00031BB9">
        <w:t>with</w:t>
      </w:r>
      <w:r w:rsidR="00031BB9">
        <w:t xml:space="preserve"> </w:t>
      </w:r>
      <w:r>
        <w:t>us by the following people and institutions:</w:t>
      </w:r>
    </w:p>
    <w:p w14:paraId="3E7287BB" w14:textId="2B86F8B8" w:rsidR="00F1074F" w:rsidRDefault="00F1074F" w:rsidP="00F2011C">
      <w:pPr>
        <w:pStyle w:val="BodyText"/>
        <w:spacing w:line="240" w:lineRule="auto"/>
        <w:jc w:val="left"/>
        <w:rPr>
          <w:lang w:val="es-CL"/>
        </w:rPr>
      </w:pPr>
      <w:r w:rsidRPr="00F1074F">
        <w:rPr>
          <w:lang w:val="es-CL"/>
        </w:rPr>
        <w:t>Agricultural and Livestock Service of Chile (SAG), Alain Escóbar, Alberto Barrio Miguel Cura, Alfaro Huaranca, Alfredo Ugarte, Alianza Gato Andino (AGA; https://gatoandino.org), Alvaro Garitano, Ana Venegas, Andre Vielma, Andrés Huanca, Andrés Puigross, Anita Venegas, Ben Schweinhart, Carla Gazzolo, Carlos Lemuz Aguirre, Christian Navarrete, Constanza Vivanco, Craig Stobie, Cristian Carrasco, Daniel Lane, Daniela Velasquez, Deiby Germán Cuellar Castellón, Diego Davis, Edilberto Pardo, Emily Larson, Esteban Argerich, Esteban Martinez, Fabian Beltran, Fauna Australis (PUC, Chile), Fernando Harold Calderon Quispe, Field Museum of Natural History (Chicago, USA), Francisca Montecinos, Francisco Cornell, Francisco Osorio, Francois Cuynet, GBIF (</w:t>
      </w:r>
      <w:hyperlink r:id="rId8" w:history="1">
        <w:r w:rsidR="00967452" w:rsidRPr="00107D5C">
          <w:rPr>
            <w:rStyle w:val="Hyperlink"/>
            <w:lang w:val="es-CL"/>
          </w:rPr>
          <w:t>gbif.org</w:t>
        </w:r>
      </w:hyperlink>
      <w:r w:rsidRPr="00F1074F">
        <w:rPr>
          <w:lang w:val="es-CL"/>
        </w:rPr>
        <w:t xml:space="preserve">), Gonzalo Cano Sanz, Gonzalo Cristofani, Gustavo A Ordinola, Gustavo Bárcena, Herminio Ticona, Hugo Castillo, Hugo Hulsberg, Inaturalist (www.inaturalist.org), Ivo Tejeda, Jaime Valenzuela, Jan Ebr, Javiera Cortez, Jose </w:t>
      </w:r>
      <w:r w:rsidRPr="00F1074F">
        <w:rPr>
          <w:lang w:val="es-CL"/>
        </w:rPr>
        <w:lastRenderedPageBreak/>
        <w:t>Luis Lineros, Jose Luis Paz Soria, Juan Carlos Chébez, Juan Jaeger, Julián Hernández, Luordes Marón Mollinedo, Maria Alisa Alvarez, Maria Jose Harder, Maria Viscarra, Mario Andrada, Martin Pekarek, Mathias Jacob, Matias Treumun, Mauricio Lea del Valle, Miguel Angel Salazar Ponce, Museo de Historia Natural de la UNMSM (Lima, Peru), Museo Historia Natural UNSA (Arequipa, Peru), Museum of Vertebrate Zoology (University of California Berkeley, USA), National Forestry Corporation of Chile, National Museum of Natural History (Smithsonian Institution, USA), National Parks Administration of Argentina (APN), Omar Miranda Bayron, Oscar Loayza, Pablo Gutierrez, Pablo Valladares, Paola Poch, Patricio Quijada, Quebrada Blanca 2 (TECK Chile), Robert Wallace, Roberto Elias, Rodrigo Barros, Rutger Koperdraad, Sabina Segovia Segovia, Santiago M. Carrillo, Saul Callancho Quispe, Sebastian Garcia, Sebastian Saiter, Sebastian Vidal, Simon Graesboell, Soledad Marianela Carvajal Taucare, Tarukari NGO (Chile), Tomás Saratscheff, Victoria Lassaga, Virginia Chirila, Wildlife Conservation Society Bolivia (WCS Bolivia), Wildlife Conservation Society Peru (WCS Peru), Wildlife Ecology Lab (Uchile, Chile), Wilfredo Choque, Xavier Claros and Ximena Jáuregui</w:t>
      </w:r>
      <w:r>
        <w:rPr>
          <w:lang w:val="es-CL"/>
        </w:rPr>
        <w:t>.</w:t>
      </w:r>
    </w:p>
    <w:p w14:paraId="527AFADC" w14:textId="77777777" w:rsidR="00031BB9" w:rsidRDefault="00031BB9" w:rsidP="00F2011C">
      <w:pPr>
        <w:pStyle w:val="BodyText"/>
        <w:spacing w:line="240" w:lineRule="auto"/>
        <w:jc w:val="left"/>
        <w:rPr>
          <w:lang w:val="es-CL"/>
        </w:rPr>
      </w:pPr>
    </w:p>
    <w:p w14:paraId="04C2A576" w14:textId="1015F0F2" w:rsidR="00B2666D" w:rsidRDefault="00CD6516" w:rsidP="00F2011C">
      <w:pPr>
        <w:pStyle w:val="Table"/>
        <w:spacing w:line="240" w:lineRule="auto"/>
        <w:jc w:val="left"/>
      </w:pPr>
      <w:r>
        <w:rPr>
          <w:smallCaps/>
        </w:rPr>
        <w:t xml:space="preserve">Supplementary </w:t>
      </w:r>
      <w:r w:rsidR="00B2666D">
        <w:rPr>
          <w:smallCaps/>
        </w:rPr>
        <w:t xml:space="preserve">Table </w:t>
      </w:r>
      <w:r w:rsidR="00B2666D">
        <w:t xml:space="preserve">1 Summary </w:t>
      </w:r>
      <w:r>
        <w:t>of</w:t>
      </w:r>
      <w:r w:rsidR="00712794">
        <w:t xml:space="preserve"> </w:t>
      </w:r>
      <w:r>
        <w:t>taruka</w:t>
      </w:r>
      <w:r w:rsidR="00932D3C" w:rsidRPr="00932D3C">
        <w:rPr>
          <w:i/>
          <w:iCs/>
        </w:rPr>
        <w:t xml:space="preserve"> </w:t>
      </w:r>
      <w:r w:rsidR="00932D3C" w:rsidRPr="00A57D18">
        <w:rPr>
          <w:i/>
          <w:iCs/>
        </w:rPr>
        <w:t>Hippocamelus antisensis</w:t>
      </w:r>
      <w:r>
        <w:t xml:space="preserve"> record</w:t>
      </w:r>
      <w:r>
        <w:t xml:space="preserve">s </w:t>
      </w:r>
      <w:r w:rsidR="004900FA">
        <w:t>by</w:t>
      </w:r>
      <w:r w:rsidR="004900FA">
        <w:t xml:space="preserve"> </w:t>
      </w:r>
      <w:r w:rsidR="00B2666D">
        <w:t>decade and country.</w:t>
      </w:r>
    </w:p>
    <w:tbl>
      <w:tblPr>
        <w:tblW w:w="0" w:type="auto"/>
        <w:jc w:val="center"/>
        <w:shd w:val="clear" w:color="auto" w:fill="FFFFFF" w:themeFill="background1"/>
        <w:tblLayout w:type="fixed"/>
        <w:tblLook w:val="0000" w:firstRow="0" w:lastRow="0" w:firstColumn="0" w:lastColumn="0" w:noHBand="0" w:noVBand="0"/>
      </w:tblPr>
      <w:tblGrid>
        <w:gridCol w:w="1860"/>
        <w:gridCol w:w="1010"/>
        <w:gridCol w:w="1011"/>
        <w:gridCol w:w="1010"/>
        <w:gridCol w:w="1235"/>
        <w:gridCol w:w="1010"/>
      </w:tblGrid>
      <w:tr w:rsidR="00B2666D" w14:paraId="5F7BBE92" w14:textId="77777777" w:rsidTr="00B2666D">
        <w:trPr>
          <w:trHeight w:val="247"/>
          <w:jc w:val="center"/>
        </w:trPr>
        <w:tc>
          <w:tcPr>
            <w:tcW w:w="1860" w:type="dxa"/>
            <w:tcBorders>
              <w:top w:val="single" w:sz="6" w:space="0" w:color="auto"/>
              <w:left w:val="nil"/>
              <w:bottom w:val="single" w:sz="6" w:space="0" w:color="auto"/>
              <w:right w:val="nil"/>
            </w:tcBorders>
            <w:shd w:val="clear" w:color="auto" w:fill="FFFFFF" w:themeFill="background1"/>
          </w:tcPr>
          <w:p w14:paraId="3F414637" w14:textId="77777777" w:rsidR="00B2666D" w:rsidRDefault="00B2666D" w:rsidP="00F2011C">
            <w:pPr>
              <w:autoSpaceDE w:val="0"/>
              <w:autoSpaceDN w:val="0"/>
              <w:adjustRightInd w:val="0"/>
              <w:spacing w:after="0" w:line="240" w:lineRule="auto"/>
              <w:jc w:val="center"/>
              <w:rPr>
                <w:rFonts w:ascii="Arial" w:hAnsi="Arial" w:cs="Arial"/>
                <w:b/>
                <w:bCs/>
                <w:color w:val="333333"/>
                <w:kern w:val="0"/>
                <w:sz w:val="20"/>
                <w:szCs w:val="20"/>
              </w:rPr>
            </w:pPr>
            <w:r>
              <w:rPr>
                <w:rFonts w:ascii="Arial" w:hAnsi="Arial" w:cs="Arial"/>
                <w:b/>
                <w:bCs/>
                <w:color w:val="333333"/>
                <w:kern w:val="0"/>
                <w:sz w:val="20"/>
                <w:szCs w:val="20"/>
              </w:rPr>
              <w:t>Decade</w:t>
            </w:r>
          </w:p>
        </w:tc>
        <w:tc>
          <w:tcPr>
            <w:tcW w:w="1010" w:type="dxa"/>
            <w:tcBorders>
              <w:top w:val="single" w:sz="6" w:space="0" w:color="auto"/>
              <w:left w:val="nil"/>
              <w:bottom w:val="single" w:sz="6" w:space="0" w:color="auto"/>
              <w:right w:val="nil"/>
            </w:tcBorders>
            <w:shd w:val="clear" w:color="auto" w:fill="FFFFFF" w:themeFill="background1"/>
          </w:tcPr>
          <w:p w14:paraId="462F90E9"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Peru</w:t>
            </w:r>
          </w:p>
        </w:tc>
        <w:tc>
          <w:tcPr>
            <w:tcW w:w="1011" w:type="dxa"/>
            <w:tcBorders>
              <w:top w:val="single" w:sz="6" w:space="0" w:color="auto"/>
              <w:left w:val="nil"/>
              <w:bottom w:val="single" w:sz="6" w:space="0" w:color="auto"/>
              <w:right w:val="nil"/>
            </w:tcBorders>
            <w:shd w:val="clear" w:color="auto" w:fill="FFFFFF" w:themeFill="background1"/>
          </w:tcPr>
          <w:p w14:paraId="29D707D3"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Bolivia</w:t>
            </w:r>
          </w:p>
        </w:tc>
        <w:tc>
          <w:tcPr>
            <w:tcW w:w="1010" w:type="dxa"/>
            <w:tcBorders>
              <w:top w:val="single" w:sz="6" w:space="0" w:color="auto"/>
              <w:left w:val="nil"/>
              <w:bottom w:val="single" w:sz="6" w:space="0" w:color="auto"/>
              <w:right w:val="nil"/>
            </w:tcBorders>
            <w:shd w:val="clear" w:color="auto" w:fill="FFFFFF" w:themeFill="background1"/>
          </w:tcPr>
          <w:p w14:paraId="3953E093"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Chile</w:t>
            </w:r>
          </w:p>
        </w:tc>
        <w:tc>
          <w:tcPr>
            <w:tcW w:w="1235" w:type="dxa"/>
            <w:tcBorders>
              <w:top w:val="single" w:sz="6" w:space="0" w:color="auto"/>
              <w:left w:val="nil"/>
              <w:bottom w:val="single" w:sz="6" w:space="0" w:color="auto"/>
              <w:right w:val="nil"/>
            </w:tcBorders>
            <w:shd w:val="clear" w:color="auto" w:fill="FFFFFF" w:themeFill="background1"/>
          </w:tcPr>
          <w:p w14:paraId="61DB46B6"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Argentina</w:t>
            </w:r>
          </w:p>
        </w:tc>
        <w:tc>
          <w:tcPr>
            <w:tcW w:w="1010" w:type="dxa"/>
            <w:tcBorders>
              <w:top w:val="single" w:sz="6" w:space="0" w:color="auto"/>
              <w:left w:val="nil"/>
              <w:bottom w:val="single" w:sz="6" w:space="0" w:color="auto"/>
              <w:right w:val="nil"/>
            </w:tcBorders>
            <w:shd w:val="clear" w:color="auto" w:fill="FFFFFF" w:themeFill="background1"/>
          </w:tcPr>
          <w:p w14:paraId="34348FC1"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Total</w:t>
            </w:r>
          </w:p>
        </w:tc>
      </w:tr>
      <w:tr w:rsidR="00B2666D" w14:paraId="68C14EA7" w14:textId="77777777" w:rsidTr="00B2666D">
        <w:trPr>
          <w:trHeight w:val="247"/>
          <w:jc w:val="center"/>
        </w:trPr>
        <w:tc>
          <w:tcPr>
            <w:tcW w:w="1860" w:type="dxa"/>
            <w:tcBorders>
              <w:top w:val="single" w:sz="6" w:space="0" w:color="auto"/>
              <w:left w:val="nil"/>
              <w:bottom w:val="nil"/>
              <w:right w:val="nil"/>
            </w:tcBorders>
            <w:shd w:val="clear" w:color="auto" w:fill="FFFFFF" w:themeFill="background1"/>
          </w:tcPr>
          <w:p w14:paraId="294AD09D" w14:textId="77777777" w:rsidR="00B2666D" w:rsidRDefault="00B2666D" w:rsidP="00F2011C">
            <w:pPr>
              <w:autoSpaceDE w:val="0"/>
              <w:autoSpaceDN w:val="0"/>
              <w:adjustRightInd w:val="0"/>
              <w:spacing w:after="0" w:line="240" w:lineRule="auto"/>
              <w:rPr>
                <w:rFonts w:ascii="Arial" w:hAnsi="Arial" w:cs="Arial"/>
                <w:color w:val="333333"/>
                <w:kern w:val="0"/>
                <w:sz w:val="20"/>
                <w:szCs w:val="20"/>
              </w:rPr>
            </w:pPr>
            <w:r>
              <w:rPr>
                <w:rFonts w:ascii="Arial" w:hAnsi="Arial" w:cs="Arial"/>
                <w:color w:val="333333"/>
                <w:kern w:val="0"/>
                <w:sz w:val="20"/>
                <w:szCs w:val="20"/>
              </w:rPr>
              <w:t>1972-1981</w:t>
            </w:r>
          </w:p>
        </w:tc>
        <w:tc>
          <w:tcPr>
            <w:tcW w:w="1010" w:type="dxa"/>
            <w:tcBorders>
              <w:top w:val="single" w:sz="6" w:space="0" w:color="auto"/>
              <w:left w:val="nil"/>
              <w:bottom w:val="nil"/>
              <w:right w:val="nil"/>
            </w:tcBorders>
            <w:shd w:val="clear" w:color="auto" w:fill="FFFFFF" w:themeFill="background1"/>
          </w:tcPr>
          <w:p w14:paraId="3631EE41"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6</w:t>
            </w:r>
          </w:p>
        </w:tc>
        <w:tc>
          <w:tcPr>
            <w:tcW w:w="1011" w:type="dxa"/>
            <w:tcBorders>
              <w:top w:val="single" w:sz="6" w:space="0" w:color="auto"/>
              <w:left w:val="nil"/>
              <w:bottom w:val="nil"/>
              <w:right w:val="nil"/>
            </w:tcBorders>
            <w:shd w:val="clear" w:color="auto" w:fill="FFFFFF" w:themeFill="background1"/>
          </w:tcPr>
          <w:p w14:paraId="348DF793"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2</w:t>
            </w:r>
          </w:p>
        </w:tc>
        <w:tc>
          <w:tcPr>
            <w:tcW w:w="1010" w:type="dxa"/>
            <w:tcBorders>
              <w:top w:val="single" w:sz="6" w:space="0" w:color="auto"/>
              <w:left w:val="nil"/>
              <w:bottom w:val="nil"/>
              <w:right w:val="nil"/>
            </w:tcBorders>
            <w:shd w:val="clear" w:color="auto" w:fill="FFFFFF" w:themeFill="background1"/>
          </w:tcPr>
          <w:p w14:paraId="455F9293"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0</w:t>
            </w:r>
          </w:p>
        </w:tc>
        <w:tc>
          <w:tcPr>
            <w:tcW w:w="1235" w:type="dxa"/>
            <w:tcBorders>
              <w:top w:val="single" w:sz="6" w:space="0" w:color="auto"/>
              <w:left w:val="nil"/>
              <w:bottom w:val="nil"/>
              <w:right w:val="nil"/>
            </w:tcBorders>
            <w:shd w:val="clear" w:color="auto" w:fill="FFFFFF" w:themeFill="background1"/>
          </w:tcPr>
          <w:p w14:paraId="7E86F8E0"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0</w:t>
            </w:r>
          </w:p>
        </w:tc>
        <w:tc>
          <w:tcPr>
            <w:tcW w:w="1010" w:type="dxa"/>
            <w:tcBorders>
              <w:top w:val="nil"/>
              <w:left w:val="nil"/>
              <w:bottom w:val="nil"/>
              <w:right w:val="nil"/>
            </w:tcBorders>
            <w:shd w:val="clear" w:color="auto" w:fill="FFFFFF" w:themeFill="background1"/>
          </w:tcPr>
          <w:p w14:paraId="1B06A3A9"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8</w:t>
            </w:r>
          </w:p>
        </w:tc>
      </w:tr>
      <w:tr w:rsidR="00B2666D" w14:paraId="68196079" w14:textId="77777777" w:rsidTr="00B2666D">
        <w:trPr>
          <w:trHeight w:val="247"/>
          <w:jc w:val="center"/>
        </w:trPr>
        <w:tc>
          <w:tcPr>
            <w:tcW w:w="1860" w:type="dxa"/>
            <w:tcBorders>
              <w:top w:val="nil"/>
              <w:left w:val="nil"/>
              <w:bottom w:val="nil"/>
              <w:right w:val="nil"/>
            </w:tcBorders>
            <w:shd w:val="clear" w:color="auto" w:fill="FFFFFF" w:themeFill="background1"/>
          </w:tcPr>
          <w:p w14:paraId="5AF348B7" w14:textId="77777777" w:rsidR="00B2666D" w:rsidRDefault="00B2666D" w:rsidP="00F2011C">
            <w:pPr>
              <w:autoSpaceDE w:val="0"/>
              <w:autoSpaceDN w:val="0"/>
              <w:adjustRightInd w:val="0"/>
              <w:spacing w:after="0" w:line="240" w:lineRule="auto"/>
              <w:rPr>
                <w:rFonts w:ascii="Arial" w:hAnsi="Arial" w:cs="Arial"/>
                <w:color w:val="333333"/>
                <w:kern w:val="0"/>
                <w:sz w:val="20"/>
                <w:szCs w:val="20"/>
              </w:rPr>
            </w:pPr>
            <w:r>
              <w:rPr>
                <w:rFonts w:ascii="Arial" w:hAnsi="Arial" w:cs="Arial"/>
                <w:color w:val="333333"/>
                <w:kern w:val="0"/>
                <w:sz w:val="20"/>
                <w:szCs w:val="20"/>
              </w:rPr>
              <w:t>1982-1991</w:t>
            </w:r>
          </w:p>
        </w:tc>
        <w:tc>
          <w:tcPr>
            <w:tcW w:w="1010" w:type="dxa"/>
            <w:tcBorders>
              <w:top w:val="nil"/>
              <w:left w:val="nil"/>
              <w:bottom w:val="nil"/>
              <w:right w:val="nil"/>
            </w:tcBorders>
            <w:shd w:val="clear" w:color="auto" w:fill="FFFFFF" w:themeFill="background1"/>
          </w:tcPr>
          <w:p w14:paraId="42396B79"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43</w:t>
            </w:r>
          </w:p>
        </w:tc>
        <w:tc>
          <w:tcPr>
            <w:tcW w:w="1011" w:type="dxa"/>
            <w:tcBorders>
              <w:top w:val="nil"/>
              <w:left w:val="nil"/>
              <w:bottom w:val="nil"/>
              <w:right w:val="nil"/>
            </w:tcBorders>
            <w:shd w:val="clear" w:color="auto" w:fill="FFFFFF" w:themeFill="background1"/>
          </w:tcPr>
          <w:p w14:paraId="2FDCD660"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w:t>
            </w:r>
          </w:p>
        </w:tc>
        <w:tc>
          <w:tcPr>
            <w:tcW w:w="1010" w:type="dxa"/>
            <w:tcBorders>
              <w:top w:val="nil"/>
              <w:left w:val="nil"/>
              <w:bottom w:val="nil"/>
              <w:right w:val="nil"/>
            </w:tcBorders>
            <w:shd w:val="clear" w:color="auto" w:fill="FFFFFF" w:themeFill="background1"/>
          </w:tcPr>
          <w:p w14:paraId="4618FD69"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w:t>
            </w:r>
          </w:p>
        </w:tc>
        <w:tc>
          <w:tcPr>
            <w:tcW w:w="1235" w:type="dxa"/>
            <w:tcBorders>
              <w:top w:val="nil"/>
              <w:left w:val="nil"/>
              <w:bottom w:val="nil"/>
              <w:right w:val="nil"/>
            </w:tcBorders>
            <w:shd w:val="clear" w:color="auto" w:fill="FFFFFF" w:themeFill="background1"/>
          </w:tcPr>
          <w:p w14:paraId="47BE8B7F"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2</w:t>
            </w:r>
          </w:p>
        </w:tc>
        <w:tc>
          <w:tcPr>
            <w:tcW w:w="1010" w:type="dxa"/>
            <w:tcBorders>
              <w:top w:val="nil"/>
              <w:left w:val="nil"/>
              <w:bottom w:val="nil"/>
              <w:right w:val="nil"/>
            </w:tcBorders>
            <w:shd w:val="clear" w:color="auto" w:fill="FFFFFF" w:themeFill="background1"/>
          </w:tcPr>
          <w:p w14:paraId="73FA659E"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47</w:t>
            </w:r>
          </w:p>
        </w:tc>
      </w:tr>
      <w:tr w:rsidR="00B2666D" w14:paraId="03BE591F" w14:textId="77777777" w:rsidTr="00B2666D">
        <w:trPr>
          <w:trHeight w:val="247"/>
          <w:jc w:val="center"/>
        </w:trPr>
        <w:tc>
          <w:tcPr>
            <w:tcW w:w="1860" w:type="dxa"/>
            <w:tcBorders>
              <w:top w:val="nil"/>
              <w:left w:val="nil"/>
              <w:bottom w:val="nil"/>
              <w:right w:val="nil"/>
            </w:tcBorders>
            <w:shd w:val="clear" w:color="auto" w:fill="FFFFFF" w:themeFill="background1"/>
          </w:tcPr>
          <w:p w14:paraId="3096E863" w14:textId="77777777" w:rsidR="00B2666D" w:rsidRDefault="00B2666D" w:rsidP="00F2011C">
            <w:pPr>
              <w:autoSpaceDE w:val="0"/>
              <w:autoSpaceDN w:val="0"/>
              <w:adjustRightInd w:val="0"/>
              <w:spacing w:after="0" w:line="240" w:lineRule="auto"/>
              <w:rPr>
                <w:rFonts w:ascii="Arial" w:hAnsi="Arial" w:cs="Arial"/>
                <w:color w:val="333333"/>
                <w:kern w:val="0"/>
                <w:sz w:val="20"/>
                <w:szCs w:val="20"/>
              </w:rPr>
            </w:pPr>
            <w:r>
              <w:rPr>
                <w:rFonts w:ascii="Arial" w:hAnsi="Arial" w:cs="Arial"/>
                <w:color w:val="333333"/>
                <w:kern w:val="0"/>
                <w:sz w:val="20"/>
                <w:szCs w:val="20"/>
              </w:rPr>
              <w:t>1992-2001</w:t>
            </w:r>
          </w:p>
        </w:tc>
        <w:tc>
          <w:tcPr>
            <w:tcW w:w="1010" w:type="dxa"/>
            <w:tcBorders>
              <w:top w:val="nil"/>
              <w:left w:val="nil"/>
              <w:bottom w:val="nil"/>
              <w:right w:val="nil"/>
            </w:tcBorders>
            <w:shd w:val="clear" w:color="auto" w:fill="FFFFFF" w:themeFill="background1"/>
          </w:tcPr>
          <w:p w14:paraId="285DDD0E"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48</w:t>
            </w:r>
          </w:p>
        </w:tc>
        <w:tc>
          <w:tcPr>
            <w:tcW w:w="1011" w:type="dxa"/>
            <w:tcBorders>
              <w:top w:val="nil"/>
              <w:left w:val="nil"/>
              <w:bottom w:val="nil"/>
              <w:right w:val="nil"/>
            </w:tcBorders>
            <w:shd w:val="clear" w:color="auto" w:fill="FFFFFF" w:themeFill="background1"/>
          </w:tcPr>
          <w:p w14:paraId="33F639AE"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76</w:t>
            </w:r>
          </w:p>
        </w:tc>
        <w:tc>
          <w:tcPr>
            <w:tcW w:w="1010" w:type="dxa"/>
            <w:tcBorders>
              <w:top w:val="nil"/>
              <w:left w:val="nil"/>
              <w:bottom w:val="nil"/>
              <w:right w:val="nil"/>
            </w:tcBorders>
            <w:shd w:val="clear" w:color="auto" w:fill="FFFFFF" w:themeFill="background1"/>
          </w:tcPr>
          <w:p w14:paraId="080F88A7"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0</w:t>
            </w:r>
          </w:p>
        </w:tc>
        <w:tc>
          <w:tcPr>
            <w:tcW w:w="1235" w:type="dxa"/>
            <w:tcBorders>
              <w:top w:val="nil"/>
              <w:left w:val="nil"/>
              <w:bottom w:val="nil"/>
              <w:right w:val="nil"/>
            </w:tcBorders>
            <w:shd w:val="clear" w:color="auto" w:fill="FFFFFF" w:themeFill="background1"/>
          </w:tcPr>
          <w:p w14:paraId="56FA2A3C"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3</w:t>
            </w:r>
          </w:p>
        </w:tc>
        <w:tc>
          <w:tcPr>
            <w:tcW w:w="1010" w:type="dxa"/>
            <w:tcBorders>
              <w:top w:val="nil"/>
              <w:left w:val="nil"/>
              <w:bottom w:val="nil"/>
              <w:right w:val="nil"/>
            </w:tcBorders>
            <w:shd w:val="clear" w:color="auto" w:fill="FFFFFF" w:themeFill="background1"/>
          </w:tcPr>
          <w:p w14:paraId="56332925"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127</w:t>
            </w:r>
          </w:p>
        </w:tc>
      </w:tr>
      <w:tr w:rsidR="00B2666D" w14:paraId="1B983C17" w14:textId="77777777" w:rsidTr="00B2666D">
        <w:trPr>
          <w:trHeight w:val="247"/>
          <w:jc w:val="center"/>
        </w:trPr>
        <w:tc>
          <w:tcPr>
            <w:tcW w:w="1860" w:type="dxa"/>
            <w:tcBorders>
              <w:top w:val="nil"/>
              <w:left w:val="nil"/>
              <w:bottom w:val="nil"/>
              <w:right w:val="nil"/>
            </w:tcBorders>
            <w:shd w:val="clear" w:color="auto" w:fill="FFFFFF" w:themeFill="background1"/>
          </w:tcPr>
          <w:p w14:paraId="386DA439" w14:textId="77777777" w:rsidR="00B2666D" w:rsidRDefault="00B2666D" w:rsidP="00F2011C">
            <w:pPr>
              <w:autoSpaceDE w:val="0"/>
              <w:autoSpaceDN w:val="0"/>
              <w:adjustRightInd w:val="0"/>
              <w:spacing w:after="0" w:line="240" w:lineRule="auto"/>
              <w:rPr>
                <w:rFonts w:ascii="Arial" w:hAnsi="Arial" w:cs="Arial"/>
                <w:color w:val="333333"/>
                <w:kern w:val="0"/>
                <w:sz w:val="20"/>
                <w:szCs w:val="20"/>
              </w:rPr>
            </w:pPr>
            <w:r>
              <w:rPr>
                <w:rFonts w:ascii="Arial" w:hAnsi="Arial" w:cs="Arial"/>
                <w:color w:val="333333"/>
                <w:kern w:val="0"/>
                <w:sz w:val="20"/>
                <w:szCs w:val="20"/>
              </w:rPr>
              <w:t>2002-2011</w:t>
            </w:r>
          </w:p>
        </w:tc>
        <w:tc>
          <w:tcPr>
            <w:tcW w:w="1010" w:type="dxa"/>
            <w:tcBorders>
              <w:top w:val="nil"/>
              <w:left w:val="nil"/>
              <w:bottom w:val="nil"/>
              <w:right w:val="nil"/>
            </w:tcBorders>
            <w:shd w:val="clear" w:color="auto" w:fill="FFFFFF" w:themeFill="background1"/>
          </w:tcPr>
          <w:p w14:paraId="6141EDC1"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50</w:t>
            </w:r>
          </w:p>
        </w:tc>
        <w:tc>
          <w:tcPr>
            <w:tcW w:w="1011" w:type="dxa"/>
            <w:tcBorders>
              <w:top w:val="nil"/>
              <w:left w:val="nil"/>
              <w:bottom w:val="nil"/>
              <w:right w:val="nil"/>
            </w:tcBorders>
            <w:shd w:val="clear" w:color="auto" w:fill="FFFFFF" w:themeFill="background1"/>
          </w:tcPr>
          <w:p w14:paraId="394AF728"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158</w:t>
            </w:r>
          </w:p>
        </w:tc>
        <w:tc>
          <w:tcPr>
            <w:tcW w:w="1010" w:type="dxa"/>
            <w:tcBorders>
              <w:top w:val="nil"/>
              <w:left w:val="nil"/>
              <w:bottom w:val="nil"/>
              <w:right w:val="nil"/>
            </w:tcBorders>
            <w:shd w:val="clear" w:color="auto" w:fill="FFFFFF" w:themeFill="background1"/>
          </w:tcPr>
          <w:p w14:paraId="0BF87E8B"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18</w:t>
            </w:r>
          </w:p>
        </w:tc>
        <w:tc>
          <w:tcPr>
            <w:tcW w:w="1235" w:type="dxa"/>
            <w:tcBorders>
              <w:top w:val="nil"/>
              <w:left w:val="nil"/>
              <w:bottom w:val="nil"/>
              <w:right w:val="nil"/>
            </w:tcBorders>
            <w:shd w:val="clear" w:color="auto" w:fill="FFFFFF" w:themeFill="background1"/>
          </w:tcPr>
          <w:p w14:paraId="571B5923"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46</w:t>
            </w:r>
          </w:p>
        </w:tc>
        <w:tc>
          <w:tcPr>
            <w:tcW w:w="1010" w:type="dxa"/>
            <w:tcBorders>
              <w:top w:val="nil"/>
              <w:left w:val="nil"/>
              <w:bottom w:val="nil"/>
              <w:right w:val="nil"/>
            </w:tcBorders>
            <w:shd w:val="clear" w:color="auto" w:fill="FFFFFF" w:themeFill="background1"/>
          </w:tcPr>
          <w:p w14:paraId="4F3767DC"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272</w:t>
            </w:r>
          </w:p>
        </w:tc>
      </w:tr>
      <w:tr w:rsidR="00B2666D" w14:paraId="1123220B" w14:textId="77777777" w:rsidTr="00B2666D">
        <w:trPr>
          <w:trHeight w:val="247"/>
          <w:jc w:val="center"/>
        </w:trPr>
        <w:tc>
          <w:tcPr>
            <w:tcW w:w="1860" w:type="dxa"/>
            <w:tcBorders>
              <w:top w:val="nil"/>
              <w:left w:val="nil"/>
              <w:bottom w:val="nil"/>
              <w:right w:val="nil"/>
            </w:tcBorders>
            <w:shd w:val="clear" w:color="auto" w:fill="FFFFFF" w:themeFill="background1"/>
          </w:tcPr>
          <w:p w14:paraId="3A45F7AD" w14:textId="77777777" w:rsidR="00B2666D" w:rsidRDefault="00B2666D" w:rsidP="00F2011C">
            <w:pPr>
              <w:autoSpaceDE w:val="0"/>
              <w:autoSpaceDN w:val="0"/>
              <w:adjustRightInd w:val="0"/>
              <w:spacing w:after="0" w:line="240" w:lineRule="auto"/>
              <w:rPr>
                <w:rFonts w:ascii="Arial" w:hAnsi="Arial" w:cs="Arial"/>
                <w:color w:val="333333"/>
                <w:kern w:val="0"/>
                <w:sz w:val="20"/>
                <w:szCs w:val="20"/>
              </w:rPr>
            </w:pPr>
            <w:r>
              <w:rPr>
                <w:rFonts w:ascii="Arial" w:hAnsi="Arial" w:cs="Arial"/>
                <w:color w:val="333333"/>
                <w:kern w:val="0"/>
                <w:sz w:val="20"/>
                <w:szCs w:val="20"/>
              </w:rPr>
              <w:t>2012-2022</w:t>
            </w:r>
          </w:p>
        </w:tc>
        <w:tc>
          <w:tcPr>
            <w:tcW w:w="1010" w:type="dxa"/>
            <w:tcBorders>
              <w:top w:val="nil"/>
              <w:left w:val="nil"/>
              <w:bottom w:val="nil"/>
              <w:right w:val="nil"/>
            </w:tcBorders>
            <w:shd w:val="clear" w:color="auto" w:fill="FFFFFF" w:themeFill="background1"/>
          </w:tcPr>
          <w:p w14:paraId="293B7FF7"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55</w:t>
            </w:r>
          </w:p>
        </w:tc>
        <w:tc>
          <w:tcPr>
            <w:tcW w:w="1011" w:type="dxa"/>
            <w:tcBorders>
              <w:top w:val="nil"/>
              <w:left w:val="nil"/>
              <w:bottom w:val="nil"/>
              <w:right w:val="nil"/>
            </w:tcBorders>
            <w:shd w:val="clear" w:color="auto" w:fill="FFFFFF" w:themeFill="background1"/>
          </w:tcPr>
          <w:p w14:paraId="6AA8F195"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149</w:t>
            </w:r>
          </w:p>
        </w:tc>
        <w:tc>
          <w:tcPr>
            <w:tcW w:w="1010" w:type="dxa"/>
            <w:tcBorders>
              <w:top w:val="nil"/>
              <w:left w:val="nil"/>
              <w:bottom w:val="nil"/>
              <w:right w:val="nil"/>
            </w:tcBorders>
            <w:shd w:val="clear" w:color="auto" w:fill="FFFFFF" w:themeFill="background1"/>
          </w:tcPr>
          <w:p w14:paraId="6E48CC93"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258</w:t>
            </w:r>
          </w:p>
        </w:tc>
        <w:tc>
          <w:tcPr>
            <w:tcW w:w="1235" w:type="dxa"/>
            <w:tcBorders>
              <w:top w:val="nil"/>
              <w:left w:val="nil"/>
              <w:bottom w:val="nil"/>
              <w:right w:val="nil"/>
            </w:tcBorders>
            <w:shd w:val="clear" w:color="auto" w:fill="FFFFFF" w:themeFill="background1"/>
          </w:tcPr>
          <w:p w14:paraId="79DD0F5F" w14:textId="77777777" w:rsidR="00B2666D" w:rsidRDefault="00B2666D"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331</w:t>
            </w:r>
          </w:p>
        </w:tc>
        <w:tc>
          <w:tcPr>
            <w:tcW w:w="1010" w:type="dxa"/>
            <w:tcBorders>
              <w:top w:val="nil"/>
              <w:left w:val="nil"/>
              <w:bottom w:val="nil"/>
              <w:right w:val="nil"/>
            </w:tcBorders>
            <w:shd w:val="clear" w:color="auto" w:fill="FFFFFF" w:themeFill="background1"/>
          </w:tcPr>
          <w:p w14:paraId="30A3A5FA"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793</w:t>
            </w:r>
          </w:p>
        </w:tc>
      </w:tr>
      <w:tr w:rsidR="00B2666D" w14:paraId="4CC0A9B8" w14:textId="77777777" w:rsidTr="00B2666D">
        <w:trPr>
          <w:trHeight w:val="247"/>
          <w:jc w:val="center"/>
        </w:trPr>
        <w:tc>
          <w:tcPr>
            <w:tcW w:w="1860" w:type="dxa"/>
            <w:tcBorders>
              <w:top w:val="nil"/>
              <w:left w:val="nil"/>
              <w:bottom w:val="single" w:sz="6" w:space="0" w:color="auto"/>
              <w:right w:val="nil"/>
            </w:tcBorders>
            <w:shd w:val="clear" w:color="auto" w:fill="FFFFFF" w:themeFill="background1"/>
          </w:tcPr>
          <w:p w14:paraId="0BDDB8A5" w14:textId="77777777" w:rsidR="00B2666D" w:rsidRDefault="00B2666D" w:rsidP="00F2011C">
            <w:pPr>
              <w:autoSpaceDE w:val="0"/>
              <w:autoSpaceDN w:val="0"/>
              <w:adjustRightInd w:val="0"/>
              <w:spacing w:after="0" w:line="240" w:lineRule="auto"/>
              <w:rPr>
                <w:rFonts w:ascii="Arial" w:hAnsi="Arial" w:cs="Arial"/>
                <w:b/>
                <w:bCs/>
                <w:color w:val="333333"/>
                <w:kern w:val="0"/>
                <w:sz w:val="20"/>
                <w:szCs w:val="20"/>
              </w:rPr>
            </w:pPr>
            <w:r>
              <w:rPr>
                <w:rFonts w:ascii="Arial" w:hAnsi="Arial" w:cs="Arial"/>
                <w:b/>
                <w:bCs/>
                <w:color w:val="333333"/>
                <w:kern w:val="0"/>
                <w:sz w:val="20"/>
                <w:szCs w:val="20"/>
              </w:rPr>
              <w:t>Total</w:t>
            </w:r>
          </w:p>
        </w:tc>
        <w:tc>
          <w:tcPr>
            <w:tcW w:w="1010" w:type="dxa"/>
            <w:tcBorders>
              <w:top w:val="nil"/>
              <w:left w:val="nil"/>
              <w:bottom w:val="single" w:sz="6" w:space="0" w:color="auto"/>
              <w:right w:val="nil"/>
            </w:tcBorders>
            <w:shd w:val="clear" w:color="auto" w:fill="FFFFFF" w:themeFill="background1"/>
          </w:tcPr>
          <w:p w14:paraId="540151B4"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202</w:t>
            </w:r>
          </w:p>
        </w:tc>
        <w:tc>
          <w:tcPr>
            <w:tcW w:w="1011" w:type="dxa"/>
            <w:tcBorders>
              <w:top w:val="nil"/>
              <w:left w:val="nil"/>
              <w:bottom w:val="single" w:sz="6" w:space="0" w:color="auto"/>
              <w:right w:val="nil"/>
            </w:tcBorders>
            <w:shd w:val="clear" w:color="auto" w:fill="FFFFFF" w:themeFill="background1"/>
          </w:tcPr>
          <w:p w14:paraId="51A85655"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386</w:t>
            </w:r>
          </w:p>
        </w:tc>
        <w:tc>
          <w:tcPr>
            <w:tcW w:w="1010" w:type="dxa"/>
            <w:tcBorders>
              <w:top w:val="nil"/>
              <w:left w:val="nil"/>
              <w:bottom w:val="single" w:sz="6" w:space="0" w:color="auto"/>
              <w:right w:val="nil"/>
            </w:tcBorders>
            <w:shd w:val="clear" w:color="auto" w:fill="FFFFFF" w:themeFill="background1"/>
          </w:tcPr>
          <w:p w14:paraId="4204E2F4"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277</w:t>
            </w:r>
          </w:p>
        </w:tc>
        <w:tc>
          <w:tcPr>
            <w:tcW w:w="1235" w:type="dxa"/>
            <w:tcBorders>
              <w:top w:val="nil"/>
              <w:left w:val="nil"/>
              <w:bottom w:val="single" w:sz="6" w:space="0" w:color="auto"/>
              <w:right w:val="nil"/>
            </w:tcBorders>
            <w:shd w:val="clear" w:color="auto" w:fill="FFFFFF" w:themeFill="background1"/>
          </w:tcPr>
          <w:p w14:paraId="50838FF1"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382</w:t>
            </w:r>
          </w:p>
        </w:tc>
        <w:tc>
          <w:tcPr>
            <w:tcW w:w="1010" w:type="dxa"/>
            <w:tcBorders>
              <w:top w:val="nil"/>
              <w:left w:val="nil"/>
              <w:bottom w:val="single" w:sz="6" w:space="0" w:color="auto"/>
              <w:right w:val="nil"/>
            </w:tcBorders>
            <w:shd w:val="clear" w:color="auto" w:fill="FFFFFF" w:themeFill="background1"/>
          </w:tcPr>
          <w:p w14:paraId="62360091" w14:textId="77777777" w:rsidR="00B2666D" w:rsidRDefault="00B2666D"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1247</w:t>
            </w:r>
          </w:p>
        </w:tc>
      </w:tr>
    </w:tbl>
    <w:p w14:paraId="2D070A84" w14:textId="77777777" w:rsidR="00B2666D" w:rsidRPr="00F1074F" w:rsidRDefault="00B2666D" w:rsidP="00F2011C">
      <w:pPr>
        <w:pStyle w:val="BodyText"/>
        <w:spacing w:line="240" w:lineRule="auto"/>
        <w:rPr>
          <w:lang w:val="es-CL"/>
        </w:rPr>
      </w:pPr>
    </w:p>
    <w:p w14:paraId="27843FE0" w14:textId="77777777" w:rsidR="00913B3D" w:rsidRDefault="00913B3D" w:rsidP="00CF493F">
      <w:pPr>
        <w:pStyle w:val="Level1header"/>
        <w:spacing w:line="240" w:lineRule="auto"/>
        <w:rPr>
          <w:rFonts w:asciiTheme="minorHAnsi" w:hAnsiTheme="minorHAnsi" w:cstheme="minorHAnsi"/>
          <w:b w:val="0"/>
          <w:bCs/>
        </w:rPr>
      </w:pPr>
    </w:p>
    <w:p w14:paraId="48B088CE" w14:textId="467450ED" w:rsidR="005A386E" w:rsidRPr="00F2011C" w:rsidRDefault="005A386E" w:rsidP="00F2011C">
      <w:pPr>
        <w:pStyle w:val="Level1header"/>
        <w:spacing w:line="240" w:lineRule="auto"/>
        <w:rPr>
          <w:rFonts w:asciiTheme="minorHAnsi" w:hAnsiTheme="minorHAnsi" w:cstheme="minorHAnsi"/>
          <w:b w:val="0"/>
          <w:bCs/>
        </w:rPr>
      </w:pPr>
      <w:r w:rsidRPr="00F2011C">
        <w:rPr>
          <w:rFonts w:asciiTheme="minorHAnsi" w:hAnsiTheme="minorHAnsi" w:cstheme="minorHAnsi"/>
          <w:b w:val="0"/>
          <w:bCs/>
        </w:rPr>
        <w:t xml:space="preserve">Environmental variables for </w:t>
      </w:r>
      <w:r w:rsidR="006E1775" w:rsidRPr="00F2011C">
        <w:rPr>
          <w:rFonts w:asciiTheme="minorHAnsi" w:hAnsiTheme="minorHAnsi" w:cstheme="minorHAnsi"/>
          <w:b w:val="0"/>
          <w:bCs/>
        </w:rPr>
        <w:t>model</w:t>
      </w:r>
      <w:r w:rsidR="006E1775" w:rsidRPr="00F2011C">
        <w:rPr>
          <w:rFonts w:asciiTheme="minorHAnsi" w:hAnsiTheme="minorHAnsi" w:cstheme="minorHAnsi"/>
          <w:b w:val="0"/>
          <w:bCs/>
        </w:rPr>
        <w:t xml:space="preserve"> </w:t>
      </w:r>
      <w:r w:rsidRPr="00F2011C">
        <w:rPr>
          <w:rFonts w:asciiTheme="minorHAnsi" w:hAnsiTheme="minorHAnsi" w:cstheme="minorHAnsi"/>
          <w:b w:val="0"/>
          <w:bCs/>
        </w:rPr>
        <w:t>construction</w:t>
      </w:r>
    </w:p>
    <w:p w14:paraId="1372BAF9" w14:textId="77777777" w:rsidR="00913B3D" w:rsidRDefault="00913B3D" w:rsidP="00C97D0E">
      <w:pPr>
        <w:pStyle w:val="BodyText"/>
        <w:spacing w:line="240" w:lineRule="auto"/>
        <w:jc w:val="left"/>
      </w:pPr>
    </w:p>
    <w:p w14:paraId="055CC6F1" w14:textId="09E4B53B" w:rsidR="005C4571" w:rsidRDefault="005C4571" w:rsidP="00F2011C">
      <w:pPr>
        <w:pStyle w:val="BodyText"/>
        <w:spacing w:line="240" w:lineRule="auto"/>
        <w:jc w:val="left"/>
      </w:pPr>
      <w:r>
        <w:t xml:space="preserve">Topographic variables, including mean altitude, standard deviation of altitude, and mean slope were derived from the ASTER Global Digital Elevation Map (ASTER GDEM; METI &amp; NASA). However, given that the Aster GDEM has a spatial resolution of 230 m, we upscaled the images to </w:t>
      </w:r>
      <w:r w:rsidR="00A153A1">
        <w:t xml:space="preserve">a </w:t>
      </w:r>
      <w:r>
        <w:t>1 km</w:t>
      </w:r>
      <w:r w:rsidRPr="005248FF">
        <w:rPr>
          <w:vertAlign w:val="superscript"/>
        </w:rPr>
        <w:t>2</w:t>
      </w:r>
      <w:r>
        <w:t xml:space="preserve"> grid</w:t>
      </w:r>
      <w:r w:rsidR="00A153A1">
        <w:t xml:space="preserve"> </w:t>
      </w:r>
      <w:r w:rsidR="000E505C">
        <w:t>to comply with analysis requirements</w:t>
      </w:r>
      <w:r w:rsidR="000E505C">
        <w:t xml:space="preserve"> </w:t>
      </w:r>
      <w:r w:rsidR="00A153A1">
        <w:t>(</w:t>
      </w:r>
      <w:r>
        <w:t>mean and standard deviation of altitude were calculated considering all the pixels within 1 km</w:t>
      </w:r>
      <w:r w:rsidRPr="005248FF">
        <w:rPr>
          <w:vertAlign w:val="superscript"/>
        </w:rPr>
        <w:t>2</w:t>
      </w:r>
      <w:r>
        <w:t xml:space="preserve"> grid</w:t>
      </w:r>
      <w:r w:rsidR="00A153A1">
        <w:t>)</w:t>
      </w:r>
      <w:r>
        <w:t xml:space="preserve">. Mean slope was calculated using bilinear interpolation (Mata et al., 2019). For anthropogenic influence on taruka presence, we incorporated distance of taruka sighting to nearest settlement (CIESIN, 2016). To assess vegetation quality affecting taruka presence, we used the </w:t>
      </w:r>
      <w:r w:rsidR="00336B5D">
        <w:t>n</w:t>
      </w:r>
      <w:r>
        <w:t>ormali</w:t>
      </w:r>
      <w:r w:rsidR="00336B5D">
        <w:t>z</w:t>
      </w:r>
      <w:r>
        <w:t xml:space="preserve">ed </w:t>
      </w:r>
      <w:r w:rsidR="00336B5D">
        <w:t>d</w:t>
      </w:r>
      <w:r>
        <w:t xml:space="preserve">ifference </w:t>
      </w:r>
      <w:r w:rsidR="00336B5D">
        <w:t>v</w:t>
      </w:r>
      <w:r>
        <w:t xml:space="preserve">egetation </w:t>
      </w:r>
      <w:r w:rsidR="00336B5D">
        <w:t>i</w:t>
      </w:r>
      <w:r>
        <w:t xml:space="preserve">ndex (NDVI) for the months of August (dry season, </w:t>
      </w:r>
      <w:r w:rsidR="00373D15">
        <w:t>NDVI</w:t>
      </w:r>
      <w:r w:rsidR="00373D15">
        <w:t>dry</w:t>
      </w:r>
      <w:r>
        <w:t>) and February (</w:t>
      </w:r>
      <w:r w:rsidR="003D7A81">
        <w:t>rainy</w:t>
      </w:r>
      <w:r>
        <w:t xml:space="preserve"> season, </w:t>
      </w:r>
      <w:r w:rsidR="00373D15">
        <w:t>NDVI</w:t>
      </w:r>
      <w:r w:rsidR="00230510">
        <w:t>rain</w:t>
      </w:r>
      <w:r>
        <w:t xml:space="preserve">) from 2000 to 2022 (AppEEARS Team, 2022). Images were obtained from MODIS-Terra (Didan, 2015). We excluded images with significant atmospheric corruptions, calculating mean </w:t>
      </w:r>
      <w:r w:rsidR="00B876B9">
        <w:t>NDVI</w:t>
      </w:r>
      <w:r w:rsidR="00B876B9">
        <w:t xml:space="preserve">dry </w:t>
      </w:r>
      <w:r>
        <w:t>based on images from 2003, 2014, 2016, 2017, and 2019 (atmospheric corruption &lt;</w:t>
      </w:r>
      <w:r w:rsidR="00B876B9">
        <w:t xml:space="preserve"> </w:t>
      </w:r>
      <w:r>
        <w:t xml:space="preserve">30%) and mean </w:t>
      </w:r>
      <w:r w:rsidR="00B876B9">
        <w:t>NDVIrain</w:t>
      </w:r>
      <w:r w:rsidR="00B876B9">
        <w:t xml:space="preserve"> </w:t>
      </w:r>
      <w:r>
        <w:t>from images captured in 2004, 2007, 2010, 2014, 2016 and 2021 (atmospheric corruption &lt;</w:t>
      </w:r>
      <w:r w:rsidR="00B876B9">
        <w:t xml:space="preserve"> </w:t>
      </w:r>
      <w:r>
        <w:t>40%).</w:t>
      </w:r>
    </w:p>
    <w:p w14:paraId="1D1F3518" w14:textId="77777777" w:rsidR="00A643F4" w:rsidRDefault="00A643F4" w:rsidP="00F2011C">
      <w:pPr>
        <w:pStyle w:val="BodyText"/>
        <w:spacing w:line="240" w:lineRule="auto"/>
      </w:pPr>
    </w:p>
    <w:p w14:paraId="07E8E3A2" w14:textId="77777777" w:rsidR="009B6F71" w:rsidRDefault="009B6F71">
      <w:pPr>
        <w:rPr>
          <w:rFonts w:ascii="Times New Roman" w:eastAsia="AR PL SungtiL GB" w:hAnsi="Times New Roman" w:cs="Lohit Devanagari"/>
          <w:smallCaps/>
          <w:sz w:val="24"/>
          <w:szCs w:val="24"/>
          <w:lang w:val="en-GB" w:eastAsia="zh-CN" w:bidi="hi-IN"/>
          <w14:ligatures w14:val="none"/>
        </w:rPr>
      </w:pPr>
      <w:r>
        <w:rPr>
          <w:smallCaps/>
        </w:rPr>
        <w:br w:type="page"/>
      </w:r>
    </w:p>
    <w:p w14:paraId="0B6BD759" w14:textId="690BE71E" w:rsidR="00AA5CA5" w:rsidRDefault="00C97D0E" w:rsidP="00F2011C">
      <w:pPr>
        <w:pStyle w:val="Table"/>
        <w:spacing w:line="240" w:lineRule="auto"/>
        <w:jc w:val="left"/>
      </w:pPr>
      <w:r>
        <w:rPr>
          <w:smallCaps/>
        </w:rPr>
        <w:t xml:space="preserve">Supplementary </w:t>
      </w:r>
      <w:r w:rsidR="00AA5CA5">
        <w:rPr>
          <w:smallCaps/>
        </w:rPr>
        <w:t xml:space="preserve">Table </w:t>
      </w:r>
      <w:r w:rsidR="0054377C">
        <w:t>2</w:t>
      </w:r>
      <w:r w:rsidR="00AA5CA5">
        <w:t xml:space="preserve"> </w:t>
      </w:r>
      <w:r w:rsidR="00712794">
        <w:t>V</w:t>
      </w:r>
      <w:r w:rsidR="000D48ED">
        <w:t>ariables used to model distribution range</w:t>
      </w:r>
      <w:r w:rsidR="0054377C">
        <w:t>, from both the study area and the location data.</w:t>
      </w:r>
    </w:p>
    <w:p w14:paraId="26713D16" w14:textId="77777777" w:rsidR="00EA09C4" w:rsidRDefault="00EA09C4" w:rsidP="00F2011C">
      <w:pPr>
        <w:pStyle w:val="Table"/>
        <w:spacing w:line="240" w:lineRule="auto"/>
      </w:pPr>
    </w:p>
    <w:tbl>
      <w:tblPr>
        <w:tblW w:w="0" w:type="auto"/>
        <w:jc w:val="center"/>
        <w:tblLayout w:type="fixed"/>
        <w:tblLook w:val="0000" w:firstRow="0" w:lastRow="0" w:firstColumn="0" w:lastColumn="0" w:noHBand="0" w:noVBand="0"/>
      </w:tblPr>
      <w:tblGrid>
        <w:gridCol w:w="1418"/>
        <w:gridCol w:w="2094"/>
        <w:gridCol w:w="1908"/>
        <w:gridCol w:w="2093"/>
      </w:tblGrid>
      <w:tr w:rsidR="00EA09C4" w14:paraId="7A06D6BC" w14:textId="77777777" w:rsidTr="00EA09C4">
        <w:trPr>
          <w:trHeight w:val="247"/>
          <w:jc w:val="center"/>
        </w:trPr>
        <w:tc>
          <w:tcPr>
            <w:tcW w:w="1418" w:type="dxa"/>
            <w:tcBorders>
              <w:top w:val="single" w:sz="6" w:space="0" w:color="auto"/>
              <w:left w:val="nil"/>
              <w:bottom w:val="single" w:sz="4" w:space="0" w:color="auto"/>
              <w:right w:val="nil"/>
            </w:tcBorders>
            <w:shd w:val="clear" w:color="auto" w:fill="FFFFFF" w:themeFill="background1"/>
          </w:tcPr>
          <w:p w14:paraId="77E35775" w14:textId="77777777" w:rsidR="00EA09C4" w:rsidRDefault="00EA09C4" w:rsidP="00F2011C">
            <w:pPr>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Type</w:t>
            </w:r>
          </w:p>
        </w:tc>
        <w:tc>
          <w:tcPr>
            <w:tcW w:w="2094" w:type="dxa"/>
            <w:tcBorders>
              <w:top w:val="single" w:sz="6" w:space="0" w:color="auto"/>
              <w:left w:val="nil"/>
              <w:bottom w:val="single" w:sz="4" w:space="0" w:color="auto"/>
              <w:right w:val="nil"/>
            </w:tcBorders>
            <w:shd w:val="clear" w:color="auto" w:fill="FFFFFF" w:themeFill="background1"/>
          </w:tcPr>
          <w:p w14:paraId="679F2C19" w14:textId="77777777" w:rsidR="00EA09C4" w:rsidRDefault="00EA09C4" w:rsidP="00F2011C">
            <w:pPr>
              <w:autoSpaceDE w:val="0"/>
              <w:autoSpaceDN w:val="0"/>
              <w:adjustRightInd w:val="0"/>
              <w:spacing w:after="0" w:line="240" w:lineRule="auto"/>
              <w:rPr>
                <w:rFonts w:ascii="Arial" w:hAnsi="Arial" w:cs="Arial"/>
                <w:b/>
                <w:bCs/>
                <w:color w:val="333333"/>
                <w:kern w:val="0"/>
                <w:sz w:val="20"/>
                <w:szCs w:val="20"/>
              </w:rPr>
            </w:pPr>
            <w:r>
              <w:rPr>
                <w:rFonts w:ascii="Arial" w:hAnsi="Arial" w:cs="Arial"/>
                <w:b/>
                <w:bCs/>
                <w:color w:val="333333"/>
                <w:kern w:val="0"/>
                <w:sz w:val="20"/>
                <w:szCs w:val="20"/>
              </w:rPr>
              <w:t>Variable</w:t>
            </w:r>
          </w:p>
        </w:tc>
        <w:tc>
          <w:tcPr>
            <w:tcW w:w="1908" w:type="dxa"/>
            <w:tcBorders>
              <w:top w:val="single" w:sz="6" w:space="0" w:color="auto"/>
              <w:left w:val="nil"/>
              <w:bottom w:val="single" w:sz="4" w:space="0" w:color="auto"/>
              <w:right w:val="nil"/>
            </w:tcBorders>
            <w:shd w:val="clear" w:color="auto" w:fill="FFFFFF" w:themeFill="background1"/>
          </w:tcPr>
          <w:p w14:paraId="606B9A04" w14:textId="77777777" w:rsidR="00EA09C4" w:rsidRDefault="00EA09C4"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Study area</w:t>
            </w:r>
          </w:p>
        </w:tc>
        <w:tc>
          <w:tcPr>
            <w:tcW w:w="2093" w:type="dxa"/>
            <w:tcBorders>
              <w:top w:val="single" w:sz="6" w:space="0" w:color="auto"/>
              <w:left w:val="nil"/>
              <w:bottom w:val="single" w:sz="4" w:space="0" w:color="auto"/>
              <w:right w:val="nil"/>
            </w:tcBorders>
            <w:shd w:val="clear" w:color="auto" w:fill="FFFFFF" w:themeFill="background1"/>
          </w:tcPr>
          <w:p w14:paraId="1B006A9D" w14:textId="77777777" w:rsidR="00EA09C4" w:rsidRDefault="00EA09C4" w:rsidP="00F2011C">
            <w:pPr>
              <w:autoSpaceDE w:val="0"/>
              <w:autoSpaceDN w:val="0"/>
              <w:adjustRightInd w:val="0"/>
              <w:spacing w:after="0" w:line="240" w:lineRule="auto"/>
              <w:jc w:val="center"/>
              <w:rPr>
                <w:rFonts w:ascii="Arial" w:hAnsi="Arial" w:cs="Arial"/>
                <w:b/>
                <w:bCs/>
                <w:color w:val="000000"/>
                <w:kern w:val="0"/>
                <w:sz w:val="20"/>
                <w:szCs w:val="20"/>
              </w:rPr>
            </w:pPr>
            <w:r>
              <w:rPr>
                <w:rFonts w:ascii="Arial" w:hAnsi="Arial" w:cs="Arial"/>
                <w:b/>
                <w:bCs/>
                <w:color w:val="000000"/>
                <w:kern w:val="0"/>
                <w:sz w:val="20"/>
                <w:szCs w:val="20"/>
              </w:rPr>
              <w:t>Sightings</w:t>
            </w:r>
          </w:p>
        </w:tc>
      </w:tr>
      <w:tr w:rsidR="00EA09C4" w14:paraId="1628916F" w14:textId="77777777" w:rsidTr="00EA09C4">
        <w:trPr>
          <w:trHeight w:val="247"/>
          <w:jc w:val="center"/>
        </w:trPr>
        <w:tc>
          <w:tcPr>
            <w:tcW w:w="1418" w:type="dxa"/>
            <w:tcBorders>
              <w:top w:val="single" w:sz="4" w:space="0" w:color="auto"/>
              <w:left w:val="nil"/>
              <w:right w:val="nil"/>
            </w:tcBorders>
            <w:shd w:val="clear" w:color="auto" w:fill="FFFFFF" w:themeFill="background1"/>
          </w:tcPr>
          <w:p w14:paraId="7368D1FF" w14:textId="77777777" w:rsidR="00EA09C4" w:rsidRDefault="00EA09C4" w:rsidP="00F2011C">
            <w:pPr>
              <w:autoSpaceDE w:val="0"/>
              <w:autoSpaceDN w:val="0"/>
              <w:adjustRightInd w:val="0"/>
              <w:spacing w:after="0" w:line="240" w:lineRule="auto"/>
              <w:rPr>
                <w:rFonts w:ascii="Arial" w:hAnsi="Arial" w:cs="Arial"/>
                <w:color w:val="333333"/>
                <w:kern w:val="0"/>
                <w:sz w:val="20"/>
                <w:szCs w:val="20"/>
              </w:rPr>
            </w:pPr>
            <w:r>
              <w:rPr>
                <w:rFonts w:ascii="Arial" w:hAnsi="Arial" w:cs="Arial"/>
                <w:color w:val="333333"/>
                <w:kern w:val="0"/>
                <w:sz w:val="20"/>
                <w:szCs w:val="20"/>
              </w:rPr>
              <w:t>Topographic</w:t>
            </w:r>
          </w:p>
        </w:tc>
        <w:tc>
          <w:tcPr>
            <w:tcW w:w="2094" w:type="dxa"/>
            <w:tcBorders>
              <w:top w:val="single" w:sz="4" w:space="0" w:color="auto"/>
              <w:left w:val="nil"/>
              <w:bottom w:val="nil"/>
              <w:right w:val="nil"/>
            </w:tcBorders>
            <w:shd w:val="clear" w:color="auto" w:fill="FFFFFF" w:themeFill="background1"/>
          </w:tcPr>
          <w:p w14:paraId="174D0C77" w14:textId="08AE51D4" w:rsidR="00EA09C4" w:rsidRDefault="00EA09C4" w:rsidP="00F2011C">
            <w:pPr>
              <w:autoSpaceDE w:val="0"/>
              <w:autoSpaceDN w:val="0"/>
              <w:adjustRightInd w:val="0"/>
              <w:spacing w:after="0" w:line="240" w:lineRule="auto"/>
              <w:rPr>
                <w:rFonts w:ascii="Arial" w:hAnsi="Arial" w:cs="Arial"/>
                <w:color w:val="333333"/>
                <w:kern w:val="0"/>
                <w:sz w:val="20"/>
                <w:szCs w:val="20"/>
              </w:rPr>
            </w:pPr>
            <w:r>
              <w:rPr>
                <w:rFonts w:ascii="Arial" w:hAnsi="Arial" w:cs="Arial"/>
                <w:color w:val="333333"/>
                <w:kern w:val="0"/>
                <w:sz w:val="20"/>
                <w:szCs w:val="20"/>
              </w:rPr>
              <w:t>Mean altitude (</w:t>
            </w:r>
            <w:r w:rsidR="00AB01EE">
              <w:rPr>
                <w:rFonts w:ascii="Arial" w:hAnsi="Arial" w:cs="Arial"/>
                <w:color w:val="333333"/>
                <w:kern w:val="0"/>
                <w:sz w:val="20"/>
                <w:szCs w:val="20"/>
              </w:rPr>
              <w:t>m</w:t>
            </w:r>
            <w:r>
              <w:rPr>
                <w:rFonts w:ascii="Arial" w:hAnsi="Arial" w:cs="Arial"/>
                <w:color w:val="333333"/>
                <w:kern w:val="0"/>
                <w:sz w:val="20"/>
                <w:szCs w:val="20"/>
              </w:rPr>
              <w:t>)</w:t>
            </w:r>
          </w:p>
        </w:tc>
        <w:tc>
          <w:tcPr>
            <w:tcW w:w="1908" w:type="dxa"/>
            <w:tcBorders>
              <w:top w:val="single" w:sz="4" w:space="0" w:color="auto"/>
              <w:left w:val="nil"/>
              <w:bottom w:val="nil"/>
              <w:right w:val="nil"/>
            </w:tcBorders>
            <w:shd w:val="clear" w:color="auto" w:fill="FFFFFF" w:themeFill="background1"/>
          </w:tcPr>
          <w:p w14:paraId="01E3E935"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(951 - 6702)</w:t>
            </w:r>
          </w:p>
        </w:tc>
        <w:tc>
          <w:tcPr>
            <w:tcW w:w="2093" w:type="dxa"/>
            <w:tcBorders>
              <w:top w:val="single" w:sz="4" w:space="0" w:color="auto"/>
              <w:left w:val="nil"/>
              <w:bottom w:val="nil"/>
              <w:right w:val="nil"/>
            </w:tcBorders>
            <w:shd w:val="clear" w:color="auto" w:fill="FFFFFF" w:themeFill="background1"/>
          </w:tcPr>
          <w:p w14:paraId="1F763DAB"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(2009.51 - 5256.93)</w:t>
            </w:r>
          </w:p>
        </w:tc>
      </w:tr>
      <w:tr w:rsidR="00EA09C4" w14:paraId="374498EC" w14:textId="77777777" w:rsidTr="00EA09C4">
        <w:trPr>
          <w:trHeight w:val="247"/>
          <w:jc w:val="center"/>
        </w:trPr>
        <w:tc>
          <w:tcPr>
            <w:tcW w:w="1418" w:type="dxa"/>
            <w:tcBorders>
              <w:left w:val="nil"/>
              <w:right w:val="nil"/>
            </w:tcBorders>
            <w:shd w:val="clear" w:color="auto" w:fill="FFFFFF" w:themeFill="background1"/>
          </w:tcPr>
          <w:p w14:paraId="2D5FFE4E"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top w:val="nil"/>
              <w:left w:val="nil"/>
              <w:bottom w:val="nil"/>
              <w:right w:val="nil"/>
            </w:tcBorders>
            <w:shd w:val="clear" w:color="auto" w:fill="FFFFFF" w:themeFill="background1"/>
          </w:tcPr>
          <w:p w14:paraId="56ABCBE7"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SD altitude</w:t>
            </w:r>
          </w:p>
        </w:tc>
        <w:tc>
          <w:tcPr>
            <w:tcW w:w="1908" w:type="dxa"/>
            <w:tcBorders>
              <w:top w:val="nil"/>
              <w:left w:val="nil"/>
              <w:bottom w:val="nil"/>
              <w:right w:val="nil"/>
            </w:tcBorders>
            <w:shd w:val="clear" w:color="auto" w:fill="FFFFFF" w:themeFill="background1"/>
          </w:tcPr>
          <w:p w14:paraId="17BA4765"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(0 - 911)</w:t>
            </w:r>
          </w:p>
        </w:tc>
        <w:tc>
          <w:tcPr>
            <w:tcW w:w="2093" w:type="dxa"/>
            <w:tcBorders>
              <w:top w:val="nil"/>
              <w:left w:val="nil"/>
              <w:bottom w:val="nil"/>
              <w:right w:val="nil"/>
            </w:tcBorders>
            <w:shd w:val="clear" w:color="auto" w:fill="FFFFFF" w:themeFill="background1"/>
          </w:tcPr>
          <w:p w14:paraId="6051A570"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(0.95 - 222.25)</w:t>
            </w:r>
          </w:p>
        </w:tc>
      </w:tr>
      <w:tr w:rsidR="00EA09C4" w14:paraId="4DB47E40" w14:textId="77777777" w:rsidTr="00EA09C4">
        <w:trPr>
          <w:trHeight w:val="247"/>
          <w:jc w:val="center"/>
        </w:trPr>
        <w:tc>
          <w:tcPr>
            <w:tcW w:w="1418" w:type="dxa"/>
            <w:tcBorders>
              <w:left w:val="nil"/>
              <w:bottom w:val="single" w:sz="4" w:space="0" w:color="auto"/>
              <w:right w:val="nil"/>
            </w:tcBorders>
            <w:shd w:val="clear" w:color="auto" w:fill="FFFFFF" w:themeFill="background1"/>
          </w:tcPr>
          <w:p w14:paraId="5DAB6A67"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top w:val="nil"/>
              <w:left w:val="nil"/>
              <w:bottom w:val="single" w:sz="4" w:space="0" w:color="auto"/>
              <w:right w:val="nil"/>
            </w:tcBorders>
            <w:shd w:val="clear" w:color="auto" w:fill="FFFFFF" w:themeFill="background1"/>
          </w:tcPr>
          <w:p w14:paraId="141DD500"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Mean slope</w:t>
            </w:r>
          </w:p>
        </w:tc>
        <w:tc>
          <w:tcPr>
            <w:tcW w:w="1908" w:type="dxa"/>
            <w:tcBorders>
              <w:top w:val="nil"/>
              <w:left w:val="nil"/>
              <w:bottom w:val="single" w:sz="4" w:space="0" w:color="auto"/>
              <w:right w:val="nil"/>
            </w:tcBorders>
            <w:shd w:val="clear" w:color="auto" w:fill="FFFFFF" w:themeFill="background1"/>
          </w:tcPr>
          <w:p w14:paraId="578123D6"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(0 - 89.63)</w:t>
            </w:r>
          </w:p>
        </w:tc>
        <w:tc>
          <w:tcPr>
            <w:tcW w:w="2093" w:type="dxa"/>
            <w:tcBorders>
              <w:top w:val="nil"/>
              <w:left w:val="nil"/>
              <w:bottom w:val="single" w:sz="4" w:space="0" w:color="auto"/>
              <w:right w:val="nil"/>
            </w:tcBorders>
            <w:shd w:val="clear" w:color="auto" w:fill="FFFFFF" w:themeFill="background1"/>
          </w:tcPr>
          <w:p w14:paraId="1048A37C"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(0.47 - 29.79)</w:t>
            </w:r>
          </w:p>
        </w:tc>
      </w:tr>
      <w:tr w:rsidR="00EA09C4" w14:paraId="3F65FAA6" w14:textId="77777777" w:rsidTr="00EA09C4">
        <w:trPr>
          <w:trHeight w:val="247"/>
          <w:jc w:val="center"/>
        </w:trPr>
        <w:tc>
          <w:tcPr>
            <w:tcW w:w="1418" w:type="dxa"/>
            <w:tcBorders>
              <w:top w:val="single" w:sz="4" w:space="0" w:color="auto"/>
              <w:left w:val="nil"/>
              <w:bottom w:val="single" w:sz="6" w:space="0" w:color="auto"/>
              <w:right w:val="nil"/>
            </w:tcBorders>
            <w:shd w:val="clear" w:color="auto" w:fill="FFFFFF" w:themeFill="background1"/>
          </w:tcPr>
          <w:p w14:paraId="205C2B8D" w14:textId="77777777" w:rsidR="00EA09C4" w:rsidRDefault="00EA09C4" w:rsidP="00F2011C">
            <w:pPr>
              <w:autoSpaceDE w:val="0"/>
              <w:autoSpaceDN w:val="0"/>
              <w:adjustRightInd w:val="0"/>
              <w:spacing w:after="0" w:line="240" w:lineRule="auto"/>
              <w:rPr>
                <w:rFonts w:ascii="Arial" w:hAnsi="Arial" w:cs="Arial"/>
                <w:color w:val="333333"/>
                <w:kern w:val="0"/>
                <w:sz w:val="20"/>
                <w:szCs w:val="20"/>
              </w:rPr>
            </w:pPr>
            <w:r>
              <w:rPr>
                <w:rFonts w:ascii="Arial" w:hAnsi="Arial" w:cs="Arial"/>
                <w:color w:val="333333"/>
                <w:kern w:val="0"/>
                <w:sz w:val="20"/>
                <w:szCs w:val="20"/>
              </w:rPr>
              <w:t>Location</w:t>
            </w:r>
          </w:p>
        </w:tc>
        <w:tc>
          <w:tcPr>
            <w:tcW w:w="2094" w:type="dxa"/>
            <w:tcBorders>
              <w:top w:val="single" w:sz="4" w:space="0" w:color="auto"/>
              <w:left w:val="nil"/>
              <w:bottom w:val="single" w:sz="6" w:space="0" w:color="auto"/>
              <w:right w:val="nil"/>
            </w:tcBorders>
            <w:shd w:val="clear" w:color="auto" w:fill="FFFFFF" w:themeFill="background1"/>
          </w:tcPr>
          <w:p w14:paraId="0AFF92F2" w14:textId="77777777" w:rsidR="00EA09C4" w:rsidRDefault="00EA09C4" w:rsidP="00F2011C">
            <w:pPr>
              <w:autoSpaceDE w:val="0"/>
              <w:autoSpaceDN w:val="0"/>
              <w:adjustRightInd w:val="0"/>
              <w:spacing w:after="0" w:line="240" w:lineRule="auto"/>
              <w:rPr>
                <w:rFonts w:ascii="Arial" w:hAnsi="Arial" w:cs="Arial"/>
                <w:color w:val="333333"/>
                <w:kern w:val="0"/>
                <w:sz w:val="20"/>
                <w:szCs w:val="20"/>
              </w:rPr>
            </w:pPr>
            <w:r>
              <w:rPr>
                <w:rFonts w:ascii="Arial" w:hAnsi="Arial" w:cs="Arial"/>
                <w:color w:val="333333"/>
                <w:kern w:val="0"/>
                <w:sz w:val="20"/>
                <w:szCs w:val="20"/>
              </w:rPr>
              <w:t>Dist to settlements</w:t>
            </w:r>
          </w:p>
        </w:tc>
        <w:tc>
          <w:tcPr>
            <w:tcW w:w="1908" w:type="dxa"/>
            <w:tcBorders>
              <w:top w:val="single" w:sz="4" w:space="0" w:color="auto"/>
              <w:left w:val="nil"/>
              <w:bottom w:val="single" w:sz="6" w:space="0" w:color="auto"/>
              <w:right w:val="nil"/>
            </w:tcBorders>
            <w:shd w:val="clear" w:color="auto" w:fill="FFFFFF" w:themeFill="background1"/>
          </w:tcPr>
          <w:p w14:paraId="09B515C6"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(0 - 126621.5)</w:t>
            </w:r>
          </w:p>
        </w:tc>
        <w:tc>
          <w:tcPr>
            <w:tcW w:w="2093" w:type="dxa"/>
            <w:tcBorders>
              <w:top w:val="single" w:sz="4" w:space="0" w:color="auto"/>
              <w:left w:val="nil"/>
              <w:bottom w:val="single" w:sz="6" w:space="0" w:color="auto"/>
              <w:right w:val="nil"/>
            </w:tcBorders>
            <w:shd w:val="clear" w:color="auto" w:fill="FFFFFF" w:themeFill="background1"/>
          </w:tcPr>
          <w:p w14:paraId="031107D4"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(922.51 - 67671.5)</w:t>
            </w:r>
          </w:p>
        </w:tc>
      </w:tr>
      <w:tr w:rsidR="00EA09C4" w14:paraId="6C630FF1" w14:textId="77777777" w:rsidTr="00EA09C4">
        <w:trPr>
          <w:trHeight w:val="247"/>
          <w:jc w:val="center"/>
        </w:trPr>
        <w:tc>
          <w:tcPr>
            <w:tcW w:w="1418" w:type="dxa"/>
            <w:tcBorders>
              <w:top w:val="single" w:sz="6" w:space="0" w:color="auto"/>
              <w:left w:val="nil"/>
              <w:bottom w:val="nil"/>
              <w:right w:val="nil"/>
            </w:tcBorders>
            <w:shd w:val="clear" w:color="auto" w:fill="FFFFFF" w:themeFill="background1"/>
          </w:tcPr>
          <w:p w14:paraId="464D99B5" w14:textId="77777777" w:rsidR="00EA09C4" w:rsidRDefault="00EA09C4" w:rsidP="00F2011C">
            <w:pPr>
              <w:autoSpaceDE w:val="0"/>
              <w:autoSpaceDN w:val="0"/>
              <w:adjustRightInd w:val="0"/>
              <w:spacing w:after="0" w:line="240" w:lineRule="auto"/>
              <w:rPr>
                <w:rFonts w:ascii="Arial" w:hAnsi="Arial" w:cs="Arial"/>
                <w:color w:val="333333"/>
                <w:kern w:val="0"/>
                <w:sz w:val="20"/>
                <w:szCs w:val="20"/>
              </w:rPr>
            </w:pPr>
            <w:r>
              <w:rPr>
                <w:rFonts w:ascii="Arial" w:hAnsi="Arial" w:cs="Arial"/>
                <w:color w:val="333333"/>
                <w:kern w:val="0"/>
                <w:sz w:val="20"/>
                <w:szCs w:val="20"/>
              </w:rPr>
              <w:t>Climatic</w:t>
            </w:r>
          </w:p>
        </w:tc>
        <w:tc>
          <w:tcPr>
            <w:tcW w:w="2094" w:type="dxa"/>
            <w:tcBorders>
              <w:top w:val="single" w:sz="6" w:space="0" w:color="auto"/>
              <w:left w:val="nil"/>
              <w:bottom w:val="nil"/>
              <w:right w:val="nil"/>
            </w:tcBorders>
            <w:shd w:val="clear" w:color="auto" w:fill="FFFFFF" w:themeFill="background1"/>
          </w:tcPr>
          <w:p w14:paraId="2A0E98B6"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MERR1</w:t>
            </w:r>
          </w:p>
        </w:tc>
        <w:tc>
          <w:tcPr>
            <w:tcW w:w="1908" w:type="dxa"/>
            <w:tcBorders>
              <w:top w:val="nil"/>
              <w:left w:val="nil"/>
              <w:bottom w:val="nil"/>
              <w:right w:val="nil"/>
            </w:tcBorders>
            <w:shd w:val="clear" w:color="auto" w:fill="FFFFFF" w:themeFill="background1"/>
          </w:tcPr>
          <w:p w14:paraId="0D053D6F"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(28 - 306)</w:t>
            </w:r>
          </w:p>
        </w:tc>
        <w:tc>
          <w:tcPr>
            <w:tcW w:w="2093" w:type="dxa"/>
            <w:tcBorders>
              <w:top w:val="nil"/>
              <w:left w:val="nil"/>
              <w:bottom w:val="nil"/>
              <w:right w:val="nil"/>
            </w:tcBorders>
            <w:shd w:val="clear" w:color="auto" w:fill="FFFFFF" w:themeFill="background1"/>
          </w:tcPr>
          <w:p w14:paraId="1D129176"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(74.18 - 232.13)</w:t>
            </w:r>
          </w:p>
        </w:tc>
      </w:tr>
      <w:tr w:rsidR="00EA09C4" w14:paraId="03F08122" w14:textId="77777777" w:rsidTr="00EA09C4">
        <w:trPr>
          <w:trHeight w:val="247"/>
          <w:jc w:val="center"/>
        </w:trPr>
        <w:tc>
          <w:tcPr>
            <w:tcW w:w="1418" w:type="dxa"/>
            <w:tcBorders>
              <w:top w:val="nil"/>
              <w:left w:val="nil"/>
              <w:bottom w:val="nil"/>
              <w:right w:val="nil"/>
            </w:tcBorders>
            <w:shd w:val="clear" w:color="auto" w:fill="FFFFFF" w:themeFill="background1"/>
          </w:tcPr>
          <w:p w14:paraId="2F67739B"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top w:val="nil"/>
              <w:left w:val="nil"/>
              <w:bottom w:val="nil"/>
              <w:right w:val="nil"/>
            </w:tcBorders>
            <w:shd w:val="clear" w:color="auto" w:fill="FFFFFF" w:themeFill="background1"/>
          </w:tcPr>
          <w:p w14:paraId="2ECAE03E"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MERR2</w:t>
            </w:r>
          </w:p>
        </w:tc>
        <w:tc>
          <w:tcPr>
            <w:tcW w:w="1908" w:type="dxa"/>
            <w:tcBorders>
              <w:top w:val="nil"/>
              <w:left w:val="nil"/>
              <w:bottom w:val="nil"/>
              <w:right w:val="nil"/>
            </w:tcBorders>
            <w:shd w:val="clear" w:color="auto" w:fill="FFFFFF" w:themeFill="background1"/>
          </w:tcPr>
          <w:p w14:paraId="380989AF"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(55 - 282)</w:t>
            </w:r>
          </w:p>
        </w:tc>
        <w:tc>
          <w:tcPr>
            <w:tcW w:w="2093" w:type="dxa"/>
            <w:tcBorders>
              <w:top w:val="nil"/>
              <w:left w:val="nil"/>
              <w:bottom w:val="nil"/>
              <w:right w:val="nil"/>
            </w:tcBorders>
            <w:shd w:val="clear" w:color="auto" w:fill="FFFFFF" w:themeFill="background1"/>
          </w:tcPr>
          <w:p w14:paraId="60F3CC46"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(114.39 - 281)</w:t>
            </w:r>
          </w:p>
        </w:tc>
      </w:tr>
      <w:tr w:rsidR="00EA09C4" w14:paraId="476C9172" w14:textId="77777777" w:rsidTr="00EA09C4">
        <w:trPr>
          <w:trHeight w:val="247"/>
          <w:jc w:val="center"/>
        </w:trPr>
        <w:tc>
          <w:tcPr>
            <w:tcW w:w="1418" w:type="dxa"/>
            <w:tcBorders>
              <w:top w:val="nil"/>
              <w:left w:val="nil"/>
              <w:bottom w:val="nil"/>
              <w:right w:val="nil"/>
            </w:tcBorders>
            <w:shd w:val="clear" w:color="auto" w:fill="FFFFFF" w:themeFill="background1"/>
          </w:tcPr>
          <w:p w14:paraId="3C96B7D0"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top w:val="nil"/>
              <w:left w:val="nil"/>
              <w:bottom w:val="nil"/>
              <w:right w:val="nil"/>
            </w:tcBorders>
            <w:shd w:val="clear" w:color="auto" w:fill="FFFFFF" w:themeFill="background1"/>
          </w:tcPr>
          <w:p w14:paraId="7D1684D2"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MERR3</w:t>
            </w:r>
          </w:p>
        </w:tc>
        <w:tc>
          <w:tcPr>
            <w:tcW w:w="1908" w:type="dxa"/>
            <w:tcBorders>
              <w:top w:val="nil"/>
              <w:left w:val="nil"/>
              <w:bottom w:val="nil"/>
              <w:right w:val="nil"/>
            </w:tcBorders>
            <w:shd w:val="clear" w:color="auto" w:fill="FFFFFF" w:themeFill="background1"/>
          </w:tcPr>
          <w:p w14:paraId="63F25975"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(42 - 86)</w:t>
            </w:r>
          </w:p>
        </w:tc>
        <w:tc>
          <w:tcPr>
            <w:tcW w:w="2093" w:type="dxa"/>
            <w:tcBorders>
              <w:top w:val="nil"/>
              <w:left w:val="nil"/>
              <w:bottom w:val="nil"/>
              <w:right w:val="nil"/>
            </w:tcBorders>
            <w:shd w:val="clear" w:color="auto" w:fill="FFFFFF" w:themeFill="background1"/>
          </w:tcPr>
          <w:p w14:paraId="635ED05E"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(63.89 - 82)</w:t>
            </w:r>
          </w:p>
        </w:tc>
      </w:tr>
      <w:tr w:rsidR="00EA09C4" w14:paraId="4AD5236D" w14:textId="77777777" w:rsidTr="00EA09C4">
        <w:trPr>
          <w:trHeight w:val="247"/>
          <w:jc w:val="center"/>
        </w:trPr>
        <w:tc>
          <w:tcPr>
            <w:tcW w:w="1418" w:type="dxa"/>
            <w:tcBorders>
              <w:top w:val="nil"/>
              <w:left w:val="nil"/>
              <w:bottom w:val="nil"/>
              <w:right w:val="nil"/>
            </w:tcBorders>
            <w:shd w:val="clear" w:color="auto" w:fill="FFFFFF" w:themeFill="background1"/>
          </w:tcPr>
          <w:p w14:paraId="2B14A073"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top w:val="nil"/>
              <w:left w:val="nil"/>
              <w:bottom w:val="nil"/>
              <w:right w:val="nil"/>
            </w:tcBorders>
            <w:shd w:val="clear" w:color="auto" w:fill="FFFFFF" w:themeFill="background1"/>
          </w:tcPr>
          <w:p w14:paraId="515C340B"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MERR4</w:t>
            </w:r>
          </w:p>
        </w:tc>
        <w:tc>
          <w:tcPr>
            <w:tcW w:w="1908" w:type="dxa"/>
            <w:tcBorders>
              <w:top w:val="nil"/>
              <w:left w:val="nil"/>
              <w:bottom w:val="nil"/>
              <w:right w:val="nil"/>
            </w:tcBorders>
            <w:shd w:val="clear" w:color="auto" w:fill="FFFFFF" w:themeFill="background1"/>
          </w:tcPr>
          <w:p w14:paraId="594562C9"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(688 - 7631)</w:t>
            </w:r>
          </w:p>
        </w:tc>
        <w:tc>
          <w:tcPr>
            <w:tcW w:w="2093" w:type="dxa"/>
            <w:tcBorders>
              <w:top w:val="nil"/>
              <w:left w:val="nil"/>
              <w:bottom w:val="nil"/>
              <w:right w:val="nil"/>
            </w:tcBorders>
            <w:shd w:val="clear" w:color="auto" w:fill="FFFFFF" w:themeFill="background1"/>
          </w:tcPr>
          <w:p w14:paraId="55EB9C39"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(810.44 - 3889.78)</w:t>
            </w:r>
          </w:p>
        </w:tc>
      </w:tr>
      <w:tr w:rsidR="00EA09C4" w14:paraId="1ADB5CEE" w14:textId="77777777" w:rsidTr="00EA09C4">
        <w:trPr>
          <w:trHeight w:val="247"/>
          <w:jc w:val="center"/>
        </w:trPr>
        <w:tc>
          <w:tcPr>
            <w:tcW w:w="1418" w:type="dxa"/>
            <w:tcBorders>
              <w:top w:val="nil"/>
              <w:left w:val="nil"/>
              <w:bottom w:val="nil"/>
              <w:right w:val="nil"/>
            </w:tcBorders>
            <w:shd w:val="clear" w:color="auto" w:fill="FFFFFF" w:themeFill="background1"/>
          </w:tcPr>
          <w:p w14:paraId="6DBCFBF0"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top w:val="nil"/>
              <w:left w:val="nil"/>
              <w:bottom w:val="nil"/>
              <w:right w:val="nil"/>
            </w:tcBorders>
            <w:shd w:val="clear" w:color="auto" w:fill="FFFFFF" w:themeFill="background1"/>
          </w:tcPr>
          <w:p w14:paraId="061A233F"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MERR7</w:t>
            </w:r>
          </w:p>
        </w:tc>
        <w:tc>
          <w:tcPr>
            <w:tcW w:w="1908" w:type="dxa"/>
            <w:tcBorders>
              <w:top w:val="nil"/>
              <w:left w:val="nil"/>
              <w:bottom w:val="nil"/>
              <w:right w:val="nil"/>
            </w:tcBorders>
            <w:shd w:val="clear" w:color="auto" w:fill="FFFFFF" w:themeFill="background1"/>
          </w:tcPr>
          <w:p w14:paraId="33C6E182"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(115 - 502)</w:t>
            </w:r>
          </w:p>
        </w:tc>
        <w:tc>
          <w:tcPr>
            <w:tcW w:w="2093" w:type="dxa"/>
            <w:tcBorders>
              <w:top w:val="nil"/>
              <w:left w:val="nil"/>
              <w:bottom w:val="nil"/>
              <w:right w:val="nil"/>
            </w:tcBorders>
            <w:shd w:val="clear" w:color="auto" w:fill="FFFFFF" w:themeFill="background1"/>
          </w:tcPr>
          <w:p w14:paraId="6FC605DA"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(169.77 - 399.23)</w:t>
            </w:r>
          </w:p>
        </w:tc>
      </w:tr>
      <w:tr w:rsidR="00EA09C4" w14:paraId="78A4EDE0" w14:textId="77777777" w:rsidTr="00EA09C4">
        <w:trPr>
          <w:trHeight w:val="247"/>
          <w:jc w:val="center"/>
        </w:trPr>
        <w:tc>
          <w:tcPr>
            <w:tcW w:w="1418" w:type="dxa"/>
            <w:tcBorders>
              <w:top w:val="nil"/>
              <w:left w:val="nil"/>
              <w:bottom w:val="nil"/>
              <w:right w:val="nil"/>
            </w:tcBorders>
            <w:shd w:val="clear" w:color="auto" w:fill="FFFFFF" w:themeFill="background1"/>
          </w:tcPr>
          <w:p w14:paraId="6C88DD1E"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top w:val="nil"/>
              <w:left w:val="nil"/>
              <w:bottom w:val="single" w:sz="6" w:space="0" w:color="auto"/>
              <w:right w:val="nil"/>
            </w:tcBorders>
            <w:shd w:val="clear" w:color="auto" w:fill="FFFFFF" w:themeFill="background1"/>
          </w:tcPr>
          <w:p w14:paraId="5997ACC0"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MERR12</w:t>
            </w:r>
          </w:p>
        </w:tc>
        <w:tc>
          <w:tcPr>
            <w:tcW w:w="1908" w:type="dxa"/>
            <w:tcBorders>
              <w:top w:val="nil"/>
              <w:left w:val="nil"/>
              <w:bottom w:val="single" w:sz="6" w:space="0" w:color="auto"/>
              <w:right w:val="nil"/>
            </w:tcBorders>
            <w:shd w:val="clear" w:color="auto" w:fill="FFFFFF" w:themeFill="background1"/>
          </w:tcPr>
          <w:p w14:paraId="2ACB2E79"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(28 - 1025)</w:t>
            </w:r>
          </w:p>
        </w:tc>
        <w:tc>
          <w:tcPr>
            <w:tcW w:w="2093" w:type="dxa"/>
            <w:tcBorders>
              <w:top w:val="nil"/>
              <w:left w:val="nil"/>
              <w:bottom w:val="single" w:sz="6" w:space="0" w:color="auto"/>
              <w:right w:val="nil"/>
            </w:tcBorders>
            <w:shd w:val="clear" w:color="auto" w:fill="FFFFFF" w:themeFill="background1"/>
          </w:tcPr>
          <w:p w14:paraId="4FC2A0F0"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(94.02 - 753.96)</w:t>
            </w:r>
          </w:p>
        </w:tc>
      </w:tr>
      <w:tr w:rsidR="00EA09C4" w14:paraId="680B427D" w14:textId="77777777" w:rsidTr="00EA09C4">
        <w:trPr>
          <w:trHeight w:val="247"/>
          <w:jc w:val="center"/>
        </w:trPr>
        <w:tc>
          <w:tcPr>
            <w:tcW w:w="1418" w:type="dxa"/>
            <w:tcBorders>
              <w:top w:val="nil"/>
              <w:left w:val="nil"/>
              <w:bottom w:val="nil"/>
              <w:right w:val="nil"/>
            </w:tcBorders>
            <w:shd w:val="clear" w:color="auto" w:fill="FFFFFF" w:themeFill="background1"/>
          </w:tcPr>
          <w:p w14:paraId="6A46B0A5"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top w:val="nil"/>
              <w:left w:val="nil"/>
              <w:bottom w:val="nil"/>
              <w:right w:val="nil"/>
            </w:tcBorders>
            <w:shd w:val="clear" w:color="auto" w:fill="FFFFFF" w:themeFill="background1"/>
          </w:tcPr>
          <w:p w14:paraId="34F396F7"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BIO1</w:t>
            </w:r>
          </w:p>
        </w:tc>
        <w:tc>
          <w:tcPr>
            <w:tcW w:w="1908" w:type="dxa"/>
            <w:tcBorders>
              <w:top w:val="nil"/>
              <w:left w:val="nil"/>
              <w:bottom w:val="nil"/>
              <w:right w:val="nil"/>
            </w:tcBorders>
            <w:shd w:val="clear" w:color="auto" w:fill="FFFFFF" w:themeFill="background1"/>
          </w:tcPr>
          <w:p w14:paraId="7FF34038"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(-11.25 - 23.2)</w:t>
            </w:r>
          </w:p>
        </w:tc>
        <w:tc>
          <w:tcPr>
            <w:tcW w:w="2093" w:type="dxa"/>
            <w:tcBorders>
              <w:top w:val="nil"/>
              <w:left w:val="nil"/>
              <w:bottom w:val="nil"/>
              <w:right w:val="nil"/>
            </w:tcBorders>
            <w:shd w:val="clear" w:color="auto" w:fill="FFFFFF" w:themeFill="background1"/>
          </w:tcPr>
          <w:p w14:paraId="31F390EB"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(0.29 - 18.46)</w:t>
            </w:r>
          </w:p>
        </w:tc>
      </w:tr>
      <w:tr w:rsidR="00EA09C4" w14:paraId="6035745B" w14:textId="77777777" w:rsidTr="00EA09C4">
        <w:trPr>
          <w:trHeight w:val="247"/>
          <w:jc w:val="center"/>
        </w:trPr>
        <w:tc>
          <w:tcPr>
            <w:tcW w:w="1418" w:type="dxa"/>
            <w:tcBorders>
              <w:top w:val="nil"/>
              <w:left w:val="nil"/>
              <w:bottom w:val="nil"/>
              <w:right w:val="nil"/>
            </w:tcBorders>
            <w:shd w:val="clear" w:color="auto" w:fill="FFFFFF" w:themeFill="background1"/>
          </w:tcPr>
          <w:p w14:paraId="13029B51"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top w:val="nil"/>
              <w:left w:val="nil"/>
              <w:bottom w:val="nil"/>
              <w:right w:val="nil"/>
            </w:tcBorders>
            <w:shd w:val="clear" w:color="auto" w:fill="FFFFFF" w:themeFill="background1"/>
          </w:tcPr>
          <w:p w14:paraId="660D2719"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BIO2</w:t>
            </w:r>
          </w:p>
        </w:tc>
        <w:tc>
          <w:tcPr>
            <w:tcW w:w="1908" w:type="dxa"/>
            <w:tcBorders>
              <w:top w:val="nil"/>
              <w:left w:val="nil"/>
              <w:bottom w:val="nil"/>
              <w:right w:val="nil"/>
            </w:tcBorders>
            <w:shd w:val="clear" w:color="auto" w:fill="FFFFFF" w:themeFill="background1"/>
          </w:tcPr>
          <w:p w14:paraId="21A1DE86"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(4.35 - 27.27)</w:t>
            </w:r>
          </w:p>
        </w:tc>
        <w:tc>
          <w:tcPr>
            <w:tcW w:w="2093" w:type="dxa"/>
            <w:tcBorders>
              <w:top w:val="nil"/>
              <w:left w:val="nil"/>
              <w:bottom w:val="nil"/>
              <w:right w:val="nil"/>
            </w:tcBorders>
            <w:shd w:val="clear" w:color="auto" w:fill="FFFFFF" w:themeFill="background1"/>
          </w:tcPr>
          <w:p w14:paraId="59E2787F"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(10.75 - 24.96)</w:t>
            </w:r>
          </w:p>
        </w:tc>
      </w:tr>
      <w:tr w:rsidR="00EA09C4" w14:paraId="3CF7931F" w14:textId="77777777" w:rsidTr="00EA09C4">
        <w:trPr>
          <w:trHeight w:val="247"/>
          <w:jc w:val="center"/>
        </w:trPr>
        <w:tc>
          <w:tcPr>
            <w:tcW w:w="1418" w:type="dxa"/>
            <w:tcBorders>
              <w:top w:val="nil"/>
              <w:left w:val="nil"/>
              <w:bottom w:val="nil"/>
              <w:right w:val="nil"/>
            </w:tcBorders>
            <w:shd w:val="clear" w:color="auto" w:fill="FFFFFF" w:themeFill="background1"/>
          </w:tcPr>
          <w:p w14:paraId="7DBDA730"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top w:val="nil"/>
              <w:left w:val="nil"/>
              <w:bottom w:val="nil"/>
              <w:right w:val="nil"/>
            </w:tcBorders>
            <w:shd w:val="clear" w:color="auto" w:fill="FFFFFF" w:themeFill="background1"/>
          </w:tcPr>
          <w:p w14:paraId="6FC3DE5C"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BIO3</w:t>
            </w:r>
          </w:p>
        </w:tc>
        <w:tc>
          <w:tcPr>
            <w:tcW w:w="1908" w:type="dxa"/>
            <w:tcBorders>
              <w:top w:val="nil"/>
              <w:left w:val="nil"/>
              <w:bottom w:val="nil"/>
              <w:right w:val="nil"/>
            </w:tcBorders>
            <w:shd w:val="clear" w:color="auto" w:fill="FFFFFF" w:themeFill="background1"/>
          </w:tcPr>
          <w:p w14:paraId="48366E6D"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(31.75 - 97.12)</w:t>
            </w:r>
          </w:p>
        </w:tc>
        <w:tc>
          <w:tcPr>
            <w:tcW w:w="2093" w:type="dxa"/>
            <w:tcBorders>
              <w:top w:val="nil"/>
              <w:left w:val="nil"/>
              <w:bottom w:val="nil"/>
              <w:right w:val="nil"/>
            </w:tcBorders>
            <w:shd w:val="clear" w:color="auto" w:fill="FFFFFF" w:themeFill="background1"/>
          </w:tcPr>
          <w:p w14:paraId="6B3720F0"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(51.47 - 91.61)</w:t>
            </w:r>
          </w:p>
        </w:tc>
      </w:tr>
      <w:tr w:rsidR="00EA09C4" w14:paraId="5BED21DE" w14:textId="77777777" w:rsidTr="00EA09C4">
        <w:trPr>
          <w:trHeight w:val="247"/>
          <w:jc w:val="center"/>
        </w:trPr>
        <w:tc>
          <w:tcPr>
            <w:tcW w:w="1418" w:type="dxa"/>
            <w:tcBorders>
              <w:top w:val="nil"/>
              <w:left w:val="nil"/>
              <w:bottom w:val="nil"/>
              <w:right w:val="nil"/>
            </w:tcBorders>
            <w:shd w:val="clear" w:color="auto" w:fill="FFFFFF" w:themeFill="background1"/>
          </w:tcPr>
          <w:p w14:paraId="00D3D087"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top w:val="nil"/>
              <w:left w:val="nil"/>
              <w:bottom w:val="nil"/>
              <w:right w:val="nil"/>
            </w:tcBorders>
            <w:shd w:val="clear" w:color="auto" w:fill="FFFFFF" w:themeFill="background1"/>
          </w:tcPr>
          <w:p w14:paraId="58F36A5D"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BIO4</w:t>
            </w:r>
          </w:p>
        </w:tc>
        <w:tc>
          <w:tcPr>
            <w:tcW w:w="1908" w:type="dxa"/>
            <w:tcBorders>
              <w:top w:val="nil"/>
              <w:left w:val="nil"/>
              <w:bottom w:val="nil"/>
              <w:right w:val="nil"/>
            </w:tcBorders>
            <w:shd w:val="clear" w:color="auto" w:fill="FFFFFF" w:themeFill="background1"/>
          </w:tcPr>
          <w:p w14:paraId="0D4448C8"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(9.13 - 591.53)</w:t>
            </w:r>
          </w:p>
        </w:tc>
        <w:tc>
          <w:tcPr>
            <w:tcW w:w="2093" w:type="dxa"/>
            <w:tcBorders>
              <w:top w:val="nil"/>
              <w:left w:val="nil"/>
              <w:bottom w:val="nil"/>
              <w:right w:val="nil"/>
            </w:tcBorders>
            <w:shd w:val="clear" w:color="auto" w:fill="FFFFFF" w:themeFill="background1"/>
          </w:tcPr>
          <w:p w14:paraId="0FA8DB2E"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(46.76 - 421.83)</w:t>
            </w:r>
          </w:p>
        </w:tc>
      </w:tr>
      <w:tr w:rsidR="00EA09C4" w14:paraId="5EF3EE15" w14:textId="77777777" w:rsidTr="00EA09C4">
        <w:trPr>
          <w:trHeight w:val="247"/>
          <w:jc w:val="center"/>
        </w:trPr>
        <w:tc>
          <w:tcPr>
            <w:tcW w:w="1418" w:type="dxa"/>
            <w:tcBorders>
              <w:top w:val="nil"/>
              <w:left w:val="nil"/>
              <w:bottom w:val="nil"/>
              <w:right w:val="nil"/>
            </w:tcBorders>
            <w:shd w:val="clear" w:color="auto" w:fill="FFFFFF" w:themeFill="background1"/>
          </w:tcPr>
          <w:p w14:paraId="3339174B"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top w:val="nil"/>
              <w:left w:val="nil"/>
              <w:bottom w:val="nil"/>
              <w:right w:val="nil"/>
            </w:tcBorders>
            <w:shd w:val="clear" w:color="auto" w:fill="FFFFFF" w:themeFill="background1"/>
          </w:tcPr>
          <w:p w14:paraId="303F6353"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BIO7</w:t>
            </w:r>
          </w:p>
        </w:tc>
        <w:tc>
          <w:tcPr>
            <w:tcW w:w="1908" w:type="dxa"/>
            <w:tcBorders>
              <w:top w:val="nil"/>
              <w:left w:val="nil"/>
              <w:bottom w:val="nil"/>
              <w:right w:val="nil"/>
            </w:tcBorders>
            <w:shd w:val="clear" w:color="auto" w:fill="FFFFFF" w:themeFill="background1"/>
          </w:tcPr>
          <w:p w14:paraId="0AD24125"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(9.9 - 36.7)</w:t>
            </w:r>
          </w:p>
        </w:tc>
        <w:tc>
          <w:tcPr>
            <w:tcW w:w="2093" w:type="dxa"/>
            <w:tcBorders>
              <w:top w:val="nil"/>
              <w:left w:val="nil"/>
              <w:bottom w:val="nil"/>
              <w:right w:val="nil"/>
            </w:tcBorders>
            <w:shd w:val="clear" w:color="auto" w:fill="FFFFFF" w:themeFill="background1"/>
          </w:tcPr>
          <w:p w14:paraId="3F19E1B0"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(14.37 - 30.97)</w:t>
            </w:r>
          </w:p>
        </w:tc>
      </w:tr>
      <w:tr w:rsidR="00EA09C4" w14:paraId="625D3E16" w14:textId="77777777" w:rsidTr="00EA09C4">
        <w:trPr>
          <w:trHeight w:val="247"/>
          <w:jc w:val="center"/>
        </w:trPr>
        <w:tc>
          <w:tcPr>
            <w:tcW w:w="1418" w:type="dxa"/>
            <w:tcBorders>
              <w:top w:val="nil"/>
              <w:left w:val="nil"/>
              <w:bottom w:val="single" w:sz="4" w:space="0" w:color="auto"/>
              <w:right w:val="nil"/>
            </w:tcBorders>
            <w:shd w:val="clear" w:color="auto" w:fill="FFFFFF" w:themeFill="background1"/>
          </w:tcPr>
          <w:p w14:paraId="4F0190F7"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top w:val="nil"/>
              <w:left w:val="nil"/>
              <w:bottom w:val="single" w:sz="4" w:space="0" w:color="auto"/>
              <w:right w:val="nil"/>
            </w:tcBorders>
            <w:shd w:val="clear" w:color="auto" w:fill="FFFFFF" w:themeFill="background1"/>
          </w:tcPr>
          <w:p w14:paraId="0A233ECE"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BIO12</w:t>
            </w:r>
          </w:p>
        </w:tc>
        <w:tc>
          <w:tcPr>
            <w:tcW w:w="1908" w:type="dxa"/>
            <w:tcBorders>
              <w:top w:val="nil"/>
              <w:left w:val="nil"/>
              <w:bottom w:val="single" w:sz="4" w:space="0" w:color="auto"/>
              <w:right w:val="nil"/>
            </w:tcBorders>
            <w:shd w:val="clear" w:color="auto" w:fill="FFFFFF" w:themeFill="background1"/>
          </w:tcPr>
          <w:p w14:paraId="052D2DF8"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(1 - 3440)</w:t>
            </w:r>
          </w:p>
        </w:tc>
        <w:tc>
          <w:tcPr>
            <w:tcW w:w="2093" w:type="dxa"/>
            <w:tcBorders>
              <w:top w:val="nil"/>
              <w:left w:val="nil"/>
              <w:bottom w:val="single" w:sz="4" w:space="0" w:color="auto"/>
              <w:right w:val="nil"/>
            </w:tcBorders>
            <w:shd w:val="clear" w:color="auto" w:fill="FFFFFF" w:themeFill="background1"/>
          </w:tcPr>
          <w:p w14:paraId="3149415C"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(32.09 - 1503.18)</w:t>
            </w:r>
          </w:p>
        </w:tc>
      </w:tr>
      <w:tr w:rsidR="00EA09C4" w14:paraId="65D612BE" w14:textId="77777777" w:rsidTr="00EA09C4">
        <w:trPr>
          <w:trHeight w:val="247"/>
          <w:jc w:val="center"/>
        </w:trPr>
        <w:tc>
          <w:tcPr>
            <w:tcW w:w="1418" w:type="dxa"/>
            <w:tcBorders>
              <w:top w:val="single" w:sz="4" w:space="0" w:color="auto"/>
              <w:left w:val="nil"/>
              <w:right w:val="nil"/>
            </w:tcBorders>
            <w:shd w:val="clear" w:color="auto" w:fill="FFFFFF" w:themeFill="background1"/>
          </w:tcPr>
          <w:p w14:paraId="2E23BFC3" w14:textId="77777777" w:rsidR="00EA09C4" w:rsidRDefault="00EA09C4" w:rsidP="00F2011C">
            <w:pPr>
              <w:autoSpaceDE w:val="0"/>
              <w:autoSpaceDN w:val="0"/>
              <w:adjustRightInd w:val="0"/>
              <w:spacing w:after="0" w:line="240" w:lineRule="auto"/>
              <w:rPr>
                <w:rFonts w:ascii="Arial" w:hAnsi="Arial" w:cs="Arial"/>
                <w:color w:val="333333"/>
                <w:kern w:val="0"/>
                <w:sz w:val="20"/>
                <w:szCs w:val="20"/>
              </w:rPr>
            </w:pPr>
            <w:r>
              <w:rPr>
                <w:rFonts w:ascii="Arial" w:hAnsi="Arial" w:cs="Arial"/>
                <w:color w:val="333333"/>
                <w:kern w:val="0"/>
                <w:sz w:val="20"/>
                <w:szCs w:val="20"/>
              </w:rPr>
              <w:t>Vegetation</w:t>
            </w:r>
          </w:p>
        </w:tc>
        <w:tc>
          <w:tcPr>
            <w:tcW w:w="2094" w:type="dxa"/>
            <w:tcBorders>
              <w:top w:val="single" w:sz="4" w:space="0" w:color="auto"/>
              <w:left w:val="nil"/>
              <w:right w:val="nil"/>
            </w:tcBorders>
            <w:shd w:val="clear" w:color="auto" w:fill="FFFFFF" w:themeFill="background1"/>
          </w:tcPr>
          <w:p w14:paraId="2C8079A7" w14:textId="2285E305" w:rsidR="00EA09C4" w:rsidRDefault="0030569A"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NDVI</w:t>
            </w:r>
            <w:r>
              <w:rPr>
                <w:rFonts w:ascii="Arial" w:hAnsi="Arial" w:cs="Arial"/>
                <w:color w:val="000000"/>
                <w:kern w:val="0"/>
                <w:sz w:val="20"/>
                <w:szCs w:val="20"/>
              </w:rPr>
              <w:t>dry</w:t>
            </w:r>
          </w:p>
        </w:tc>
        <w:tc>
          <w:tcPr>
            <w:tcW w:w="1908" w:type="dxa"/>
            <w:tcBorders>
              <w:top w:val="single" w:sz="4" w:space="0" w:color="auto"/>
              <w:left w:val="nil"/>
              <w:right w:val="nil"/>
            </w:tcBorders>
            <w:shd w:val="clear" w:color="auto" w:fill="FFFFFF" w:themeFill="background1"/>
          </w:tcPr>
          <w:p w14:paraId="57C7BF07"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(-0.11 - 0.89)</w:t>
            </w:r>
          </w:p>
        </w:tc>
        <w:tc>
          <w:tcPr>
            <w:tcW w:w="2093" w:type="dxa"/>
            <w:tcBorders>
              <w:top w:val="single" w:sz="4" w:space="0" w:color="auto"/>
              <w:left w:val="nil"/>
              <w:right w:val="nil"/>
            </w:tcBorders>
            <w:shd w:val="clear" w:color="auto" w:fill="FFFFFF" w:themeFill="background1"/>
          </w:tcPr>
          <w:p w14:paraId="24F854B3"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(0.03 - 0.79)</w:t>
            </w:r>
          </w:p>
        </w:tc>
      </w:tr>
      <w:tr w:rsidR="00EA09C4" w14:paraId="54D92A23" w14:textId="77777777" w:rsidTr="00EA09C4">
        <w:trPr>
          <w:trHeight w:val="247"/>
          <w:jc w:val="center"/>
        </w:trPr>
        <w:tc>
          <w:tcPr>
            <w:tcW w:w="1418" w:type="dxa"/>
            <w:tcBorders>
              <w:left w:val="nil"/>
              <w:bottom w:val="single" w:sz="4" w:space="0" w:color="auto"/>
              <w:right w:val="nil"/>
            </w:tcBorders>
            <w:shd w:val="clear" w:color="auto" w:fill="FFFFFF" w:themeFill="background1"/>
          </w:tcPr>
          <w:p w14:paraId="6099FA4F" w14:textId="77777777" w:rsidR="00EA09C4" w:rsidRDefault="00EA09C4" w:rsidP="00F2011C">
            <w:pPr>
              <w:autoSpaceDE w:val="0"/>
              <w:autoSpaceDN w:val="0"/>
              <w:adjustRightInd w:val="0"/>
              <w:spacing w:after="0" w:line="240" w:lineRule="auto"/>
              <w:rPr>
                <w:rFonts w:ascii="Arial" w:hAnsi="Arial" w:cs="Arial"/>
                <w:color w:val="000000"/>
                <w:kern w:val="0"/>
                <w:sz w:val="20"/>
                <w:szCs w:val="20"/>
              </w:rPr>
            </w:pPr>
          </w:p>
        </w:tc>
        <w:tc>
          <w:tcPr>
            <w:tcW w:w="2094" w:type="dxa"/>
            <w:tcBorders>
              <w:left w:val="nil"/>
              <w:bottom w:val="single" w:sz="4" w:space="0" w:color="auto"/>
              <w:right w:val="nil"/>
            </w:tcBorders>
            <w:shd w:val="clear" w:color="auto" w:fill="FFFFFF" w:themeFill="background1"/>
          </w:tcPr>
          <w:p w14:paraId="0E248923" w14:textId="056308B8" w:rsidR="00EA09C4" w:rsidRDefault="0030569A" w:rsidP="00F2011C">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NDVI</w:t>
            </w:r>
            <w:r>
              <w:rPr>
                <w:rFonts w:ascii="Arial" w:hAnsi="Arial" w:cs="Arial"/>
                <w:color w:val="000000"/>
                <w:kern w:val="0"/>
                <w:sz w:val="20"/>
                <w:szCs w:val="20"/>
              </w:rPr>
              <w:t>rain</w:t>
            </w:r>
          </w:p>
        </w:tc>
        <w:tc>
          <w:tcPr>
            <w:tcW w:w="1908" w:type="dxa"/>
            <w:tcBorders>
              <w:left w:val="nil"/>
              <w:bottom w:val="single" w:sz="4" w:space="0" w:color="auto"/>
              <w:right w:val="nil"/>
            </w:tcBorders>
            <w:shd w:val="clear" w:color="auto" w:fill="FFFFFF" w:themeFill="background1"/>
          </w:tcPr>
          <w:p w14:paraId="2AADAE6D"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(-0.15 - 0.91)</w:t>
            </w:r>
          </w:p>
        </w:tc>
        <w:tc>
          <w:tcPr>
            <w:tcW w:w="2093" w:type="dxa"/>
            <w:tcBorders>
              <w:left w:val="nil"/>
              <w:bottom w:val="single" w:sz="4" w:space="0" w:color="auto"/>
              <w:right w:val="nil"/>
            </w:tcBorders>
            <w:shd w:val="clear" w:color="auto" w:fill="FFFFFF" w:themeFill="background1"/>
          </w:tcPr>
          <w:p w14:paraId="6409539A" w14:textId="77777777" w:rsidR="00EA09C4" w:rsidRDefault="00EA09C4" w:rsidP="00F2011C">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(0.02 - 0.84)</w:t>
            </w:r>
          </w:p>
        </w:tc>
      </w:tr>
    </w:tbl>
    <w:p w14:paraId="2CB26EE7" w14:textId="77777777" w:rsidR="007871A7" w:rsidRDefault="007871A7" w:rsidP="00F2011C">
      <w:pPr>
        <w:pStyle w:val="BodyText"/>
        <w:spacing w:line="240" w:lineRule="auto"/>
      </w:pPr>
    </w:p>
    <w:p w14:paraId="090FA6F3" w14:textId="77777777" w:rsidR="00913B3D" w:rsidRDefault="00913B3D" w:rsidP="00CF493F">
      <w:pPr>
        <w:pStyle w:val="Level1header"/>
        <w:spacing w:line="240" w:lineRule="auto"/>
        <w:rPr>
          <w:rFonts w:asciiTheme="minorHAnsi" w:hAnsiTheme="minorHAnsi" w:cstheme="minorHAnsi"/>
          <w:b w:val="0"/>
          <w:bCs/>
        </w:rPr>
      </w:pPr>
    </w:p>
    <w:p w14:paraId="7D3A0D52" w14:textId="43521C69" w:rsidR="00C378F7" w:rsidRPr="00F2011C" w:rsidRDefault="00251866" w:rsidP="00F2011C">
      <w:pPr>
        <w:pStyle w:val="Level1header"/>
        <w:spacing w:line="240" w:lineRule="auto"/>
        <w:rPr>
          <w:rFonts w:asciiTheme="minorHAnsi" w:hAnsiTheme="minorHAnsi" w:cstheme="minorHAnsi"/>
          <w:b w:val="0"/>
          <w:bCs/>
        </w:rPr>
      </w:pPr>
      <w:r w:rsidRPr="00F2011C">
        <w:rPr>
          <w:rFonts w:asciiTheme="minorHAnsi" w:hAnsiTheme="minorHAnsi" w:cstheme="minorHAnsi"/>
          <w:b w:val="0"/>
          <w:bCs/>
        </w:rPr>
        <w:t>Model Selection</w:t>
      </w:r>
    </w:p>
    <w:p w14:paraId="4B8298A5" w14:textId="77777777" w:rsidR="00913B3D" w:rsidRDefault="00913B3D" w:rsidP="00AB01EE">
      <w:pPr>
        <w:pStyle w:val="BodyText"/>
        <w:spacing w:line="240" w:lineRule="auto"/>
        <w:jc w:val="left"/>
      </w:pPr>
    </w:p>
    <w:p w14:paraId="371DFFB2" w14:textId="5F0FD060" w:rsidR="00C378F7" w:rsidRPr="00904B96" w:rsidRDefault="00C378F7" w:rsidP="00F2011C">
      <w:pPr>
        <w:pStyle w:val="BodyText"/>
        <w:spacing w:line="240" w:lineRule="auto"/>
        <w:jc w:val="left"/>
      </w:pPr>
      <w:r>
        <w:t xml:space="preserve">We used ENMTools to compare the performance of various </w:t>
      </w:r>
      <w:r w:rsidR="00967452">
        <w:t>species distribution models</w:t>
      </w:r>
      <w:r w:rsidR="00967452">
        <w:t xml:space="preserve"> </w:t>
      </w:r>
      <w:r>
        <w:t xml:space="preserve">(Warren et al., 2010). These models differed </w:t>
      </w:r>
      <w:r w:rsidR="00EA6739">
        <w:t>in</w:t>
      </w:r>
      <w:r w:rsidR="00EA6739">
        <w:t xml:space="preserve"> </w:t>
      </w:r>
      <w:r>
        <w:t>the regularisation parameter (Radosavljevic et al., 2014), the functions used for environmental variables (Merow et al., 2013), and incorporated two different sets of feature classes, the auto-features option and a selection that only allowed linear, quadratic, and product (LQP) features. We identified the best-fitting models using</w:t>
      </w:r>
      <w:r w:rsidR="00605F09">
        <w:t xml:space="preserve"> the</w:t>
      </w:r>
      <w:r>
        <w:t xml:space="preserve"> Akaike </w:t>
      </w:r>
      <w:r w:rsidR="00AB01EE">
        <w:t>i</w:t>
      </w:r>
      <w:r>
        <w:t xml:space="preserve">nformation </w:t>
      </w:r>
      <w:r w:rsidR="00AB01EE">
        <w:t>c</w:t>
      </w:r>
      <w:r>
        <w:t xml:space="preserve">riterion (AIC; Warren et al., 2010), and subsequently constructed these models through </w:t>
      </w:r>
      <w:r w:rsidR="00605F09">
        <w:t>five</w:t>
      </w:r>
      <w:r>
        <w:t xml:space="preserve">-fold cross-validation. To assess the significance of each environmental variable explaining taruka presence, we </w:t>
      </w:r>
      <w:r w:rsidRPr="00904B96">
        <w:t xml:space="preserve">conducted </w:t>
      </w:r>
      <w:r w:rsidR="00605F09">
        <w:t>j</w:t>
      </w:r>
      <w:r w:rsidRPr="00904B96">
        <w:t xml:space="preserve">ackknife analysis (Yost et al., 2008) and examined response curves of presence (Phillips et al., 2017). Model consistency was evaluated using the </w:t>
      </w:r>
      <w:r w:rsidR="000C1C8A">
        <w:t>a</w:t>
      </w:r>
      <w:r w:rsidR="000C1C8A" w:rsidRPr="00904B96">
        <w:t xml:space="preserve">rea </w:t>
      </w:r>
      <w:r w:rsidR="000C1C8A">
        <w:t>u</w:t>
      </w:r>
      <w:r w:rsidR="000C1C8A" w:rsidRPr="00904B96">
        <w:t xml:space="preserve">nder </w:t>
      </w:r>
      <w:r w:rsidRPr="00904B96">
        <w:t xml:space="preserve">the </w:t>
      </w:r>
      <w:r w:rsidR="005145AD">
        <w:t xml:space="preserve">receiver operating characteristic </w:t>
      </w:r>
      <w:r w:rsidR="000C1C8A">
        <w:t>c</w:t>
      </w:r>
      <w:r w:rsidR="000C1C8A" w:rsidRPr="00904B96">
        <w:t xml:space="preserve">urve </w:t>
      </w:r>
      <w:r w:rsidRPr="00904B96">
        <w:t xml:space="preserve">index (AUC; Liu et al., 2005), and the </w:t>
      </w:r>
      <w:r w:rsidR="000C1C8A">
        <w:t>l</w:t>
      </w:r>
      <w:r w:rsidRPr="00904B96">
        <w:t>ogistic output format to facilitate the interpretation of results (Phillips and Dudik, 2008).</w:t>
      </w:r>
    </w:p>
    <w:p w14:paraId="5258058D" w14:textId="77777777" w:rsidR="009B6F71" w:rsidRDefault="009B6F71" w:rsidP="009B6F71">
      <w:pPr>
        <w:pStyle w:val="Table"/>
        <w:spacing w:line="240" w:lineRule="auto"/>
      </w:pPr>
    </w:p>
    <w:p w14:paraId="15D9E41E" w14:textId="77777777" w:rsidR="009B6F71" w:rsidRDefault="009B6F71" w:rsidP="009B6F71">
      <w:pPr>
        <w:pStyle w:val="Table"/>
        <w:spacing w:line="240" w:lineRule="auto"/>
      </w:pPr>
      <w:r>
        <w:rPr>
          <w:noProof/>
        </w:rPr>
        <w:drawing>
          <wp:inline distT="0" distB="0" distL="0" distR="0" wp14:anchorId="1FB85C57" wp14:editId="40F6FF9A">
            <wp:extent cx="6115685" cy="5118100"/>
            <wp:effectExtent l="0" t="0" r="1905" b="0"/>
            <wp:docPr id="1" name="Picture 4" descr="A map of the south americ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70466" name="Picture 4" descr="A map of the south america&#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685" cy="5118100"/>
                    </a:xfrm>
                    <a:prstGeom prst="rect">
                      <a:avLst/>
                    </a:prstGeom>
                    <a:noFill/>
                    <a:ln>
                      <a:noFill/>
                    </a:ln>
                  </pic:spPr>
                </pic:pic>
              </a:graphicData>
            </a:graphic>
          </wp:inline>
        </w:drawing>
      </w:r>
    </w:p>
    <w:p w14:paraId="631109F8" w14:textId="77777777" w:rsidR="009B6F71" w:rsidRDefault="009B6F71" w:rsidP="009B6F71">
      <w:pPr>
        <w:pStyle w:val="Table"/>
        <w:spacing w:line="240" w:lineRule="auto"/>
        <w:jc w:val="left"/>
      </w:pPr>
      <w:r>
        <w:rPr>
          <w:smallCaps/>
        </w:rPr>
        <w:t>Supplementary Fig.</w:t>
      </w:r>
      <w:r>
        <w:t xml:space="preserve"> 1 </w:t>
      </w:r>
      <w:r w:rsidRPr="00BE27FA">
        <w:t>Predicted taruka distribution for each bioclimatic database</w:t>
      </w:r>
      <w:r>
        <w:t>:</w:t>
      </w:r>
      <w:r w:rsidRPr="00BE27FA">
        <w:t xml:space="preserve"> </w:t>
      </w:r>
      <w:r>
        <w:t>(</w:t>
      </w:r>
      <w:r w:rsidRPr="00BE27FA">
        <w:t xml:space="preserve">a) MERRAclim, </w:t>
      </w:r>
      <w:r>
        <w:t>(</w:t>
      </w:r>
      <w:r w:rsidRPr="00BE27FA">
        <w:t>b) BIOclim. Black area</w:t>
      </w:r>
      <w:r>
        <w:t>s</w:t>
      </w:r>
      <w:r w:rsidRPr="00BE27FA">
        <w:t xml:space="preserve"> represent core distribution, </w:t>
      </w:r>
      <w:r>
        <w:t>dark</w:t>
      </w:r>
      <w:r w:rsidRPr="00BE27FA">
        <w:t xml:space="preserve"> </w:t>
      </w:r>
      <w:r w:rsidRPr="00BE27FA">
        <w:t xml:space="preserve">grey areas </w:t>
      </w:r>
      <w:r>
        <w:t xml:space="preserve">the </w:t>
      </w:r>
      <w:r w:rsidRPr="00BE27FA">
        <w:t>no</w:t>
      </w:r>
      <w:r>
        <w:t>n</w:t>
      </w:r>
      <w:r w:rsidRPr="00BE27FA">
        <w:t>-core distribution.</w:t>
      </w:r>
    </w:p>
    <w:p w14:paraId="3EFD3337" w14:textId="66BD3EA3" w:rsidR="009B6F71" w:rsidRDefault="009B6F71">
      <w:pPr>
        <w:rPr>
          <w:rFonts w:ascii="Times New Roman" w:eastAsia="AR PL SungtiL GB" w:hAnsi="Times New Roman" w:cs="Lohit Devanagari"/>
          <w:sz w:val="24"/>
          <w:szCs w:val="24"/>
          <w:lang w:val="en-GB" w:eastAsia="zh-CN" w:bidi="hi-IN"/>
          <w14:ligatures w14:val="none"/>
        </w:rPr>
      </w:pPr>
      <w:r>
        <w:br w:type="page"/>
      </w:r>
    </w:p>
    <w:p w14:paraId="0518EA5B" w14:textId="77777777" w:rsidR="00861F79" w:rsidRPr="00904B96" w:rsidRDefault="00861F79" w:rsidP="00F2011C">
      <w:pPr>
        <w:pStyle w:val="BodyText"/>
        <w:spacing w:before="11" w:after="11" w:line="240" w:lineRule="auto"/>
      </w:pPr>
    </w:p>
    <w:p w14:paraId="06D9E951" w14:textId="07D7C504" w:rsidR="00904B96" w:rsidRPr="00F2011C" w:rsidRDefault="003A0AA5" w:rsidP="00F2011C">
      <w:pPr>
        <w:pStyle w:val="Level1header"/>
        <w:spacing w:line="240" w:lineRule="auto"/>
        <w:rPr>
          <w:rFonts w:ascii="Times New Roman" w:hAnsi="Times New Roman" w:cs="Times New Roman"/>
          <w:b w:val="0"/>
          <w:bCs/>
        </w:rPr>
      </w:pPr>
      <w:r w:rsidRPr="00F2011C">
        <w:rPr>
          <w:rFonts w:ascii="Times New Roman" w:hAnsi="Times New Roman" w:cs="Times New Roman"/>
          <w:b w:val="0"/>
          <w:bCs/>
          <w:smallCaps/>
        </w:rPr>
        <w:t>Supplementary Material</w:t>
      </w:r>
      <w:r w:rsidRPr="00F2011C">
        <w:rPr>
          <w:rFonts w:ascii="Times New Roman" w:hAnsi="Times New Roman" w:cs="Times New Roman"/>
          <w:b w:val="0"/>
          <w:bCs/>
        </w:rPr>
        <w:t xml:space="preserve"> 2 Additional details </w:t>
      </w:r>
      <w:r w:rsidR="00913B3D">
        <w:rPr>
          <w:rFonts w:ascii="Times New Roman" w:hAnsi="Times New Roman" w:cs="Times New Roman"/>
          <w:b w:val="0"/>
          <w:bCs/>
        </w:rPr>
        <w:t>on</w:t>
      </w:r>
      <w:r w:rsidRPr="00F2011C">
        <w:rPr>
          <w:rFonts w:ascii="Times New Roman" w:hAnsi="Times New Roman" w:cs="Times New Roman"/>
          <w:b w:val="0"/>
          <w:bCs/>
        </w:rPr>
        <w:t xml:space="preserve"> the Results</w:t>
      </w:r>
      <w:r>
        <w:rPr>
          <w:rFonts w:ascii="Times New Roman" w:hAnsi="Times New Roman" w:cs="Times New Roman"/>
          <w:b w:val="0"/>
          <w:bCs/>
        </w:rPr>
        <w:t>.</w:t>
      </w:r>
    </w:p>
    <w:p w14:paraId="058330C8" w14:textId="77777777" w:rsidR="00913B3D" w:rsidRDefault="00913B3D" w:rsidP="00CF493F">
      <w:pPr>
        <w:pStyle w:val="Level1header"/>
        <w:spacing w:line="240" w:lineRule="auto"/>
        <w:rPr>
          <w:rFonts w:asciiTheme="minorHAnsi" w:hAnsiTheme="minorHAnsi" w:cstheme="minorHAnsi"/>
          <w:b w:val="0"/>
          <w:bCs/>
        </w:rPr>
      </w:pPr>
    </w:p>
    <w:p w14:paraId="1A0F3EF7" w14:textId="722B6308" w:rsidR="00904B96" w:rsidRPr="00F2011C" w:rsidRDefault="00904B96" w:rsidP="00F2011C">
      <w:pPr>
        <w:pStyle w:val="Level1header"/>
        <w:spacing w:line="240" w:lineRule="auto"/>
        <w:rPr>
          <w:rFonts w:asciiTheme="minorHAnsi" w:hAnsiTheme="minorHAnsi" w:cstheme="minorHAnsi"/>
          <w:b w:val="0"/>
          <w:bCs/>
        </w:rPr>
      </w:pPr>
      <w:r w:rsidRPr="00F2011C">
        <w:rPr>
          <w:rFonts w:asciiTheme="minorHAnsi" w:hAnsiTheme="minorHAnsi" w:cstheme="minorHAnsi"/>
          <w:b w:val="0"/>
          <w:bCs/>
        </w:rPr>
        <w:t>Peruvian distribution</w:t>
      </w:r>
    </w:p>
    <w:p w14:paraId="4D461920" w14:textId="77777777" w:rsidR="00913B3D" w:rsidRDefault="00913B3D" w:rsidP="000C1C8A">
      <w:pPr>
        <w:pStyle w:val="BodyText"/>
        <w:spacing w:line="240" w:lineRule="auto"/>
        <w:jc w:val="left"/>
      </w:pPr>
    </w:p>
    <w:p w14:paraId="55EF5B07" w14:textId="2EC55AF2" w:rsidR="00904B96" w:rsidRPr="00904B96" w:rsidRDefault="00904B96" w:rsidP="00F2011C">
      <w:pPr>
        <w:pStyle w:val="BodyText"/>
        <w:spacing w:line="240" w:lineRule="auto"/>
        <w:jc w:val="left"/>
      </w:pPr>
      <w:r w:rsidRPr="00904B96">
        <w:t xml:space="preserve">More than half </w:t>
      </w:r>
      <w:r w:rsidR="004C0CC7">
        <w:t xml:space="preserve">(54%) </w:t>
      </w:r>
      <w:r w:rsidRPr="00904B96">
        <w:t>of the taruka’s</w:t>
      </w:r>
      <w:r w:rsidR="00212BA7">
        <w:t xml:space="preserve"> global</w:t>
      </w:r>
      <w:r w:rsidRPr="00904B96">
        <w:t xml:space="preserve"> distribution is within the borders of this country (c. 172,722 km</w:t>
      </w:r>
      <w:r w:rsidRPr="00904B96">
        <w:rPr>
          <w:vertAlign w:val="superscript"/>
        </w:rPr>
        <w:t>2</w:t>
      </w:r>
      <w:r w:rsidRPr="00904B96">
        <w:t xml:space="preserve">; Fig. 3a), </w:t>
      </w:r>
      <w:r w:rsidR="00212BA7">
        <w:t>including</w:t>
      </w:r>
      <w:r w:rsidR="00212BA7" w:rsidRPr="00904B96">
        <w:t xml:space="preserve"> </w:t>
      </w:r>
      <w:r w:rsidRPr="00904B96">
        <w:t xml:space="preserve">13% </w:t>
      </w:r>
      <w:r w:rsidR="00212BA7">
        <w:t xml:space="preserve">of the global </w:t>
      </w:r>
      <w:r w:rsidRPr="00904B96">
        <w:t>core distribution (c. 41,648 km</w:t>
      </w:r>
      <w:r w:rsidRPr="00904B96">
        <w:rPr>
          <w:vertAlign w:val="superscript"/>
        </w:rPr>
        <w:t>2</w:t>
      </w:r>
      <w:r w:rsidR="00212BA7">
        <w:t>;</w:t>
      </w:r>
      <w:r w:rsidR="00212BA7" w:rsidRPr="00904B96">
        <w:t xml:space="preserve"> </w:t>
      </w:r>
      <w:r w:rsidRPr="00904B96">
        <w:t>with western and eastern strips represented</w:t>
      </w:r>
      <w:r w:rsidR="00212BA7">
        <w:t>)</w:t>
      </w:r>
      <w:r w:rsidRPr="00904B96">
        <w:t xml:space="preserve">, and 41% </w:t>
      </w:r>
      <w:r w:rsidR="00212BA7">
        <w:t xml:space="preserve">of the </w:t>
      </w:r>
      <w:r w:rsidRPr="00904B96">
        <w:t>non-core distribution (c. 131,074 km</w:t>
      </w:r>
      <w:r w:rsidRPr="00904B96">
        <w:rPr>
          <w:vertAlign w:val="superscript"/>
        </w:rPr>
        <w:t>2</w:t>
      </w:r>
      <w:r w:rsidRPr="00904B96">
        <w:t xml:space="preserve">). </w:t>
      </w:r>
      <w:r w:rsidR="00331D43">
        <w:t>O</w:t>
      </w:r>
      <w:r w:rsidRPr="00904B96">
        <w:t>nly 6% of the Peruvian distribution (ca. 10,942 km</w:t>
      </w:r>
      <w:r w:rsidRPr="00904B96">
        <w:rPr>
          <w:vertAlign w:val="superscript"/>
        </w:rPr>
        <w:t>2</w:t>
      </w:r>
      <w:r w:rsidRPr="00904B96">
        <w:t xml:space="preserve">) is currently under </w:t>
      </w:r>
      <w:r w:rsidRPr="00904B96">
        <w:lastRenderedPageBreak/>
        <w:t xml:space="preserve">protection. This protected distribution </w:t>
      </w:r>
      <w:r w:rsidR="00C21B2B">
        <w:t>includes</w:t>
      </w:r>
      <w:r w:rsidRPr="00904B96">
        <w:t xml:space="preserve"> </w:t>
      </w:r>
      <w:r w:rsidR="005D448C" w:rsidRPr="00904B96">
        <w:t>c. 3,907 km</w:t>
      </w:r>
      <w:r w:rsidR="005D448C" w:rsidRPr="00904B96">
        <w:rPr>
          <w:vertAlign w:val="superscript"/>
        </w:rPr>
        <w:t>2</w:t>
      </w:r>
      <w:r w:rsidR="005D448C" w:rsidRPr="00F2011C">
        <w:t xml:space="preserve"> </w:t>
      </w:r>
      <w:r w:rsidR="006C004C">
        <w:t xml:space="preserve">of </w:t>
      </w:r>
      <w:r w:rsidRPr="00904B96">
        <w:t>core</w:t>
      </w:r>
      <w:r w:rsidR="00331D43">
        <w:t xml:space="preserve"> </w:t>
      </w:r>
      <w:r w:rsidRPr="00904B96">
        <w:t>distribution</w:t>
      </w:r>
      <w:r w:rsidR="00C21B2B">
        <w:t xml:space="preserve"> (</w:t>
      </w:r>
      <w:r w:rsidR="004B2ACD">
        <w:t xml:space="preserve">2% of the total distribution and </w:t>
      </w:r>
      <w:r w:rsidRPr="00904B96">
        <w:t>9% of the core</w:t>
      </w:r>
      <w:r w:rsidR="00331D43">
        <w:t xml:space="preserve"> </w:t>
      </w:r>
      <w:r w:rsidRPr="00904B96">
        <w:t xml:space="preserve">distribution in this country), and </w:t>
      </w:r>
      <w:r w:rsidR="006C004C" w:rsidRPr="00904B96">
        <w:t>c. 7,035 km</w:t>
      </w:r>
      <w:r w:rsidR="006C004C" w:rsidRPr="00904B96">
        <w:rPr>
          <w:vertAlign w:val="superscript"/>
        </w:rPr>
        <w:t>2</w:t>
      </w:r>
      <w:r w:rsidR="006C004C">
        <w:rPr>
          <w:vertAlign w:val="superscript"/>
        </w:rPr>
        <w:t xml:space="preserve"> </w:t>
      </w:r>
      <w:r w:rsidRPr="00904B96">
        <w:t>non-core distribution</w:t>
      </w:r>
      <w:r w:rsidR="005D448C">
        <w:t xml:space="preserve"> (4% of the total distribution and</w:t>
      </w:r>
      <w:r w:rsidRPr="00904B96">
        <w:t xml:space="preserve"> 5% of the non-core distribution in this country). The protected distribution in Peru can be divided into 12 distinct units, with five units located along the western strip of the core distribution, three units located along the eastern strip, and four units located in the non-core distribution.</w:t>
      </w:r>
    </w:p>
    <w:p w14:paraId="5A83F874" w14:textId="77777777" w:rsidR="00904B96" w:rsidRPr="00904B96" w:rsidRDefault="00904B96" w:rsidP="00F2011C">
      <w:pPr>
        <w:pStyle w:val="BodyText"/>
        <w:spacing w:line="240" w:lineRule="auto"/>
        <w:jc w:val="left"/>
      </w:pPr>
    </w:p>
    <w:p w14:paraId="13DF5CF9" w14:textId="77777777" w:rsidR="00904B96" w:rsidRPr="00F2011C" w:rsidRDefault="00904B96" w:rsidP="00F2011C">
      <w:pPr>
        <w:pStyle w:val="Level1header"/>
        <w:spacing w:line="240" w:lineRule="auto"/>
        <w:rPr>
          <w:rFonts w:asciiTheme="minorHAnsi" w:hAnsiTheme="minorHAnsi" w:cstheme="minorHAnsi"/>
          <w:b w:val="0"/>
          <w:bCs/>
        </w:rPr>
      </w:pPr>
      <w:r w:rsidRPr="00F2011C">
        <w:rPr>
          <w:rFonts w:asciiTheme="minorHAnsi" w:hAnsiTheme="minorHAnsi" w:cstheme="minorHAnsi"/>
          <w:b w:val="0"/>
          <w:bCs/>
        </w:rPr>
        <w:t>Bolivian distribution</w:t>
      </w:r>
    </w:p>
    <w:p w14:paraId="25C5D366" w14:textId="77777777" w:rsidR="00913B3D" w:rsidRDefault="00913B3D" w:rsidP="00E01CA4">
      <w:pPr>
        <w:pStyle w:val="BodyText"/>
        <w:spacing w:line="240" w:lineRule="auto"/>
        <w:jc w:val="left"/>
      </w:pPr>
    </w:p>
    <w:p w14:paraId="7AFE8655" w14:textId="469956C0" w:rsidR="00904B96" w:rsidRPr="00904B96" w:rsidRDefault="00904B96" w:rsidP="00F2011C">
      <w:pPr>
        <w:pStyle w:val="BodyText"/>
        <w:spacing w:line="240" w:lineRule="auto"/>
        <w:jc w:val="left"/>
      </w:pPr>
      <w:r w:rsidRPr="00904B96">
        <w:t>Approximately one-third of the of the global distribution (30%; c. 96,916 km</w:t>
      </w:r>
      <w:r w:rsidRPr="00904B96">
        <w:rPr>
          <w:vertAlign w:val="superscript"/>
        </w:rPr>
        <w:t>2</w:t>
      </w:r>
      <w:r w:rsidRPr="00904B96">
        <w:t>; Fig. 3b) and roughly one-quarter of the global core distribution (6%; c. 20,221 km</w:t>
      </w:r>
      <w:r w:rsidRPr="00904B96">
        <w:rPr>
          <w:vertAlign w:val="superscript"/>
        </w:rPr>
        <w:t>2</w:t>
      </w:r>
      <w:r w:rsidRPr="00904B96">
        <w:t>), represented by the eastern strip, is in Bolivia. The eastern strip remains well connected and continuous from the Peru-Bolivia border to Cochabamba (17.5°S), but it becomes patchy and fragmented</w:t>
      </w:r>
      <w:r w:rsidR="00E01CA4">
        <w:t xml:space="preserve"> to the</w:t>
      </w:r>
      <w:r w:rsidRPr="00904B96">
        <w:t xml:space="preserve"> south from that point. </w:t>
      </w:r>
      <w:r w:rsidR="00E01CA4">
        <w:t>O</w:t>
      </w:r>
      <w:r w:rsidRPr="00904B96">
        <w:t>nly 9% of the Bolivian distribution (c. 9,015 km</w:t>
      </w:r>
      <w:r w:rsidRPr="00904B96">
        <w:rPr>
          <w:vertAlign w:val="superscript"/>
        </w:rPr>
        <w:t>2</w:t>
      </w:r>
      <w:r w:rsidRPr="00904B96">
        <w:t>) is under protected status, covering 1</w:t>
      </w:r>
      <w:r w:rsidR="00763252">
        <w:t>7</w:t>
      </w:r>
      <w:r w:rsidRPr="00904B96">
        <w:t>% (c. 3,397 km</w:t>
      </w:r>
      <w:r w:rsidRPr="00904B96">
        <w:rPr>
          <w:vertAlign w:val="superscript"/>
        </w:rPr>
        <w:t>2</w:t>
      </w:r>
      <w:r w:rsidRPr="00904B96">
        <w:t>) of the Bolivian core</w:t>
      </w:r>
      <w:r w:rsidR="00763252">
        <w:t xml:space="preserve"> </w:t>
      </w:r>
      <w:r w:rsidRPr="00904B96">
        <w:t>distribution and 7% (ca. 5,619 km</w:t>
      </w:r>
      <w:r w:rsidRPr="00904B96">
        <w:rPr>
          <w:vertAlign w:val="superscript"/>
        </w:rPr>
        <w:t>2</w:t>
      </w:r>
      <w:r w:rsidRPr="00904B96">
        <w:t>) of its non-core distribution. The protected distribution in Bolivia can be categori</w:t>
      </w:r>
      <w:r w:rsidR="00023350">
        <w:t>z</w:t>
      </w:r>
      <w:r w:rsidRPr="00904B96">
        <w:t>ed into eight units, with two units dedicated to safeguarding the non-core distribution, and six units scattered along the eastern strip of core distribution.</w:t>
      </w:r>
    </w:p>
    <w:p w14:paraId="11746ED5" w14:textId="77777777" w:rsidR="00904B96" w:rsidRDefault="00904B96" w:rsidP="00CF493F">
      <w:pPr>
        <w:pStyle w:val="BodyText"/>
        <w:spacing w:line="240" w:lineRule="auto"/>
      </w:pPr>
    </w:p>
    <w:p w14:paraId="1117C40B" w14:textId="77777777" w:rsidR="00913B3D" w:rsidRPr="00904B96" w:rsidRDefault="00913B3D" w:rsidP="00F2011C">
      <w:pPr>
        <w:pStyle w:val="BodyText"/>
        <w:spacing w:line="240" w:lineRule="auto"/>
      </w:pPr>
    </w:p>
    <w:p w14:paraId="3ACC8FE9" w14:textId="77777777" w:rsidR="00904B96" w:rsidRPr="00F2011C" w:rsidRDefault="00904B96" w:rsidP="00F2011C">
      <w:pPr>
        <w:pStyle w:val="Level1header"/>
        <w:spacing w:line="240" w:lineRule="auto"/>
        <w:rPr>
          <w:rFonts w:asciiTheme="minorHAnsi" w:hAnsiTheme="minorHAnsi" w:cstheme="minorHAnsi"/>
          <w:b w:val="0"/>
          <w:bCs/>
        </w:rPr>
      </w:pPr>
      <w:r w:rsidRPr="00F2011C">
        <w:rPr>
          <w:rFonts w:asciiTheme="minorHAnsi" w:hAnsiTheme="minorHAnsi" w:cstheme="minorHAnsi"/>
          <w:b w:val="0"/>
          <w:bCs/>
        </w:rPr>
        <w:t>Chilean distribution</w:t>
      </w:r>
    </w:p>
    <w:p w14:paraId="429BB2BA" w14:textId="77777777" w:rsidR="00913B3D" w:rsidRDefault="00913B3D" w:rsidP="00023350">
      <w:pPr>
        <w:pStyle w:val="BodyText"/>
        <w:spacing w:line="240" w:lineRule="auto"/>
        <w:jc w:val="left"/>
      </w:pPr>
    </w:p>
    <w:p w14:paraId="54B9AFC4" w14:textId="760509AF" w:rsidR="00904B96" w:rsidRPr="00904B96" w:rsidRDefault="00904B96" w:rsidP="00F2011C">
      <w:pPr>
        <w:pStyle w:val="BodyText"/>
        <w:spacing w:line="240" w:lineRule="auto"/>
        <w:jc w:val="left"/>
      </w:pPr>
      <w:r w:rsidRPr="00904B96">
        <w:t xml:space="preserve">Chile encompasses </w:t>
      </w:r>
      <w:r w:rsidR="00023350">
        <w:t>6</w:t>
      </w:r>
      <w:r w:rsidRPr="00904B96">
        <w:t>% (c. 18,294 km</w:t>
      </w:r>
      <w:r w:rsidRPr="00904B96">
        <w:rPr>
          <w:vertAlign w:val="superscript"/>
        </w:rPr>
        <w:t>2</w:t>
      </w:r>
      <w:r w:rsidRPr="00904B96">
        <w:t>; Fig. 3c) of the global distribution of the taruka within its boundaries. More than a one-third of the Chilean distribution (c. 6,716 km</w:t>
      </w:r>
      <w:r w:rsidRPr="00904B96">
        <w:rPr>
          <w:vertAlign w:val="superscript"/>
        </w:rPr>
        <w:t>2</w:t>
      </w:r>
      <w:r w:rsidRPr="00904B96">
        <w:t>) corresponds to core</w:t>
      </w:r>
      <w:r w:rsidR="00023350">
        <w:t xml:space="preserve"> </w:t>
      </w:r>
      <w:r w:rsidRPr="00904B96">
        <w:t xml:space="preserve">distribution, which extends from northern border with Peru and stretches 290 km southward. The non-core distribution expands further south, featuring a 150 km long patch located 40 km </w:t>
      </w:r>
      <w:r w:rsidR="00824977">
        <w:t>south</w:t>
      </w:r>
      <w:r w:rsidR="00824977" w:rsidRPr="00904B96">
        <w:t xml:space="preserve"> </w:t>
      </w:r>
      <w:r w:rsidRPr="00904B96">
        <w:t>the southern limit of the core</w:t>
      </w:r>
      <w:r w:rsidR="00824977">
        <w:t xml:space="preserve"> </w:t>
      </w:r>
      <w:r w:rsidRPr="00904B96">
        <w:t>distribution (Huatacondo area, 20.6°S, 69°W). The model predicted two extra patches of non-core distribution further south, but only historical (24.5°S, 70°W) and paleontological</w:t>
      </w:r>
      <w:r w:rsidR="0051504D" w:rsidRPr="00904B96">
        <w:t xml:space="preserve"> (29.7°S, 70.6°W)</w:t>
      </w:r>
      <w:r w:rsidR="0051504D">
        <w:t xml:space="preserve"> </w:t>
      </w:r>
      <w:r w:rsidRPr="00904B96">
        <w:t>records have been documented in those areas. Currently, 17% (c. 3,123 km</w:t>
      </w:r>
      <w:r w:rsidRPr="00904B96">
        <w:rPr>
          <w:vertAlign w:val="superscript"/>
        </w:rPr>
        <w:t>2</w:t>
      </w:r>
      <w:r w:rsidRPr="00904B96">
        <w:t>) of the Chilean distribution is protected, ensuring the conservation of 1</w:t>
      </w:r>
      <w:r w:rsidR="00EB0183">
        <w:t>9</w:t>
      </w:r>
      <w:r w:rsidRPr="00904B96">
        <w:t>% (c. 1,250 km</w:t>
      </w:r>
      <w:r w:rsidRPr="00904B96">
        <w:rPr>
          <w:vertAlign w:val="superscript"/>
        </w:rPr>
        <w:t>2</w:t>
      </w:r>
      <w:r w:rsidRPr="00904B96">
        <w:t>) of its core</w:t>
      </w:r>
      <w:r w:rsidR="00AA2B58">
        <w:t xml:space="preserve"> </w:t>
      </w:r>
      <w:r w:rsidR="00BC3B26">
        <w:t xml:space="preserve">distribution </w:t>
      </w:r>
      <w:r w:rsidRPr="00904B96">
        <w:t>and 16% (c. 1,873 km</w:t>
      </w:r>
      <w:r w:rsidRPr="00904B96">
        <w:rPr>
          <w:vertAlign w:val="superscript"/>
        </w:rPr>
        <w:t>2</w:t>
      </w:r>
      <w:r w:rsidRPr="00904B96">
        <w:t>) of its non-core distribution. The protected distribution can be classified into three units, all of them located around the western strip of core distribution.</w:t>
      </w:r>
    </w:p>
    <w:p w14:paraId="6B4B8E7E" w14:textId="77777777" w:rsidR="00904B96" w:rsidRPr="00F2011C" w:rsidRDefault="00904B96" w:rsidP="00F2011C">
      <w:pPr>
        <w:pStyle w:val="Level1header"/>
        <w:spacing w:line="240" w:lineRule="auto"/>
        <w:rPr>
          <w:rFonts w:asciiTheme="minorHAnsi" w:hAnsiTheme="minorHAnsi" w:cstheme="minorHAnsi"/>
          <w:b w:val="0"/>
          <w:bCs/>
        </w:rPr>
      </w:pPr>
      <w:r w:rsidRPr="00F2011C">
        <w:rPr>
          <w:rFonts w:asciiTheme="minorHAnsi" w:hAnsiTheme="minorHAnsi" w:cstheme="minorHAnsi"/>
          <w:b w:val="0"/>
          <w:bCs/>
        </w:rPr>
        <w:t>Argentinian distribution</w:t>
      </w:r>
    </w:p>
    <w:p w14:paraId="45E215DE" w14:textId="77777777" w:rsidR="00913B3D" w:rsidRDefault="00913B3D" w:rsidP="00673090">
      <w:pPr>
        <w:pStyle w:val="BodyText"/>
        <w:spacing w:line="240" w:lineRule="auto"/>
        <w:jc w:val="left"/>
      </w:pPr>
    </w:p>
    <w:p w14:paraId="4CA66C49" w14:textId="3DE6B378" w:rsidR="00904B96" w:rsidRDefault="00904B96" w:rsidP="00F2011C">
      <w:pPr>
        <w:pStyle w:val="BodyText"/>
        <w:spacing w:line="240" w:lineRule="auto"/>
        <w:jc w:val="left"/>
      </w:pPr>
      <w:r w:rsidRPr="00904B96">
        <w:t xml:space="preserve">Argentina is host to </w:t>
      </w:r>
      <w:r w:rsidR="00673090">
        <w:t>10</w:t>
      </w:r>
      <w:r w:rsidRPr="00904B96">
        <w:t>% of the global distribution of the taruka (c. 31,376 km</w:t>
      </w:r>
      <w:r w:rsidRPr="00904B96">
        <w:rPr>
          <w:vertAlign w:val="superscript"/>
        </w:rPr>
        <w:t>2</w:t>
      </w:r>
      <w:r w:rsidRPr="00904B96">
        <w:t>; Fig. 3d). Over one-third of this Argentinean distribution (c. 11,198 km</w:t>
      </w:r>
      <w:r w:rsidRPr="00904B96">
        <w:rPr>
          <w:vertAlign w:val="superscript"/>
        </w:rPr>
        <w:t>2</w:t>
      </w:r>
      <w:r w:rsidRPr="00904B96">
        <w:t>) corresponds to “core” distribution primarily located in the eastern strip. The Argentinian distribution spans a latitudinal range of 970 km, extending from the land border with Bolivia to La Rioja Province (29.7°S, 70.6°W). The first two-thirds of the distribution, from the Bolivian border to San Miguel de Tucuman (Tucuman Province, 27.35°S), remain continuous and well connected. However, the distribution becomes patchy and highly fragmented south of that latitude. Currently, 15% of the Argentinian distribution (c. 4,784 km</w:t>
      </w:r>
      <w:r w:rsidRPr="00904B96">
        <w:rPr>
          <w:vertAlign w:val="superscript"/>
        </w:rPr>
        <w:t>2</w:t>
      </w:r>
      <w:r w:rsidRPr="00904B96">
        <w:t>) is under protection, ensuring the conservation of 10% (c. 1,165 km</w:t>
      </w:r>
      <w:r w:rsidRPr="00904B96">
        <w:rPr>
          <w:vertAlign w:val="superscript"/>
        </w:rPr>
        <w:t>2</w:t>
      </w:r>
      <w:r w:rsidRPr="00904B96">
        <w:t>) of its core</w:t>
      </w:r>
      <w:r w:rsidR="00985435">
        <w:t xml:space="preserve"> </w:t>
      </w:r>
      <w:r w:rsidRPr="00904B96">
        <w:t>distribution and 1</w:t>
      </w:r>
      <w:r w:rsidR="00985435">
        <w:t>8</w:t>
      </w:r>
      <w:r w:rsidRPr="00904B96">
        <w:t>% (c. 3,620 km</w:t>
      </w:r>
      <w:r w:rsidRPr="00904B96">
        <w:rPr>
          <w:vertAlign w:val="superscript"/>
        </w:rPr>
        <w:t>2</w:t>
      </w:r>
      <w:r w:rsidRPr="00904B96">
        <w:t xml:space="preserve">) of its non-core distribution. The protected distribution can be categorised into eight distinct </w:t>
      </w:r>
      <w:r w:rsidRPr="00904B96">
        <w:lastRenderedPageBreak/>
        <w:t>units, with three units located within the non-core distribution, and five units located along the eastern strip of core</w:t>
      </w:r>
      <w:r w:rsidR="00985435">
        <w:t xml:space="preserve"> </w:t>
      </w:r>
      <w:r w:rsidRPr="00904B96">
        <w:t>distribution.</w:t>
      </w:r>
    </w:p>
    <w:p w14:paraId="62430FA0" w14:textId="77777777" w:rsidR="00904B96" w:rsidRDefault="00904B96" w:rsidP="00F2011C">
      <w:pPr>
        <w:pStyle w:val="BodyText"/>
        <w:spacing w:before="11" w:after="11" w:line="240" w:lineRule="auto"/>
      </w:pPr>
    </w:p>
    <w:p w14:paraId="12A2A2F2" w14:textId="77777777" w:rsidR="00861F79" w:rsidRPr="00F2011C" w:rsidRDefault="00861F79" w:rsidP="00F2011C">
      <w:pPr>
        <w:pStyle w:val="Level1header"/>
        <w:spacing w:before="11" w:after="11" w:line="240" w:lineRule="auto"/>
        <w:jc w:val="left"/>
        <w:rPr>
          <w:rFonts w:asciiTheme="minorHAnsi" w:hAnsiTheme="minorHAnsi" w:cstheme="minorHAnsi"/>
        </w:rPr>
      </w:pPr>
      <w:r w:rsidRPr="00F2011C">
        <w:rPr>
          <w:rFonts w:asciiTheme="minorHAnsi" w:hAnsiTheme="minorHAnsi" w:cstheme="minorHAnsi"/>
        </w:rPr>
        <w:t>References</w:t>
      </w:r>
    </w:p>
    <w:p w14:paraId="3B99904B" w14:textId="493349D8" w:rsidR="007C5A54" w:rsidRDefault="007C5A54" w:rsidP="00F2011C">
      <w:pPr>
        <w:pStyle w:val="BodyText"/>
        <w:spacing w:before="11" w:after="11" w:line="240" w:lineRule="auto"/>
        <w:jc w:val="left"/>
      </w:pPr>
      <w:r>
        <w:t xml:space="preserve">AppEEARS Team (2022) </w:t>
      </w:r>
      <w:r w:rsidRPr="00F2011C">
        <w:rPr>
          <w:i/>
          <w:iCs/>
        </w:rPr>
        <w:t>Application for Extracting and Exploring Analysis Ready Samples (AppEEARS)</w:t>
      </w:r>
      <w:r>
        <w:t>. Ver</w:t>
      </w:r>
      <w:r w:rsidR="007D6CA2">
        <w:t>sion</w:t>
      </w:r>
      <w:r>
        <w:t xml:space="preserve"> 3.6. NASA </w:t>
      </w:r>
      <w:r w:rsidR="00084C76" w:rsidRPr="00047F8A">
        <w:t>Earth Observing System Data and Information System</w:t>
      </w:r>
      <w:r w:rsidR="00084C76">
        <w:t xml:space="preserve"> (</w:t>
      </w:r>
      <w:r>
        <w:t>EOSDIS</w:t>
      </w:r>
      <w:r w:rsidR="00084C76">
        <w:t>)</w:t>
      </w:r>
      <w:r>
        <w:t xml:space="preserve"> Land Processes Distributed Active Archive Center (LP DAAC), USGS/Earth Resources Observation and Science (EROS) Center, Sioux Falls, South Dakota, USA. </w:t>
      </w:r>
      <w:hyperlink r:id="rId10" w:history="1">
        <w:r w:rsidR="007D6CA2" w:rsidRPr="00107D5C">
          <w:rPr>
            <w:rStyle w:val="Hyperlink"/>
          </w:rPr>
          <w:t>appeears.earthdatacloud.nasa.gov</w:t>
        </w:r>
      </w:hyperlink>
      <w:r w:rsidR="007D6CA2">
        <w:t xml:space="preserve"> [a</w:t>
      </w:r>
      <w:r w:rsidR="007D6CA2">
        <w:t>ccessed July 20, 2022</w:t>
      </w:r>
      <w:r w:rsidR="007D6CA2">
        <w:t>]</w:t>
      </w:r>
      <w:r w:rsidR="007D6CA2">
        <w:t>.</w:t>
      </w:r>
    </w:p>
    <w:p w14:paraId="25C92504" w14:textId="77777777" w:rsidR="007C5A54" w:rsidRDefault="007C5A54" w:rsidP="00F2011C">
      <w:pPr>
        <w:pStyle w:val="BodyText"/>
        <w:spacing w:before="11" w:after="11" w:line="240" w:lineRule="auto"/>
        <w:jc w:val="left"/>
      </w:pPr>
    </w:p>
    <w:p w14:paraId="5BD6C739" w14:textId="7CA660E3" w:rsidR="007C5A54" w:rsidRDefault="007C5A54" w:rsidP="00F2011C">
      <w:pPr>
        <w:pStyle w:val="BodyText"/>
        <w:spacing w:before="11" w:after="11" w:line="240" w:lineRule="auto"/>
        <w:jc w:val="left"/>
      </w:pPr>
      <w:r>
        <w:t xml:space="preserve">CIESIN (2016) </w:t>
      </w:r>
      <w:r w:rsidRPr="00F2011C">
        <w:rPr>
          <w:i/>
          <w:iCs/>
        </w:rPr>
        <w:t>Gridded Population of the World, Version 4 (Gpwv4): Population Count Adjusted to Match 2015 Revision of UN WPP Country Totals.</w:t>
      </w:r>
      <w:r>
        <w:t xml:space="preserve"> NASA Socioeconomic Data and Applications Center (SEDAC)</w:t>
      </w:r>
      <w:r w:rsidR="00F92E55">
        <w:t>,</w:t>
      </w:r>
      <w:r w:rsidR="00F92E55" w:rsidRPr="00F92E55">
        <w:t xml:space="preserve"> </w:t>
      </w:r>
      <w:r w:rsidR="00F92E55">
        <w:t xml:space="preserve">Palisades, </w:t>
      </w:r>
      <w:r w:rsidR="00F92E55">
        <w:t>New York, USA</w:t>
      </w:r>
      <w:r>
        <w:t xml:space="preserve">. </w:t>
      </w:r>
      <w:hyperlink r:id="rId11" w:history="1">
        <w:r w:rsidR="00F92E55" w:rsidRPr="00107D5C">
          <w:rPr>
            <w:rStyle w:val="Hyperlink"/>
          </w:rPr>
          <w:t>sedac.ciesin.columbia.edu/data/collection/gpw-v4/documentation</w:t>
        </w:r>
      </w:hyperlink>
      <w:r w:rsidR="00F92E55">
        <w:t xml:space="preserve"> [accessed 2022].</w:t>
      </w:r>
    </w:p>
    <w:p w14:paraId="2F4CBC78" w14:textId="77777777" w:rsidR="007C5A54" w:rsidRDefault="007C5A54" w:rsidP="00F2011C">
      <w:pPr>
        <w:pStyle w:val="BodyText"/>
        <w:spacing w:before="11" w:after="11" w:line="240" w:lineRule="auto"/>
        <w:jc w:val="left"/>
      </w:pPr>
    </w:p>
    <w:p w14:paraId="15BED914" w14:textId="48A20DE3" w:rsidR="007C5A54" w:rsidRDefault="007C5A54" w:rsidP="00F2011C">
      <w:pPr>
        <w:pStyle w:val="BodyText"/>
        <w:spacing w:before="11" w:after="11" w:line="240" w:lineRule="auto"/>
        <w:jc w:val="left"/>
      </w:pPr>
      <w:r>
        <w:t xml:space="preserve">Didan, K. (2015) </w:t>
      </w:r>
      <w:r w:rsidRPr="00F2011C">
        <w:rPr>
          <w:i/>
          <w:iCs/>
        </w:rPr>
        <w:t>MOD13A3 MODIS/Terra vegetation Indices Monthly L3 Global 1km SIN Grid V006</w:t>
      </w:r>
      <w:r w:rsidR="00F92E55">
        <w:rPr>
          <w:i/>
          <w:iCs/>
        </w:rPr>
        <w:t>.</w:t>
      </w:r>
      <w:r>
        <w:t xml:space="preserve"> Data set. NASA </w:t>
      </w:r>
      <w:r w:rsidR="00047F8A" w:rsidRPr="00047F8A">
        <w:t>Earth Observing System Data and Information System</w:t>
      </w:r>
      <w:r w:rsidR="00047F8A" w:rsidRPr="00047F8A">
        <w:t xml:space="preserve"> </w:t>
      </w:r>
      <w:r w:rsidR="00047F8A">
        <w:t>(</w:t>
      </w:r>
      <w:r>
        <w:t>EOSDIS</w:t>
      </w:r>
      <w:r w:rsidR="00047F8A">
        <w:t>)</w:t>
      </w:r>
      <w:r>
        <w:t xml:space="preserve"> Land Processes </w:t>
      </w:r>
      <w:r w:rsidR="00834CAC" w:rsidRPr="00834CAC">
        <w:t>Distributed Active Archive Center</w:t>
      </w:r>
      <w:r w:rsidR="00834CAC" w:rsidRPr="00834CAC">
        <w:t xml:space="preserve"> </w:t>
      </w:r>
      <w:r w:rsidR="00834CAC">
        <w:t xml:space="preserve">(LP </w:t>
      </w:r>
      <w:r>
        <w:t>DAAC</w:t>
      </w:r>
      <w:r w:rsidR="00834CAC">
        <w:t>)</w:t>
      </w:r>
      <w:r w:rsidR="00084C76">
        <w:t xml:space="preserve"> </w:t>
      </w:r>
      <w:r w:rsidR="00084C76">
        <w:t>USGS/Earth Resources Observation and Science (EROS) Center, Sioux Falls, South Dakota, USA</w:t>
      </w:r>
      <w:r>
        <w:t>.</w:t>
      </w:r>
    </w:p>
    <w:p w14:paraId="166BC1F9" w14:textId="018738C5" w:rsidR="00861F79" w:rsidRDefault="00861F79" w:rsidP="00F2011C">
      <w:pPr>
        <w:pStyle w:val="BodyText"/>
        <w:spacing w:line="240" w:lineRule="auto"/>
        <w:jc w:val="left"/>
      </w:pPr>
    </w:p>
    <w:p w14:paraId="0F98A1C3" w14:textId="77777777" w:rsidR="007C5A54" w:rsidRDefault="007C5A54" w:rsidP="00F2011C">
      <w:pPr>
        <w:pStyle w:val="BodyText"/>
        <w:spacing w:before="11" w:after="11" w:line="240" w:lineRule="auto"/>
        <w:jc w:val="left"/>
      </w:pPr>
      <w:r>
        <w:t xml:space="preserve">Liu, C., Berry, P.M., Dawson, T.P. &amp; Pearson, R. (2005) Selecting thresholds of occurrence in the prediction of species distributions. </w:t>
      </w:r>
      <w:r w:rsidRPr="00F2011C">
        <w:rPr>
          <w:i/>
          <w:iCs/>
        </w:rPr>
        <w:t>Ecography</w:t>
      </w:r>
      <w:r>
        <w:t>, 28, 385-393.</w:t>
      </w:r>
    </w:p>
    <w:p w14:paraId="11F56E64" w14:textId="77777777" w:rsidR="007C5A54" w:rsidRDefault="007C5A54" w:rsidP="00F2011C">
      <w:pPr>
        <w:pStyle w:val="BodyText"/>
        <w:spacing w:line="240" w:lineRule="auto"/>
        <w:jc w:val="left"/>
      </w:pPr>
    </w:p>
    <w:p w14:paraId="622CBCEB" w14:textId="0BFB90CA" w:rsidR="007C5A54" w:rsidRDefault="007C5A54" w:rsidP="00F2011C">
      <w:pPr>
        <w:pStyle w:val="BodyText"/>
        <w:spacing w:before="11" w:after="11" w:line="240" w:lineRule="auto"/>
        <w:jc w:val="left"/>
      </w:pPr>
      <w:r>
        <w:t xml:space="preserve">Mata, C., Fuentes-Allende, N., Malo, J., Vielma, A. &amp; González, B.A. (2019) The mismatch between location of protected areas and suitable habitat for the Vulnerable taruka </w:t>
      </w:r>
      <w:r w:rsidRPr="00766E19">
        <w:rPr>
          <w:i/>
          <w:iCs/>
        </w:rPr>
        <w:t>Hippocamelus antisensis</w:t>
      </w:r>
      <w:r>
        <w:t xml:space="preserve">. </w:t>
      </w:r>
      <w:r w:rsidRPr="00F2011C">
        <w:rPr>
          <w:i/>
          <w:iCs/>
        </w:rPr>
        <w:t>Oryx</w:t>
      </w:r>
      <w:r>
        <w:t xml:space="preserve">, 53, 752-756. </w:t>
      </w:r>
    </w:p>
    <w:p w14:paraId="04627DC1" w14:textId="77777777" w:rsidR="007C5A54" w:rsidRDefault="007C5A54" w:rsidP="00F2011C">
      <w:pPr>
        <w:pStyle w:val="BodyText"/>
        <w:spacing w:line="240" w:lineRule="auto"/>
        <w:jc w:val="left"/>
      </w:pPr>
    </w:p>
    <w:p w14:paraId="1FA6B18F" w14:textId="4CEE4842" w:rsidR="007C5A54" w:rsidRPr="00904B96" w:rsidRDefault="007C5A54" w:rsidP="00F2011C">
      <w:pPr>
        <w:pStyle w:val="BodyText"/>
        <w:spacing w:before="11" w:after="11" w:line="240" w:lineRule="auto"/>
        <w:jc w:val="left"/>
        <w:rPr>
          <w:lang w:val="en-US"/>
        </w:rPr>
      </w:pPr>
      <w:r>
        <w:t xml:space="preserve">Merow, C., Smith, M.J. &amp; Silander, J.A. (2013) A practical guide to MaxEnt for modeling species’ distributions: what it does, and why inputs and settings matter. </w:t>
      </w:r>
      <w:r w:rsidRPr="00F2011C">
        <w:rPr>
          <w:i/>
          <w:iCs/>
          <w:lang w:val="en-US"/>
        </w:rPr>
        <w:t>Ecography</w:t>
      </w:r>
      <w:r w:rsidRPr="00904B96">
        <w:rPr>
          <w:lang w:val="en-US"/>
        </w:rPr>
        <w:t>, 36, 1058-1069.</w:t>
      </w:r>
    </w:p>
    <w:p w14:paraId="4EC38288" w14:textId="77777777" w:rsidR="007C5A54" w:rsidRDefault="007C5A54" w:rsidP="00F2011C">
      <w:pPr>
        <w:pStyle w:val="BodyText"/>
        <w:spacing w:line="240" w:lineRule="auto"/>
        <w:jc w:val="left"/>
      </w:pPr>
    </w:p>
    <w:p w14:paraId="3D737971" w14:textId="77777777" w:rsidR="007C5A54" w:rsidRDefault="007C5A54" w:rsidP="00F2011C">
      <w:pPr>
        <w:pStyle w:val="BodyText"/>
        <w:spacing w:before="11" w:after="11" w:line="240" w:lineRule="auto"/>
        <w:jc w:val="left"/>
      </w:pPr>
      <w:r>
        <w:t>Phillips, S.J., Anderson, R.P., Dudík, M., Schapire, R.E. &amp; Blair, M.E. (2017) Opening the black box: an open-source release of Maxent.</w:t>
      </w:r>
      <w:r w:rsidRPr="00F2011C">
        <w:rPr>
          <w:i/>
          <w:iCs/>
        </w:rPr>
        <w:t xml:space="preserve"> Ecography</w:t>
      </w:r>
      <w:r>
        <w:t>, 40, 887-893.</w:t>
      </w:r>
    </w:p>
    <w:p w14:paraId="7F15780D" w14:textId="77777777" w:rsidR="007C5A54" w:rsidRDefault="007C5A54" w:rsidP="00F2011C">
      <w:pPr>
        <w:pStyle w:val="BodyText"/>
        <w:spacing w:line="240" w:lineRule="auto"/>
        <w:jc w:val="left"/>
      </w:pPr>
    </w:p>
    <w:p w14:paraId="1E665E28" w14:textId="77777777" w:rsidR="007C5A54" w:rsidRDefault="007C5A54" w:rsidP="00F2011C">
      <w:pPr>
        <w:pStyle w:val="BodyText"/>
        <w:spacing w:before="11" w:after="11" w:line="240" w:lineRule="auto"/>
        <w:jc w:val="left"/>
      </w:pPr>
      <w:r>
        <w:t xml:space="preserve">Phillips, S.J. &amp; Dudik, M. (2008) Modeling of species distributions with Maxent: new extensions and a comprehensive evaluation. </w:t>
      </w:r>
      <w:r w:rsidRPr="00F2011C">
        <w:rPr>
          <w:i/>
          <w:iCs/>
        </w:rPr>
        <w:t>Ecography</w:t>
      </w:r>
      <w:r>
        <w:t>, 31, 161-175.</w:t>
      </w:r>
    </w:p>
    <w:p w14:paraId="09A6F329" w14:textId="77777777" w:rsidR="007C5A54" w:rsidRDefault="007C5A54" w:rsidP="00F2011C">
      <w:pPr>
        <w:pStyle w:val="BodyText"/>
        <w:spacing w:line="240" w:lineRule="auto"/>
        <w:jc w:val="left"/>
      </w:pPr>
    </w:p>
    <w:p w14:paraId="36ACD141" w14:textId="6C56F2A0" w:rsidR="00CF7108" w:rsidRPr="00904B96" w:rsidRDefault="00CF7108" w:rsidP="00F2011C">
      <w:pPr>
        <w:pStyle w:val="BodyText"/>
        <w:spacing w:before="11" w:after="11" w:line="240" w:lineRule="auto"/>
        <w:jc w:val="left"/>
        <w:rPr>
          <w:lang w:val="en-US"/>
        </w:rPr>
      </w:pPr>
      <w:r>
        <w:t xml:space="preserve">Radosavljevic, A. &amp; Anderson, R.P. (2014) Making better Maxent models of species distributions: complexity, overfitting and evaluation. </w:t>
      </w:r>
      <w:r w:rsidRPr="00F2011C">
        <w:rPr>
          <w:i/>
          <w:iCs/>
          <w:lang w:val="en-US"/>
        </w:rPr>
        <w:t>Journal of Biogeography</w:t>
      </w:r>
      <w:r w:rsidRPr="00904B96">
        <w:rPr>
          <w:lang w:val="en-US"/>
        </w:rPr>
        <w:t>, 41, 629-643.</w:t>
      </w:r>
    </w:p>
    <w:p w14:paraId="19F06704" w14:textId="77777777" w:rsidR="00CF7108" w:rsidRDefault="00CF7108" w:rsidP="00F2011C">
      <w:pPr>
        <w:pStyle w:val="BodyText"/>
        <w:spacing w:line="240" w:lineRule="auto"/>
        <w:jc w:val="left"/>
      </w:pPr>
    </w:p>
    <w:p w14:paraId="129B84DE" w14:textId="77777777" w:rsidR="00CF7108" w:rsidRDefault="00CF7108" w:rsidP="00F2011C">
      <w:pPr>
        <w:pStyle w:val="BodyText"/>
        <w:spacing w:before="11" w:after="11" w:line="240" w:lineRule="auto"/>
        <w:jc w:val="left"/>
      </w:pPr>
      <w:r>
        <w:t xml:space="preserve">Warren, D. L., Glor, R. E. &amp; Turelli, M. (2010) ENMTools: a toolbox for comparative studies of environmental niche models. </w:t>
      </w:r>
      <w:r w:rsidRPr="00F2011C">
        <w:rPr>
          <w:i/>
          <w:iCs/>
        </w:rPr>
        <w:t>Ecography</w:t>
      </w:r>
      <w:r>
        <w:t>, 33, 607-611.</w:t>
      </w:r>
    </w:p>
    <w:p w14:paraId="40C57BC9" w14:textId="77777777" w:rsidR="00CF7108" w:rsidRPr="00F2011C" w:rsidRDefault="00CF7108" w:rsidP="00F2011C">
      <w:pPr>
        <w:pStyle w:val="BodyText"/>
        <w:spacing w:line="240" w:lineRule="auto"/>
        <w:jc w:val="left"/>
        <w:rPr>
          <w:rFonts w:cs="Times New Roman"/>
        </w:rPr>
      </w:pPr>
    </w:p>
    <w:p w14:paraId="5DCB93AC" w14:textId="4B829FDB" w:rsidR="005C4571" w:rsidRPr="005C4571" w:rsidRDefault="00CF7108" w:rsidP="00F2011C">
      <w:pPr>
        <w:spacing w:line="240" w:lineRule="auto"/>
        <w:rPr>
          <w:lang w:val="en-GB"/>
        </w:rPr>
      </w:pPr>
      <w:r w:rsidRPr="00F2011C">
        <w:rPr>
          <w:rFonts w:ascii="Times New Roman" w:hAnsi="Times New Roman" w:cs="Times New Roman"/>
        </w:rPr>
        <w:lastRenderedPageBreak/>
        <w:t>Yost, A.C., Petersen, S.L., Gregg, M. &amp; Miller, R. (2008) Predictive modelling and mapping sage grouse (</w:t>
      </w:r>
      <w:r w:rsidRPr="00F2011C">
        <w:rPr>
          <w:rFonts w:ascii="Times New Roman" w:hAnsi="Times New Roman" w:cs="Times New Roman"/>
          <w:i/>
          <w:iCs/>
        </w:rPr>
        <w:t>Centrocercus urophasianus</w:t>
      </w:r>
      <w:r w:rsidRPr="00F2011C">
        <w:rPr>
          <w:rFonts w:ascii="Times New Roman" w:hAnsi="Times New Roman" w:cs="Times New Roman"/>
        </w:rPr>
        <w:t xml:space="preserve">) nesting habitat using Maximum Entropy and a long-term dataset from Southern Oregon. </w:t>
      </w:r>
      <w:r w:rsidRPr="00F2011C">
        <w:rPr>
          <w:rFonts w:ascii="Times New Roman" w:hAnsi="Times New Roman" w:cs="Times New Roman"/>
          <w:i/>
          <w:iCs/>
        </w:rPr>
        <w:t>Ecological Informatics</w:t>
      </w:r>
      <w:r w:rsidRPr="00F2011C">
        <w:rPr>
          <w:rFonts w:ascii="Times New Roman" w:hAnsi="Times New Roman" w:cs="Times New Roman"/>
        </w:rPr>
        <w:t>, 3, 375-386.</w:t>
      </w:r>
    </w:p>
    <w:sectPr w:rsidR="005C4571" w:rsidRPr="005C45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 PL SungtiL GB">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21BA"/>
    <w:multiLevelType w:val="hybridMultilevel"/>
    <w:tmpl w:val="2DE4F98E"/>
    <w:lvl w:ilvl="0" w:tplc="8C3EC878">
      <w:numFmt w:val="bullet"/>
      <w:lvlText w:val=""/>
      <w:lvlJc w:val="left"/>
      <w:pPr>
        <w:ind w:left="720" w:hanging="360"/>
      </w:pPr>
      <w:rPr>
        <w:rFonts w:ascii="Symbol" w:eastAsia="AR PL SungtiL GB" w:hAnsi="Symbol" w:cs="Lohit Devanaga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grammar="clean"/>
  <w:revisionView w:markup="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71"/>
    <w:rsid w:val="00023350"/>
    <w:rsid w:val="00031BB9"/>
    <w:rsid w:val="00045AAB"/>
    <w:rsid w:val="00047F8A"/>
    <w:rsid w:val="00060835"/>
    <w:rsid w:val="00084C76"/>
    <w:rsid w:val="000C1C8A"/>
    <w:rsid w:val="000C5499"/>
    <w:rsid w:val="000D48ED"/>
    <w:rsid w:val="000E505C"/>
    <w:rsid w:val="0018221D"/>
    <w:rsid w:val="002114FD"/>
    <w:rsid w:val="00212BA7"/>
    <w:rsid w:val="00230510"/>
    <w:rsid w:val="00250BB2"/>
    <w:rsid w:val="00251866"/>
    <w:rsid w:val="002647F9"/>
    <w:rsid w:val="002C3FB3"/>
    <w:rsid w:val="002D3F78"/>
    <w:rsid w:val="0030569A"/>
    <w:rsid w:val="00321DD0"/>
    <w:rsid w:val="00331D43"/>
    <w:rsid w:val="00336B5D"/>
    <w:rsid w:val="00373D15"/>
    <w:rsid w:val="003A0AA5"/>
    <w:rsid w:val="003C59BA"/>
    <w:rsid w:val="003D7A81"/>
    <w:rsid w:val="003E6B4D"/>
    <w:rsid w:val="00420237"/>
    <w:rsid w:val="00452FB7"/>
    <w:rsid w:val="004900FA"/>
    <w:rsid w:val="004B2ACD"/>
    <w:rsid w:val="004C0CC7"/>
    <w:rsid w:val="005145AD"/>
    <w:rsid w:val="0051504D"/>
    <w:rsid w:val="005248FF"/>
    <w:rsid w:val="0054377C"/>
    <w:rsid w:val="005A386E"/>
    <w:rsid w:val="005C4571"/>
    <w:rsid w:val="005D448C"/>
    <w:rsid w:val="005F44D6"/>
    <w:rsid w:val="00605F09"/>
    <w:rsid w:val="00673090"/>
    <w:rsid w:val="006B3B17"/>
    <w:rsid w:val="006C004C"/>
    <w:rsid w:val="006E1775"/>
    <w:rsid w:val="00712794"/>
    <w:rsid w:val="0073125E"/>
    <w:rsid w:val="00750ECC"/>
    <w:rsid w:val="00763252"/>
    <w:rsid w:val="00775AFD"/>
    <w:rsid w:val="007871A7"/>
    <w:rsid w:val="007C5A54"/>
    <w:rsid w:val="007D6CA2"/>
    <w:rsid w:val="0082162E"/>
    <w:rsid w:val="00824977"/>
    <w:rsid w:val="00834CAC"/>
    <w:rsid w:val="00846688"/>
    <w:rsid w:val="00861F79"/>
    <w:rsid w:val="00863539"/>
    <w:rsid w:val="008B2169"/>
    <w:rsid w:val="008F33D3"/>
    <w:rsid w:val="00904B96"/>
    <w:rsid w:val="00913B3D"/>
    <w:rsid w:val="00932D3C"/>
    <w:rsid w:val="009433A4"/>
    <w:rsid w:val="00967452"/>
    <w:rsid w:val="00985435"/>
    <w:rsid w:val="0099673C"/>
    <w:rsid w:val="009B6F71"/>
    <w:rsid w:val="009D0B50"/>
    <w:rsid w:val="009E252E"/>
    <w:rsid w:val="00A00E55"/>
    <w:rsid w:val="00A0275D"/>
    <w:rsid w:val="00A153A1"/>
    <w:rsid w:val="00A643F4"/>
    <w:rsid w:val="00AA2B58"/>
    <w:rsid w:val="00AA5CA5"/>
    <w:rsid w:val="00AB01EE"/>
    <w:rsid w:val="00AC425C"/>
    <w:rsid w:val="00B2666D"/>
    <w:rsid w:val="00B4267C"/>
    <w:rsid w:val="00B61C50"/>
    <w:rsid w:val="00B876B9"/>
    <w:rsid w:val="00B933E4"/>
    <w:rsid w:val="00BC3B26"/>
    <w:rsid w:val="00C21B2B"/>
    <w:rsid w:val="00C2276C"/>
    <w:rsid w:val="00C378F7"/>
    <w:rsid w:val="00C845AA"/>
    <w:rsid w:val="00C97D0E"/>
    <w:rsid w:val="00CD6516"/>
    <w:rsid w:val="00CF493F"/>
    <w:rsid w:val="00CF7108"/>
    <w:rsid w:val="00DF3AC4"/>
    <w:rsid w:val="00DF509F"/>
    <w:rsid w:val="00E01CA4"/>
    <w:rsid w:val="00E0792E"/>
    <w:rsid w:val="00E63A25"/>
    <w:rsid w:val="00EA09C4"/>
    <w:rsid w:val="00EA6739"/>
    <w:rsid w:val="00EB0183"/>
    <w:rsid w:val="00EB32CA"/>
    <w:rsid w:val="00F1074F"/>
    <w:rsid w:val="00F17274"/>
    <w:rsid w:val="00F2011C"/>
    <w:rsid w:val="00F9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494D"/>
  <w15:chartTrackingRefBased/>
  <w15:docId w15:val="{45067636-806C-4BF9-BAC8-E5A7EB28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C4571"/>
    <w:pPr>
      <w:spacing w:after="113" w:line="360" w:lineRule="auto"/>
      <w:jc w:val="both"/>
    </w:pPr>
    <w:rPr>
      <w:rFonts w:ascii="Times New Roman" w:eastAsia="AR PL SungtiL GB" w:hAnsi="Times New Roman" w:cs="Lohit Devanagari"/>
      <w:sz w:val="24"/>
      <w:szCs w:val="24"/>
      <w:lang w:val="en-GB" w:eastAsia="zh-CN" w:bidi="hi-IN"/>
      <w14:ligatures w14:val="none"/>
    </w:rPr>
  </w:style>
  <w:style w:type="character" w:customStyle="1" w:styleId="BodyTextChar">
    <w:name w:val="Body Text Char"/>
    <w:basedOn w:val="DefaultParagraphFont"/>
    <w:link w:val="BodyText"/>
    <w:rsid w:val="005C4571"/>
    <w:rPr>
      <w:rFonts w:ascii="Times New Roman" w:eastAsia="AR PL SungtiL GB" w:hAnsi="Times New Roman" w:cs="Lohit Devanagari"/>
      <w:sz w:val="24"/>
      <w:szCs w:val="24"/>
      <w:lang w:val="en-GB" w:eastAsia="zh-CN" w:bidi="hi-IN"/>
      <w14:ligatures w14:val="none"/>
    </w:rPr>
  </w:style>
  <w:style w:type="paragraph" w:customStyle="1" w:styleId="Level1header">
    <w:name w:val="Level 1 header"/>
    <w:basedOn w:val="Normal"/>
    <w:next w:val="BodyText"/>
    <w:qFormat/>
    <w:rsid w:val="00C378F7"/>
    <w:pPr>
      <w:spacing w:before="113" w:after="0" w:line="360" w:lineRule="auto"/>
      <w:jc w:val="both"/>
    </w:pPr>
    <w:rPr>
      <w:rFonts w:ascii="Arial" w:eastAsia="AR PL SungtiL GB" w:hAnsi="Arial" w:cs="Lohit Devanagari"/>
      <w:b/>
      <w:sz w:val="24"/>
      <w:szCs w:val="24"/>
      <w:lang w:val="en-GB" w:eastAsia="zh-CN" w:bidi="hi-IN"/>
      <w14:ligatures w14:val="none"/>
    </w:rPr>
  </w:style>
  <w:style w:type="character" w:customStyle="1" w:styleId="Oryxauthornames">
    <w:name w:val="Oryx author names"/>
    <w:qFormat/>
    <w:rsid w:val="00A643F4"/>
    <w:rPr>
      <w:smallCaps/>
    </w:rPr>
  </w:style>
  <w:style w:type="paragraph" w:customStyle="1" w:styleId="Titletext">
    <w:name w:val="Title text"/>
    <w:basedOn w:val="Normal"/>
    <w:qFormat/>
    <w:rsid w:val="00A643F4"/>
    <w:pPr>
      <w:spacing w:after="0" w:line="360" w:lineRule="auto"/>
      <w:jc w:val="both"/>
    </w:pPr>
    <w:rPr>
      <w:rFonts w:ascii="Arial" w:eastAsia="AR PL SungtiL GB" w:hAnsi="Arial" w:cs="Lohit Devanagari"/>
      <w:b/>
      <w:sz w:val="28"/>
      <w:szCs w:val="24"/>
      <w:lang w:val="en-GB" w:eastAsia="zh-CN" w:bidi="hi-IN"/>
      <w14:ligatures w14:val="none"/>
    </w:rPr>
  </w:style>
  <w:style w:type="paragraph" w:customStyle="1" w:styleId="Namesaddresses">
    <w:name w:val="Names &amp; addresses"/>
    <w:basedOn w:val="Normal"/>
    <w:qFormat/>
    <w:rsid w:val="00A643F4"/>
    <w:pPr>
      <w:spacing w:after="0" w:line="360" w:lineRule="auto"/>
    </w:pPr>
    <w:rPr>
      <w:rFonts w:ascii="Times New Roman" w:eastAsia="AR PL SungtiL GB" w:hAnsi="Times New Roman" w:cs="Lohit Devanagari"/>
      <w:sz w:val="24"/>
      <w:szCs w:val="24"/>
      <w:lang w:val="en-GB" w:eastAsia="zh-CN" w:bidi="hi-IN"/>
      <w14:ligatures w14:val="none"/>
    </w:rPr>
  </w:style>
  <w:style w:type="paragraph" w:customStyle="1" w:styleId="Table">
    <w:name w:val="Table"/>
    <w:aliases w:val="figure and plate caption text"/>
    <w:basedOn w:val="Normal"/>
    <w:qFormat/>
    <w:rsid w:val="00A00E55"/>
    <w:pPr>
      <w:spacing w:after="0" w:line="360" w:lineRule="auto"/>
      <w:jc w:val="both"/>
    </w:pPr>
    <w:rPr>
      <w:rFonts w:ascii="Times New Roman" w:eastAsia="AR PL SungtiL GB" w:hAnsi="Times New Roman" w:cs="Lohit Devanagari"/>
      <w:sz w:val="24"/>
      <w:szCs w:val="24"/>
      <w:lang w:val="en-GB" w:eastAsia="zh-CN" w:bidi="hi-IN"/>
      <w14:ligatures w14:val="none"/>
    </w:rPr>
  </w:style>
  <w:style w:type="character" w:customStyle="1" w:styleId="InternetLink">
    <w:name w:val="Internet Link"/>
    <w:rsid w:val="00861F79"/>
    <w:rPr>
      <w:color w:val="000080"/>
      <w:u w:val="single"/>
    </w:rPr>
  </w:style>
  <w:style w:type="character" w:styleId="CommentReference">
    <w:name w:val="annotation reference"/>
    <w:basedOn w:val="DefaultParagraphFont"/>
    <w:uiPriority w:val="99"/>
    <w:semiHidden/>
    <w:unhideWhenUsed/>
    <w:rsid w:val="006B3B17"/>
    <w:rPr>
      <w:sz w:val="16"/>
      <w:szCs w:val="16"/>
    </w:rPr>
  </w:style>
  <w:style w:type="paragraph" w:styleId="CommentText">
    <w:name w:val="annotation text"/>
    <w:basedOn w:val="Normal"/>
    <w:link w:val="CommentTextChar"/>
    <w:uiPriority w:val="99"/>
    <w:unhideWhenUsed/>
    <w:rsid w:val="006B3B17"/>
    <w:pPr>
      <w:spacing w:line="240" w:lineRule="auto"/>
    </w:pPr>
    <w:rPr>
      <w:sz w:val="20"/>
      <w:szCs w:val="20"/>
    </w:rPr>
  </w:style>
  <w:style w:type="character" w:customStyle="1" w:styleId="CommentTextChar">
    <w:name w:val="Comment Text Char"/>
    <w:basedOn w:val="DefaultParagraphFont"/>
    <w:link w:val="CommentText"/>
    <w:uiPriority w:val="99"/>
    <w:rsid w:val="006B3B17"/>
    <w:rPr>
      <w:sz w:val="20"/>
      <w:szCs w:val="20"/>
    </w:rPr>
  </w:style>
  <w:style w:type="paragraph" w:styleId="CommentSubject">
    <w:name w:val="annotation subject"/>
    <w:basedOn w:val="CommentText"/>
    <w:next w:val="CommentText"/>
    <w:link w:val="CommentSubjectChar"/>
    <w:uiPriority w:val="99"/>
    <w:semiHidden/>
    <w:unhideWhenUsed/>
    <w:rsid w:val="006B3B17"/>
    <w:rPr>
      <w:b/>
      <w:bCs/>
    </w:rPr>
  </w:style>
  <w:style w:type="character" w:customStyle="1" w:styleId="CommentSubjectChar">
    <w:name w:val="Comment Subject Char"/>
    <w:basedOn w:val="CommentTextChar"/>
    <w:link w:val="CommentSubject"/>
    <w:uiPriority w:val="99"/>
    <w:semiHidden/>
    <w:rsid w:val="006B3B17"/>
    <w:rPr>
      <w:b/>
      <w:bCs/>
      <w:sz w:val="20"/>
      <w:szCs w:val="20"/>
    </w:rPr>
  </w:style>
  <w:style w:type="paragraph" w:styleId="Revision">
    <w:name w:val="Revision"/>
    <w:hidden/>
    <w:uiPriority w:val="99"/>
    <w:semiHidden/>
    <w:rsid w:val="00712794"/>
    <w:pPr>
      <w:spacing w:after="0" w:line="240" w:lineRule="auto"/>
    </w:pPr>
  </w:style>
  <w:style w:type="paragraph" w:customStyle="1" w:styleId="ArticleTitle">
    <w:name w:val="ArticleTitle"/>
    <w:basedOn w:val="Normal"/>
    <w:rsid w:val="00420237"/>
    <w:pPr>
      <w:spacing w:after="0" w:line="480" w:lineRule="auto"/>
      <w:jc w:val="center"/>
    </w:pPr>
    <w:rPr>
      <w:rFonts w:ascii="Times New Roman" w:eastAsia="Calibri" w:hAnsi="Times New Roman" w:cs="Times New Roman"/>
      <w:bCs/>
      <w:kern w:val="0"/>
      <w:lang w:val="en-GB"/>
      <w14:ligatures w14:val="none"/>
    </w:rPr>
  </w:style>
  <w:style w:type="character" w:styleId="Hyperlink">
    <w:name w:val="Hyperlink"/>
    <w:basedOn w:val="DefaultParagraphFont"/>
    <w:uiPriority w:val="99"/>
    <w:unhideWhenUsed/>
    <w:rsid w:val="00967452"/>
    <w:rPr>
      <w:color w:val="0563C1" w:themeColor="hyperlink"/>
      <w:u w:val="single"/>
    </w:rPr>
  </w:style>
  <w:style w:type="character" w:styleId="UnresolvedMention">
    <w:name w:val="Unresolved Mention"/>
    <w:basedOn w:val="DefaultParagraphFont"/>
    <w:uiPriority w:val="99"/>
    <w:semiHidden/>
    <w:unhideWhenUsed/>
    <w:rsid w:val="00967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if.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ac.ciesin.columbia.edu/data/collection/gpw-v4/documentation" TargetMode="External"/><Relationship Id="rId5" Type="http://schemas.openxmlformats.org/officeDocument/2006/relationships/styles" Target="styles.xml"/><Relationship Id="rId10" Type="http://schemas.openxmlformats.org/officeDocument/2006/relationships/hyperlink" Target="https://appeears.earthdatacloud.nasa.gov"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FullName xmlns="http://schemas.microsoft.com/sharepoint/v3" xsi:nil="true"/>
    <Year xmlns="ae69a1e9-6b4d-4fb0-b622-c144d8643932">Select</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30" ma:contentTypeDescription="Create a new document." ma:contentTypeScope="" ma:versionID="52fdff7971cd6aadc3d04618ca6f0154">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705ba3e99d9ebcbdff53c12aa3a38ea9"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7C905-3950-44F8-9CB6-0E3F2E001C9E}">
  <ds:schemaRefs>
    <ds:schemaRef ds:uri="http://schemas.microsoft.com/office/2006/metadata/properties"/>
    <ds:schemaRef ds:uri="http://schemas.microsoft.com/office/infopath/2007/PartnerControls"/>
    <ds:schemaRef ds:uri="ae69a1e9-6b4d-4fb0-b622-c144d8643932"/>
    <ds:schemaRef ds:uri="5bc0285e-d98a-4166-8b94-4daf3a27d871"/>
    <ds:schemaRef ds:uri="http://schemas.microsoft.com/sharepoint/v3"/>
  </ds:schemaRefs>
</ds:datastoreItem>
</file>

<file path=customXml/itemProps2.xml><?xml version="1.0" encoding="utf-8"?>
<ds:datastoreItem xmlns:ds="http://schemas.openxmlformats.org/officeDocument/2006/customXml" ds:itemID="{BA8F8528-89F4-458D-97AA-2D6464B189D4}">
  <ds:schemaRefs>
    <ds:schemaRef ds:uri="http://schemas.microsoft.com/sharepoint/v3/contenttype/forms"/>
  </ds:schemaRefs>
</ds:datastoreItem>
</file>

<file path=customXml/itemProps3.xml><?xml version="1.0" encoding="utf-8"?>
<ds:datastoreItem xmlns:ds="http://schemas.openxmlformats.org/officeDocument/2006/customXml" ds:itemID="{02B66D1D-2E58-4CEE-9CD6-1A159F521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Macaya</dc:creator>
  <cp:keywords/>
  <dc:description/>
  <cp:lastModifiedBy>Julia Hochbach</cp:lastModifiedBy>
  <cp:revision>3</cp:revision>
  <dcterms:created xsi:type="dcterms:W3CDTF">2025-03-13T16:06:00Z</dcterms:created>
  <dcterms:modified xsi:type="dcterms:W3CDTF">2025-03-13T16:06:00Z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0x010100CEA379549BBEC947BAB6558301D95F0D</vt:lpwstr>
  </property>
</Properties>
</file>