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/>
      </w:pPr>
      <w:r>
        <w:rPr/>
        <w:t>Supplementary Table 1. GenBank numbers of 18S rDNA sequences of species of Miraciidae used in the phylogenetic analyses, and two species from Thalestridae and Pseudotachidiidae used as external groups.</w:t>
      </w:r>
    </w:p>
    <w:tbl>
      <w:tblPr>
        <w:tblW w:w="964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val="0000" w:noHBand="0" w:noVBand="0" w:firstColumn="0" w:lastRow="0" w:lastColumn="0" w:firstRow="0"/>
      </w:tblPr>
      <w:tblGrid>
        <w:gridCol w:w="3597"/>
        <w:gridCol w:w="3689"/>
        <w:gridCol w:w="2357"/>
      </w:tblGrid>
      <w:tr>
        <w:trPr/>
        <w:tc>
          <w:tcPr>
            <w:tcW w:w="3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Species</w:t>
            </w:r>
          </w:p>
        </w:tc>
        <w:tc>
          <w:tcPr>
            <w:tcW w:w="3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Authority</w:t>
            </w:r>
          </w:p>
        </w:tc>
        <w:tc>
          <w:tcPr>
            <w:tcW w:w="2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NCBI reference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Family Miraciidae Dana, 1846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b/>
                <w:bCs/>
                <w:color w:val="000000"/>
              </w:rPr>
              <w:t>Subfamily Diosaccinae Sars G.O., 1906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Amonardia coreana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>Song, Rho &amp; Kim W., 2007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>KT030261.1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Amphiascoides sp.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>KP702189.1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Diosaccus ezoensis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Itô Tat, 1974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EU380290.1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Diosaccus koreanus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>Lim, Bang, Moon &amp; Back, 2020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MT002902.1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 xml:space="preserve">Paramphiascella aestuarii </w:t>
            </w:r>
            <w:r>
              <w:rPr>
                <w:b/>
                <w:bCs/>
                <w:color w:val="000000"/>
              </w:rPr>
              <w:t>n. sp.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>This study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PQ505074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Paramphiascella fulvofasciata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Rosenfield &amp; Coull, 1974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EU380293.1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Rhyncholagena cuspis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Yeom &amp; Lee, 2023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OR257802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Robertgurneya jejuensis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Yeom &amp; Lee, 2022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OP798781.1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Sarsamphiascus hawaiiensis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Yeom &amp; Lee, 2020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MN496456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Sarsamphiascus kawamurai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>(Ueda &amp; Nagai, 2005)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MN541391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bookmarkStart w:id="0" w:name="_GoBack"/>
            <w:bookmarkEnd w:id="0"/>
            <w:r>
              <w:rPr>
                <w:i/>
                <w:iCs/>
                <w:color w:val="000000"/>
              </w:rPr>
              <w:t>Typhlamphiascus typhlops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>(Sars G.O., 1906)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EU380292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b/>
                <w:bCs/>
                <w:color w:val="000000"/>
              </w:rPr>
              <w:t>Subfamily Miraciinae Dana, 1846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Miracia efferata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Dana, 1849-1852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EU380294.1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b/>
                <w:bCs/>
                <w:color w:val="000000"/>
              </w:rPr>
              <w:t>Subfamily Stenheliinae Brady, 1880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/>
            </w:pPr>
            <w:r>
              <w:rPr>
                <w:i/>
                <w:iCs/>
                <w:color w:val="000000"/>
              </w:rPr>
              <w:t>Stenhelia pubescens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Chislenko, 1978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EU380291.1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Family Pseudotachidiidae Lang, 1936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Subfamily Pseudotachidiidae Lang, 1936</w:t>
            </w:r>
          </w:p>
        </w:tc>
      </w:tr>
      <w:tr>
        <w:trPr/>
        <w:tc>
          <w:tcPr>
            <w:tcW w:w="3597" w:type="dxa"/>
            <w:tcBorders/>
          </w:tcPr>
          <w:p>
            <w:pPr>
              <w:pStyle w:val="TableContents"/>
              <w:widowControl w:val="fals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Pseudotachidius bipartitus</w:t>
            </w:r>
          </w:p>
        </w:tc>
        <w:tc>
          <w:tcPr>
            <w:tcW w:w="3689" w:type="dxa"/>
            <w:tcBorders/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Montagna, 1980</w:t>
            </w:r>
          </w:p>
        </w:tc>
        <w:tc>
          <w:tcPr>
            <w:tcW w:w="2357" w:type="dxa"/>
            <w:tcBorders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MF077760.1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Family Thalestridae Sars G.O., 1905</w:t>
            </w:r>
          </w:p>
        </w:tc>
      </w:tr>
      <w:tr>
        <w:trPr/>
        <w:tc>
          <w:tcPr>
            <w:tcW w:w="9643" w:type="dxa"/>
            <w:gridSpan w:val="3"/>
            <w:tcBorders/>
          </w:tcPr>
          <w:p>
            <w:pPr>
              <w:pStyle w:val="TableContents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Subfamily Thalestrinae Lang, 1936</w:t>
            </w:r>
          </w:p>
        </w:tc>
      </w:tr>
      <w:tr>
        <w:trPr/>
        <w:tc>
          <w:tcPr>
            <w:tcW w:w="3597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Parathalestris verrucosa</w:t>
            </w:r>
          </w:p>
        </w:tc>
        <w:tc>
          <w:tcPr>
            <w:tcW w:w="3689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Itô Tat, 1970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MT002909.1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character" w:styleId="LineNumbering" w:customStyle="1">
    <w:name w:val="Line Numbering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LibreOffice/7.3.7.2$Linux_X86_64 LibreOffice_project/30$Build-2</Application>
  <AppVersion>15.0000</AppVersion>
  <Pages>1</Pages>
  <Words>163</Words>
  <Characters>1109</Characters>
  <CharactersWithSpaces>1219</CharactersWithSpaces>
  <Paragraphs>56</Paragraphs>
  <Company>Universidad Nacional Autonoma de México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2024-08-15T14:32:17Z</dcterms:created>
  <dc:creator/>
  <dc:description/>
  <dc:language>en-US</dc:language>
  <cp:lastModifiedBy/>
  <dcterms:modified xsi:type="dcterms:W3CDTF">2024-10-24T10:09:49Z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