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0A767" w14:textId="5CECF4F3" w:rsidR="00942467" w:rsidRPr="008B3A1E" w:rsidRDefault="00942467" w:rsidP="00942467">
      <w:pPr>
        <w:spacing w:before="480" w:after="120" w:line="360" w:lineRule="auto"/>
        <w:jc w:val="left"/>
        <w:outlineLvl w:val="0"/>
        <w:rPr>
          <w:bCs/>
          <w:sz w:val="44"/>
          <w:szCs w:val="44"/>
          <w:lang w:val="en-GB"/>
        </w:rPr>
      </w:pPr>
      <w:r>
        <w:rPr>
          <w:bCs/>
          <w:sz w:val="44"/>
          <w:szCs w:val="44"/>
          <w:lang w:val="en-GB"/>
        </w:rPr>
        <w:t>Supplementary material</w:t>
      </w:r>
    </w:p>
    <w:p w14:paraId="0AF2D17E" w14:textId="77777777" w:rsidR="00942467" w:rsidRPr="008B3A1E" w:rsidRDefault="00942467" w:rsidP="00942467">
      <w:pPr>
        <w:spacing w:before="280" w:after="80" w:line="240" w:lineRule="auto"/>
        <w:outlineLvl w:val="2"/>
        <w:rPr>
          <w:rFonts w:eastAsia="Times New Roman" w:cs="Cambria"/>
          <w:b/>
          <w:bCs/>
          <w:sz w:val="27"/>
          <w:szCs w:val="27"/>
          <w:lang w:val="en-GB"/>
        </w:rPr>
      </w:pPr>
      <w:r w:rsidRPr="008B3A1E">
        <w:rPr>
          <w:rFonts w:eastAsia="Times New Roman" w:cs="Cambria"/>
          <w:b/>
          <w:bCs/>
          <w:sz w:val="26"/>
          <w:szCs w:val="26"/>
          <w:lang w:val="en-GB"/>
        </w:rPr>
        <w:t>Table A1: Key legal frameworks in Colombia and Cartagena for climate adaptation and land rights/tenure/relocation</w:t>
      </w:r>
    </w:p>
    <w:p w14:paraId="205B95A8" w14:textId="77777777" w:rsidR="00942467" w:rsidRPr="008B3A1E" w:rsidRDefault="00942467" w:rsidP="00942467">
      <w:pPr>
        <w:spacing w:after="0" w:line="240" w:lineRule="auto"/>
        <w:rPr>
          <w:rFonts w:eastAsia="Times New Roman" w:cs="Cambria"/>
          <w:lang w:val="en-GB"/>
        </w:rPr>
      </w:pPr>
    </w:p>
    <w:tbl>
      <w:tblPr>
        <w:tblStyle w:val="Tabellrutntljust"/>
        <w:tblW w:w="0" w:type="auto"/>
        <w:tblInd w:w="0" w:type="dxa"/>
        <w:tblBorders>
          <w:top w:val="single" w:sz="4" w:space="0" w:color="auto"/>
          <w:left w:val="single" w:sz="4" w:space="0" w:color="BFBFBF"/>
          <w:bottom w:val="single" w:sz="4" w:space="0" w:color="auto"/>
          <w:right w:val="single" w:sz="4" w:space="0" w:color="BFBFBF"/>
          <w:insideH w:val="single" w:sz="4" w:space="0" w:color="auto"/>
          <w:insideV w:val="none" w:sz="0" w:space="0" w:color="auto"/>
        </w:tblBorders>
        <w:tblLook w:val="04A0" w:firstRow="1" w:lastRow="0" w:firstColumn="1" w:lastColumn="0" w:noHBand="0" w:noVBand="1"/>
      </w:tblPr>
      <w:tblGrid>
        <w:gridCol w:w="1903"/>
        <w:gridCol w:w="1924"/>
        <w:gridCol w:w="5523"/>
      </w:tblGrid>
      <w:tr w:rsidR="00942467" w:rsidRPr="009E0573" w14:paraId="792B4984" w14:textId="77777777" w:rsidTr="0004253E">
        <w:trPr>
          <w:trHeight w:val="435"/>
        </w:trPr>
        <w:tc>
          <w:tcPr>
            <w:tcW w:w="0" w:type="auto"/>
            <w:tcBorders>
              <w:top w:val="single" w:sz="4" w:space="0" w:color="auto"/>
              <w:left w:val="single" w:sz="4" w:space="0" w:color="BFBFBF"/>
              <w:bottom w:val="single" w:sz="4" w:space="0" w:color="auto"/>
              <w:right w:val="nil"/>
            </w:tcBorders>
            <w:hideMark/>
          </w:tcPr>
          <w:p w14:paraId="7489216C"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b/>
                <w:bCs/>
                <w:sz w:val="18"/>
                <w:szCs w:val="18"/>
              </w:rPr>
              <w:t>Law (Level)</w:t>
            </w:r>
          </w:p>
        </w:tc>
        <w:tc>
          <w:tcPr>
            <w:tcW w:w="1924" w:type="dxa"/>
            <w:tcBorders>
              <w:top w:val="single" w:sz="4" w:space="0" w:color="auto"/>
              <w:left w:val="nil"/>
              <w:bottom w:val="single" w:sz="4" w:space="0" w:color="auto"/>
              <w:right w:val="nil"/>
            </w:tcBorders>
            <w:hideMark/>
          </w:tcPr>
          <w:p w14:paraId="4BD432CE"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b/>
                <w:bCs/>
                <w:sz w:val="18"/>
                <w:szCs w:val="18"/>
              </w:rPr>
              <w:t>Official aim of the law</w:t>
            </w:r>
          </w:p>
        </w:tc>
        <w:tc>
          <w:tcPr>
            <w:tcW w:w="5523" w:type="dxa"/>
            <w:tcBorders>
              <w:top w:val="single" w:sz="4" w:space="0" w:color="auto"/>
              <w:left w:val="nil"/>
              <w:bottom w:val="single" w:sz="4" w:space="0" w:color="auto"/>
              <w:right w:val="single" w:sz="4" w:space="0" w:color="BFBFBF"/>
            </w:tcBorders>
            <w:hideMark/>
          </w:tcPr>
          <w:p w14:paraId="26ADEB5E"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b/>
                <w:bCs/>
                <w:sz w:val="18"/>
                <w:szCs w:val="18"/>
              </w:rPr>
              <w:t>Specific aims regarding climate/disaster risk and housing/sanitation</w:t>
            </w:r>
          </w:p>
        </w:tc>
      </w:tr>
      <w:tr w:rsidR="00942467" w:rsidRPr="009E0573" w14:paraId="57515BF4" w14:textId="77777777" w:rsidTr="0004253E">
        <w:trPr>
          <w:trHeight w:val="2145"/>
        </w:trPr>
        <w:tc>
          <w:tcPr>
            <w:tcW w:w="0" w:type="auto"/>
            <w:tcBorders>
              <w:top w:val="single" w:sz="4" w:space="0" w:color="auto"/>
              <w:left w:val="single" w:sz="4" w:space="0" w:color="BFBFBF"/>
              <w:bottom w:val="single" w:sz="4" w:space="0" w:color="auto"/>
              <w:right w:val="nil"/>
            </w:tcBorders>
          </w:tcPr>
          <w:p w14:paraId="0CB03B07" w14:textId="77777777" w:rsidR="00942467" w:rsidRPr="009E0573" w:rsidRDefault="00942467" w:rsidP="0004253E">
            <w:pPr>
              <w:spacing w:before="0" w:after="0" w:line="240" w:lineRule="auto"/>
              <w:jc w:val="left"/>
              <w:rPr>
                <w:rFonts w:eastAsia="Times New Roman" w:cs="Cambria"/>
                <w:b/>
                <w:bCs/>
              </w:rPr>
            </w:pPr>
            <w:r w:rsidRPr="009E0573">
              <w:rPr>
                <w:rFonts w:eastAsia="Times New Roman" w:cs="Cambria"/>
                <w:b/>
                <w:bCs/>
                <w:sz w:val="18"/>
                <w:szCs w:val="18"/>
              </w:rPr>
              <w:t>Urban reform of 1989 Law 9</w:t>
            </w:r>
          </w:p>
          <w:p w14:paraId="5FD52893"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w:t>
            </w:r>
          </w:p>
          <w:p w14:paraId="0F826F9D" w14:textId="77777777" w:rsidR="00942467" w:rsidRPr="009E0573" w:rsidRDefault="00942467" w:rsidP="0004253E">
            <w:pPr>
              <w:spacing w:before="0" w:after="0" w:line="240" w:lineRule="auto"/>
              <w:jc w:val="left"/>
              <w:rPr>
                <w:rFonts w:eastAsia="Times New Roman" w:cs="Cambria"/>
                <w:sz w:val="18"/>
                <w:szCs w:val="18"/>
              </w:rPr>
            </w:pPr>
            <w:r w:rsidRPr="009E0573">
              <w:rPr>
                <w:rFonts w:eastAsia="Times New Roman" w:cs="Cambria"/>
                <w:sz w:val="18"/>
                <w:szCs w:val="18"/>
              </w:rPr>
              <w:t>(National)</w:t>
            </w:r>
          </w:p>
          <w:p w14:paraId="1A009635" w14:textId="77777777" w:rsidR="00942467" w:rsidRPr="009E0573" w:rsidRDefault="00942467" w:rsidP="0004253E">
            <w:pPr>
              <w:spacing w:before="0" w:after="0" w:line="240" w:lineRule="auto"/>
              <w:jc w:val="left"/>
              <w:rPr>
                <w:rFonts w:eastAsia="Times New Roman" w:cs="Cambria"/>
                <w:sz w:val="18"/>
                <w:szCs w:val="18"/>
              </w:rPr>
            </w:pPr>
          </w:p>
          <w:p w14:paraId="238F1D43" w14:textId="77777777" w:rsidR="00942467" w:rsidRPr="009E0573" w:rsidRDefault="00942467" w:rsidP="0004253E">
            <w:pPr>
              <w:spacing w:before="0" w:after="0" w:line="240" w:lineRule="auto"/>
              <w:jc w:val="left"/>
              <w:rPr>
                <w:rFonts w:eastAsia="Times New Roman" w:cs="Cambria"/>
              </w:rPr>
            </w:pPr>
            <w:hyperlink r:id="rId4" w:history="1">
              <w:r w:rsidRPr="009E0573">
                <w:rPr>
                  <w:rFonts w:eastAsia="Times New Roman" w:cs="Cambria"/>
                  <w:sz w:val="18"/>
                  <w:szCs w:val="18"/>
                  <w:u w:val="single"/>
                </w:rPr>
                <w:t>Link to law text in Spanish</w:t>
              </w:r>
            </w:hyperlink>
          </w:p>
        </w:tc>
        <w:tc>
          <w:tcPr>
            <w:tcW w:w="1924" w:type="dxa"/>
            <w:tcBorders>
              <w:top w:val="single" w:sz="4" w:space="0" w:color="auto"/>
              <w:left w:val="nil"/>
              <w:bottom w:val="single" w:sz="4" w:space="0" w:color="auto"/>
              <w:right w:val="nil"/>
            </w:tcBorders>
            <w:hideMark/>
          </w:tcPr>
          <w:p w14:paraId="44625B0C"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Whereby rules are issued on municipal development plans, sale and expropriation of property and other provisions.</w:t>
            </w:r>
          </w:p>
        </w:tc>
        <w:tc>
          <w:tcPr>
            <w:tcW w:w="5523" w:type="dxa"/>
            <w:tcBorders>
              <w:top w:val="single" w:sz="4" w:space="0" w:color="auto"/>
              <w:left w:val="nil"/>
              <w:bottom w:val="single" w:sz="4" w:space="0" w:color="auto"/>
              <w:right w:val="single" w:sz="4" w:space="0" w:color="BFBFBF"/>
            </w:tcBorders>
          </w:tcPr>
          <w:p w14:paraId="0C4BAEAF" w14:textId="77777777" w:rsidR="00942467" w:rsidRPr="009E0573" w:rsidRDefault="00942467" w:rsidP="0004253E">
            <w:pPr>
              <w:spacing w:before="0" w:after="0" w:line="240" w:lineRule="auto"/>
              <w:jc w:val="left"/>
              <w:rPr>
                <w:rFonts w:eastAsia="Times New Roman" w:cs="Cambria"/>
                <w:sz w:val="18"/>
                <w:szCs w:val="18"/>
              </w:rPr>
            </w:pPr>
            <w:r w:rsidRPr="009E0573">
              <w:rPr>
                <w:rFonts w:eastAsia="Times New Roman" w:cs="Cambria"/>
                <w:sz w:val="18"/>
                <w:szCs w:val="18"/>
              </w:rPr>
              <w:t xml:space="preserve">Provides the means for the state to provide decent urban living conditions. Municipalities should produce development plats, given means to obtain land for housing or public projects, new taxes on capital gains from luxury housing, and power to expropriate land of ‘pirate urbanisers’. </w:t>
            </w:r>
          </w:p>
          <w:p w14:paraId="4E792273" w14:textId="77777777" w:rsidR="00942467" w:rsidRPr="009E0573" w:rsidRDefault="00942467" w:rsidP="0004253E">
            <w:pPr>
              <w:spacing w:before="0" w:after="0" w:line="240" w:lineRule="auto"/>
              <w:jc w:val="left"/>
              <w:rPr>
                <w:rFonts w:eastAsia="Times New Roman" w:cs="Cambria"/>
                <w:sz w:val="18"/>
                <w:szCs w:val="18"/>
              </w:rPr>
            </w:pPr>
          </w:p>
          <w:p w14:paraId="182B7C6F" w14:textId="77777777" w:rsidR="00942467" w:rsidRPr="009E0573" w:rsidRDefault="00942467" w:rsidP="0004253E">
            <w:pPr>
              <w:spacing w:before="0" w:after="0" w:line="240" w:lineRule="auto"/>
              <w:jc w:val="left"/>
              <w:rPr>
                <w:rFonts w:eastAsia="Times New Roman" w:cs="Cambria"/>
                <w:sz w:val="18"/>
                <w:szCs w:val="18"/>
              </w:rPr>
            </w:pPr>
            <w:r w:rsidRPr="009E0573">
              <w:rPr>
                <w:rFonts w:eastAsia="Times New Roman" w:cs="Cambria"/>
                <w:sz w:val="18"/>
                <w:szCs w:val="18"/>
              </w:rPr>
              <w:t>While deemed highly significant, the legislation was difficult to implement and municipalities could not control the rising cost of urban land, so self-help solutions followed rather than formal housing construction (Gilbert 2014)</w:t>
            </w:r>
          </w:p>
        </w:tc>
      </w:tr>
      <w:tr w:rsidR="00942467" w:rsidRPr="009E0573" w14:paraId="6D9EA7B1" w14:textId="77777777" w:rsidTr="0004253E">
        <w:trPr>
          <w:trHeight w:val="6406"/>
        </w:trPr>
        <w:tc>
          <w:tcPr>
            <w:tcW w:w="0" w:type="auto"/>
            <w:tcBorders>
              <w:top w:val="single" w:sz="4" w:space="0" w:color="auto"/>
              <w:left w:val="single" w:sz="4" w:space="0" w:color="BFBFBF"/>
              <w:bottom w:val="single" w:sz="4" w:space="0" w:color="auto"/>
              <w:right w:val="nil"/>
            </w:tcBorders>
            <w:hideMark/>
          </w:tcPr>
          <w:p w14:paraId="6741913B" w14:textId="77777777" w:rsidR="00942467" w:rsidRPr="009E0573" w:rsidRDefault="00942467" w:rsidP="0004253E">
            <w:pPr>
              <w:spacing w:before="0" w:after="0" w:line="240" w:lineRule="auto"/>
              <w:jc w:val="left"/>
              <w:rPr>
                <w:rFonts w:eastAsia="Times New Roman" w:cs="Cambria"/>
                <w:b/>
                <w:bCs/>
              </w:rPr>
            </w:pPr>
            <w:r w:rsidRPr="009E0573">
              <w:rPr>
                <w:rFonts w:eastAsia="Times New Roman" w:cs="Cambria"/>
                <w:b/>
                <w:bCs/>
                <w:sz w:val="18"/>
                <w:szCs w:val="18"/>
              </w:rPr>
              <w:t>Constitution of 1991</w:t>
            </w:r>
          </w:p>
          <w:p w14:paraId="596D6C5C" w14:textId="77777777" w:rsidR="00942467" w:rsidRPr="009E0573" w:rsidRDefault="00942467" w:rsidP="0004253E">
            <w:pPr>
              <w:spacing w:after="0" w:line="240" w:lineRule="auto"/>
              <w:jc w:val="left"/>
              <w:rPr>
                <w:rFonts w:eastAsia="Times New Roman" w:cs="Cambria"/>
              </w:rPr>
            </w:pPr>
            <w:r w:rsidRPr="009E0573">
              <w:rPr>
                <w:rFonts w:eastAsia="Times New Roman" w:cs="Cambria"/>
                <w:sz w:val="18"/>
                <w:szCs w:val="18"/>
              </w:rPr>
              <w:t>(National)</w:t>
            </w:r>
          </w:p>
          <w:p w14:paraId="55E2DCCA" w14:textId="77777777" w:rsidR="00942467" w:rsidRPr="009E0573" w:rsidRDefault="00942467" w:rsidP="0004253E">
            <w:pPr>
              <w:spacing w:after="0" w:line="240" w:lineRule="auto"/>
              <w:jc w:val="left"/>
              <w:rPr>
                <w:rFonts w:eastAsia="Times New Roman" w:cs="Cambria"/>
              </w:rPr>
            </w:pPr>
            <w:hyperlink r:id="rId5" w:anchor="/" w:history="1">
              <w:r w:rsidRPr="009E0573">
                <w:rPr>
                  <w:rFonts w:eastAsia="Times New Roman" w:cs="Cambria"/>
                  <w:sz w:val="18"/>
                  <w:szCs w:val="18"/>
                  <w:u w:val="single"/>
                </w:rPr>
                <w:t>Link to law text in Spanish</w:t>
              </w:r>
            </w:hyperlink>
          </w:p>
        </w:tc>
        <w:tc>
          <w:tcPr>
            <w:tcW w:w="1924" w:type="dxa"/>
            <w:tcBorders>
              <w:top w:val="single" w:sz="4" w:space="0" w:color="auto"/>
              <w:left w:val="nil"/>
              <w:bottom w:val="single" w:sz="4" w:space="0" w:color="auto"/>
              <w:right w:val="nil"/>
            </w:tcBorders>
            <w:hideMark/>
          </w:tcPr>
          <w:p w14:paraId="7B3D0347"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To strengthen the unity of the nation and ensure its members life, coexistence, work, justice, equality, knowledge, freedom, and peace within a democratic and participatory legal framework that guarantees a fair political, economic, and social order, committed to promoting the integration of the Latin American community.</w:t>
            </w:r>
          </w:p>
        </w:tc>
        <w:tc>
          <w:tcPr>
            <w:tcW w:w="5523" w:type="dxa"/>
            <w:tcBorders>
              <w:top w:val="single" w:sz="4" w:space="0" w:color="auto"/>
              <w:left w:val="nil"/>
              <w:bottom w:val="single" w:sz="4" w:space="0" w:color="auto"/>
              <w:right w:val="single" w:sz="4" w:space="0" w:color="BFBFBF"/>
            </w:tcBorders>
            <w:hideMark/>
          </w:tcPr>
          <w:p w14:paraId="6EB3A916"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b/>
                <w:bCs/>
                <w:sz w:val="18"/>
                <w:szCs w:val="18"/>
              </w:rPr>
              <w:t>ARTICLE 58. Right to property</w:t>
            </w:r>
            <w:r w:rsidRPr="009E0573">
              <w:rPr>
                <w:rFonts w:eastAsia="Times New Roman" w:cs="Cambria"/>
                <w:sz w:val="18"/>
                <w:szCs w:val="18"/>
              </w:rPr>
              <w:t xml:space="preserve"> Modified by Legislative Act 1 of 1999, article 1. Private property and other rights acquired in accordance with civil laws are guaranteed, which cannot be ignored or violated by subsequent laws. When the application of a law issued for reasons of public utility or social interest results in a conflict between the rights of individuals and the need recognized by it, </w:t>
            </w:r>
            <w:r w:rsidRPr="009E0573">
              <w:rPr>
                <w:rFonts w:eastAsia="Times New Roman" w:cs="Cambria"/>
                <w:b/>
                <w:bCs/>
                <w:sz w:val="18"/>
                <w:szCs w:val="18"/>
              </w:rPr>
              <w:t>the private interest must yield to the public or social interest</w:t>
            </w:r>
            <w:r w:rsidRPr="009E0573">
              <w:rPr>
                <w:rFonts w:eastAsia="Times New Roman" w:cs="Cambria"/>
                <w:sz w:val="18"/>
                <w:szCs w:val="18"/>
              </w:rPr>
              <w:t xml:space="preserve">. </w:t>
            </w:r>
            <w:r w:rsidRPr="009E0573">
              <w:rPr>
                <w:rFonts w:eastAsia="Times New Roman" w:cs="Cambria"/>
                <w:b/>
                <w:bCs/>
                <w:sz w:val="18"/>
                <w:szCs w:val="18"/>
              </w:rPr>
              <w:t>Property is a social function</w:t>
            </w:r>
            <w:r w:rsidRPr="009E0573">
              <w:rPr>
                <w:rFonts w:eastAsia="Times New Roman" w:cs="Cambria"/>
                <w:sz w:val="18"/>
                <w:szCs w:val="18"/>
              </w:rPr>
              <w:t xml:space="preserve"> that implies obligations. As such, it is inherent an ecological function. </w:t>
            </w:r>
            <w:r w:rsidRPr="009E0573">
              <w:rPr>
                <w:rFonts w:eastAsia="Times New Roman" w:cs="Cambria"/>
                <w:b/>
                <w:bCs/>
                <w:sz w:val="18"/>
                <w:szCs w:val="18"/>
              </w:rPr>
              <w:t>The State will protect and promote associative and joint ownership forms</w:t>
            </w:r>
            <w:r w:rsidRPr="009E0573">
              <w:rPr>
                <w:rFonts w:eastAsia="Times New Roman" w:cs="Cambria"/>
                <w:sz w:val="18"/>
                <w:szCs w:val="18"/>
              </w:rPr>
              <w:t>. For reasons of public utility or social interest defined by the legislator, there may be</w:t>
            </w:r>
            <w:r w:rsidRPr="009E0573">
              <w:rPr>
                <w:rFonts w:eastAsia="Times New Roman" w:cs="Cambria"/>
                <w:b/>
                <w:bCs/>
                <w:sz w:val="18"/>
                <w:szCs w:val="18"/>
              </w:rPr>
              <w:t xml:space="preserve"> expropriation by judicial ruling</w:t>
            </w:r>
            <w:r w:rsidRPr="009E0573">
              <w:rPr>
                <w:rFonts w:eastAsia="Times New Roman" w:cs="Cambria"/>
                <w:sz w:val="18"/>
                <w:szCs w:val="18"/>
              </w:rPr>
              <w:t xml:space="preserve"> and prior compensation.</w:t>
            </w:r>
          </w:p>
          <w:p w14:paraId="7D6A9937"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w:t>
            </w:r>
          </w:p>
          <w:p w14:paraId="7D84C64B"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b/>
                <w:bCs/>
                <w:sz w:val="18"/>
                <w:szCs w:val="18"/>
              </w:rPr>
              <w:t>ARTICLE 49. Right to health and sanitation</w:t>
            </w:r>
            <w:r w:rsidRPr="009E0573">
              <w:rPr>
                <w:rFonts w:eastAsia="Times New Roman" w:cs="Cambria"/>
                <w:sz w:val="18"/>
                <w:szCs w:val="18"/>
              </w:rPr>
              <w:t xml:space="preserve"> Amended by Legislative Act 2 of 2009, article 1. Which will remain as follows: Health care and </w:t>
            </w:r>
            <w:r w:rsidRPr="009E0573">
              <w:rPr>
                <w:rFonts w:eastAsia="Times New Roman" w:cs="Cambria"/>
                <w:b/>
                <w:bCs/>
                <w:sz w:val="18"/>
                <w:szCs w:val="18"/>
              </w:rPr>
              <w:t>environmental sanitation</w:t>
            </w:r>
            <w:r w:rsidRPr="009E0573">
              <w:rPr>
                <w:rFonts w:eastAsia="Times New Roman" w:cs="Cambria"/>
                <w:sz w:val="18"/>
                <w:szCs w:val="18"/>
              </w:rPr>
              <w:t xml:space="preserve"> are public services provided by the State. Access to health promotion, protection and recovery services is guaranteed to all people. It corresponds to the State to organize, direct and regulate the provision of health services to the inhabitants and environmental sanitation [sic!] in accordance with the principles of efficiency, universality and solidarity. [...]</w:t>
            </w:r>
          </w:p>
          <w:p w14:paraId="69B81A10"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w:t>
            </w:r>
          </w:p>
          <w:p w14:paraId="56CCCA87"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b/>
                <w:bCs/>
                <w:sz w:val="18"/>
                <w:szCs w:val="18"/>
              </w:rPr>
              <w:t>ARTICLE 51. Right to housing</w:t>
            </w:r>
            <w:r w:rsidRPr="009E0573">
              <w:rPr>
                <w:rFonts w:eastAsia="Times New Roman" w:cs="Cambria"/>
                <w:sz w:val="18"/>
                <w:szCs w:val="18"/>
              </w:rPr>
              <w:t xml:space="preserve"> All Colombians have the right to dignified housing. The State will establish the necessary conditions to make effective this right and will promote housing plans of interest social security, adequate long-term financing systems and forms associations for the execution of these housing programs.</w:t>
            </w:r>
          </w:p>
          <w:p w14:paraId="09827A68"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w:t>
            </w:r>
          </w:p>
        </w:tc>
      </w:tr>
      <w:tr w:rsidR="00942467" w:rsidRPr="009E0573" w14:paraId="122D44A2" w14:textId="77777777" w:rsidTr="0004253E">
        <w:trPr>
          <w:trHeight w:val="567"/>
        </w:trPr>
        <w:tc>
          <w:tcPr>
            <w:tcW w:w="0" w:type="auto"/>
            <w:tcBorders>
              <w:top w:val="single" w:sz="4" w:space="0" w:color="auto"/>
              <w:left w:val="single" w:sz="4" w:space="0" w:color="BFBFBF"/>
              <w:bottom w:val="single" w:sz="4" w:space="0" w:color="auto"/>
              <w:right w:val="nil"/>
            </w:tcBorders>
            <w:hideMark/>
          </w:tcPr>
          <w:p w14:paraId="7A942F2D" w14:textId="77777777" w:rsidR="00942467" w:rsidRPr="009E0573" w:rsidRDefault="00942467" w:rsidP="0004253E">
            <w:pPr>
              <w:spacing w:before="0" w:after="255" w:line="240" w:lineRule="auto"/>
              <w:contextualSpacing/>
              <w:jc w:val="left"/>
              <w:rPr>
                <w:rFonts w:eastAsia="Times New Roman" w:cs="Cambria"/>
                <w:b/>
                <w:bCs/>
              </w:rPr>
            </w:pPr>
            <w:r w:rsidRPr="009E0573">
              <w:rPr>
                <w:rFonts w:eastAsia="Times New Roman" w:cs="Cambria"/>
                <w:b/>
                <w:bCs/>
                <w:sz w:val="18"/>
                <w:szCs w:val="18"/>
              </w:rPr>
              <w:t>Law 388 of 1997</w:t>
            </w:r>
          </w:p>
          <w:p w14:paraId="21E2D78C" w14:textId="77777777" w:rsidR="00942467" w:rsidRPr="009E0573" w:rsidRDefault="00942467" w:rsidP="0004253E">
            <w:pPr>
              <w:spacing w:before="0" w:after="255" w:line="240" w:lineRule="auto"/>
              <w:contextualSpacing/>
              <w:jc w:val="left"/>
              <w:rPr>
                <w:rFonts w:eastAsia="Times New Roman" w:cs="Cambria"/>
              </w:rPr>
            </w:pPr>
            <w:r w:rsidRPr="009E0573">
              <w:rPr>
                <w:rFonts w:eastAsia="Times New Roman" w:cs="Cambria"/>
                <w:sz w:val="18"/>
                <w:szCs w:val="18"/>
              </w:rPr>
              <w:t> </w:t>
            </w:r>
          </w:p>
          <w:p w14:paraId="1673D5A0" w14:textId="77777777" w:rsidR="00942467" w:rsidRPr="009E0573" w:rsidRDefault="00942467" w:rsidP="0004253E">
            <w:pPr>
              <w:spacing w:before="0" w:after="255" w:line="240" w:lineRule="auto"/>
              <w:contextualSpacing/>
              <w:jc w:val="left"/>
              <w:rPr>
                <w:rFonts w:eastAsia="Times New Roman" w:cs="Cambria"/>
              </w:rPr>
            </w:pPr>
            <w:r w:rsidRPr="009E0573">
              <w:rPr>
                <w:rFonts w:eastAsia="Times New Roman" w:cs="Cambria"/>
                <w:sz w:val="18"/>
                <w:szCs w:val="18"/>
              </w:rPr>
              <w:t>(National)</w:t>
            </w:r>
          </w:p>
          <w:p w14:paraId="74D724B4" w14:textId="77777777" w:rsidR="00942467" w:rsidRPr="009E0573" w:rsidRDefault="00942467" w:rsidP="0004253E">
            <w:pPr>
              <w:spacing w:before="0" w:after="255" w:line="240" w:lineRule="auto"/>
              <w:contextualSpacing/>
              <w:jc w:val="left"/>
              <w:rPr>
                <w:rFonts w:eastAsia="Times New Roman" w:cs="Cambria"/>
              </w:rPr>
            </w:pPr>
            <w:r w:rsidRPr="009E0573">
              <w:rPr>
                <w:rFonts w:eastAsia="Times New Roman" w:cs="Cambria"/>
                <w:sz w:val="18"/>
                <w:szCs w:val="18"/>
              </w:rPr>
              <w:t> </w:t>
            </w:r>
          </w:p>
          <w:p w14:paraId="7CA7F576" w14:textId="77777777" w:rsidR="00942467" w:rsidRPr="009E0573" w:rsidRDefault="00942467" w:rsidP="0004253E">
            <w:pPr>
              <w:spacing w:before="0" w:after="255" w:line="240" w:lineRule="auto"/>
              <w:contextualSpacing/>
              <w:jc w:val="left"/>
              <w:rPr>
                <w:rFonts w:eastAsia="Times New Roman" w:cs="Cambria"/>
              </w:rPr>
            </w:pPr>
            <w:hyperlink r:id="rId6" w:history="1">
              <w:r w:rsidRPr="009E0573">
                <w:rPr>
                  <w:rFonts w:eastAsia="Times New Roman" w:cs="Cambria"/>
                  <w:sz w:val="18"/>
                  <w:szCs w:val="18"/>
                  <w:u w:val="single"/>
                </w:rPr>
                <w:t>Link to law text in Spanish</w:t>
              </w:r>
            </w:hyperlink>
          </w:p>
        </w:tc>
        <w:tc>
          <w:tcPr>
            <w:tcW w:w="1924" w:type="dxa"/>
            <w:tcBorders>
              <w:top w:val="single" w:sz="4" w:space="0" w:color="auto"/>
              <w:left w:val="nil"/>
              <w:bottom w:val="single" w:sz="4" w:space="0" w:color="auto"/>
              <w:right w:val="nil"/>
            </w:tcBorders>
            <w:hideMark/>
          </w:tcPr>
          <w:p w14:paraId="5280BB9C" w14:textId="77777777" w:rsidR="00942467" w:rsidRPr="009E0573" w:rsidRDefault="00942467" w:rsidP="0004253E">
            <w:pPr>
              <w:spacing w:before="0" w:after="255" w:line="240" w:lineRule="auto"/>
              <w:contextualSpacing/>
              <w:jc w:val="left"/>
              <w:rPr>
                <w:rFonts w:eastAsia="Times New Roman" w:cs="Cambria"/>
              </w:rPr>
            </w:pPr>
            <w:r w:rsidRPr="009E0573">
              <w:rPr>
                <w:rFonts w:eastAsia="Times New Roman" w:cs="Cambria"/>
                <w:sz w:val="18"/>
                <w:szCs w:val="18"/>
              </w:rPr>
              <w:lastRenderedPageBreak/>
              <w:t xml:space="preserve">Establishes the framework for territorial planning and land use management </w:t>
            </w:r>
            <w:r w:rsidRPr="009E0573">
              <w:rPr>
                <w:rFonts w:eastAsia="Times New Roman" w:cs="Cambria"/>
                <w:sz w:val="18"/>
                <w:szCs w:val="18"/>
              </w:rPr>
              <w:lastRenderedPageBreak/>
              <w:t>at the local level (Modifies Law 9 of 1989)</w:t>
            </w:r>
          </w:p>
        </w:tc>
        <w:tc>
          <w:tcPr>
            <w:tcW w:w="5523" w:type="dxa"/>
            <w:tcBorders>
              <w:top w:val="single" w:sz="4" w:space="0" w:color="auto"/>
              <w:left w:val="nil"/>
              <w:bottom w:val="single" w:sz="4" w:space="0" w:color="auto"/>
              <w:right w:val="single" w:sz="4" w:space="0" w:color="BFBFBF"/>
            </w:tcBorders>
          </w:tcPr>
          <w:p w14:paraId="2FAA205F" w14:textId="77777777" w:rsidR="00942467" w:rsidRPr="009E0573" w:rsidRDefault="00942467" w:rsidP="0004253E">
            <w:pPr>
              <w:spacing w:before="0" w:after="255" w:line="240" w:lineRule="auto"/>
              <w:contextualSpacing/>
              <w:jc w:val="left"/>
              <w:rPr>
                <w:rFonts w:eastAsia="Times New Roman" w:cs="Cambria"/>
              </w:rPr>
            </w:pPr>
            <w:r w:rsidRPr="009E0573">
              <w:rPr>
                <w:rFonts w:eastAsia="Times New Roman" w:cs="Cambria"/>
                <w:b/>
                <w:bCs/>
                <w:sz w:val="18"/>
                <w:szCs w:val="18"/>
              </w:rPr>
              <w:lastRenderedPageBreak/>
              <w:t>ARTICLE 1: Objectives</w:t>
            </w:r>
            <w:r w:rsidRPr="009E0573">
              <w:rPr>
                <w:rFonts w:eastAsia="Times New Roman" w:cs="Cambria"/>
                <w:sz w:val="18"/>
                <w:szCs w:val="18"/>
              </w:rPr>
              <w:t xml:space="preserve"> </w:t>
            </w:r>
            <w:r w:rsidRPr="009E0573">
              <w:rPr>
                <w:rFonts w:eastAsia="Times New Roman" w:cs="Cambria"/>
                <w:i/>
                <w:iCs/>
                <w:sz w:val="18"/>
                <w:szCs w:val="18"/>
              </w:rPr>
              <w:t>(among others, the word “riesgo” occurs 27 times in the whole text)</w:t>
            </w:r>
            <w:r w:rsidRPr="009E0573">
              <w:rPr>
                <w:rFonts w:eastAsia="Times New Roman" w:cs="Cambria"/>
                <w:sz w:val="18"/>
                <w:szCs w:val="18"/>
              </w:rPr>
              <w:t>:</w:t>
            </w:r>
          </w:p>
          <w:p w14:paraId="2CA8A80A" w14:textId="77777777" w:rsidR="00942467" w:rsidRPr="009E0573" w:rsidRDefault="00942467" w:rsidP="0004253E">
            <w:pPr>
              <w:spacing w:before="0" w:after="255" w:line="240" w:lineRule="auto"/>
              <w:contextualSpacing/>
              <w:jc w:val="left"/>
              <w:rPr>
                <w:rFonts w:eastAsia="Times New Roman" w:cs="Cambria"/>
                <w:sz w:val="18"/>
                <w:szCs w:val="18"/>
              </w:rPr>
            </w:pPr>
            <w:r w:rsidRPr="009E0573">
              <w:rPr>
                <w:rFonts w:eastAsia="Times New Roman" w:cs="Cambria"/>
                <w:sz w:val="18"/>
                <w:szCs w:val="18"/>
              </w:rPr>
              <w:t xml:space="preserve">2. The establishment of mechanisms that allow the municipality, in the exercise of its autonomy, to promote the ordering of its territory, the </w:t>
            </w:r>
            <w:r w:rsidRPr="009E0573">
              <w:rPr>
                <w:rFonts w:eastAsia="Times New Roman" w:cs="Cambria"/>
                <w:sz w:val="18"/>
                <w:szCs w:val="18"/>
              </w:rPr>
              <w:lastRenderedPageBreak/>
              <w:t xml:space="preserve">equitable and rational use of the land, the preservation and defense of the ecological and cultural heritage located in its territorial scope and the </w:t>
            </w:r>
            <w:r w:rsidRPr="009E0573">
              <w:rPr>
                <w:rFonts w:eastAsia="Times New Roman" w:cs="Cambria"/>
                <w:b/>
                <w:bCs/>
                <w:sz w:val="18"/>
                <w:szCs w:val="18"/>
              </w:rPr>
              <w:t>prevention of disasters in high-risk settlements</w:t>
            </w:r>
            <w:r w:rsidRPr="009E0573">
              <w:rPr>
                <w:rFonts w:eastAsia="Times New Roman" w:cs="Cambria"/>
                <w:sz w:val="18"/>
                <w:szCs w:val="18"/>
              </w:rPr>
              <w:t>, as well as the execution of efficient urban actions.</w:t>
            </w:r>
          </w:p>
          <w:p w14:paraId="5D436511" w14:textId="77777777" w:rsidR="00942467" w:rsidRPr="009E0573" w:rsidRDefault="00942467" w:rsidP="0004253E">
            <w:pPr>
              <w:spacing w:before="0" w:after="255" w:line="240" w:lineRule="auto"/>
              <w:contextualSpacing/>
              <w:jc w:val="left"/>
              <w:rPr>
                <w:rFonts w:eastAsia="Times New Roman" w:cs="Cambria"/>
              </w:rPr>
            </w:pPr>
          </w:p>
          <w:p w14:paraId="7D892A6B" w14:textId="77777777" w:rsidR="00942467" w:rsidRPr="009E0573" w:rsidRDefault="00942467" w:rsidP="0004253E">
            <w:pPr>
              <w:spacing w:before="0" w:after="255" w:line="240" w:lineRule="auto"/>
              <w:contextualSpacing/>
              <w:jc w:val="left"/>
              <w:rPr>
                <w:rFonts w:eastAsia="Times New Roman" w:cs="Cambria"/>
                <w:sz w:val="18"/>
                <w:szCs w:val="18"/>
              </w:rPr>
            </w:pPr>
            <w:r w:rsidRPr="009E0573">
              <w:rPr>
                <w:rFonts w:eastAsia="Times New Roman" w:cs="Cambria"/>
                <w:sz w:val="18"/>
                <w:szCs w:val="18"/>
              </w:rPr>
              <w:t xml:space="preserve"> 3. Guarantee that the use of the land by its owners conforms to </w:t>
            </w:r>
            <w:r w:rsidRPr="009E0573">
              <w:rPr>
                <w:rFonts w:eastAsia="Times New Roman" w:cs="Cambria"/>
                <w:b/>
                <w:bCs/>
                <w:sz w:val="18"/>
                <w:szCs w:val="18"/>
              </w:rPr>
              <w:t>the social function of the property</w:t>
            </w:r>
            <w:r w:rsidRPr="009E0573">
              <w:rPr>
                <w:rFonts w:eastAsia="Times New Roman" w:cs="Cambria"/>
                <w:sz w:val="18"/>
                <w:szCs w:val="18"/>
              </w:rPr>
              <w:t xml:space="preserve"> and makes it possible to make effective the</w:t>
            </w:r>
            <w:r w:rsidRPr="009E0573">
              <w:rPr>
                <w:rFonts w:eastAsia="Times New Roman" w:cs="Cambria"/>
                <w:b/>
                <w:bCs/>
                <w:sz w:val="18"/>
                <w:szCs w:val="18"/>
              </w:rPr>
              <w:t xml:space="preserve"> constitutional rights to housing and residential public services</w:t>
            </w:r>
            <w:r w:rsidRPr="009E0573">
              <w:rPr>
                <w:rFonts w:eastAsia="Times New Roman" w:cs="Cambria"/>
                <w:sz w:val="18"/>
                <w:szCs w:val="18"/>
              </w:rPr>
              <w:t>, and ensure the creation and defense of public space, as well as for the protection of the environment and the prevention of disasters.</w:t>
            </w:r>
          </w:p>
        </w:tc>
      </w:tr>
      <w:tr w:rsidR="00942467" w:rsidRPr="009E0573" w14:paraId="01133901" w14:textId="77777777" w:rsidTr="0004253E">
        <w:trPr>
          <w:trHeight w:val="1587"/>
        </w:trPr>
        <w:tc>
          <w:tcPr>
            <w:tcW w:w="0" w:type="auto"/>
            <w:tcBorders>
              <w:top w:val="single" w:sz="4" w:space="0" w:color="auto"/>
              <w:left w:val="single" w:sz="4" w:space="0" w:color="BFBFBF"/>
              <w:bottom w:val="single" w:sz="4" w:space="0" w:color="auto"/>
              <w:right w:val="nil"/>
            </w:tcBorders>
            <w:hideMark/>
          </w:tcPr>
          <w:p w14:paraId="6DAEB4C5" w14:textId="77777777" w:rsidR="00942467" w:rsidRPr="009E0573" w:rsidRDefault="00942467" w:rsidP="0004253E">
            <w:pPr>
              <w:spacing w:before="0" w:after="0" w:line="240" w:lineRule="auto"/>
              <w:jc w:val="left"/>
              <w:rPr>
                <w:rFonts w:eastAsia="Times New Roman" w:cs="Cambria"/>
                <w:b/>
                <w:bCs/>
              </w:rPr>
            </w:pPr>
            <w:r w:rsidRPr="009E0573">
              <w:rPr>
                <w:rFonts w:eastAsia="Times New Roman" w:cs="Cambria"/>
                <w:b/>
                <w:bCs/>
                <w:sz w:val="18"/>
                <w:szCs w:val="18"/>
              </w:rPr>
              <w:lastRenderedPageBreak/>
              <w:t>Law 1523 of 2012</w:t>
            </w:r>
          </w:p>
          <w:p w14:paraId="6259D310"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w:t>
            </w:r>
          </w:p>
          <w:p w14:paraId="2B03036D"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(National)</w:t>
            </w:r>
          </w:p>
          <w:p w14:paraId="2DA734AE"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w:t>
            </w:r>
          </w:p>
          <w:p w14:paraId="029CC703" w14:textId="77777777" w:rsidR="00942467" w:rsidRPr="009E0573" w:rsidRDefault="00942467" w:rsidP="0004253E">
            <w:pPr>
              <w:spacing w:before="0" w:after="0" w:line="240" w:lineRule="auto"/>
              <w:jc w:val="left"/>
              <w:rPr>
                <w:rFonts w:eastAsia="Times New Roman" w:cs="Cambria"/>
              </w:rPr>
            </w:pPr>
            <w:hyperlink r:id="rId7" w:history="1">
              <w:r w:rsidRPr="009E0573">
                <w:rPr>
                  <w:rFonts w:eastAsia="Times New Roman" w:cs="Cambria"/>
                  <w:sz w:val="18"/>
                  <w:szCs w:val="18"/>
                  <w:u w:val="single"/>
                </w:rPr>
                <w:t>Link to law text in Spanish</w:t>
              </w:r>
            </w:hyperlink>
          </w:p>
        </w:tc>
        <w:tc>
          <w:tcPr>
            <w:tcW w:w="1924" w:type="dxa"/>
            <w:tcBorders>
              <w:top w:val="single" w:sz="4" w:space="0" w:color="auto"/>
              <w:left w:val="nil"/>
              <w:bottom w:val="single" w:sz="4" w:space="0" w:color="auto"/>
              <w:right w:val="nil"/>
            </w:tcBorders>
            <w:hideMark/>
          </w:tcPr>
          <w:p w14:paraId="538B82B9"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xml:space="preserve">Whereby the national disaster risk management policy is </w:t>
            </w:r>
            <w:proofErr w:type="gramStart"/>
            <w:r w:rsidRPr="009E0573">
              <w:rPr>
                <w:rFonts w:eastAsia="Times New Roman" w:cs="Cambria"/>
                <w:sz w:val="18"/>
                <w:szCs w:val="18"/>
              </w:rPr>
              <w:t>adopted</w:t>
            </w:r>
            <w:proofErr w:type="gramEnd"/>
            <w:r w:rsidRPr="009E0573">
              <w:rPr>
                <w:rFonts w:eastAsia="Times New Roman" w:cs="Cambria"/>
                <w:sz w:val="18"/>
                <w:szCs w:val="18"/>
              </w:rPr>
              <w:t xml:space="preserve"> and the National Disaster Risk Management System is established.</w:t>
            </w:r>
          </w:p>
        </w:tc>
        <w:tc>
          <w:tcPr>
            <w:tcW w:w="5523" w:type="dxa"/>
            <w:tcBorders>
              <w:top w:val="single" w:sz="4" w:space="0" w:color="auto"/>
              <w:left w:val="nil"/>
              <w:bottom w:val="single" w:sz="4" w:space="0" w:color="auto"/>
              <w:right w:val="single" w:sz="4" w:space="0" w:color="BFBFBF"/>
            </w:tcBorders>
            <w:hideMark/>
          </w:tcPr>
          <w:p w14:paraId="2A22DBBC"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b/>
                <w:bCs/>
                <w:sz w:val="18"/>
                <w:szCs w:val="18"/>
              </w:rPr>
              <w:t xml:space="preserve">Article 3 General principles. </w:t>
            </w:r>
            <w:r w:rsidRPr="009E0573">
              <w:rPr>
                <w:rFonts w:eastAsia="Times New Roman" w:cs="Cambria"/>
                <w:sz w:val="18"/>
                <w:szCs w:val="18"/>
              </w:rPr>
              <w:t>The general principles that guide risk management are:</w:t>
            </w:r>
          </w:p>
          <w:p w14:paraId="165494B0"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w:t>
            </w:r>
          </w:p>
          <w:p w14:paraId="45D8F22A"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1. Principle of equality: All natural persons will have the same help and the same treatment when they are assisted with humanitarian aid, in disaster and danger situations that this law develops.</w:t>
            </w:r>
          </w:p>
          <w:p w14:paraId="2ECF0103"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w:t>
            </w:r>
          </w:p>
          <w:p w14:paraId="56669C11"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2. Principle of protection: Residents in Colombia must be protected by the authorities in their life and physical and mental integrity, in their assets and in their collective rights to public safety, tranquility and health and to enjoy a healthy environment, in the face of possible disasters or phenomena. dangerous that threaten or inflict damage to the stated values.</w:t>
            </w:r>
          </w:p>
          <w:p w14:paraId="397E190F"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w:t>
            </w:r>
          </w:p>
          <w:p w14:paraId="359428F8"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3. Principle of social solidarity: All natural and legal persons, whether the latter are governed by public or private law, will support situations of disaster and danger to the life or health of people with humanitarian actions.</w:t>
            </w:r>
          </w:p>
          <w:p w14:paraId="0FF487BD"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w:t>
            </w:r>
          </w:p>
          <w:p w14:paraId="330828BD"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4. Principle of self-preservation: Every natural or legal person, whether under public or private law, has the duty to adopt the necessary measures for adequate risk management in their personal and functional sphere, with a view to safeguarding themselves, which is a necessary condition for the exercise of solidarity. social.</w:t>
            </w:r>
          </w:p>
          <w:p w14:paraId="5B0FB4A6"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w:t>
            </w:r>
          </w:p>
          <w:p w14:paraId="049223EB"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5. Participatory principle: It is the duty of the authorities and entities of the National Disaster Risk Management System to recognize, facilitate and promote the organization and participation of ethnic communities, civic, community, neighbourhood, charitable, voluntary and common utility associations. It is the duty of all people to be part of the risk management process in their community.</w:t>
            </w:r>
          </w:p>
          <w:p w14:paraId="75789927"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w:t>
            </w:r>
          </w:p>
          <w:p w14:paraId="2E986282"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6. Principle of cultural diversity: In recognition of the economic, social and cultural rights of people, risk management processes must be respectful of the cultural particularities of each community and make the most of its cultural resources.</w:t>
            </w:r>
          </w:p>
          <w:p w14:paraId="2707DA16"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w:t>
            </w:r>
          </w:p>
          <w:p w14:paraId="7346550E"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7. Principle of public or social interest: In any situation of risk or disaster, public or social interest will prevail over private interest. Local, regional, sectoral and collective interests will yield to the national interest, without detriment to the fundamental rights of the individual and, without detriment, to the autonomy of the territorial entities.</w:t>
            </w:r>
          </w:p>
          <w:p w14:paraId="6C39FCD5"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w:t>
            </w:r>
          </w:p>
          <w:p w14:paraId="07A5763C"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xml:space="preserve">8. Precautionary principle: When there is the possibility of serious or irreversible damage to lives, property and rights of people, institutions and ecosystems </w:t>
            </w:r>
            <w:proofErr w:type="gramStart"/>
            <w:r w:rsidRPr="009E0573">
              <w:rPr>
                <w:rFonts w:eastAsia="Times New Roman" w:cs="Cambria"/>
                <w:sz w:val="18"/>
                <w:szCs w:val="18"/>
              </w:rPr>
              <w:t>as a result of</w:t>
            </w:r>
            <w:proofErr w:type="gramEnd"/>
            <w:r w:rsidRPr="009E0573">
              <w:rPr>
                <w:rFonts w:eastAsia="Times New Roman" w:cs="Cambria"/>
                <w:sz w:val="18"/>
                <w:szCs w:val="18"/>
              </w:rPr>
              <w:t xml:space="preserve"> the materialization of disaster risk, the authorities and individuals will apply the precautionary principle under of which the lack of absolute scientific certainty will not be an obstacle to adopt measures aimed at preventing, mitigating the risk situation.</w:t>
            </w:r>
          </w:p>
          <w:p w14:paraId="71B5A333"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w:t>
            </w:r>
          </w:p>
          <w:p w14:paraId="6042DFB3"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lastRenderedPageBreak/>
              <w:t xml:space="preserve">9. Principle of environmental sustainability: Development is sustainable when it meets the needs of the present without compromising the ability of environmental systems to meet future needs and implies </w:t>
            </w:r>
            <w:proofErr w:type="gramStart"/>
            <w:r w:rsidRPr="009E0573">
              <w:rPr>
                <w:rFonts w:eastAsia="Times New Roman" w:cs="Cambria"/>
                <w:sz w:val="18"/>
                <w:szCs w:val="18"/>
              </w:rPr>
              <w:t>taking into account</w:t>
            </w:r>
            <w:proofErr w:type="gramEnd"/>
            <w:r w:rsidRPr="009E0573">
              <w:rPr>
                <w:rFonts w:eastAsia="Times New Roman" w:cs="Cambria"/>
                <w:sz w:val="18"/>
                <w:szCs w:val="18"/>
              </w:rPr>
              <w:t xml:space="preserve"> the economic, social and environmental dimensions of development. Disaster risk derives from processes of unsustainable use and occupation of the </w:t>
            </w:r>
            <w:proofErr w:type="gramStart"/>
            <w:r w:rsidRPr="009E0573">
              <w:rPr>
                <w:rFonts w:eastAsia="Times New Roman" w:cs="Cambria"/>
                <w:sz w:val="18"/>
                <w:szCs w:val="18"/>
              </w:rPr>
              <w:t>territory,</w:t>
            </w:r>
            <w:proofErr w:type="gramEnd"/>
            <w:r w:rsidRPr="009E0573">
              <w:rPr>
                <w:rFonts w:eastAsia="Times New Roman" w:cs="Cambria"/>
                <w:sz w:val="18"/>
                <w:szCs w:val="18"/>
              </w:rPr>
              <w:t xml:space="preserve"> therefore, the rational exploitation of natural resources and the protection of the environment constitute irreducible characteristics of environmental sustainability and contribute to disaster risk management.</w:t>
            </w:r>
          </w:p>
          <w:p w14:paraId="008CBFC1"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w:t>
            </w:r>
          </w:p>
          <w:p w14:paraId="32A50DE8" w14:textId="77777777" w:rsidR="00942467" w:rsidRPr="009E0573" w:rsidRDefault="00942467" w:rsidP="0004253E">
            <w:pPr>
              <w:spacing w:before="0" w:after="0" w:line="240" w:lineRule="auto"/>
              <w:jc w:val="left"/>
              <w:rPr>
                <w:rFonts w:eastAsia="Times New Roman" w:cs="Cambria"/>
                <w:sz w:val="18"/>
                <w:szCs w:val="18"/>
              </w:rPr>
            </w:pPr>
            <w:r w:rsidRPr="009E0573">
              <w:rPr>
                <w:rFonts w:eastAsia="Times New Roman" w:cs="Cambria"/>
                <w:sz w:val="18"/>
                <w:szCs w:val="18"/>
              </w:rPr>
              <w:t xml:space="preserve">10. Principle of gradualness: Risk management is deployed continuously, through sequential processes in times and scopes that are permanently renewed. Said continuous management will be governed by the principles of public management enshrined in article 209 of the Constitution and must be understood </w:t>
            </w:r>
            <w:proofErr w:type="gramStart"/>
            <w:r w:rsidRPr="009E0573">
              <w:rPr>
                <w:rFonts w:eastAsia="Times New Roman" w:cs="Cambria"/>
                <w:sz w:val="18"/>
                <w:szCs w:val="18"/>
              </w:rPr>
              <w:t>in light of</w:t>
            </w:r>
            <w:proofErr w:type="gramEnd"/>
            <w:r w:rsidRPr="009E0573">
              <w:rPr>
                <w:rFonts w:eastAsia="Times New Roman" w:cs="Cambria"/>
                <w:sz w:val="18"/>
                <w:szCs w:val="18"/>
              </w:rPr>
              <w:t xml:space="preserve"> the political, historical and socioeconomic development of the society that benefits.</w:t>
            </w:r>
          </w:p>
        </w:tc>
      </w:tr>
      <w:tr w:rsidR="00942467" w:rsidRPr="009E0573" w14:paraId="615655E8" w14:textId="77777777" w:rsidTr="0004253E">
        <w:trPr>
          <w:trHeight w:val="4252"/>
        </w:trPr>
        <w:tc>
          <w:tcPr>
            <w:tcW w:w="0" w:type="auto"/>
            <w:tcBorders>
              <w:top w:val="single" w:sz="4" w:space="0" w:color="auto"/>
              <w:left w:val="single" w:sz="4" w:space="0" w:color="BFBFBF"/>
              <w:bottom w:val="single" w:sz="4" w:space="0" w:color="auto"/>
              <w:right w:val="nil"/>
            </w:tcBorders>
            <w:hideMark/>
          </w:tcPr>
          <w:p w14:paraId="597E916C" w14:textId="77777777" w:rsidR="00942467" w:rsidRPr="009E0573" w:rsidRDefault="00942467" w:rsidP="0004253E">
            <w:pPr>
              <w:spacing w:before="0" w:after="0" w:line="240" w:lineRule="auto"/>
              <w:jc w:val="left"/>
              <w:rPr>
                <w:rFonts w:eastAsia="Times New Roman" w:cs="Cambria"/>
                <w:b/>
                <w:bCs/>
              </w:rPr>
            </w:pPr>
            <w:r w:rsidRPr="009E0573">
              <w:rPr>
                <w:rFonts w:eastAsia="Times New Roman" w:cs="Cambria"/>
                <w:b/>
                <w:bCs/>
                <w:sz w:val="18"/>
                <w:szCs w:val="18"/>
              </w:rPr>
              <w:lastRenderedPageBreak/>
              <w:t>Law 1753 of 2015</w:t>
            </w:r>
          </w:p>
          <w:p w14:paraId="679DCB51"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w:t>
            </w:r>
          </w:p>
          <w:p w14:paraId="2B8DBF6A"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(National)</w:t>
            </w:r>
          </w:p>
          <w:p w14:paraId="77F508F1"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w:t>
            </w:r>
          </w:p>
          <w:p w14:paraId="0E64F1AD" w14:textId="77777777" w:rsidR="00942467" w:rsidRPr="009E0573" w:rsidRDefault="00942467" w:rsidP="0004253E">
            <w:pPr>
              <w:spacing w:before="0" w:after="0" w:line="240" w:lineRule="auto"/>
              <w:jc w:val="left"/>
              <w:rPr>
                <w:rFonts w:eastAsia="Times New Roman" w:cs="Cambria"/>
              </w:rPr>
            </w:pPr>
            <w:hyperlink r:id="rId8" w:history="1">
              <w:r w:rsidRPr="009E0573">
                <w:rPr>
                  <w:rFonts w:eastAsia="Times New Roman" w:cs="Cambria"/>
                  <w:sz w:val="18"/>
                  <w:szCs w:val="18"/>
                  <w:u w:val="single"/>
                </w:rPr>
                <w:t>Link to law text in Spanish</w:t>
              </w:r>
            </w:hyperlink>
          </w:p>
        </w:tc>
        <w:tc>
          <w:tcPr>
            <w:tcW w:w="1924" w:type="dxa"/>
            <w:tcBorders>
              <w:top w:val="single" w:sz="4" w:space="0" w:color="auto"/>
              <w:left w:val="nil"/>
              <w:bottom w:val="single" w:sz="4" w:space="0" w:color="auto"/>
              <w:right w:val="nil"/>
            </w:tcBorders>
            <w:hideMark/>
          </w:tcPr>
          <w:p w14:paraId="51983185"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Whereby the National Development Plan "All for a new country" (2014-2018) is issued.</w:t>
            </w:r>
          </w:p>
        </w:tc>
        <w:tc>
          <w:tcPr>
            <w:tcW w:w="5523" w:type="dxa"/>
            <w:tcBorders>
              <w:top w:val="single" w:sz="4" w:space="0" w:color="auto"/>
              <w:left w:val="nil"/>
              <w:bottom w:val="single" w:sz="4" w:space="0" w:color="auto"/>
              <w:right w:val="single" w:sz="4" w:space="0" w:color="BFBFBF"/>
            </w:tcBorders>
          </w:tcPr>
          <w:p w14:paraId="56B09395"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b/>
                <w:bCs/>
                <w:sz w:val="18"/>
                <w:szCs w:val="18"/>
              </w:rPr>
              <w:t>ARTICLE 155 The Adaptation Fund</w:t>
            </w:r>
            <w:r w:rsidRPr="009E0573">
              <w:rPr>
                <w:rFonts w:eastAsia="Times New Roman" w:cs="Cambria"/>
                <w:sz w:val="18"/>
                <w:szCs w:val="18"/>
              </w:rPr>
              <w:t xml:space="preserve"> (</w:t>
            </w:r>
            <w:hyperlink r:id="rId9" w:history="1">
              <w:r w:rsidRPr="009E0573">
                <w:rPr>
                  <w:rFonts w:eastAsia="Times New Roman" w:cs="Cambria"/>
                  <w:sz w:val="18"/>
                  <w:szCs w:val="18"/>
                  <w:u w:val="single"/>
                </w:rPr>
                <w:t>created in 2010 for recovering from La Niña</w:t>
              </w:r>
            </w:hyperlink>
            <w:r w:rsidRPr="009E0573">
              <w:rPr>
                <w:rFonts w:eastAsia="Times New Roman" w:cs="Cambria"/>
                <w:sz w:val="18"/>
                <w:szCs w:val="18"/>
              </w:rPr>
              <w:t>) may structure and execute comprehensive projects for risk reduction and adaptation to climate change, within the framework of the National Disaster Risk Management System and in coordination with the respective sectors, in addition to those derived from the La Niña phenomenon.</w:t>
            </w:r>
          </w:p>
          <w:p w14:paraId="4F1A93EB"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w:t>
            </w:r>
          </w:p>
          <w:p w14:paraId="49A98193"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b/>
                <w:bCs/>
                <w:sz w:val="18"/>
                <w:szCs w:val="18"/>
              </w:rPr>
              <w:t>ARTICLE 156. Sanitation for reasons of public utility.</w:t>
            </w:r>
          </w:p>
          <w:p w14:paraId="06DCD121" w14:textId="77777777" w:rsidR="00942467" w:rsidRPr="009E0573" w:rsidRDefault="00942467" w:rsidP="0004253E">
            <w:pPr>
              <w:spacing w:before="0" w:after="0" w:line="240" w:lineRule="auto"/>
              <w:jc w:val="left"/>
              <w:rPr>
                <w:rFonts w:eastAsia="Times New Roman" w:cs="Cambria"/>
                <w:sz w:val="18"/>
                <w:szCs w:val="18"/>
              </w:rPr>
            </w:pPr>
            <w:r w:rsidRPr="009E0573">
              <w:rPr>
                <w:rFonts w:eastAsia="Times New Roman" w:cs="Cambria"/>
                <w:sz w:val="18"/>
                <w:szCs w:val="18"/>
              </w:rPr>
              <w:t>PARAGRAPH 2. Public entities within the framework of resettlement projects due to high risk and/or disaster, may acquire ownership, possession or improvements of real estate for housing located in these high risk and/or disaster areas, by means of exchange for the housing solution offered.</w:t>
            </w:r>
          </w:p>
          <w:p w14:paraId="604F819A" w14:textId="77777777" w:rsidR="00942467" w:rsidRPr="009E0573" w:rsidRDefault="00942467" w:rsidP="0004253E">
            <w:pPr>
              <w:spacing w:before="0" w:after="0" w:line="240" w:lineRule="auto"/>
              <w:jc w:val="left"/>
              <w:rPr>
                <w:rFonts w:eastAsia="Times New Roman" w:cs="Cambria"/>
              </w:rPr>
            </w:pPr>
          </w:p>
          <w:p w14:paraId="652BEE00" w14:textId="77777777" w:rsidR="00942467" w:rsidRPr="009E0573" w:rsidRDefault="00942467" w:rsidP="0004253E">
            <w:pPr>
              <w:spacing w:before="0" w:after="0" w:line="240" w:lineRule="auto"/>
              <w:rPr>
                <w:rFonts w:eastAsia="Times New Roman" w:cs="Cambria"/>
                <w:sz w:val="18"/>
                <w:szCs w:val="18"/>
              </w:rPr>
            </w:pPr>
            <w:r w:rsidRPr="009E0573">
              <w:rPr>
                <w:rFonts w:eastAsia="Times New Roman" w:cs="Cambria"/>
                <w:b/>
                <w:bCs/>
                <w:sz w:val="18"/>
                <w:szCs w:val="18"/>
              </w:rPr>
              <w:t>ARTICLE 157. Resettlement</w:t>
            </w:r>
            <w:r w:rsidRPr="009E0573">
              <w:rPr>
                <w:rFonts w:eastAsia="Times New Roman" w:cs="Cambria"/>
                <w:sz w:val="18"/>
                <w:szCs w:val="18"/>
              </w:rPr>
              <w:t xml:space="preserve">. </w:t>
            </w:r>
            <w:proofErr w:type="gramStart"/>
            <w:r w:rsidRPr="009E0573">
              <w:rPr>
                <w:rFonts w:eastAsia="Times New Roman" w:cs="Cambria"/>
                <w:sz w:val="18"/>
                <w:szCs w:val="18"/>
              </w:rPr>
              <w:t>In order to</w:t>
            </w:r>
            <w:proofErr w:type="gramEnd"/>
            <w:r w:rsidRPr="009E0573">
              <w:rPr>
                <w:rFonts w:eastAsia="Times New Roman" w:cs="Cambria"/>
                <w:sz w:val="18"/>
                <w:szCs w:val="18"/>
              </w:rPr>
              <w:t xml:space="preserve"> reduce the risk of disasters and mitigate the impact of those that have already occurred, public entities will advance resettlement or relocation processes or plans by transferring the population located in high-risk or disaster areas to another place where provide them with a new habitat.</w:t>
            </w:r>
          </w:p>
        </w:tc>
      </w:tr>
      <w:tr w:rsidR="00942467" w:rsidRPr="009E0573" w14:paraId="3D5B1FE3" w14:textId="77777777" w:rsidTr="0004253E">
        <w:trPr>
          <w:trHeight w:val="3572"/>
        </w:trPr>
        <w:tc>
          <w:tcPr>
            <w:tcW w:w="0" w:type="auto"/>
            <w:tcBorders>
              <w:top w:val="single" w:sz="4" w:space="0" w:color="auto"/>
              <w:left w:val="single" w:sz="4" w:space="0" w:color="BFBFBF"/>
              <w:bottom w:val="single" w:sz="4" w:space="0" w:color="auto"/>
              <w:right w:val="nil"/>
            </w:tcBorders>
            <w:hideMark/>
          </w:tcPr>
          <w:p w14:paraId="482A924D" w14:textId="77777777" w:rsidR="00942467" w:rsidRPr="009E0573" w:rsidRDefault="00942467" w:rsidP="0004253E">
            <w:pPr>
              <w:spacing w:before="0" w:after="0" w:line="240" w:lineRule="auto"/>
              <w:jc w:val="left"/>
              <w:rPr>
                <w:rFonts w:eastAsia="Times New Roman" w:cs="Cambria"/>
                <w:b/>
                <w:bCs/>
              </w:rPr>
            </w:pPr>
            <w:r w:rsidRPr="009E0573">
              <w:rPr>
                <w:rFonts w:eastAsia="Times New Roman" w:cs="Cambria"/>
                <w:b/>
                <w:bCs/>
                <w:sz w:val="18"/>
                <w:szCs w:val="18"/>
              </w:rPr>
              <w:t>Law 1931 of 2018</w:t>
            </w:r>
          </w:p>
          <w:p w14:paraId="243B78D4" w14:textId="77777777" w:rsidR="00942467" w:rsidRPr="009E0573" w:rsidRDefault="00942467" w:rsidP="0004253E">
            <w:pPr>
              <w:spacing w:after="0" w:line="240" w:lineRule="auto"/>
              <w:jc w:val="left"/>
              <w:rPr>
                <w:rFonts w:eastAsia="Times New Roman" w:cs="Cambria"/>
              </w:rPr>
            </w:pPr>
            <w:r w:rsidRPr="009E0573">
              <w:rPr>
                <w:rFonts w:eastAsia="Times New Roman" w:cs="Cambria"/>
                <w:sz w:val="18"/>
                <w:szCs w:val="18"/>
              </w:rPr>
              <w:t>(National)</w:t>
            </w:r>
          </w:p>
          <w:p w14:paraId="1897233A"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w:t>
            </w:r>
          </w:p>
          <w:p w14:paraId="792F231C" w14:textId="77777777" w:rsidR="00942467" w:rsidRPr="009E0573" w:rsidRDefault="00942467" w:rsidP="0004253E">
            <w:pPr>
              <w:spacing w:before="0" w:after="0" w:line="240" w:lineRule="auto"/>
              <w:jc w:val="left"/>
              <w:rPr>
                <w:rFonts w:eastAsia="Times New Roman" w:cs="Cambria"/>
              </w:rPr>
            </w:pPr>
            <w:hyperlink r:id="rId10" w:history="1">
              <w:r w:rsidRPr="009E0573">
                <w:rPr>
                  <w:rFonts w:eastAsia="Times New Roman" w:cs="Cambria"/>
                  <w:sz w:val="18"/>
                  <w:szCs w:val="18"/>
                  <w:u w:val="single"/>
                </w:rPr>
                <w:t>Link to law text in Spanish</w:t>
              </w:r>
            </w:hyperlink>
            <w:r w:rsidRPr="009E0573">
              <w:rPr>
                <w:rFonts w:eastAsia="Times New Roman" w:cs="Cambria"/>
                <w:sz w:val="18"/>
                <w:szCs w:val="18"/>
              </w:rPr>
              <w:t> </w:t>
            </w:r>
          </w:p>
          <w:p w14:paraId="2062EE79"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w:t>
            </w:r>
          </w:p>
        </w:tc>
        <w:tc>
          <w:tcPr>
            <w:tcW w:w="1924" w:type="dxa"/>
            <w:tcBorders>
              <w:top w:val="single" w:sz="4" w:space="0" w:color="auto"/>
              <w:left w:val="nil"/>
              <w:bottom w:val="single" w:sz="4" w:space="0" w:color="auto"/>
              <w:right w:val="nil"/>
            </w:tcBorders>
            <w:hideMark/>
          </w:tcPr>
          <w:p w14:paraId="0E6350D5"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Whereby guidelines are established for the management of Climate Change</w:t>
            </w:r>
          </w:p>
        </w:tc>
        <w:tc>
          <w:tcPr>
            <w:tcW w:w="5523" w:type="dxa"/>
            <w:tcBorders>
              <w:top w:val="single" w:sz="4" w:space="0" w:color="auto"/>
              <w:left w:val="nil"/>
              <w:bottom w:val="single" w:sz="4" w:space="0" w:color="auto"/>
              <w:right w:val="single" w:sz="4" w:space="0" w:color="BFBFBF"/>
            </w:tcBorders>
            <w:hideMark/>
          </w:tcPr>
          <w:p w14:paraId="1320A9B0"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b/>
                <w:bCs/>
                <w:sz w:val="18"/>
                <w:szCs w:val="18"/>
              </w:rPr>
              <w:t xml:space="preserve">ARTICLE 6. Responsibility for adaptation. </w:t>
            </w:r>
            <w:r w:rsidRPr="009E0573">
              <w:rPr>
                <w:rFonts w:eastAsia="Times New Roman" w:cs="Cambria"/>
                <w:sz w:val="18"/>
                <w:szCs w:val="18"/>
              </w:rPr>
              <w:t xml:space="preserve">The ministries that are part of SISCLIMA, the Departments, </w:t>
            </w:r>
            <w:r w:rsidRPr="009E0573">
              <w:rPr>
                <w:rFonts w:eastAsia="Times New Roman" w:cs="Cambria"/>
                <w:b/>
                <w:bCs/>
                <w:sz w:val="18"/>
                <w:szCs w:val="18"/>
              </w:rPr>
              <w:t>Municipalities</w:t>
            </w:r>
            <w:r w:rsidRPr="009E0573">
              <w:rPr>
                <w:rFonts w:eastAsia="Times New Roman" w:cs="Cambria"/>
                <w:sz w:val="18"/>
                <w:szCs w:val="18"/>
              </w:rPr>
              <w:t>, Districts, the Regional Autonomous Corporations and National Natural Parks of Colombia, are the entities responsible, within the framework of what is defined within this Law and its powers, for compliance with the country's goals for adapting the territory to climate change.</w:t>
            </w:r>
          </w:p>
          <w:p w14:paraId="671A8227"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w:t>
            </w:r>
          </w:p>
          <w:p w14:paraId="7EFFFB5D" w14:textId="77777777" w:rsidR="00942467" w:rsidRPr="009E0573" w:rsidRDefault="00942467" w:rsidP="0004253E">
            <w:pPr>
              <w:spacing w:before="0" w:after="0" w:line="240" w:lineRule="auto"/>
              <w:jc w:val="left"/>
              <w:rPr>
                <w:rFonts w:eastAsia="Times New Roman" w:cs="Cambria"/>
                <w:sz w:val="18"/>
                <w:szCs w:val="18"/>
              </w:rPr>
            </w:pPr>
            <w:r w:rsidRPr="009E0573">
              <w:rPr>
                <w:rFonts w:eastAsia="Times New Roman" w:cs="Cambria"/>
                <w:b/>
                <w:bCs/>
                <w:sz w:val="18"/>
                <w:szCs w:val="18"/>
              </w:rPr>
              <w:t>ARTICLE 9. Municipal and district instruments.</w:t>
            </w:r>
            <w:r w:rsidRPr="009E0573">
              <w:rPr>
                <w:rFonts w:eastAsia="Times New Roman" w:cs="Cambria"/>
                <w:sz w:val="18"/>
                <w:szCs w:val="18"/>
              </w:rPr>
              <w:t xml:space="preserve"> The municipal and district authorities must incorporate climate change management into their development plans and territorial planning plans, taking as reference the </w:t>
            </w:r>
            <w:r w:rsidRPr="009E0573">
              <w:rPr>
                <w:rFonts w:eastAsia="Times New Roman" w:cs="Cambria"/>
                <w:b/>
                <w:bCs/>
                <w:sz w:val="18"/>
                <w:szCs w:val="18"/>
              </w:rPr>
              <w:t>Comprehensive Territorial Climate Change Management Plans:</w:t>
            </w:r>
            <w:r w:rsidRPr="009E0573">
              <w:rPr>
                <w:rFonts w:eastAsia="Times New Roman" w:cs="Cambria"/>
                <w:sz w:val="18"/>
                <w:szCs w:val="18"/>
              </w:rPr>
              <w:t xml:space="preserve"> of their department and the Comprehensive Climate Change Management Plans Sectoral. Likewise, they may incorporate climate change management into other planning instruments available to the respective territorial entity.</w:t>
            </w:r>
          </w:p>
        </w:tc>
      </w:tr>
      <w:tr w:rsidR="00942467" w:rsidRPr="009E0573" w14:paraId="26E61D6B" w14:textId="77777777" w:rsidTr="0004253E">
        <w:trPr>
          <w:trHeight w:val="3231"/>
        </w:trPr>
        <w:tc>
          <w:tcPr>
            <w:tcW w:w="0" w:type="auto"/>
            <w:tcBorders>
              <w:top w:val="single" w:sz="4" w:space="0" w:color="auto"/>
              <w:left w:val="single" w:sz="4" w:space="0" w:color="BFBFBF"/>
              <w:bottom w:val="single" w:sz="4" w:space="0" w:color="auto"/>
              <w:right w:val="nil"/>
            </w:tcBorders>
          </w:tcPr>
          <w:p w14:paraId="6BE3201A" w14:textId="77777777" w:rsidR="00942467" w:rsidRPr="009E0573" w:rsidRDefault="00942467" w:rsidP="0004253E">
            <w:pPr>
              <w:spacing w:before="0" w:after="0" w:line="240" w:lineRule="auto"/>
              <w:jc w:val="left"/>
              <w:rPr>
                <w:rFonts w:eastAsia="Times New Roman" w:cs="Cambria"/>
                <w:b/>
                <w:bCs/>
                <w:sz w:val="18"/>
                <w:szCs w:val="18"/>
              </w:rPr>
            </w:pPr>
            <w:r w:rsidRPr="009E0573">
              <w:rPr>
                <w:rFonts w:eastAsia="Times New Roman" w:cs="Cambria"/>
                <w:b/>
                <w:bCs/>
                <w:sz w:val="18"/>
                <w:szCs w:val="18"/>
              </w:rPr>
              <w:lastRenderedPageBreak/>
              <w:t xml:space="preserve">Law 2079 of 2021 </w:t>
            </w:r>
          </w:p>
          <w:p w14:paraId="03538115" w14:textId="77777777" w:rsidR="00942467" w:rsidRPr="009E0573" w:rsidRDefault="00942467" w:rsidP="0004253E">
            <w:pPr>
              <w:spacing w:before="0" w:after="0" w:line="240" w:lineRule="auto"/>
              <w:jc w:val="left"/>
              <w:rPr>
                <w:rFonts w:eastAsia="Times New Roman" w:cs="Cambria"/>
                <w:b/>
                <w:bCs/>
                <w:sz w:val="18"/>
                <w:szCs w:val="18"/>
              </w:rPr>
            </w:pPr>
          </w:p>
          <w:p w14:paraId="358BAB04" w14:textId="77777777" w:rsidR="00942467" w:rsidRPr="009E0573" w:rsidRDefault="00942467" w:rsidP="0004253E">
            <w:pPr>
              <w:spacing w:before="0" w:after="0" w:line="240" w:lineRule="auto"/>
              <w:jc w:val="left"/>
              <w:rPr>
                <w:rFonts w:eastAsia="Times New Roman" w:cs="Cambria"/>
                <w:sz w:val="18"/>
                <w:szCs w:val="18"/>
              </w:rPr>
            </w:pPr>
            <w:r w:rsidRPr="009E0573">
              <w:rPr>
                <w:rFonts w:eastAsia="Times New Roman" w:cs="Cambria"/>
                <w:sz w:val="18"/>
                <w:szCs w:val="18"/>
              </w:rPr>
              <w:t>(National)</w:t>
            </w:r>
          </w:p>
          <w:p w14:paraId="4A2C8E9F" w14:textId="77777777" w:rsidR="00942467" w:rsidRPr="009E0573" w:rsidRDefault="00942467" w:rsidP="0004253E">
            <w:pPr>
              <w:spacing w:after="0" w:line="240" w:lineRule="auto"/>
              <w:jc w:val="left"/>
              <w:rPr>
                <w:rFonts w:eastAsia="Times New Roman" w:cs="Cambria"/>
                <w:sz w:val="18"/>
                <w:szCs w:val="18"/>
              </w:rPr>
            </w:pPr>
            <w:hyperlink r:id="rId11" w:history="1">
              <w:r w:rsidRPr="009E0573">
                <w:rPr>
                  <w:rFonts w:eastAsia="Times New Roman" w:cs="Cambria"/>
                  <w:sz w:val="18"/>
                  <w:szCs w:val="18"/>
                  <w:u w:val="single"/>
                </w:rPr>
                <w:t>Link to law text in Spanish</w:t>
              </w:r>
            </w:hyperlink>
          </w:p>
          <w:p w14:paraId="2A685642" w14:textId="77777777" w:rsidR="00942467" w:rsidRPr="009E0573" w:rsidRDefault="00942467" w:rsidP="0004253E">
            <w:pPr>
              <w:spacing w:after="0" w:line="240" w:lineRule="auto"/>
              <w:jc w:val="left"/>
              <w:rPr>
                <w:rFonts w:eastAsia="Times New Roman" w:cs="Cambria"/>
                <w:sz w:val="18"/>
                <w:szCs w:val="18"/>
              </w:rPr>
            </w:pPr>
            <w:r w:rsidRPr="009E0573">
              <w:rPr>
                <w:rFonts w:eastAsia="Times New Roman" w:cs="Cambria"/>
                <w:sz w:val="18"/>
                <w:szCs w:val="18"/>
              </w:rPr>
              <w:t> </w:t>
            </w:r>
          </w:p>
          <w:p w14:paraId="7FC1FC69" w14:textId="77777777" w:rsidR="00942467" w:rsidRPr="009E0573" w:rsidRDefault="00942467" w:rsidP="0004253E">
            <w:pPr>
              <w:spacing w:after="0" w:line="240" w:lineRule="auto"/>
              <w:jc w:val="left"/>
              <w:rPr>
                <w:rFonts w:eastAsia="Times New Roman" w:cs="Cambria"/>
              </w:rPr>
            </w:pPr>
            <w:r w:rsidRPr="009E0573">
              <w:rPr>
                <w:rFonts w:eastAsia="Times New Roman" w:cs="Cambria"/>
                <w:sz w:val="18"/>
                <w:szCs w:val="18"/>
              </w:rPr>
              <w:t> </w:t>
            </w:r>
          </w:p>
        </w:tc>
        <w:tc>
          <w:tcPr>
            <w:tcW w:w="1924" w:type="dxa"/>
            <w:tcBorders>
              <w:top w:val="single" w:sz="4" w:space="0" w:color="auto"/>
              <w:left w:val="nil"/>
              <w:bottom w:val="single" w:sz="4" w:space="0" w:color="auto"/>
              <w:right w:val="nil"/>
            </w:tcBorders>
            <w:hideMark/>
          </w:tcPr>
          <w:p w14:paraId="4FFD5190"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Whereby provisions are issued regarding housing and habitat.</w:t>
            </w:r>
          </w:p>
        </w:tc>
        <w:tc>
          <w:tcPr>
            <w:tcW w:w="5523" w:type="dxa"/>
            <w:tcBorders>
              <w:top w:val="single" w:sz="4" w:space="0" w:color="auto"/>
              <w:left w:val="nil"/>
              <w:bottom w:val="single" w:sz="4" w:space="0" w:color="auto"/>
              <w:right w:val="single" w:sz="4" w:space="0" w:color="BFBFBF"/>
            </w:tcBorders>
            <w:hideMark/>
          </w:tcPr>
          <w:p w14:paraId="442EE03F"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b/>
                <w:bCs/>
                <w:sz w:val="18"/>
                <w:szCs w:val="18"/>
              </w:rPr>
              <w:t>ARTICLE 2. OBJECTIVES. The objectives of this law are:</w:t>
            </w:r>
          </w:p>
          <w:p w14:paraId="555DB00B"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w:t>
            </w:r>
          </w:p>
          <w:p w14:paraId="06378A10"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xml:space="preserve">1. Recognize the public policy of housing and decent habitat, as a </w:t>
            </w:r>
            <w:proofErr w:type="gramStart"/>
            <w:r w:rsidRPr="009E0573">
              <w:rPr>
                <w:rFonts w:eastAsia="Times New Roman" w:cs="Cambria"/>
                <w:sz w:val="18"/>
                <w:szCs w:val="18"/>
              </w:rPr>
              <w:t>State</w:t>
            </w:r>
            <w:proofErr w:type="gramEnd"/>
            <w:r w:rsidRPr="009E0573">
              <w:rPr>
                <w:rFonts w:eastAsia="Times New Roman" w:cs="Cambria"/>
                <w:sz w:val="18"/>
                <w:szCs w:val="18"/>
              </w:rPr>
              <w:t xml:space="preserve"> policy in order to guarantee in the long term the development of the mechanisms and actions that allow its promotion, guarantee and satisfaction.</w:t>
            </w:r>
          </w:p>
          <w:p w14:paraId="1BB84927"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w:t>
            </w:r>
          </w:p>
          <w:p w14:paraId="07DB1FA2"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2. Establish mechanisms that allow reducing the quantitative and qualitative housing deficit in Colombia, by increasing subsidies, financing demand and promoting supply and developable land in the country.</w:t>
            </w:r>
          </w:p>
          <w:p w14:paraId="7C5941BF"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w:t>
            </w:r>
          </w:p>
          <w:p w14:paraId="073C2990"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xml:space="preserve">3. Guarantee the use of the land and habitability by its owners adjusted to the </w:t>
            </w:r>
            <w:r w:rsidRPr="009E0573">
              <w:rPr>
                <w:rFonts w:eastAsia="Times New Roman" w:cs="Cambria"/>
                <w:b/>
                <w:bCs/>
                <w:sz w:val="18"/>
                <w:szCs w:val="18"/>
              </w:rPr>
              <w:t>social and ecological function of the property</w:t>
            </w:r>
            <w:r w:rsidRPr="009E0573">
              <w:rPr>
                <w:rFonts w:eastAsia="Times New Roman" w:cs="Cambria"/>
                <w:sz w:val="18"/>
                <w:szCs w:val="18"/>
              </w:rPr>
              <w:t xml:space="preserve"> and that allows the constitutional rights to housing and home public services to be made effective.</w:t>
            </w:r>
          </w:p>
          <w:p w14:paraId="2A131F74"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w:t>
            </w:r>
          </w:p>
          <w:p w14:paraId="3AAA6A13"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4. Promote the adoption of schemes for the economic use of public space by territorial entities that guarantee their recovery and economic sustainability.</w:t>
            </w:r>
          </w:p>
          <w:p w14:paraId="36B438F0"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w:t>
            </w:r>
          </w:p>
          <w:p w14:paraId="3AF92774"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5. Promote the harmonious concurrence, co-responsibility and articulation of the Nation, the territorial entities, the environmental authorities, the decentralized entities, the territorial associative schemes, metropolitan areas and the other entities granting family subsidy and the administrative and planning bodies and authorities of territorial planning.</w:t>
            </w:r>
          </w:p>
          <w:p w14:paraId="036B65EF"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w:t>
            </w:r>
          </w:p>
          <w:p w14:paraId="4A323EAA"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6. Facilitate the comprehensive execution of the urban and rural housing policy, by improving the decision-making processes regarding territorial planning.</w:t>
            </w:r>
          </w:p>
          <w:p w14:paraId="049AEC7C"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w:t>
            </w:r>
          </w:p>
          <w:p w14:paraId="466EF3AA"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xml:space="preserve">7. Facilitate access to housing and habitat in conditions worthy of equity, transparency and differential approach, </w:t>
            </w:r>
            <w:proofErr w:type="gramStart"/>
            <w:r w:rsidRPr="009E0573">
              <w:rPr>
                <w:rFonts w:eastAsia="Times New Roman" w:cs="Cambria"/>
                <w:sz w:val="18"/>
                <w:szCs w:val="18"/>
              </w:rPr>
              <w:t>taking into account</w:t>
            </w:r>
            <w:proofErr w:type="gramEnd"/>
            <w:r w:rsidRPr="009E0573">
              <w:rPr>
                <w:rFonts w:eastAsia="Times New Roman" w:cs="Cambria"/>
                <w:sz w:val="18"/>
                <w:szCs w:val="18"/>
              </w:rPr>
              <w:t xml:space="preserve"> the particularities of the territories and the populations settled therein.</w:t>
            </w:r>
          </w:p>
          <w:p w14:paraId="29869774"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w:t>
            </w:r>
          </w:p>
          <w:p w14:paraId="2B6CF6B0"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8. Promote strategies in territorial entities, to clean up false tradition.</w:t>
            </w:r>
          </w:p>
          <w:p w14:paraId="0E408499"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w:t>
            </w:r>
          </w:p>
          <w:p w14:paraId="5C2BA012"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w:t>
            </w:r>
          </w:p>
          <w:p w14:paraId="10A8BF1D"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b/>
                <w:bCs/>
                <w:sz w:val="18"/>
                <w:szCs w:val="18"/>
              </w:rPr>
              <w:t xml:space="preserve">ARTICLE 5. PRINCIPLES. The actions of the entities that </w:t>
            </w:r>
            <w:proofErr w:type="gramStart"/>
            <w:r w:rsidRPr="009E0573">
              <w:rPr>
                <w:rFonts w:eastAsia="Times New Roman" w:cs="Cambria"/>
                <w:b/>
                <w:bCs/>
                <w:sz w:val="18"/>
                <w:szCs w:val="18"/>
              </w:rPr>
              <w:t>are in charge of</w:t>
            </w:r>
            <w:proofErr w:type="gramEnd"/>
            <w:r w:rsidRPr="009E0573">
              <w:rPr>
                <w:rFonts w:eastAsia="Times New Roman" w:cs="Cambria"/>
                <w:b/>
                <w:bCs/>
                <w:sz w:val="18"/>
                <w:szCs w:val="18"/>
              </w:rPr>
              <w:t xml:space="preserve"> activities related to the formulation and execution of public housing and habitat policy must observe the following principles:</w:t>
            </w:r>
          </w:p>
          <w:p w14:paraId="34B87694"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w:t>
            </w:r>
          </w:p>
          <w:p w14:paraId="23A9EAB4"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7. Sustainability. Priority will be given to the development of social housing that guarantees the right to housing for lower-income households, which meets quality standards in urban, architectural design, habitability and sustainable construction, in accordance with the provisions of the article 91 of Law 388 of 1997. Likewise, social housing will contribute to low-carbon development, through the formulation and implementation of measures at a territorial and differential level that promote more resilient and sustainable territories, cities, homes and communities according to with the Comprehensive Climate Change Management Plan - PIGCCS of the housing sector, the savings measures and sustainability strategies provided for in the update of the standard.</w:t>
            </w:r>
          </w:p>
          <w:p w14:paraId="489DB430"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w:t>
            </w:r>
          </w:p>
          <w:p w14:paraId="65166323" w14:textId="77777777" w:rsidR="00942467" w:rsidRPr="009E0573" w:rsidRDefault="00942467" w:rsidP="0004253E">
            <w:pPr>
              <w:spacing w:before="0" w:after="0" w:line="240" w:lineRule="auto"/>
              <w:jc w:val="left"/>
              <w:rPr>
                <w:rFonts w:eastAsia="Times New Roman" w:cs="Cambria"/>
                <w:sz w:val="18"/>
                <w:szCs w:val="18"/>
              </w:rPr>
            </w:pPr>
            <w:r w:rsidRPr="009E0573">
              <w:rPr>
                <w:rFonts w:eastAsia="Times New Roman" w:cs="Cambria"/>
                <w:b/>
                <w:bCs/>
                <w:sz w:val="18"/>
                <w:szCs w:val="18"/>
              </w:rPr>
              <w:t>8. Risk Mitigation.</w:t>
            </w:r>
            <w:r w:rsidRPr="009E0573">
              <w:rPr>
                <w:rFonts w:eastAsia="Times New Roman" w:cs="Cambria"/>
                <w:sz w:val="18"/>
                <w:szCs w:val="18"/>
              </w:rPr>
              <w:t xml:space="preserve"> The exercise of urban planning action will have among its basic guiding principles </w:t>
            </w:r>
            <w:r w:rsidRPr="009E0573">
              <w:rPr>
                <w:rFonts w:eastAsia="Times New Roman" w:cs="Cambria"/>
                <w:b/>
                <w:bCs/>
                <w:sz w:val="18"/>
                <w:szCs w:val="18"/>
              </w:rPr>
              <w:t>the prevention of natural risks in the territory,</w:t>
            </w:r>
            <w:r w:rsidRPr="009E0573">
              <w:rPr>
                <w:rFonts w:eastAsia="Times New Roman" w:cs="Cambria"/>
                <w:sz w:val="18"/>
                <w:szCs w:val="18"/>
              </w:rPr>
              <w:t xml:space="preserve"> for which purposes the necessary studies and mitigation measures will be carried out </w:t>
            </w:r>
            <w:proofErr w:type="gramStart"/>
            <w:r w:rsidRPr="009E0573">
              <w:rPr>
                <w:rFonts w:eastAsia="Times New Roman" w:cs="Cambria"/>
                <w:sz w:val="18"/>
                <w:szCs w:val="18"/>
              </w:rPr>
              <w:t>in order to</w:t>
            </w:r>
            <w:proofErr w:type="gramEnd"/>
            <w:r w:rsidRPr="009E0573">
              <w:rPr>
                <w:rFonts w:eastAsia="Times New Roman" w:cs="Cambria"/>
                <w:sz w:val="18"/>
                <w:szCs w:val="18"/>
              </w:rPr>
              <w:t xml:space="preserve"> guarantee that housing developments are realised on land suitable for this purpose.</w:t>
            </w:r>
          </w:p>
        </w:tc>
      </w:tr>
      <w:tr w:rsidR="00942467" w:rsidRPr="009E0573" w14:paraId="5DBF6BAB" w14:textId="77777777" w:rsidTr="0004253E">
        <w:trPr>
          <w:trHeight w:val="2948"/>
        </w:trPr>
        <w:tc>
          <w:tcPr>
            <w:tcW w:w="0" w:type="auto"/>
            <w:tcBorders>
              <w:top w:val="single" w:sz="4" w:space="0" w:color="auto"/>
              <w:left w:val="single" w:sz="4" w:space="0" w:color="BFBFBF"/>
              <w:bottom w:val="single" w:sz="4" w:space="0" w:color="auto"/>
              <w:right w:val="nil"/>
            </w:tcBorders>
          </w:tcPr>
          <w:p w14:paraId="65035455" w14:textId="77777777" w:rsidR="00942467" w:rsidRPr="009E0573" w:rsidRDefault="00942467" w:rsidP="0004253E">
            <w:pPr>
              <w:spacing w:before="0" w:after="0" w:line="240" w:lineRule="auto"/>
              <w:jc w:val="left"/>
              <w:rPr>
                <w:rFonts w:eastAsia="Times New Roman" w:cs="Cambria"/>
                <w:sz w:val="18"/>
                <w:szCs w:val="18"/>
              </w:rPr>
            </w:pPr>
            <w:r w:rsidRPr="009E0573">
              <w:rPr>
                <w:rFonts w:eastAsia="Times New Roman" w:cs="Cambria"/>
                <w:sz w:val="18"/>
                <w:szCs w:val="18"/>
              </w:rPr>
              <w:lastRenderedPageBreak/>
              <w:t xml:space="preserve">Civil code </w:t>
            </w:r>
          </w:p>
          <w:p w14:paraId="4BC71F23" w14:textId="77777777" w:rsidR="00942467" w:rsidRPr="009E0573" w:rsidRDefault="00942467" w:rsidP="0004253E">
            <w:pPr>
              <w:spacing w:before="0" w:after="0" w:line="240" w:lineRule="auto"/>
              <w:jc w:val="left"/>
              <w:rPr>
                <w:rFonts w:eastAsia="Times New Roman" w:cs="Cambria"/>
                <w:sz w:val="18"/>
                <w:szCs w:val="18"/>
              </w:rPr>
            </w:pPr>
          </w:p>
          <w:p w14:paraId="31026EE3" w14:textId="77777777" w:rsidR="00942467" w:rsidRPr="009E0573" w:rsidRDefault="00942467" w:rsidP="0004253E">
            <w:pPr>
              <w:spacing w:before="0" w:after="0" w:line="240" w:lineRule="auto"/>
              <w:jc w:val="left"/>
              <w:rPr>
                <w:rFonts w:eastAsia="Times New Roman" w:cs="Cambria"/>
                <w:sz w:val="18"/>
                <w:szCs w:val="18"/>
              </w:rPr>
            </w:pPr>
            <w:r w:rsidRPr="009E0573">
              <w:rPr>
                <w:rFonts w:eastAsia="Times New Roman" w:cs="Cambria"/>
                <w:sz w:val="18"/>
                <w:szCs w:val="18"/>
              </w:rPr>
              <w:t xml:space="preserve">(National) </w:t>
            </w:r>
          </w:p>
          <w:p w14:paraId="4564C6E4" w14:textId="77777777" w:rsidR="00942467" w:rsidRPr="009E0573" w:rsidRDefault="00942467" w:rsidP="0004253E">
            <w:pPr>
              <w:spacing w:before="0" w:after="0" w:line="240" w:lineRule="auto"/>
              <w:jc w:val="left"/>
              <w:rPr>
                <w:rFonts w:eastAsia="Times New Roman" w:cs="Cambria"/>
                <w:sz w:val="18"/>
                <w:szCs w:val="18"/>
              </w:rPr>
            </w:pPr>
          </w:p>
          <w:p w14:paraId="462EFD28" w14:textId="77777777" w:rsidR="00942467" w:rsidRPr="009E0573" w:rsidRDefault="00942467" w:rsidP="0004253E">
            <w:pPr>
              <w:spacing w:before="0" w:after="0" w:line="240" w:lineRule="auto"/>
              <w:jc w:val="left"/>
              <w:rPr>
                <w:rFonts w:eastAsia="Times New Roman" w:cs="Cambria"/>
                <w:sz w:val="18"/>
                <w:szCs w:val="18"/>
              </w:rPr>
            </w:pPr>
            <w:hyperlink r:id="rId12" w:history="1">
              <w:r w:rsidRPr="009E0573">
                <w:rPr>
                  <w:rFonts w:eastAsia="Times New Roman" w:cs="Cambria"/>
                  <w:sz w:val="18"/>
                  <w:szCs w:val="18"/>
                  <w:u w:val="single"/>
                </w:rPr>
                <w:t>Link to law text in Spanish (articles concerning uscaption)</w:t>
              </w:r>
            </w:hyperlink>
          </w:p>
          <w:p w14:paraId="13B2C9B1" w14:textId="77777777" w:rsidR="00942467" w:rsidRPr="009E0573" w:rsidRDefault="00942467" w:rsidP="0004253E">
            <w:pPr>
              <w:spacing w:after="0" w:line="240" w:lineRule="auto"/>
              <w:jc w:val="left"/>
              <w:rPr>
                <w:rFonts w:eastAsia="Times New Roman" w:cs="Cambria"/>
                <w:sz w:val="18"/>
                <w:szCs w:val="18"/>
              </w:rPr>
            </w:pPr>
            <w:r w:rsidRPr="009E0573">
              <w:rPr>
                <w:rFonts w:eastAsia="Times New Roman" w:cs="Cambria"/>
                <w:sz w:val="18"/>
                <w:szCs w:val="18"/>
              </w:rPr>
              <w:t> </w:t>
            </w:r>
          </w:p>
        </w:tc>
        <w:tc>
          <w:tcPr>
            <w:tcW w:w="1924" w:type="dxa"/>
            <w:tcBorders>
              <w:top w:val="single" w:sz="4" w:space="0" w:color="auto"/>
              <w:left w:val="nil"/>
              <w:bottom w:val="single" w:sz="4" w:space="0" w:color="auto"/>
              <w:right w:val="nil"/>
            </w:tcBorders>
          </w:tcPr>
          <w:p w14:paraId="4CF03CD4" w14:textId="77777777" w:rsidR="00942467" w:rsidRPr="009E0573" w:rsidRDefault="00942467" w:rsidP="0004253E">
            <w:pPr>
              <w:spacing w:before="0" w:after="0" w:line="240" w:lineRule="auto"/>
              <w:jc w:val="left"/>
              <w:rPr>
                <w:rFonts w:eastAsia="Times New Roman" w:cs="Cambria"/>
                <w:sz w:val="18"/>
                <w:szCs w:val="18"/>
              </w:rPr>
            </w:pPr>
            <w:r w:rsidRPr="009E0573">
              <w:rPr>
                <w:rFonts w:eastAsia="Times New Roman" w:cs="Cambria"/>
                <w:sz w:val="18"/>
                <w:szCs w:val="18"/>
              </w:rPr>
              <w:t>This is where the prescription (aquiring land through squatting) is regulated</w:t>
            </w:r>
          </w:p>
          <w:p w14:paraId="375A6D54" w14:textId="77777777" w:rsidR="00942467" w:rsidRPr="009E0573" w:rsidRDefault="00942467" w:rsidP="0004253E">
            <w:pPr>
              <w:spacing w:before="0" w:after="0" w:line="240" w:lineRule="auto"/>
              <w:jc w:val="left"/>
              <w:rPr>
                <w:rFonts w:eastAsia="Times New Roman" w:cs="Cambria"/>
                <w:sz w:val="18"/>
                <w:szCs w:val="18"/>
              </w:rPr>
            </w:pPr>
          </w:p>
        </w:tc>
        <w:tc>
          <w:tcPr>
            <w:tcW w:w="5523" w:type="dxa"/>
            <w:tcBorders>
              <w:top w:val="single" w:sz="4" w:space="0" w:color="auto"/>
              <w:left w:val="nil"/>
              <w:bottom w:val="single" w:sz="4" w:space="0" w:color="auto"/>
              <w:right w:val="single" w:sz="4" w:space="0" w:color="BFBFBF"/>
            </w:tcBorders>
            <w:hideMark/>
          </w:tcPr>
          <w:p w14:paraId="232100F7" w14:textId="77777777" w:rsidR="00942467" w:rsidRPr="009E0573" w:rsidRDefault="00942467" w:rsidP="0004253E">
            <w:pPr>
              <w:spacing w:before="0" w:after="0" w:line="240" w:lineRule="auto"/>
              <w:jc w:val="left"/>
              <w:rPr>
                <w:rFonts w:eastAsia="Times New Roman" w:cs="Cambria"/>
                <w:sz w:val="18"/>
                <w:szCs w:val="18"/>
              </w:rPr>
            </w:pPr>
            <w:r w:rsidRPr="009E0573">
              <w:rPr>
                <w:rFonts w:eastAsia="Times New Roman" w:cs="Cambria"/>
                <w:b/>
                <w:bCs/>
                <w:sz w:val="18"/>
                <w:szCs w:val="18"/>
              </w:rPr>
              <w:t>ARTICLES 2513 and onwards. Adverse possession/acquiring land through squatting.</w:t>
            </w:r>
          </w:p>
          <w:p w14:paraId="442EC837" w14:textId="77777777" w:rsidR="00942467" w:rsidRPr="009E0573" w:rsidRDefault="00942467" w:rsidP="0004253E">
            <w:pPr>
              <w:spacing w:before="0" w:after="0" w:line="240" w:lineRule="auto"/>
              <w:jc w:val="left"/>
              <w:rPr>
                <w:rFonts w:eastAsia="Times New Roman" w:cs="Cambria"/>
                <w:sz w:val="18"/>
                <w:szCs w:val="18"/>
              </w:rPr>
            </w:pPr>
            <w:r w:rsidRPr="009E0573">
              <w:rPr>
                <w:rFonts w:eastAsia="Times New Roman" w:cs="Cambria"/>
                <w:sz w:val="18"/>
                <w:szCs w:val="18"/>
              </w:rPr>
              <w:t> </w:t>
            </w:r>
          </w:p>
          <w:p w14:paraId="51C3C091" w14:textId="77777777" w:rsidR="00942467" w:rsidRPr="009E0573" w:rsidRDefault="00942467" w:rsidP="0004253E">
            <w:pPr>
              <w:spacing w:before="0" w:after="0" w:line="240" w:lineRule="auto"/>
              <w:jc w:val="left"/>
              <w:rPr>
                <w:rFonts w:eastAsia="Times New Roman" w:cs="Cambria"/>
                <w:sz w:val="18"/>
                <w:szCs w:val="18"/>
              </w:rPr>
            </w:pPr>
            <w:r w:rsidRPr="009E0573">
              <w:rPr>
                <w:rFonts w:eastAsia="Times New Roman" w:cs="Cambria"/>
                <w:sz w:val="18"/>
                <w:szCs w:val="18"/>
              </w:rPr>
              <w:t xml:space="preserve">“The process of acquiring legal recognition of possession through squatting is known as "prescripción adquisitiva" or "usucapión" in Colombian </w:t>
            </w:r>
            <w:proofErr w:type="gramStart"/>
            <w:r w:rsidRPr="009E0573">
              <w:rPr>
                <w:rFonts w:eastAsia="Times New Roman" w:cs="Cambria"/>
                <w:sz w:val="18"/>
                <w:szCs w:val="18"/>
              </w:rPr>
              <w:t>law, and</w:t>
            </w:r>
            <w:proofErr w:type="gramEnd"/>
            <w:r w:rsidRPr="009E0573">
              <w:rPr>
                <w:rFonts w:eastAsia="Times New Roman" w:cs="Cambria"/>
                <w:sz w:val="18"/>
                <w:szCs w:val="18"/>
              </w:rPr>
              <w:t xml:space="preserve"> is regulated by articles 2513 and following of the Civil Code. According to these articles, a person who has possessed a piece of land continuously, peacefully, and publicly, for a period of ten years, and who has acted in good faith and with the intention of acquiring ownership of the land, may request the transfer of the property title from the current owner to themselves.”</w:t>
            </w:r>
          </w:p>
        </w:tc>
      </w:tr>
      <w:tr w:rsidR="00942467" w:rsidRPr="009E0573" w14:paraId="07354B93" w14:textId="77777777" w:rsidTr="0004253E">
        <w:trPr>
          <w:trHeight w:val="1814"/>
        </w:trPr>
        <w:tc>
          <w:tcPr>
            <w:tcW w:w="0" w:type="auto"/>
            <w:tcBorders>
              <w:top w:val="single" w:sz="4" w:space="0" w:color="auto"/>
              <w:left w:val="single" w:sz="4" w:space="0" w:color="BFBFBF"/>
              <w:bottom w:val="single" w:sz="4" w:space="0" w:color="auto"/>
              <w:right w:val="nil"/>
            </w:tcBorders>
          </w:tcPr>
          <w:p w14:paraId="139255AB" w14:textId="77777777" w:rsidR="00942467" w:rsidRPr="009E0573" w:rsidRDefault="00942467" w:rsidP="0004253E">
            <w:pPr>
              <w:spacing w:before="0" w:after="0" w:line="240" w:lineRule="auto"/>
              <w:jc w:val="left"/>
              <w:rPr>
                <w:rFonts w:eastAsia="Times New Roman" w:cs="Cambria"/>
                <w:sz w:val="18"/>
                <w:szCs w:val="18"/>
              </w:rPr>
            </w:pPr>
            <w:r w:rsidRPr="009E0573">
              <w:rPr>
                <w:rFonts w:eastAsia="Times New Roman" w:cs="Cambria"/>
                <w:sz w:val="18"/>
                <w:szCs w:val="18"/>
              </w:rPr>
              <w:t>Decision of the Constitutional Court 2021</w:t>
            </w:r>
          </w:p>
          <w:p w14:paraId="6FED2CBA" w14:textId="77777777" w:rsidR="00942467" w:rsidRPr="009E0573" w:rsidRDefault="00942467" w:rsidP="0004253E">
            <w:pPr>
              <w:spacing w:before="0" w:after="0" w:line="240" w:lineRule="auto"/>
              <w:jc w:val="left"/>
              <w:rPr>
                <w:rFonts w:eastAsia="Times New Roman" w:cs="Cambria"/>
                <w:sz w:val="18"/>
                <w:szCs w:val="18"/>
              </w:rPr>
            </w:pPr>
          </w:p>
          <w:p w14:paraId="78D9D0D4" w14:textId="77777777" w:rsidR="00942467" w:rsidRPr="009E0573" w:rsidRDefault="00942467" w:rsidP="0004253E">
            <w:pPr>
              <w:spacing w:before="0" w:after="0" w:line="240" w:lineRule="auto"/>
              <w:jc w:val="left"/>
              <w:rPr>
                <w:rFonts w:eastAsia="Times New Roman" w:cs="Cambria"/>
                <w:sz w:val="18"/>
                <w:szCs w:val="18"/>
                <w:lang w:val="pt-BR"/>
              </w:rPr>
            </w:pPr>
            <w:hyperlink r:id="rId13" w:history="1">
              <w:r w:rsidRPr="009E0573">
                <w:rPr>
                  <w:rFonts w:eastAsia="Times New Roman" w:cs="Cambria"/>
                  <w:sz w:val="18"/>
                  <w:szCs w:val="18"/>
                  <w:u w:val="single"/>
                  <w:lang w:val="pt-BR"/>
                </w:rPr>
                <w:t>SU016-21 Corte Constitucional de Colombia</w:t>
              </w:r>
            </w:hyperlink>
          </w:p>
          <w:p w14:paraId="572D5F8F" w14:textId="77777777" w:rsidR="00942467" w:rsidRPr="009E0573" w:rsidRDefault="00942467" w:rsidP="0004253E">
            <w:pPr>
              <w:spacing w:before="0" w:after="0" w:line="240" w:lineRule="auto"/>
              <w:jc w:val="left"/>
              <w:rPr>
                <w:rFonts w:eastAsia="Times New Roman" w:cs="Cambria"/>
                <w:sz w:val="18"/>
                <w:szCs w:val="18"/>
                <w:lang w:val="pt-BR"/>
              </w:rPr>
            </w:pPr>
          </w:p>
        </w:tc>
        <w:tc>
          <w:tcPr>
            <w:tcW w:w="1924" w:type="dxa"/>
            <w:tcBorders>
              <w:top w:val="single" w:sz="4" w:space="0" w:color="auto"/>
              <w:left w:val="nil"/>
              <w:bottom w:val="single" w:sz="4" w:space="0" w:color="auto"/>
              <w:right w:val="nil"/>
            </w:tcBorders>
            <w:hideMark/>
          </w:tcPr>
          <w:p w14:paraId="02B7C53F" w14:textId="77777777" w:rsidR="00942467" w:rsidRPr="009E0573" w:rsidRDefault="00942467" w:rsidP="0004253E">
            <w:pPr>
              <w:spacing w:before="0" w:after="0" w:line="240" w:lineRule="auto"/>
              <w:jc w:val="left"/>
              <w:rPr>
                <w:rFonts w:eastAsia="Times New Roman" w:cs="Cambria"/>
                <w:sz w:val="18"/>
                <w:szCs w:val="18"/>
                <w:lang w:val="en-GB"/>
              </w:rPr>
            </w:pPr>
            <w:r w:rsidRPr="009E0573">
              <w:rPr>
                <w:rFonts w:eastAsia="Times New Roman" w:cs="Cambria"/>
                <w:sz w:val="18"/>
                <w:szCs w:val="18"/>
              </w:rPr>
              <w:t>Legal Decision about the conditions that play a role in relation to evictions from public land</w:t>
            </w:r>
          </w:p>
        </w:tc>
        <w:tc>
          <w:tcPr>
            <w:tcW w:w="5523" w:type="dxa"/>
            <w:tcBorders>
              <w:top w:val="single" w:sz="4" w:space="0" w:color="auto"/>
              <w:left w:val="nil"/>
              <w:bottom w:val="single" w:sz="4" w:space="0" w:color="auto"/>
              <w:right w:val="single" w:sz="4" w:space="0" w:color="BFBFBF"/>
            </w:tcBorders>
          </w:tcPr>
          <w:p w14:paraId="5F16C2A0" w14:textId="77777777" w:rsidR="00942467" w:rsidRPr="009E0573" w:rsidRDefault="00942467" w:rsidP="0004253E">
            <w:pPr>
              <w:spacing w:before="0" w:after="0" w:line="240" w:lineRule="auto"/>
              <w:jc w:val="left"/>
              <w:rPr>
                <w:rFonts w:eastAsia="Times New Roman" w:cs="Cambria"/>
                <w:b/>
                <w:bCs/>
                <w:sz w:val="18"/>
                <w:szCs w:val="18"/>
              </w:rPr>
            </w:pPr>
          </w:p>
        </w:tc>
      </w:tr>
      <w:tr w:rsidR="00942467" w:rsidRPr="009E0573" w14:paraId="5AAE4484" w14:textId="77777777" w:rsidTr="0004253E">
        <w:trPr>
          <w:trHeight w:val="1755"/>
        </w:trPr>
        <w:tc>
          <w:tcPr>
            <w:tcW w:w="0" w:type="auto"/>
            <w:tcBorders>
              <w:top w:val="single" w:sz="4" w:space="0" w:color="auto"/>
              <w:left w:val="single" w:sz="4" w:space="0" w:color="BFBFBF"/>
              <w:bottom w:val="single" w:sz="4" w:space="0" w:color="auto"/>
              <w:right w:val="nil"/>
            </w:tcBorders>
          </w:tcPr>
          <w:p w14:paraId="22A0E98C" w14:textId="77777777" w:rsidR="00942467" w:rsidRPr="009E0573" w:rsidRDefault="00942467" w:rsidP="0004253E">
            <w:pPr>
              <w:spacing w:before="0" w:after="0" w:line="240" w:lineRule="auto"/>
              <w:jc w:val="left"/>
              <w:rPr>
                <w:rFonts w:eastAsia="Times New Roman" w:cs="Cambria"/>
                <w:b/>
                <w:bCs/>
                <w:sz w:val="18"/>
                <w:szCs w:val="18"/>
              </w:rPr>
            </w:pPr>
            <w:r w:rsidRPr="009E0573">
              <w:rPr>
                <w:rFonts w:eastAsia="Times New Roman" w:cs="Cambria"/>
                <w:b/>
                <w:bCs/>
                <w:sz w:val="18"/>
                <w:szCs w:val="18"/>
              </w:rPr>
              <w:t>National Plan for Adaptation to Climate Change (PNACC) 2012</w:t>
            </w:r>
          </w:p>
          <w:p w14:paraId="122C5A9B" w14:textId="77777777" w:rsidR="00942467" w:rsidRPr="009E0573" w:rsidRDefault="00942467" w:rsidP="0004253E">
            <w:pPr>
              <w:spacing w:before="0" w:after="0" w:line="240" w:lineRule="auto"/>
              <w:jc w:val="left"/>
              <w:rPr>
                <w:rFonts w:eastAsia="Times New Roman" w:cs="Cambria"/>
                <w:sz w:val="18"/>
                <w:szCs w:val="18"/>
              </w:rPr>
            </w:pPr>
          </w:p>
          <w:p w14:paraId="4A9CAF5E" w14:textId="77777777" w:rsidR="00942467" w:rsidRPr="009E0573" w:rsidRDefault="00942467" w:rsidP="0004253E">
            <w:pPr>
              <w:spacing w:before="0" w:after="0" w:line="240" w:lineRule="auto"/>
              <w:jc w:val="left"/>
              <w:rPr>
                <w:rFonts w:eastAsia="Times New Roman" w:cs="Cambria"/>
                <w:sz w:val="18"/>
                <w:szCs w:val="18"/>
              </w:rPr>
            </w:pPr>
            <w:r w:rsidRPr="009E0573">
              <w:rPr>
                <w:rFonts w:eastAsia="Times New Roman" w:cs="Cambria"/>
                <w:sz w:val="18"/>
                <w:szCs w:val="18"/>
              </w:rPr>
              <w:t>(National)</w:t>
            </w:r>
          </w:p>
          <w:p w14:paraId="780098CA" w14:textId="77777777" w:rsidR="00942467" w:rsidRPr="009E0573" w:rsidRDefault="00942467" w:rsidP="0004253E">
            <w:pPr>
              <w:spacing w:before="0" w:after="0" w:line="240" w:lineRule="auto"/>
              <w:jc w:val="left"/>
              <w:rPr>
                <w:rFonts w:eastAsia="Times New Roman" w:cs="Cambria"/>
                <w:sz w:val="18"/>
                <w:szCs w:val="18"/>
              </w:rPr>
            </w:pPr>
          </w:p>
          <w:p w14:paraId="49F26FF3" w14:textId="77777777" w:rsidR="00942467" w:rsidRPr="009E0573" w:rsidRDefault="00942467" w:rsidP="0004253E">
            <w:pPr>
              <w:spacing w:before="0" w:after="0" w:line="240" w:lineRule="auto"/>
              <w:jc w:val="left"/>
              <w:rPr>
                <w:rFonts w:eastAsia="Times New Roman" w:cs="Cambria"/>
                <w:sz w:val="18"/>
                <w:szCs w:val="18"/>
              </w:rPr>
            </w:pPr>
            <w:hyperlink r:id="rId14" w:history="1">
              <w:r w:rsidRPr="009E0573">
                <w:rPr>
                  <w:rFonts w:eastAsia="Times New Roman" w:cs="Cambria"/>
                  <w:sz w:val="18"/>
                  <w:szCs w:val="18"/>
                  <w:u w:val="single"/>
                </w:rPr>
                <w:t>Link to text in Spanish</w:t>
              </w:r>
            </w:hyperlink>
          </w:p>
        </w:tc>
        <w:tc>
          <w:tcPr>
            <w:tcW w:w="1924" w:type="dxa"/>
            <w:tcBorders>
              <w:top w:val="single" w:sz="4" w:space="0" w:color="auto"/>
              <w:left w:val="nil"/>
              <w:bottom w:val="single" w:sz="4" w:space="0" w:color="auto"/>
              <w:right w:val="nil"/>
            </w:tcBorders>
            <w:hideMark/>
          </w:tcPr>
          <w:p w14:paraId="74BD8CC6" w14:textId="77777777" w:rsidR="00942467" w:rsidRPr="009E0573" w:rsidRDefault="00942467" w:rsidP="0004253E">
            <w:pPr>
              <w:spacing w:before="0" w:after="0" w:line="240" w:lineRule="auto"/>
              <w:jc w:val="left"/>
              <w:rPr>
                <w:rFonts w:eastAsia="Times New Roman" w:cs="Cambria"/>
                <w:sz w:val="18"/>
                <w:szCs w:val="18"/>
              </w:rPr>
            </w:pPr>
            <w:r w:rsidRPr="009E0573">
              <w:rPr>
                <w:rFonts w:eastAsia="Times New Roman" w:cs="Cambria"/>
                <w:sz w:val="18"/>
                <w:szCs w:val="18"/>
              </w:rPr>
              <w:t>To reduce the vulnerability of the country and increase its responsiveness to the threats and impacts of climate change.</w:t>
            </w:r>
          </w:p>
        </w:tc>
        <w:tc>
          <w:tcPr>
            <w:tcW w:w="5523" w:type="dxa"/>
            <w:tcBorders>
              <w:top w:val="single" w:sz="4" w:space="0" w:color="auto"/>
              <w:left w:val="nil"/>
              <w:bottom w:val="single" w:sz="4" w:space="0" w:color="auto"/>
              <w:right w:val="single" w:sz="4" w:space="0" w:color="BFBFBF"/>
            </w:tcBorders>
            <w:hideMark/>
          </w:tcPr>
          <w:p w14:paraId="26CE7D6B" w14:textId="77777777" w:rsidR="00942467" w:rsidRPr="009E0573" w:rsidRDefault="00942467" w:rsidP="0004253E">
            <w:pPr>
              <w:spacing w:before="0" w:after="0" w:line="240" w:lineRule="auto"/>
              <w:jc w:val="left"/>
              <w:rPr>
                <w:rFonts w:eastAsia="Times New Roman" w:cs="Cambria"/>
                <w:sz w:val="18"/>
                <w:szCs w:val="18"/>
              </w:rPr>
            </w:pPr>
            <w:r w:rsidRPr="009E0573">
              <w:rPr>
                <w:rFonts w:eastAsia="Times New Roman" w:cs="Cambria"/>
                <w:sz w:val="18"/>
                <w:szCs w:val="18"/>
              </w:rPr>
              <w:t>The purpose of the national plan is to reduce the vulnerability of the country and increase its responsiveness to the threats and impacts of climate change.</w:t>
            </w:r>
          </w:p>
        </w:tc>
      </w:tr>
      <w:tr w:rsidR="00942467" w:rsidRPr="009E0573" w14:paraId="3E2DE368" w14:textId="77777777" w:rsidTr="0004253E">
        <w:trPr>
          <w:trHeight w:val="2948"/>
        </w:trPr>
        <w:tc>
          <w:tcPr>
            <w:tcW w:w="0" w:type="auto"/>
            <w:tcBorders>
              <w:top w:val="single" w:sz="4" w:space="0" w:color="auto"/>
              <w:left w:val="single" w:sz="4" w:space="0" w:color="BFBFBF"/>
              <w:bottom w:val="single" w:sz="4" w:space="0" w:color="auto"/>
              <w:right w:val="nil"/>
            </w:tcBorders>
          </w:tcPr>
          <w:p w14:paraId="6A876334" w14:textId="77777777" w:rsidR="00942467" w:rsidRPr="009E0573" w:rsidRDefault="00942467" w:rsidP="0004253E">
            <w:pPr>
              <w:spacing w:before="0" w:after="0" w:line="240" w:lineRule="auto"/>
              <w:jc w:val="left"/>
              <w:rPr>
                <w:rFonts w:eastAsia="Times New Roman" w:cs="Cambria"/>
                <w:b/>
                <w:bCs/>
                <w:sz w:val="18"/>
                <w:szCs w:val="18"/>
              </w:rPr>
            </w:pPr>
            <w:r w:rsidRPr="009E0573">
              <w:rPr>
                <w:rFonts w:eastAsia="Times New Roman" w:cs="Cambria"/>
                <w:b/>
                <w:bCs/>
                <w:sz w:val="18"/>
                <w:szCs w:val="18"/>
              </w:rPr>
              <w:t>Sectoral plan (PIGCCS) on the</w:t>
            </w:r>
          </w:p>
          <w:p w14:paraId="66F5A744" w14:textId="77777777" w:rsidR="00942467" w:rsidRPr="009E0573" w:rsidRDefault="00942467" w:rsidP="0004253E">
            <w:pPr>
              <w:spacing w:before="0" w:after="0" w:line="240" w:lineRule="auto"/>
              <w:jc w:val="left"/>
              <w:rPr>
                <w:rFonts w:eastAsia="Times New Roman" w:cs="Cambria"/>
                <w:b/>
                <w:bCs/>
                <w:sz w:val="18"/>
                <w:szCs w:val="18"/>
              </w:rPr>
            </w:pPr>
            <w:r w:rsidRPr="009E0573">
              <w:rPr>
                <w:rFonts w:eastAsia="Times New Roman" w:cs="Cambria"/>
                <w:b/>
                <w:bCs/>
                <w:sz w:val="18"/>
                <w:szCs w:val="18"/>
              </w:rPr>
              <w:t>Housing Sector, City and Territory of 2021</w:t>
            </w:r>
          </w:p>
          <w:p w14:paraId="791ED2B0" w14:textId="77777777" w:rsidR="00942467" w:rsidRPr="009E0573" w:rsidRDefault="00942467" w:rsidP="0004253E">
            <w:pPr>
              <w:spacing w:before="0" w:after="0" w:line="240" w:lineRule="auto"/>
              <w:jc w:val="left"/>
              <w:rPr>
                <w:rFonts w:eastAsia="Times New Roman" w:cs="Cambria"/>
                <w:sz w:val="18"/>
                <w:szCs w:val="18"/>
              </w:rPr>
            </w:pPr>
          </w:p>
          <w:p w14:paraId="2E8594DD" w14:textId="77777777" w:rsidR="00942467" w:rsidRPr="009E0573" w:rsidRDefault="00942467" w:rsidP="0004253E">
            <w:pPr>
              <w:spacing w:before="0" w:after="0" w:line="240" w:lineRule="auto"/>
              <w:jc w:val="left"/>
              <w:rPr>
                <w:rFonts w:eastAsia="Times New Roman" w:cs="Cambria"/>
                <w:sz w:val="18"/>
                <w:szCs w:val="18"/>
              </w:rPr>
            </w:pPr>
            <w:r w:rsidRPr="009E0573">
              <w:rPr>
                <w:rFonts w:eastAsia="Times New Roman" w:cs="Cambria"/>
                <w:sz w:val="18"/>
                <w:szCs w:val="18"/>
              </w:rPr>
              <w:t>(National)</w:t>
            </w:r>
          </w:p>
          <w:p w14:paraId="55AC9D8D" w14:textId="77777777" w:rsidR="00942467" w:rsidRPr="009E0573" w:rsidRDefault="00942467" w:rsidP="0004253E">
            <w:pPr>
              <w:spacing w:before="0" w:after="0" w:line="240" w:lineRule="auto"/>
              <w:jc w:val="left"/>
              <w:rPr>
                <w:rFonts w:eastAsia="Times New Roman" w:cs="Cambria"/>
                <w:sz w:val="18"/>
                <w:szCs w:val="18"/>
              </w:rPr>
            </w:pPr>
          </w:p>
          <w:p w14:paraId="5A251E0F" w14:textId="77777777" w:rsidR="00942467" w:rsidRPr="009E0573" w:rsidRDefault="00942467" w:rsidP="0004253E">
            <w:pPr>
              <w:spacing w:before="0" w:after="0" w:line="240" w:lineRule="auto"/>
              <w:jc w:val="left"/>
              <w:rPr>
                <w:rFonts w:eastAsia="Times New Roman" w:cs="Cambria"/>
                <w:sz w:val="18"/>
                <w:szCs w:val="18"/>
              </w:rPr>
            </w:pPr>
            <w:hyperlink r:id="rId15" w:history="1">
              <w:r w:rsidRPr="009E0573">
                <w:rPr>
                  <w:rFonts w:eastAsia="Times New Roman" w:cs="Cambria"/>
                  <w:sz w:val="18"/>
                  <w:szCs w:val="18"/>
                  <w:u w:val="single"/>
                </w:rPr>
                <w:t>Link to pdf</w:t>
              </w:r>
            </w:hyperlink>
          </w:p>
        </w:tc>
        <w:tc>
          <w:tcPr>
            <w:tcW w:w="1924" w:type="dxa"/>
            <w:tcBorders>
              <w:top w:val="single" w:sz="4" w:space="0" w:color="auto"/>
              <w:left w:val="nil"/>
              <w:bottom w:val="single" w:sz="4" w:space="0" w:color="auto"/>
              <w:right w:val="nil"/>
            </w:tcBorders>
            <w:hideMark/>
          </w:tcPr>
          <w:p w14:paraId="5CFF1E9B" w14:textId="77777777" w:rsidR="00942467" w:rsidRPr="009E0573" w:rsidRDefault="00942467" w:rsidP="0004253E">
            <w:pPr>
              <w:spacing w:before="0" w:after="0" w:line="240" w:lineRule="auto"/>
              <w:jc w:val="left"/>
              <w:rPr>
                <w:rFonts w:eastAsia="Times New Roman" w:cs="Cambria"/>
                <w:sz w:val="18"/>
                <w:szCs w:val="18"/>
              </w:rPr>
            </w:pPr>
            <w:r w:rsidRPr="009E0573">
              <w:rPr>
                <w:rFonts w:eastAsia="Times New Roman" w:cs="Cambria"/>
                <w:sz w:val="18"/>
                <w:szCs w:val="18"/>
              </w:rPr>
              <w:t xml:space="preserve">To reduce the vulnerability of the sectors of housing, city and territory, and water and basic sanitation to the expected effects of climate change </w:t>
            </w:r>
          </w:p>
        </w:tc>
        <w:tc>
          <w:tcPr>
            <w:tcW w:w="5523" w:type="dxa"/>
            <w:tcBorders>
              <w:top w:val="single" w:sz="4" w:space="0" w:color="auto"/>
              <w:left w:val="nil"/>
              <w:bottom w:val="single" w:sz="4" w:space="0" w:color="auto"/>
              <w:right w:val="single" w:sz="4" w:space="0" w:color="BFBFBF"/>
            </w:tcBorders>
          </w:tcPr>
          <w:p w14:paraId="4246157F" w14:textId="77777777" w:rsidR="00942467" w:rsidRPr="009E0573" w:rsidRDefault="00942467" w:rsidP="0004253E">
            <w:pPr>
              <w:spacing w:before="0" w:after="0" w:line="240" w:lineRule="auto"/>
              <w:jc w:val="left"/>
              <w:rPr>
                <w:rFonts w:eastAsia="Times New Roman" w:cs="Cambria"/>
                <w:sz w:val="18"/>
                <w:szCs w:val="18"/>
              </w:rPr>
            </w:pPr>
            <w:r w:rsidRPr="009E0573">
              <w:rPr>
                <w:rFonts w:eastAsia="Times New Roman" w:cs="Cambria"/>
                <w:sz w:val="18"/>
                <w:szCs w:val="18"/>
              </w:rPr>
              <w:t xml:space="preserve">The Comprehensive Sectoral Climate Change Management Plans (PIGCCS) are the instruments through which each Ministry identifies, evaluates and guides the incorporation of greenhouse gas mitigation measures and adaptation to Climate Change in the policies and regulations of the respective sector. </w:t>
            </w:r>
          </w:p>
          <w:p w14:paraId="15B38647" w14:textId="77777777" w:rsidR="00942467" w:rsidRPr="009E0573" w:rsidRDefault="00942467" w:rsidP="0004253E">
            <w:pPr>
              <w:spacing w:before="0" w:after="0" w:line="240" w:lineRule="auto"/>
              <w:jc w:val="left"/>
              <w:rPr>
                <w:rFonts w:eastAsia="Times New Roman" w:cs="Cambria"/>
                <w:sz w:val="18"/>
                <w:szCs w:val="18"/>
              </w:rPr>
            </w:pPr>
          </w:p>
          <w:p w14:paraId="2332FCCE" w14:textId="77777777" w:rsidR="00942467" w:rsidRPr="009E0573" w:rsidRDefault="00942467" w:rsidP="0004253E">
            <w:pPr>
              <w:spacing w:before="0" w:after="0" w:line="240" w:lineRule="auto"/>
              <w:jc w:val="left"/>
              <w:rPr>
                <w:rFonts w:eastAsia="Times New Roman" w:cs="Cambria"/>
                <w:sz w:val="18"/>
                <w:szCs w:val="18"/>
              </w:rPr>
            </w:pPr>
            <w:r w:rsidRPr="009E0573">
              <w:rPr>
                <w:rFonts w:eastAsia="Times New Roman" w:cs="Cambria"/>
                <w:sz w:val="18"/>
                <w:szCs w:val="18"/>
              </w:rPr>
              <w:t>The present PIGCCS aims to reduce the vulnerability of the sectors of housing, city and territory, and water and basic sanitation to the expected effects of climate change and contribute to low-carbon development, through the formulation and implementation of measures at the territorial and differential level that promote territories, more resilient and sustainable cities, homes and communities.</w:t>
            </w:r>
          </w:p>
          <w:p w14:paraId="76192859" w14:textId="77777777" w:rsidR="00942467" w:rsidRPr="009E0573" w:rsidRDefault="00942467" w:rsidP="0004253E">
            <w:pPr>
              <w:spacing w:before="0" w:after="0" w:line="240" w:lineRule="auto"/>
              <w:jc w:val="left"/>
              <w:rPr>
                <w:rFonts w:eastAsia="Times New Roman" w:cs="Cambria"/>
                <w:sz w:val="18"/>
                <w:szCs w:val="18"/>
              </w:rPr>
            </w:pPr>
          </w:p>
        </w:tc>
      </w:tr>
      <w:tr w:rsidR="00942467" w:rsidRPr="009E0573" w14:paraId="4E32776A" w14:textId="77777777" w:rsidTr="0004253E">
        <w:trPr>
          <w:trHeight w:val="5613"/>
        </w:trPr>
        <w:tc>
          <w:tcPr>
            <w:tcW w:w="0" w:type="auto"/>
            <w:tcBorders>
              <w:top w:val="single" w:sz="4" w:space="0" w:color="auto"/>
              <w:left w:val="single" w:sz="4" w:space="0" w:color="BFBFBF"/>
              <w:bottom w:val="single" w:sz="4" w:space="0" w:color="auto"/>
              <w:right w:val="nil"/>
            </w:tcBorders>
            <w:hideMark/>
          </w:tcPr>
          <w:p w14:paraId="0179D70A"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b/>
                <w:bCs/>
                <w:sz w:val="18"/>
                <w:szCs w:val="18"/>
              </w:rPr>
              <w:lastRenderedPageBreak/>
              <w:t>A Competitive and Climate Compatible Cartagena</w:t>
            </w:r>
            <w:r w:rsidRPr="009E0573">
              <w:rPr>
                <w:rFonts w:eastAsia="Times New Roman" w:cs="Cambria"/>
                <w:sz w:val="18"/>
                <w:szCs w:val="18"/>
              </w:rPr>
              <w:t xml:space="preserve"> (Plan 4C) of 2014</w:t>
            </w:r>
          </w:p>
          <w:p w14:paraId="3A3B4E56" w14:textId="77777777" w:rsidR="00942467" w:rsidRPr="009E0573" w:rsidRDefault="00942467" w:rsidP="0004253E">
            <w:pPr>
              <w:spacing w:after="0" w:line="240" w:lineRule="auto"/>
              <w:jc w:val="left"/>
              <w:rPr>
                <w:rFonts w:eastAsia="Times New Roman" w:cs="Cambria"/>
              </w:rPr>
            </w:pPr>
            <w:r w:rsidRPr="009E0573">
              <w:rPr>
                <w:rFonts w:eastAsia="Times New Roman" w:cs="Cambria"/>
                <w:sz w:val="18"/>
                <w:szCs w:val="18"/>
              </w:rPr>
              <w:t> (City-level)</w:t>
            </w:r>
          </w:p>
        </w:tc>
        <w:tc>
          <w:tcPr>
            <w:tcW w:w="1924" w:type="dxa"/>
            <w:tcBorders>
              <w:top w:val="single" w:sz="4" w:space="0" w:color="auto"/>
              <w:left w:val="nil"/>
              <w:bottom w:val="single" w:sz="4" w:space="0" w:color="auto"/>
              <w:right w:val="nil"/>
            </w:tcBorders>
            <w:hideMark/>
          </w:tcPr>
          <w:p w14:paraId="1038F976"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Climate adaptation plan of the city of Cartagena</w:t>
            </w:r>
          </w:p>
        </w:tc>
        <w:tc>
          <w:tcPr>
            <w:tcW w:w="5523" w:type="dxa"/>
            <w:tcBorders>
              <w:top w:val="single" w:sz="4" w:space="0" w:color="auto"/>
              <w:left w:val="nil"/>
              <w:bottom w:val="single" w:sz="4" w:space="0" w:color="auto"/>
              <w:right w:val="single" w:sz="4" w:space="0" w:color="BFBFBF"/>
            </w:tcBorders>
            <w:hideMark/>
          </w:tcPr>
          <w:p w14:paraId="74C6D5FE"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[Consists of] five strategic lines and concrete actions to promote the development and competitiveness of its economic sectors in the long term, to reduce poverty levels in the city and in our islands and to create new sources of employment:</w:t>
            </w:r>
          </w:p>
          <w:p w14:paraId="0B0C5EF9"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xml:space="preserve">• To promote a </w:t>
            </w:r>
            <w:r w:rsidRPr="009E0573">
              <w:rPr>
                <w:rFonts w:eastAsia="Times New Roman" w:cs="Cambria"/>
                <w:b/>
                <w:bCs/>
                <w:sz w:val="18"/>
                <w:szCs w:val="18"/>
              </w:rPr>
              <w:t>climate compatible port and industrial zone</w:t>
            </w:r>
            <w:r w:rsidRPr="009E0573">
              <w:rPr>
                <w:rFonts w:eastAsia="Times New Roman" w:cs="Cambria"/>
                <w:sz w:val="18"/>
                <w:szCs w:val="18"/>
              </w:rPr>
              <w:t>: to coordinate and encourage innovative climate actions to reduce risk and introduce adaptation and mitigation measures that project their future competitiveness.</w:t>
            </w:r>
          </w:p>
          <w:p w14:paraId="74A426EF"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To promote a</w:t>
            </w:r>
            <w:r w:rsidRPr="009E0573">
              <w:rPr>
                <w:rFonts w:eastAsia="Times New Roman" w:cs="Cambria"/>
                <w:b/>
                <w:bCs/>
                <w:sz w:val="18"/>
                <w:szCs w:val="18"/>
              </w:rPr>
              <w:t xml:space="preserve"> climate compatible tourism sector</w:t>
            </w:r>
            <w:r w:rsidRPr="009E0573">
              <w:rPr>
                <w:rFonts w:eastAsia="Times New Roman" w:cs="Cambria"/>
                <w:sz w:val="18"/>
                <w:szCs w:val="18"/>
              </w:rPr>
              <w:t>: to involve the hotel sector, operators and tourists in the understanding and creation of adaptation and mitigation measures to ensure that</w:t>
            </w:r>
          </w:p>
          <w:p w14:paraId="58768CAB"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Cartagena remains the main tourist attraction on the Colombian Caribbean.</w:t>
            </w:r>
          </w:p>
          <w:p w14:paraId="56FF610C"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xml:space="preserve">• To prepare </w:t>
            </w:r>
            <w:r w:rsidRPr="009E0573">
              <w:rPr>
                <w:rFonts w:eastAsia="Times New Roman" w:cs="Cambria"/>
                <w:b/>
                <w:bCs/>
                <w:sz w:val="18"/>
                <w:szCs w:val="18"/>
              </w:rPr>
              <w:t>adapted neighborhoods</w:t>
            </w:r>
            <w:r w:rsidRPr="009E0573">
              <w:rPr>
                <w:rFonts w:eastAsia="Times New Roman" w:cs="Cambria"/>
                <w:sz w:val="18"/>
                <w:szCs w:val="18"/>
              </w:rPr>
              <w:t xml:space="preserve"> to the climate of the future: to promote adaptation measures that include water, basic sanitation, construction, energy, transportation, and citizens’ climate knowledge, </w:t>
            </w:r>
            <w:proofErr w:type="gramStart"/>
            <w:r w:rsidRPr="009E0573">
              <w:rPr>
                <w:rFonts w:eastAsia="Times New Roman" w:cs="Cambria"/>
                <w:sz w:val="18"/>
                <w:szCs w:val="18"/>
              </w:rPr>
              <w:t>in order to</w:t>
            </w:r>
            <w:proofErr w:type="gramEnd"/>
            <w:r w:rsidRPr="009E0573">
              <w:rPr>
                <w:rFonts w:eastAsia="Times New Roman" w:cs="Cambria"/>
                <w:sz w:val="18"/>
                <w:szCs w:val="18"/>
              </w:rPr>
              <w:t xml:space="preserve"> succeed in preparing both people and neighborhoods for the climate of the future.</w:t>
            </w:r>
          </w:p>
          <w:p w14:paraId="1E3AFCE7"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xml:space="preserve">• To restore Cartagena’s </w:t>
            </w:r>
            <w:r w:rsidRPr="009E0573">
              <w:rPr>
                <w:rFonts w:eastAsia="Times New Roman" w:cs="Cambria"/>
                <w:b/>
                <w:bCs/>
                <w:sz w:val="18"/>
                <w:szCs w:val="18"/>
              </w:rPr>
              <w:t>ecological balance</w:t>
            </w:r>
            <w:r w:rsidRPr="009E0573">
              <w:rPr>
                <w:rFonts w:eastAsia="Times New Roman" w:cs="Cambria"/>
                <w:sz w:val="18"/>
                <w:szCs w:val="18"/>
              </w:rPr>
              <w:t xml:space="preserve">: to restore the ecosystems and ecological structures at the level of beaches, wetlands and swamps </w:t>
            </w:r>
            <w:proofErr w:type="gramStart"/>
            <w:r w:rsidRPr="009E0573">
              <w:rPr>
                <w:rFonts w:eastAsia="Times New Roman" w:cs="Cambria"/>
                <w:sz w:val="18"/>
                <w:szCs w:val="18"/>
              </w:rPr>
              <w:t>in order to</w:t>
            </w:r>
            <w:proofErr w:type="gramEnd"/>
            <w:r w:rsidRPr="009E0573">
              <w:rPr>
                <w:rFonts w:eastAsia="Times New Roman" w:cs="Cambria"/>
                <w:sz w:val="18"/>
                <w:szCs w:val="18"/>
              </w:rPr>
              <w:t xml:space="preserve"> ensure the resilience of the city and its inhabitants.</w:t>
            </w:r>
          </w:p>
          <w:p w14:paraId="5804E0D7" w14:textId="77777777" w:rsidR="00942467" w:rsidRPr="009E0573" w:rsidRDefault="00942467" w:rsidP="0004253E">
            <w:pPr>
              <w:spacing w:before="0" w:after="0" w:line="240" w:lineRule="auto"/>
              <w:jc w:val="left"/>
              <w:rPr>
                <w:rFonts w:eastAsia="Times New Roman" w:cs="Cambria"/>
              </w:rPr>
            </w:pPr>
            <w:r w:rsidRPr="009E0573">
              <w:rPr>
                <w:rFonts w:eastAsia="Times New Roman" w:cs="Cambria"/>
                <w:sz w:val="18"/>
                <w:szCs w:val="18"/>
              </w:rPr>
              <w:t xml:space="preserve">• To protect our </w:t>
            </w:r>
            <w:r w:rsidRPr="009E0573">
              <w:rPr>
                <w:rFonts w:eastAsia="Times New Roman" w:cs="Cambria"/>
                <w:b/>
                <w:bCs/>
                <w:sz w:val="18"/>
                <w:szCs w:val="18"/>
              </w:rPr>
              <w:t xml:space="preserve">historic patrimony </w:t>
            </w:r>
            <w:r w:rsidRPr="009E0573">
              <w:rPr>
                <w:rFonts w:eastAsia="Times New Roman" w:cs="Cambria"/>
                <w:sz w:val="18"/>
                <w:szCs w:val="18"/>
              </w:rPr>
              <w:t>and our assets of cultural interest: to carry out restoration and protection actions to maintain their value as part of a Historic Heritage of Humanity at the service of both the Cartageneros, the people of Cartagena, and its visitors.</w:t>
            </w:r>
          </w:p>
        </w:tc>
      </w:tr>
    </w:tbl>
    <w:p w14:paraId="011BF926" w14:textId="77777777" w:rsidR="00942467" w:rsidRPr="009E0573" w:rsidRDefault="00942467" w:rsidP="00942467">
      <w:pPr>
        <w:spacing w:line="240" w:lineRule="auto"/>
        <w:rPr>
          <w:rFonts w:ascii="Cambria" w:eastAsia="Cambria" w:hAnsi="Cambria" w:cs="Cambria"/>
          <w:kern w:val="2"/>
          <w:sz w:val="22"/>
          <w:szCs w:val="22"/>
          <w:lang w:eastAsia="en-US"/>
          <w14:ligatures w14:val="standardContextual"/>
        </w:rPr>
      </w:pPr>
    </w:p>
    <w:p w14:paraId="2931DFE7" w14:textId="77777777" w:rsidR="00942467" w:rsidRPr="009E0573" w:rsidRDefault="00942467" w:rsidP="00942467"/>
    <w:p w14:paraId="79676420" w14:textId="77777777" w:rsidR="00942467" w:rsidRPr="009E0573" w:rsidRDefault="00942467" w:rsidP="00942467"/>
    <w:p w14:paraId="0E7928B6" w14:textId="77777777" w:rsidR="00942467" w:rsidRPr="009E0573" w:rsidRDefault="00942467" w:rsidP="00942467"/>
    <w:p w14:paraId="591B7A66" w14:textId="77777777" w:rsidR="00C430D3" w:rsidRDefault="00C430D3"/>
    <w:sectPr w:rsidR="00C430D3" w:rsidSect="00942467">
      <w:footerReference w:type="default" r:id="rId1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44A9D" w14:textId="77777777" w:rsidR="00000000" w:rsidRDefault="00000000" w:rsidP="00D269BF">
    <w:pPr>
      <w:jc w:val="center"/>
    </w:pPr>
    <w:r>
      <w:fldChar w:fldCharType="begin"/>
    </w:r>
    <w:r>
      <w:instrText>PAGE</w:instrText>
    </w:r>
    <w:r>
      <w:fldChar w:fldCharType="separate"/>
    </w:r>
    <w:r>
      <w:rPr>
        <w:noProof/>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67"/>
    <w:rsid w:val="00040320"/>
    <w:rsid w:val="003F3787"/>
    <w:rsid w:val="00631737"/>
    <w:rsid w:val="00942467"/>
    <w:rsid w:val="00C430D3"/>
    <w:rsid w:val="00D64AAC"/>
    <w:rsid w:val="00E776D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068CB"/>
  <w15:chartTrackingRefBased/>
  <w15:docId w15:val="{9755C767-FAAE-466E-8128-A115BDAB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467"/>
    <w:pPr>
      <w:spacing w:before="240" w:after="240" w:line="480" w:lineRule="auto"/>
      <w:jc w:val="both"/>
    </w:pPr>
    <w:rPr>
      <w:rFonts w:ascii="Times New Roman" w:eastAsia="Calibri" w:hAnsi="Times New Roman" w:cs="Times New Roman"/>
      <w:kern w:val="0"/>
      <w:sz w:val="24"/>
      <w:szCs w:val="24"/>
      <w:lang w:val="en-US" w:eastAsia="en-GB"/>
      <w14:ligatures w14:val="none"/>
    </w:rPr>
  </w:style>
  <w:style w:type="paragraph" w:styleId="Rubrik1">
    <w:name w:val="heading 1"/>
    <w:basedOn w:val="Normal"/>
    <w:next w:val="Normal"/>
    <w:link w:val="Rubrik1Char"/>
    <w:uiPriority w:val="9"/>
    <w:qFormat/>
    <w:rsid w:val="00942467"/>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val="en-GB" w:eastAsia="en-US"/>
      <w14:ligatures w14:val="standardContextual"/>
    </w:rPr>
  </w:style>
  <w:style w:type="paragraph" w:styleId="Rubrik2">
    <w:name w:val="heading 2"/>
    <w:basedOn w:val="Normal"/>
    <w:next w:val="Normal"/>
    <w:link w:val="Rubrik2Char"/>
    <w:uiPriority w:val="9"/>
    <w:semiHidden/>
    <w:unhideWhenUsed/>
    <w:qFormat/>
    <w:rsid w:val="00942467"/>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val="en-GB" w:eastAsia="en-US"/>
      <w14:ligatures w14:val="standardContextual"/>
    </w:rPr>
  </w:style>
  <w:style w:type="paragraph" w:styleId="Rubrik3">
    <w:name w:val="heading 3"/>
    <w:basedOn w:val="Normal"/>
    <w:next w:val="Normal"/>
    <w:link w:val="Rubrik3Char"/>
    <w:uiPriority w:val="9"/>
    <w:semiHidden/>
    <w:unhideWhenUsed/>
    <w:qFormat/>
    <w:rsid w:val="00942467"/>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val="en-GB" w:eastAsia="en-US"/>
      <w14:ligatures w14:val="standardContextual"/>
    </w:rPr>
  </w:style>
  <w:style w:type="paragraph" w:styleId="Rubrik4">
    <w:name w:val="heading 4"/>
    <w:basedOn w:val="Normal"/>
    <w:next w:val="Normal"/>
    <w:link w:val="Rubrik4Char"/>
    <w:uiPriority w:val="9"/>
    <w:semiHidden/>
    <w:unhideWhenUsed/>
    <w:qFormat/>
    <w:rsid w:val="00942467"/>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lang w:val="en-GB" w:eastAsia="en-US"/>
      <w14:ligatures w14:val="standardContextual"/>
    </w:rPr>
  </w:style>
  <w:style w:type="paragraph" w:styleId="Rubrik5">
    <w:name w:val="heading 5"/>
    <w:basedOn w:val="Normal"/>
    <w:next w:val="Normal"/>
    <w:link w:val="Rubrik5Char"/>
    <w:uiPriority w:val="9"/>
    <w:semiHidden/>
    <w:unhideWhenUsed/>
    <w:qFormat/>
    <w:rsid w:val="00942467"/>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lang w:val="en-GB" w:eastAsia="en-US"/>
      <w14:ligatures w14:val="standardContextual"/>
    </w:rPr>
  </w:style>
  <w:style w:type="paragraph" w:styleId="Rubrik6">
    <w:name w:val="heading 6"/>
    <w:basedOn w:val="Normal"/>
    <w:next w:val="Normal"/>
    <w:link w:val="Rubrik6Char"/>
    <w:uiPriority w:val="9"/>
    <w:semiHidden/>
    <w:unhideWhenUsed/>
    <w:qFormat/>
    <w:rsid w:val="00942467"/>
    <w:pPr>
      <w:keepNext/>
      <w:keepLines/>
      <w:spacing w:before="40" w:after="0" w:line="259" w:lineRule="auto"/>
      <w:jc w:val="left"/>
      <w:outlineLvl w:val="5"/>
    </w:pPr>
    <w:rPr>
      <w:rFonts w:asciiTheme="minorHAnsi" w:eastAsiaTheme="majorEastAsia" w:hAnsiTheme="minorHAnsi" w:cstheme="majorBidi"/>
      <w:i/>
      <w:iCs/>
      <w:color w:val="595959" w:themeColor="text1" w:themeTint="A6"/>
      <w:kern w:val="2"/>
      <w:sz w:val="22"/>
      <w:szCs w:val="22"/>
      <w:lang w:val="en-GB" w:eastAsia="en-US"/>
      <w14:ligatures w14:val="standardContextual"/>
    </w:rPr>
  </w:style>
  <w:style w:type="paragraph" w:styleId="Rubrik7">
    <w:name w:val="heading 7"/>
    <w:basedOn w:val="Normal"/>
    <w:next w:val="Normal"/>
    <w:link w:val="Rubrik7Char"/>
    <w:uiPriority w:val="9"/>
    <w:semiHidden/>
    <w:unhideWhenUsed/>
    <w:qFormat/>
    <w:rsid w:val="00942467"/>
    <w:pPr>
      <w:keepNext/>
      <w:keepLines/>
      <w:spacing w:before="40" w:after="0" w:line="259" w:lineRule="auto"/>
      <w:jc w:val="left"/>
      <w:outlineLvl w:val="6"/>
    </w:pPr>
    <w:rPr>
      <w:rFonts w:asciiTheme="minorHAnsi" w:eastAsiaTheme="majorEastAsia" w:hAnsiTheme="minorHAnsi" w:cstheme="majorBidi"/>
      <w:color w:val="595959" w:themeColor="text1" w:themeTint="A6"/>
      <w:kern w:val="2"/>
      <w:sz w:val="22"/>
      <w:szCs w:val="22"/>
      <w:lang w:val="en-GB" w:eastAsia="en-US"/>
      <w14:ligatures w14:val="standardContextual"/>
    </w:rPr>
  </w:style>
  <w:style w:type="paragraph" w:styleId="Rubrik8">
    <w:name w:val="heading 8"/>
    <w:basedOn w:val="Normal"/>
    <w:next w:val="Normal"/>
    <w:link w:val="Rubrik8Char"/>
    <w:uiPriority w:val="9"/>
    <w:semiHidden/>
    <w:unhideWhenUsed/>
    <w:qFormat/>
    <w:rsid w:val="00942467"/>
    <w:pPr>
      <w:keepNext/>
      <w:keepLines/>
      <w:spacing w:before="0" w:after="0" w:line="259" w:lineRule="auto"/>
      <w:jc w:val="left"/>
      <w:outlineLvl w:val="7"/>
    </w:pPr>
    <w:rPr>
      <w:rFonts w:asciiTheme="minorHAnsi" w:eastAsiaTheme="majorEastAsia" w:hAnsiTheme="minorHAnsi" w:cstheme="majorBidi"/>
      <w:i/>
      <w:iCs/>
      <w:color w:val="272727" w:themeColor="text1" w:themeTint="D8"/>
      <w:kern w:val="2"/>
      <w:sz w:val="22"/>
      <w:szCs w:val="22"/>
      <w:lang w:val="en-GB" w:eastAsia="en-US"/>
      <w14:ligatures w14:val="standardContextual"/>
    </w:rPr>
  </w:style>
  <w:style w:type="paragraph" w:styleId="Rubrik9">
    <w:name w:val="heading 9"/>
    <w:basedOn w:val="Normal"/>
    <w:next w:val="Normal"/>
    <w:link w:val="Rubrik9Char"/>
    <w:uiPriority w:val="9"/>
    <w:semiHidden/>
    <w:unhideWhenUsed/>
    <w:qFormat/>
    <w:rsid w:val="00942467"/>
    <w:pPr>
      <w:keepNext/>
      <w:keepLines/>
      <w:spacing w:before="0" w:after="0" w:line="259" w:lineRule="auto"/>
      <w:jc w:val="left"/>
      <w:outlineLvl w:val="8"/>
    </w:pPr>
    <w:rPr>
      <w:rFonts w:asciiTheme="minorHAnsi" w:eastAsiaTheme="majorEastAsia" w:hAnsiTheme="minorHAnsi" w:cstheme="majorBidi"/>
      <w:color w:val="272727" w:themeColor="text1" w:themeTint="D8"/>
      <w:kern w:val="2"/>
      <w:sz w:val="22"/>
      <w:szCs w:val="22"/>
      <w:lang w:val="en-GB" w:eastAsia="en-US"/>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4246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4246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4246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4246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4246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4246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4246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4246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42467"/>
    <w:rPr>
      <w:rFonts w:eastAsiaTheme="majorEastAsia" w:cstheme="majorBidi"/>
      <w:color w:val="272727" w:themeColor="text1" w:themeTint="D8"/>
    </w:rPr>
  </w:style>
  <w:style w:type="paragraph" w:styleId="Rubrik">
    <w:name w:val="Title"/>
    <w:basedOn w:val="Normal"/>
    <w:next w:val="Normal"/>
    <w:link w:val="RubrikChar"/>
    <w:uiPriority w:val="10"/>
    <w:qFormat/>
    <w:rsid w:val="00942467"/>
    <w:pPr>
      <w:spacing w:before="0" w:after="80" w:line="240" w:lineRule="auto"/>
      <w:contextualSpacing/>
      <w:jc w:val="left"/>
    </w:pPr>
    <w:rPr>
      <w:rFonts w:asciiTheme="majorHAnsi" w:eastAsiaTheme="majorEastAsia" w:hAnsiTheme="majorHAnsi" w:cstheme="majorBidi"/>
      <w:spacing w:val="-10"/>
      <w:kern w:val="28"/>
      <w:sz w:val="56"/>
      <w:szCs w:val="56"/>
      <w:lang w:val="en-GB" w:eastAsia="en-US"/>
      <w14:ligatures w14:val="standardContextual"/>
    </w:rPr>
  </w:style>
  <w:style w:type="character" w:customStyle="1" w:styleId="RubrikChar">
    <w:name w:val="Rubrik Char"/>
    <w:basedOn w:val="Standardstycketeckensnitt"/>
    <w:link w:val="Rubrik"/>
    <w:uiPriority w:val="10"/>
    <w:rsid w:val="0094246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42467"/>
    <w:pPr>
      <w:numPr>
        <w:ilvl w:val="1"/>
      </w:numPr>
      <w:spacing w:before="0" w:after="160" w:line="259" w:lineRule="auto"/>
      <w:jc w:val="left"/>
    </w:pPr>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character" w:customStyle="1" w:styleId="UnderrubrikChar">
    <w:name w:val="Underrubrik Char"/>
    <w:basedOn w:val="Standardstycketeckensnitt"/>
    <w:link w:val="Underrubrik"/>
    <w:uiPriority w:val="11"/>
    <w:rsid w:val="0094246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42467"/>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eastAsia="en-US"/>
      <w14:ligatures w14:val="standardContextual"/>
    </w:rPr>
  </w:style>
  <w:style w:type="character" w:customStyle="1" w:styleId="CitatChar">
    <w:name w:val="Citat Char"/>
    <w:basedOn w:val="Standardstycketeckensnitt"/>
    <w:link w:val="Citat"/>
    <w:uiPriority w:val="29"/>
    <w:rsid w:val="00942467"/>
    <w:rPr>
      <w:i/>
      <w:iCs/>
      <w:color w:val="404040" w:themeColor="text1" w:themeTint="BF"/>
    </w:rPr>
  </w:style>
  <w:style w:type="paragraph" w:styleId="Liststycke">
    <w:name w:val="List Paragraph"/>
    <w:basedOn w:val="Normal"/>
    <w:uiPriority w:val="34"/>
    <w:qFormat/>
    <w:rsid w:val="00942467"/>
    <w:pPr>
      <w:spacing w:before="0" w:after="160" w:line="259" w:lineRule="auto"/>
      <w:ind w:left="720"/>
      <w:contextualSpacing/>
      <w:jc w:val="left"/>
    </w:pPr>
    <w:rPr>
      <w:rFonts w:asciiTheme="minorHAnsi" w:eastAsiaTheme="minorHAnsi" w:hAnsiTheme="minorHAnsi" w:cstheme="minorBidi"/>
      <w:kern w:val="2"/>
      <w:sz w:val="22"/>
      <w:szCs w:val="22"/>
      <w:lang w:val="en-GB" w:eastAsia="en-US"/>
      <w14:ligatures w14:val="standardContextual"/>
    </w:rPr>
  </w:style>
  <w:style w:type="character" w:styleId="Starkbetoning">
    <w:name w:val="Intense Emphasis"/>
    <w:basedOn w:val="Standardstycketeckensnitt"/>
    <w:uiPriority w:val="21"/>
    <w:qFormat/>
    <w:rsid w:val="00942467"/>
    <w:rPr>
      <w:i/>
      <w:iCs/>
      <w:color w:val="0F4761" w:themeColor="accent1" w:themeShade="BF"/>
    </w:rPr>
  </w:style>
  <w:style w:type="paragraph" w:styleId="Starktcitat">
    <w:name w:val="Intense Quote"/>
    <w:basedOn w:val="Normal"/>
    <w:next w:val="Normal"/>
    <w:link w:val="StarktcitatChar"/>
    <w:uiPriority w:val="30"/>
    <w:qFormat/>
    <w:rsid w:val="0094246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GB" w:eastAsia="en-US"/>
      <w14:ligatures w14:val="standardContextual"/>
    </w:rPr>
  </w:style>
  <w:style w:type="character" w:customStyle="1" w:styleId="StarktcitatChar">
    <w:name w:val="Starkt citat Char"/>
    <w:basedOn w:val="Standardstycketeckensnitt"/>
    <w:link w:val="Starktcitat"/>
    <w:uiPriority w:val="30"/>
    <w:rsid w:val="00942467"/>
    <w:rPr>
      <w:i/>
      <w:iCs/>
      <w:color w:val="0F4761" w:themeColor="accent1" w:themeShade="BF"/>
    </w:rPr>
  </w:style>
  <w:style w:type="character" w:styleId="Starkreferens">
    <w:name w:val="Intense Reference"/>
    <w:basedOn w:val="Standardstycketeckensnitt"/>
    <w:uiPriority w:val="32"/>
    <w:qFormat/>
    <w:rsid w:val="00942467"/>
    <w:rPr>
      <w:b/>
      <w:bCs/>
      <w:smallCaps/>
      <w:color w:val="0F4761" w:themeColor="accent1" w:themeShade="BF"/>
      <w:spacing w:val="5"/>
    </w:rPr>
  </w:style>
  <w:style w:type="table" w:styleId="Tabellrutntljust">
    <w:name w:val="Grid Table Light"/>
    <w:basedOn w:val="Normaltabell"/>
    <w:uiPriority w:val="40"/>
    <w:rsid w:val="00942467"/>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61933" TargetMode="External"/><Relationship Id="rId13" Type="http://schemas.openxmlformats.org/officeDocument/2006/relationships/hyperlink" Target="https://www.corteconstitucional.gov.co/relatoria/2021/SU016-21.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uncionpublica.gov.co/eva/gestornormativo/norma.php?i=47141" TargetMode="External"/><Relationship Id="rId12" Type="http://schemas.openxmlformats.org/officeDocument/2006/relationships/hyperlink" Target="http://www.secretariasenado.gov.co/senado/basedoc/codigo_civil_pr078.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alcaldiabogota.gov.co/sisjur/normas/Norma1.jsp?i=339" TargetMode="External"/><Relationship Id="rId11" Type="http://schemas.openxmlformats.org/officeDocument/2006/relationships/hyperlink" Target="https://www.funcionpublica.gov.co/eva/gestornormativo/norma.php?i=160946" TargetMode="External"/><Relationship Id="rId5" Type="http://schemas.openxmlformats.org/officeDocument/2006/relationships/hyperlink" Target="https://www.redjurista.com/Documents/constitucion_politica_de_1991.aspx" TargetMode="External"/><Relationship Id="rId15" Type="http://schemas.openxmlformats.org/officeDocument/2006/relationships/hyperlink" Target="https://www.minvivienda.gov.co/sites/default/files/2021-02/anexo-resolucion-0431-2020.pdf" TargetMode="External"/><Relationship Id="rId10" Type="http://schemas.openxmlformats.org/officeDocument/2006/relationships/hyperlink" Target="https://www.funcionpublica.gov.co/eva/gestornormativo/norma.php?i=87765" TargetMode="External"/><Relationship Id="rId4" Type="http://schemas.openxmlformats.org/officeDocument/2006/relationships/hyperlink" Target="https://www.alcaldiabogota.gov.co/sisjur/normas/Norma1.jsp?i=1175" TargetMode="External"/><Relationship Id="rId9" Type="http://schemas.openxmlformats.org/officeDocument/2006/relationships/hyperlink" Target="https://www.funcionpublica.gov.co/eva/gestornormativo/norma.php?i=41080" TargetMode="External"/><Relationship Id="rId14" Type="http://schemas.openxmlformats.org/officeDocument/2006/relationships/hyperlink" Target="https://www.minambiente.gov.co/cambio-climatico-y-gestion-del-riesgo/plan-nacional-de-adaptacion-al-cambio-climatic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2715</Words>
  <Characters>15479</Characters>
  <Application>Microsoft Office Word</Application>
  <DocSecurity>0</DocSecurity>
  <Lines>128</Lines>
  <Paragraphs>36</Paragraphs>
  <ScaleCrop>false</ScaleCrop>
  <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Ebba Brink</dc:creator>
  <cp:keywords/>
  <dc:description/>
  <cp:lastModifiedBy>Ebba Brink</cp:lastModifiedBy>
  <cp:revision>1</cp:revision>
  <dcterms:created xsi:type="dcterms:W3CDTF">2024-08-06T12:53:00Z</dcterms:created>
  <dcterms:modified xsi:type="dcterms:W3CDTF">2024-08-06T12:54:00Z</dcterms:modified>
</cp:coreProperties>
</file>