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B167" w14:textId="58E3D48F" w:rsidR="001503CC" w:rsidRPr="00DE1B30" w:rsidRDefault="001503CC" w:rsidP="00EF6A9F">
      <w:pPr>
        <w:jc w:val="center"/>
        <w:rPr>
          <w:b/>
          <w:bCs/>
        </w:rPr>
      </w:pPr>
      <w:r w:rsidRPr="00DE1B30">
        <w:rPr>
          <w:b/>
          <w:bCs/>
        </w:rPr>
        <w:t>Methodological Appendix</w:t>
      </w:r>
    </w:p>
    <w:p w14:paraId="5CE6EC8E" w14:textId="77777777" w:rsidR="00D54E83" w:rsidRPr="00DE1B30" w:rsidRDefault="00D54E83"/>
    <w:p w14:paraId="71FC6463" w14:textId="37376A83" w:rsidR="00371E68" w:rsidRPr="00DE1B30" w:rsidRDefault="00371E68" w:rsidP="00371E68">
      <w:r w:rsidRPr="00DE1B30">
        <w:t xml:space="preserve">The analysis for this project </w:t>
      </w:r>
      <w:r w:rsidR="00714F28" w:rsidRPr="00DE1B30">
        <w:t xml:space="preserve">draws on </w:t>
      </w:r>
      <w:r w:rsidRPr="00DE1B30">
        <w:t>two different types of data:  materials from court cases and materials from the lead player in the contemporary legal mobilization against ICWA</w:t>
      </w:r>
      <w:r w:rsidR="005017ED">
        <w:t xml:space="preserve"> (the Goldwater Institute)</w:t>
      </w:r>
      <w:r w:rsidRPr="00DE1B30">
        <w:t>.</w:t>
      </w:r>
      <w:r w:rsidR="00714F28" w:rsidRPr="00DE1B30">
        <w:t xml:space="preserve">  This </w:t>
      </w:r>
      <w:r w:rsidR="005017ED">
        <w:t>A</w:t>
      </w:r>
      <w:r w:rsidR="00714F28" w:rsidRPr="00DE1B30">
        <w:t>ppendix provides a full list of documents analyzed.  It also includes the final coding scheme used to analyze the data.</w:t>
      </w:r>
    </w:p>
    <w:p w14:paraId="0568B72A" w14:textId="77777777" w:rsidR="00371E68" w:rsidRPr="00DE1B30" w:rsidRDefault="00371E68" w:rsidP="00371E68"/>
    <w:p w14:paraId="3F5A025B" w14:textId="604377E8" w:rsidR="001503CC" w:rsidRPr="00DE1B30" w:rsidRDefault="001503CC" w:rsidP="001503CC">
      <w:pPr>
        <w:rPr>
          <w:u w:val="single"/>
        </w:rPr>
      </w:pPr>
      <w:r w:rsidRPr="00DE1B30">
        <w:rPr>
          <w:u w:val="single"/>
        </w:rPr>
        <w:t>Court Case Materials Analyzed</w:t>
      </w:r>
    </w:p>
    <w:p w14:paraId="7BA7FB4B" w14:textId="77777777" w:rsidR="001503CC" w:rsidRPr="00DE1B30" w:rsidRDefault="001503CC" w:rsidP="001503CC"/>
    <w:p w14:paraId="4EA1A170" w14:textId="1F7A6B8C" w:rsidR="00EF6A9F" w:rsidRPr="00DE1B30" w:rsidRDefault="00EF6A9F">
      <w:pPr>
        <w:rPr>
          <w:highlight w:val="yellow"/>
        </w:rPr>
      </w:pPr>
      <w:r w:rsidRPr="00DE1B30">
        <w:rPr>
          <w:shd w:val="clear" w:color="auto" w:fill="FFFFFF"/>
        </w:rPr>
        <w:t>The final analysis sample included the following 1</w:t>
      </w:r>
      <w:r w:rsidR="00F20544" w:rsidRPr="00DE1B30">
        <w:rPr>
          <w:shd w:val="clear" w:color="auto" w:fill="FFFFFF"/>
        </w:rPr>
        <w:t>7</w:t>
      </w:r>
      <w:r w:rsidRPr="00DE1B30">
        <w:rPr>
          <w:shd w:val="clear" w:color="auto" w:fill="FFFFFF"/>
        </w:rPr>
        <w:t xml:space="preserve"> </w:t>
      </w:r>
      <w:r w:rsidR="002E203B">
        <w:rPr>
          <w:shd w:val="clear" w:color="auto" w:fill="FFFFFF"/>
        </w:rPr>
        <w:t xml:space="preserve">court </w:t>
      </w:r>
      <w:r w:rsidRPr="00DE1B30">
        <w:rPr>
          <w:shd w:val="clear" w:color="auto" w:fill="FFFFFF"/>
        </w:rPr>
        <w:t xml:space="preserve">cases and 52 </w:t>
      </w:r>
      <w:r w:rsidR="002E203B">
        <w:rPr>
          <w:shd w:val="clear" w:color="auto" w:fill="FFFFFF"/>
        </w:rPr>
        <w:t xml:space="preserve">associated </w:t>
      </w:r>
      <w:r w:rsidRPr="00DE1B30">
        <w:rPr>
          <w:shd w:val="clear" w:color="auto" w:fill="FFFFFF"/>
        </w:rPr>
        <w:t>documents</w:t>
      </w:r>
      <w:r w:rsidR="0068346F" w:rsidRPr="00DE1B30">
        <w:rPr>
          <w:shd w:val="clear" w:color="auto" w:fill="FFFFFF"/>
        </w:rPr>
        <w:t>.  Documents are cited in the manuscript using the codes below</w:t>
      </w:r>
      <w:r w:rsidRPr="00DE1B30">
        <w:rPr>
          <w:shd w:val="clear" w:color="auto" w:fill="FFFFFF"/>
        </w:rPr>
        <w:t>:</w:t>
      </w:r>
    </w:p>
    <w:p w14:paraId="08D7FC9B" w14:textId="77777777" w:rsidR="00EF1E31" w:rsidRPr="00DE1B30" w:rsidRDefault="00EF1E31">
      <w:pPr>
        <w:rPr>
          <w:highlight w:val="yellow"/>
        </w:rPr>
      </w:pPr>
    </w:p>
    <w:p w14:paraId="5EED9F3C" w14:textId="77777777" w:rsidR="00562BE9" w:rsidRPr="00DE1B30" w:rsidRDefault="00562BE9" w:rsidP="00EF6A9F">
      <w:pPr>
        <w:ind w:left="360"/>
      </w:pPr>
      <w:r w:rsidRPr="00DE1B30">
        <w:rPr>
          <w:i/>
          <w:iCs/>
        </w:rPr>
        <w:t>Adoptive Couple v. Baby Girl</w:t>
      </w:r>
      <w:r w:rsidRPr="00DE1B30">
        <w:t>, 133 S.Ct. 2552 (2013)</w:t>
      </w:r>
    </w:p>
    <w:p w14:paraId="5D02AECA" w14:textId="77777777" w:rsidR="00562BE9" w:rsidRPr="00DE1B30" w:rsidRDefault="00562BE9" w:rsidP="00562BE9">
      <w:pPr>
        <w:rPr>
          <w:b/>
          <w:bCs/>
          <w:u w:val="single"/>
        </w:rPr>
      </w:pPr>
    </w:p>
    <w:p w14:paraId="4AF86E19" w14:textId="7043F308" w:rsidR="00562BE9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(L1) </w:t>
      </w:r>
      <w:r w:rsidR="00562BE9" w:rsidRPr="00DE1B30">
        <w:rPr>
          <w:sz w:val="22"/>
          <w:szCs w:val="22"/>
        </w:rPr>
        <w:t>“Brief of Amicus Curiae Adoptive Parents Committee, Inc” (February 26, 2013)</w:t>
      </w:r>
    </w:p>
    <w:p w14:paraId="37A49272" w14:textId="77777777" w:rsidR="00562BE9" w:rsidRPr="00DE1B30" w:rsidRDefault="00562BE9" w:rsidP="00EF6A9F">
      <w:pPr>
        <w:ind w:left="720"/>
        <w:rPr>
          <w:b/>
          <w:bCs/>
          <w:sz w:val="22"/>
          <w:szCs w:val="22"/>
          <w:u w:val="single"/>
        </w:rPr>
      </w:pPr>
    </w:p>
    <w:p w14:paraId="3F92DF54" w14:textId="109FBAD7" w:rsidR="00562BE9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(L2) </w:t>
      </w:r>
      <w:r w:rsidR="00562BE9" w:rsidRPr="00DE1B30">
        <w:rPr>
          <w:sz w:val="22"/>
          <w:szCs w:val="22"/>
        </w:rPr>
        <w:t>“Brief of Amicus Curiae Christian Alliance for Indian Child Welfare” (February 26, 2013)</w:t>
      </w:r>
    </w:p>
    <w:p w14:paraId="008E7109" w14:textId="77777777" w:rsidR="00562BE9" w:rsidRPr="00DE1B30" w:rsidRDefault="00562BE9" w:rsidP="00EF6A9F">
      <w:pPr>
        <w:ind w:left="720"/>
        <w:rPr>
          <w:b/>
          <w:bCs/>
          <w:sz w:val="22"/>
          <w:szCs w:val="22"/>
          <w:u w:val="single"/>
        </w:rPr>
      </w:pPr>
    </w:p>
    <w:p w14:paraId="73931FBD" w14:textId="64035AF5" w:rsidR="00562BE9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(L3) </w:t>
      </w:r>
      <w:r w:rsidR="00562BE9" w:rsidRPr="00DE1B30">
        <w:rPr>
          <w:sz w:val="22"/>
          <w:szCs w:val="22"/>
        </w:rPr>
        <w:t>“Brief of Child Advocacy Organizations as Amici Curiae” (February 26, 2013)</w:t>
      </w:r>
    </w:p>
    <w:p w14:paraId="6E357BB6" w14:textId="77777777" w:rsidR="00562BE9" w:rsidRPr="00DE1B30" w:rsidRDefault="00562BE9" w:rsidP="00EF6A9F">
      <w:pPr>
        <w:ind w:left="720"/>
        <w:rPr>
          <w:b/>
          <w:bCs/>
          <w:sz w:val="22"/>
          <w:szCs w:val="22"/>
          <w:u w:val="single"/>
        </w:rPr>
      </w:pPr>
    </w:p>
    <w:p w14:paraId="14D7E9A2" w14:textId="7E20A472" w:rsidR="00562BE9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(L4) </w:t>
      </w:r>
      <w:r w:rsidR="00562BE9" w:rsidRPr="00DE1B30">
        <w:rPr>
          <w:sz w:val="22"/>
          <w:szCs w:val="22"/>
        </w:rPr>
        <w:t>“Brief of National Council for Adoption as Amici Curiae” (February 26, 2013)</w:t>
      </w:r>
    </w:p>
    <w:p w14:paraId="3A2AB0B6" w14:textId="77777777" w:rsidR="00562BE9" w:rsidRPr="00DE1B30" w:rsidRDefault="00562BE9" w:rsidP="00562BE9">
      <w:pPr>
        <w:rPr>
          <w:b/>
          <w:bCs/>
          <w:u w:val="single"/>
        </w:rPr>
      </w:pPr>
    </w:p>
    <w:p w14:paraId="3DDC14D2" w14:textId="77777777" w:rsidR="00512532" w:rsidRPr="00DE1B30" w:rsidRDefault="00512532" w:rsidP="00EF6A9F">
      <w:pPr>
        <w:ind w:left="360"/>
      </w:pPr>
      <w:bookmarkStart w:id="0" w:name="_Hlk164695051"/>
      <w:r w:rsidRPr="00DE1B30">
        <w:rPr>
          <w:i/>
          <w:iCs/>
        </w:rPr>
        <w:t>Americans for Tribal Court Equality v. Piper D.</w:t>
      </w:r>
      <w:r w:rsidRPr="00DE1B30">
        <w:t xml:space="preserve"> </w:t>
      </w:r>
      <w:bookmarkEnd w:id="0"/>
      <w:r w:rsidRPr="00DE1B30">
        <w:rPr>
          <w:kern w:val="0"/>
        </w:rPr>
        <w:t>No. 17-cv-04597</w:t>
      </w:r>
      <w:r w:rsidRPr="00DE1B30">
        <w:t xml:space="preserve"> (D. Minn. 2017)</w:t>
      </w:r>
    </w:p>
    <w:p w14:paraId="3F178F29" w14:textId="77777777" w:rsidR="00512532" w:rsidRPr="00DE1B30" w:rsidRDefault="00512532" w:rsidP="00512532">
      <w:pPr>
        <w:rPr>
          <w:b/>
          <w:bCs/>
          <w:u w:val="single"/>
        </w:rPr>
      </w:pPr>
    </w:p>
    <w:p w14:paraId="05DBEDB1" w14:textId="6A6BD28E" w:rsidR="00512532" w:rsidRPr="00DE1B30" w:rsidRDefault="0068346F" w:rsidP="00EF6A9F">
      <w:pPr>
        <w:ind w:left="720"/>
      </w:pPr>
      <w:r w:rsidRPr="00DE1B30">
        <w:rPr>
          <w:sz w:val="22"/>
          <w:szCs w:val="22"/>
        </w:rPr>
        <w:t xml:space="preserve">(L5) </w:t>
      </w:r>
      <w:r w:rsidR="00512532" w:rsidRPr="00DE1B30">
        <w:rPr>
          <w:sz w:val="22"/>
          <w:szCs w:val="22"/>
        </w:rPr>
        <w:t>“Verified Complaint for Declaratory, Injunctive, and Other Relief” (October 10, 2017)</w:t>
      </w:r>
      <w:r w:rsidR="00512532" w:rsidRPr="00DE1B30">
        <w:rPr>
          <w:sz w:val="22"/>
          <w:szCs w:val="22"/>
        </w:rPr>
        <w:br/>
      </w:r>
    </w:p>
    <w:p w14:paraId="12CA0D30" w14:textId="77777777" w:rsidR="00562BE9" w:rsidRPr="00DE1B30" w:rsidRDefault="00562BE9" w:rsidP="00EF6A9F">
      <w:pPr>
        <w:ind w:left="360"/>
      </w:pPr>
      <w:bookmarkStart w:id="1" w:name="_Hlk164686178"/>
      <w:r w:rsidRPr="00DE1B30">
        <w:rPr>
          <w:i/>
          <w:iCs/>
          <w:shd w:val="clear" w:color="auto" w:fill="FFFFFF"/>
        </w:rPr>
        <w:t>Brackeen v. Bernhardt</w:t>
      </w:r>
      <w:bookmarkEnd w:id="1"/>
      <w:r w:rsidRPr="00DE1B30">
        <w:rPr>
          <w:shd w:val="clear" w:color="auto" w:fill="FFFFFF"/>
        </w:rPr>
        <w:t>, 937 F.3d 406 (5th Cir. 2019)</w:t>
      </w:r>
      <w:r w:rsidRPr="00DE1B30">
        <w:rPr>
          <w:rStyle w:val="FootnoteReference"/>
          <w:shd w:val="clear" w:color="auto" w:fill="FFFFFF"/>
        </w:rPr>
        <w:footnoteReference w:id="1"/>
      </w:r>
    </w:p>
    <w:p w14:paraId="6C68A075" w14:textId="77777777" w:rsidR="00562BE9" w:rsidRPr="00DE1B30" w:rsidRDefault="00562BE9" w:rsidP="00562BE9"/>
    <w:p w14:paraId="04E0A749" w14:textId="61540127" w:rsidR="00562BE9" w:rsidRPr="00DE1B30" w:rsidRDefault="0068346F" w:rsidP="0068346F">
      <w:pPr>
        <w:pStyle w:val="Default"/>
        <w:ind w:left="1080" w:hanging="360"/>
        <w:rPr>
          <w:color w:val="auto"/>
          <w:sz w:val="22"/>
          <w:szCs w:val="22"/>
        </w:rPr>
      </w:pPr>
      <w:r w:rsidRPr="00DE1B30">
        <w:rPr>
          <w:color w:val="auto"/>
          <w:sz w:val="22"/>
          <w:szCs w:val="22"/>
        </w:rPr>
        <w:t xml:space="preserve">(L6) </w:t>
      </w:r>
      <w:r w:rsidR="00562BE9" w:rsidRPr="00DE1B30">
        <w:rPr>
          <w:color w:val="auto"/>
          <w:sz w:val="22"/>
          <w:szCs w:val="22"/>
        </w:rPr>
        <w:t>“Brief in Opposition to Defendants' Motion to Dismiss and in Support of Individual Plaintiffs' Motion for Summary Judgment” (April 26, 2018)</w:t>
      </w:r>
    </w:p>
    <w:p w14:paraId="397E5BE2" w14:textId="77777777" w:rsidR="00562BE9" w:rsidRPr="00DE1B30" w:rsidRDefault="00562BE9" w:rsidP="0068346F">
      <w:pPr>
        <w:pStyle w:val="Default"/>
        <w:ind w:left="1080" w:hanging="360"/>
        <w:rPr>
          <w:color w:val="auto"/>
          <w:sz w:val="22"/>
          <w:szCs w:val="22"/>
        </w:rPr>
      </w:pPr>
    </w:p>
    <w:p w14:paraId="3F97C811" w14:textId="66DE66EC" w:rsidR="00562BE9" w:rsidRPr="00DE1B30" w:rsidRDefault="0068346F" w:rsidP="0068346F">
      <w:pPr>
        <w:pStyle w:val="Default"/>
        <w:ind w:left="1080" w:hanging="360"/>
        <w:rPr>
          <w:color w:val="auto"/>
          <w:sz w:val="22"/>
          <w:szCs w:val="22"/>
        </w:rPr>
      </w:pPr>
      <w:bookmarkStart w:id="2" w:name="_Hlk164686167"/>
      <w:r w:rsidRPr="00DE1B30">
        <w:rPr>
          <w:color w:val="auto"/>
          <w:sz w:val="22"/>
          <w:szCs w:val="22"/>
        </w:rPr>
        <w:t xml:space="preserve">(L7) </w:t>
      </w:r>
      <w:r w:rsidR="00562BE9" w:rsidRPr="00DE1B30">
        <w:rPr>
          <w:color w:val="auto"/>
          <w:sz w:val="22"/>
          <w:szCs w:val="22"/>
        </w:rPr>
        <w:t xml:space="preserve">“Brief Amicus Curiae Goldwater Institute, CATO Institute, Texas Public Policy Foundation, and American Academy of Adoption Attorneys” </w:t>
      </w:r>
      <w:bookmarkEnd w:id="2"/>
      <w:r w:rsidR="00562BE9" w:rsidRPr="00DE1B30">
        <w:rPr>
          <w:color w:val="auto"/>
          <w:sz w:val="22"/>
          <w:szCs w:val="22"/>
        </w:rPr>
        <w:t>(February 5, 2019)</w:t>
      </w:r>
    </w:p>
    <w:p w14:paraId="3CE2FB49" w14:textId="77777777" w:rsidR="00562BE9" w:rsidRPr="00DE1B30" w:rsidRDefault="00562BE9" w:rsidP="00EF6A9F">
      <w:pPr>
        <w:pStyle w:val="Default"/>
        <w:ind w:left="720"/>
        <w:rPr>
          <w:color w:val="auto"/>
          <w:sz w:val="22"/>
          <w:szCs w:val="22"/>
        </w:rPr>
      </w:pPr>
    </w:p>
    <w:p w14:paraId="6ACEE174" w14:textId="356656EF" w:rsidR="00562BE9" w:rsidRPr="00DE1B30" w:rsidRDefault="0068346F" w:rsidP="00EF6A9F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(L8) </w:t>
      </w:r>
      <w:r w:rsidR="00562BE9" w:rsidRPr="00DE1B30">
        <w:rPr>
          <w:sz w:val="22"/>
          <w:szCs w:val="22"/>
        </w:rPr>
        <w:t>“</w:t>
      </w:r>
      <w:r w:rsidR="00562BE9" w:rsidRPr="00DE1B30">
        <w:rPr>
          <w:kern w:val="0"/>
          <w:sz w:val="22"/>
          <w:szCs w:val="22"/>
        </w:rPr>
        <w:t xml:space="preserve">Brief of the Project on Fair Representation as Amicus </w:t>
      </w:r>
      <w:r w:rsidR="00562BE9" w:rsidRPr="00DE1B30">
        <w:rPr>
          <w:sz w:val="22"/>
          <w:szCs w:val="22"/>
        </w:rPr>
        <w:t>Curiae” (February 5, 2019)</w:t>
      </w:r>
    </w:p>
    <w:p w14:paraId="1DAC195A" w14:textId="77777777" w:rsidR="00562BE9" w:rsidRPr="00DE1B30" w:rsidRDefault="00562BE9" w:rsidP="00EF6A9F">
      <w:pPr>
        <w:pStyle w:val="Default"/>
        <w:ind w:left="720"/>
        <w:rPr>
          <w:color w:val="auto"/>
          <w:sz w:val="22"/>
          <w:szCs w:val="22"/>
        </w:rPr>
      </w:pPr>
    </w:p>
    <w:p w14:paraId="6E554F0F" w14:textId="5A718D39" w:rsidR="00562BE9" w:rsidRPr="00DE1B30" w:rsidRDefault="0068346F" w:rsidP="00EF6A9F">
      <w:pPr>
        <w:pStyle w:val="Default"/>
        <w:ind w:left="720"/>
        <w:rPr>
          <w:color w:val="auto"/>
          <w:sz w:val="22"/>
          <w:szCs w:val="22"/>
        </w:rPr>
      </w:pPr>
      <w:r w:rsidRPr="00DE1B30">
        <w:rPr>
          <w:color w:val="auto"/>
          <w:sz w:val="22"/>
          <w:szCs w:val="22"/>
        </w:rPr>
        <w:t xml:space="preserve">(L9) </w:t>
      </w:r>
      <w:r w:rsidR="00562BE9" w:rsidRPr="00DE1B30">
        <w:rPr>
          <w:color w:val="auto"/>
          <w:sz w:val="22"/>
          <w:szCs w:val="22"/>
        </w:rPr>
        <w:t>“Brief of Amicus Curiae Christian Alliance for Indian Child Welfare” (February 6, 2019)</w:t>
      </w:r>
    </w:p>
    <w:p w14:paraId="59C6E995" w14:textId="77777777" w:rsidR="00562BE9" w:rsidRPr="00DE1B30" w:rsidRDefault="00562BE9" w:rsidP="00EF6A9F">
      <w:pPr>
        <w:pStyle w:val="Default"/>
        <w:ind w:left="720"/>
        <w:rPr>
          <w:color w:val="auto"/>
          <w:sz w:val="22"/>
          <w:szCs w:val="22"/>
        </w:rPr>
      </w:pPr>
    </w:p>
    <w:p w14:paraId="3EFBF223" w14:textId="5143971A" w:rsidR="00562BE9" w:rsidRPr="00DE1B30" w:rsidRDefault="0068346F" w:rsidP="00EF6A9F">
      <w:pPr>
        <w:ind w:left="720"/>
        <w:rPr>
          <w:sz w:val="22"/>
          <w:szCs w:val="22"/>
        </w:rPr>
      </w:pPr>
      <w:bookmarkStart w:id="3" w:name="_Hlk164688443"/>
      <w:r w:rsidRPr="00DE1B30">
        <w:rPr>
          <w:sz w:val="22"/>
          <w:szCs w:val="22"/>
        </w:rPr>
        <w:t xml:space="preserve">(L10) </w:t>
      </w:r>
      <w:r w:rsidR="00562BE9" w:rsidRPr="00DE1B30">
        <w:rPr>
          <w:sz w:val="22"/>
          <w:szCs w:val="22"/>
        </w:rPr>
        <w:t xml:space="preserve">“Brief of Individual Plaintiffs-Appellees” </w:t>
      </w:r>
      <w:bookmarkEnd w:id="3"/>
      <w:r w:rsidR="00562BE9" w:rsidRPr="00DE1B30">
        <w:rPr>
          <w:sz w:val="22"/>
          <w:szCs w:val="22"/>
        </w:rPr>
        <w:t>(February 6, 2019)</w:t>
      </w:r>
    </w:p>
    <w:p w14:paraId="62850FF7" w14:textId="77777777" w:rsidR="00562BE9" w:rsidRPr="00DE1B30" w:rsidRDefault="00562BE9" w:rsidP="00EF6A9F">
      <w:pPr>
        <w:ind w:left="720"/>
        <w:rPr>
          <w:sz w:val="22"/>
          <w:szCs w:val="22"/>
        </w:rPr>
      </w:pPr>
    </w:p>
    <w:p w14:paraId="25C25C1C" w14:textId="2908A0A8" w:rsidR="00562BE9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(L11) </w:t>
      </w:r>
      <w:r w:rsidR="00562BE9" w:rsidRPr="00DE1B30">
        <w:rPr>
          <w:sz w:val="22"/>
          <w:szCs w:val="22"/>
        </w:rPr>
        <w:t>“State Appellees’ Brief” (February 6, 2019)</w:t>
      </w:r>
    </w:p>
    <w:p w14:paraId="2C546ECC" w14:textId="77777777" w:rsidR="00562BE9" w:rsidRPr="00DE1B30" w:rsidRDefault="00562BE9" w:rsidP="00EF6A9F">
      <w:pPr>
        <w:ind w:left="720"/>
        <w:rPr>
          <w:sz w:val="22"/>
          <w:szCs w:val="22"/>
        </w:rPr>
      </w:pPr>
    </w:p>
    <w:p w14:paraId="3E2B4CAB" w14:textId="4B080933" w:rsidR="00562BE9" w:rsidRPr="00DE1B30" w:rsidRDefault="0068346F" w:rsidP="00EF6A9F">
      <w:pPr>
        <w:pStyle w:val="Default"/>
        <w:ind w:left="720"/>
        <w:rPr>
          <w:color w:val="auto"/>
          <w:sz w:val="22"/>
          <w:szCs w:val="22"/>
        </w:rPr>
      </w:pPr>
      <w:r w:rsidRPr="00DE1B30">
        <w:rPr>
          <w:color w:val="auto"/>
          <w:sz w:val="22"/>
          <w:szCs w:val="22"/>
        </w:rPr>
        <w:t xml:space="preserve">(L12) </w:t>
      </w:r>
      <w:r w:rsidR="00562BE9" w:rsidRPr="00DE1B30">
        <w:rPr>
          <w:color w:val="auto"/>
          <w:sz w:val="22"/>
          <w:szCs w:val="22"/>
        </w:rPr>
        <w:t>“En Banc Brief of Individual Plaintiffs-Appellees” (January 7, 2020)</w:t>
      </w:r>
    </w:p>
    <w:p w14:paraId="4A416048" w14:textId="77777777" w:rsidR="007F0457" w:rsidRPr="00DE1B30" w:rsidRDefault="007F0457" w:rsidP="00EF6A9F">
      <w:pPr>
        <w:pStyle w:val="Default"/>
        <w:ind w:left="720"/>
        <w:rPr>
          <w:color w:val="auto"/>
          <w:sz w:val="22"/>
          <w:szCs w:val="22"/>
        </w:rPr>
      </w:pPr>
    </w:p>
    <w:p w14:paraId="271594F7" w14:textId="0E55BDE6" w:rsidR="007F0457" w:rsidRPr="00DE1B30" w:rsidRDefault="0068346F" w:rsidP="0068346F">
      <w:pPr>
        <w:pStyle w:val="Default"/>
        <w:ind w:left="1080" w:hanging="360"/>
        <w:rPr>
          <w:color w:val="auto"/>
          <w:sz w:val="22"/>
          <w:szCs w:val="22"/>
        </w:rPr>
      </w:pPr>
      <w:r w:rsidRPr="00DE1B30">
        <w:rPr>
          <w:color w:val="auto"/>
          <w:sz w:val="22"/>
          <w:szCs w:val="22"/>
        </w:rPr>
        <w:t xml:space="preserve">(L13) </w:t>
      </w:r>
      <w:r w:rsidR="007F0457" w:rsidRPr="00DE1B30">
        <w:rPr>
          <w:color w:val="auto"/>
          <w:sz w:val="22"/>
          <w:szCs w:val="22"/>
        </w:rPr>
        <w:t>“</w:t>
      </w:r>
      <w:bookmarkStart w:id="4" w:name="_Hlk164685380"/>
      <w:r w:rsidR="007F0457" w:rsidRPr="00DE1B30">
        <w:rPr>
          <w:color w:val="auto"/>
          <w:sz w:val="22"/>
          <w:szCs w:val="22"/>
        </w:rPr>
        <w:t>Unopposed Motion of Goldwater Institute, Cato Institute, and Texas Public Policy Foundation</w:t>
      </w:r>
      <w:r w:rsidRPr="00DE1B30">
        <w:rPr>
          <w:color w:val="auto"/>
          <w:sz w:val="22"/>
          <w:szCs w:val="22"/>
        </w:rPr>
        <w:t xml:space="preserve"> </w:t>
      </w:r>
      <w:r w:rsidR="007F0457" w:rsidRPr="00DE1B30">
        <w:rPr>
          <w:color w:val="auto"/>
          <w:sz w:val="22"/>
          <w:szCs w:val="22"/>
        </w:rPr>
        <w:t>to File Amicus Curiae Brief in Support of Plaintiffs-Appellees on Rehearing En Banc</w:t>
      </w:r>
      <w:bookmarkEnd w:id="4"/>
      <w:r w:rsidR="007F0457" w:rsidRPr="00DE1B30">
        <w:rPr>
          <w:color w:val="auto"/>
          <w:sz w:val="22"/>
          <w:szCs w:val="22"/>
        </w:rPr>
        <w:t>” (January 10, 2020)</w:t>
      </w:r>
    </w:p>
    <w:p w14:paraId="1E291DAE" w14:textId="77777777" w:rsidR="00562BE9" w:rsidRPr="00DE1B30" w:rsidRDefault="00562BE9" w:rsidP="00562BE9">
      <w:pPr>
        <w:autoSpaceDE w:val="0"/>
        <w:autoSpaceDN w:val="0"/>
        <w:adjustRightInd w:val="0"/>
        <w:rPr>
          <w:kern w:val="0"/>
        </w:rPr>
      </w:pPr>
    </w:p>
    <w:p w14:paraId="2A6462B8" w14:textId="77777777" w:rsidR="00562BE9" w:rsidRPr="00DE1B30" w:rsidRDefault="00562BE9" w:rsidP="00EF6A9F">
      <w:pPr>
        <w:ind w:left="360"/>
      </w:pPr>
      <w:bookmarkStart w:id="5" w:name="_Hlk164685846"/>
      <w:r w:rsidRPr="00DE1B30">
        <w:rPr>
          <w:i/>
          <w:iCs/>
        </w:rPr>
        <w:t>Carter v. Washburn</w:t>
      </w:r>
      <w:bookmarkEnd w:id="5"/>
      <w:r w:rsidRPr="00DE1B30">
        <w:t xml:space="preserve">, </w:t>
      </w:r>
      <w:r w:rsidRPr="00DE1B30">
        <w:rPr>
          <w:kern w:val="0"/>
        </w:rPr>
        <w:t>No. 15-cv-01259, 2017 WL 1019685 (</w:t>
      </w:r>
      <w:r w:rsidRPr="00DE1B30">
        <w:t>2017)</w:t>
      </w:r>
      <w:r w:rsidRPr="00DE1B30">
        <w:rPr>
          <w:rStyle w:val="FootnoteReference"/>
        </w:rPr>
        <w:footnoteReference w:id="2"/>
      </w:r>
    </w:p>
    <w:p w14:paraId="682C03C2" w14:textId="77777777" w:rsidR="00562BE9" w:rsidRPr="00DE1B30" w:rsidRDefault="00562BE9" w:rsidP="00562BE9"/>
    <w:p w14:paraId="3C2BDD8A" w14:textId="0A62E844" w:rsidR="00562BE9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(L14) </w:t>
      </w:r>
      <w:r w:rsidR="00562BE9" w:rsidRPr="00DE1B30">
        <w:rPr>
          <w:sz w:val="22"/>
          <w:szCs w:val="22"/>
        </w:rPr>
        <w:t xml:space="preserve">“Challenging the Constitutionality of ICWA: </w:t>
      </w:r>
      <w:r w:rsidR="00562BE9" w:rsidRPr="00DE1B30">
        <w:rPr>
          <w:i/>
          <w:iCs/>
          <w:sz w:val="22"/>
          <w:szCs w:val="22"/>
        </w:rPr>
        <w:t>A.D. v. Washburn</w:t>
      </w:r>
      <w:r w:rsidR="00562BE9" w:rsidRPr="00DE1B30">
        <w:rPr>
          <w:sz w:val="22"/>
          <w:szCs w:val="22"/>
        </w:rPr>
        <w:t xml:space="preserve">,” produced by The Goldwater Institute (July 7, 2015) </w:t>
      </w:r>
    </w:p>
    <w:p w14:paraId="4F45489D" w14:textId="77777777" w:rsidR="006C4B4B" w:rsidRPr="00DE1B30" w:rsidRDefault="006C4B4B" w:rsidP="0068346F">
      <w:pPr>
        <w:ind w:left="1080" w:hanging="360"/>
        <w:rPr>
          <w:sz w:val="22"/>
          <w:szCs w:val="22"/>
        </w:rPr>
      </w:pPr>
    </w:p>
    <w:p w14:paraId="6CBA2322" w14:textId="0F7525AA" w:rsidR="00F20544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(L15) </w:t>
      </w:r>
      <w:r w:rsidR="00F20544" w:rsidRPr="00DE1B30">
        <w:rPr>
          <w:sz w:val="22"/>
          <w:szCs w:val="22"/>
        </w:rPr>
        <w:t>“</w:t>
      </w:r>
      <w:bookmarkStart w:id="6" w:name="_Hlk164694899"/>
      <w:r w:rsidR="00F20544" w:rsidRPr="00DE1B30">
        <w:rPr>
          <w:sz w:val="22"/>
          <w:szCs w:val="22"/>
        </w:rPr>
        <w:t xml:space="preserve">Plaintiffs’ Consolidated Response </w:t>
      </w:r>
      <w:bookmarkEnd w:id="6"/>
      <w:r w:rsidR="00F20544" w:rsidRPr="00DE1B30">
        <w:rPr>
          <w:sz w:val="22"/>
          <w:szCs w:val="22"/>
        </w:rPr>
        <w:t>to Federal Defendants’ Motion to Dismiss and State Defendant’s Motion to Abstain and Dismiss” (November 13, 2015)</w:t>
      </w:r>
    </w:p>
    <w:p w14:paraId="79DEDD42" w14:textId="77777777" w:rsidR="00562BE9" w:rsidRPr="00DE1B30" w:rsidRDefault="00562BE9" w:rsidP="0068346F">
      <w:pPr>
        <w:ind w:left="1080" w:hanging="360"/>
        <w:rPr>
          <w:sz w:val="22"/>
          <w:szCs w:val="22"/>
        </w:rPr>
      </w:pPr>
    </w:p>
    <w:p w14:paraId="75DB1CEB" w14:textId="1C329DA3" w:rsidR="00562BE9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(L16) </w:t>
      </w:r>
      <w:r w:rsidR="00562BE9" w:rsidRPr="00DE1B30">
        <w:rPr>
          <w:sz w:val="22"/>
          <w:szCs w:val="22"/>
        </w:rPr>
        <w:t>“Plaintiffs Response to Amicus Curiae Briefs Filed by (1) Casey Family Programs, et al, and National Congress of American Indians, et al.” (November 25, 2015)</w:t>
      </w:r>
    </w:p>
    <w:p w14:paraId="71F14B98" w14:textId="77777777" w:rsidR="00562BE9" w:rsidRPr="00DE1B30" w:rsidRDefault="00562BE9" w:rsidP="00562BE9">
      <w:pPr>
        <w:ind w:left="360"/>
        <w:rPr>
          <w:sz w:val="22"/>
          <w:szCs w:val="22"/>
        </w:rPr>
      </w:pPr>
    </w:p>
    <w:p w14:paraId="50EDF988" w14:textId="5CD63680" w:rsidR="00562BE9" w:rsidRPr="00DE1B30" w:rsidRDefault="0068346F" w:rsidP="00CE11A6">
      <w:pPr>
        <w:ind w:left="720"/>
        <w:rPr>
          <w:sz w:val="22"/>
          <w:szCs w:val="22"/>
        </w:rPr>
      </w:pPr>
      <w:bookmarkStart w:id="7" w:name="_Hlk164685823"/>
      <w:r w:rsidRPr="00DE1B30">
        <w:rPr>
          <w:sz w:val="22"/>
          <w:szCs w:val="22"/>
        </w:rPr>
        <w:t xml:space="preserve">(L17) </w:t>
      </w:r>
      <w:r w:rsidR="00562BE9" w:rsidRPr="00DE1B30">
        <w:rPr>
          <w:sz w:val="22"/>
          <w:szCs w:val="22"/>
        </w:rPr>
        <w:t>“Appellants Opening Brief”</w:t>
      </w:r>
      <w:bookmarkEnd w:id="7"/>
      <w:r w:rsidR="00562BE9" w:rsidRPr="00DE1B30">
        <w:rPr>
          <w:sz w:val="22"/>
          <w:szCs w:val="22"/>
        </w:rPr>
        <w:t xml:space="preserve"> (September 1, 2017)</w:t>
      </w:r>
    </w:p>
    <w:p w14:paraId="548AC539" w14:textId="77777777" w:rsidR="00562BE9" w:rsidRPr="00DE1B30" w:rsidRDefault="00562BE9" w:rsidP="00CE11A6">
      <w:pPr>
        <w:ind w:left="720"/>
        <w:rPr>
          <w:sz w:val="22"/>
          <w:szCs w:val="22"/>
        </w:rPr>
      </w:pPr>
    </w:p>
    <w:p w14:paraId="6ABD0E58" w14:textId="20F5C6DC" w:rsidR="00562BE9" w:rsidRPr="00DE1B30" w:rsidRDefault="0068346F" w:rsidP="00CE11A6">
      <w:pPr>
        <w:ind w:left="720"/>
        <w:rPr>
          <w:sz w:val="22"/>
          <w:szCs w:val="22"/>
        </w:rPr>
      </w:pPr>
      <w:bookmarkStart w:id="8" w:name="_Hlk164688287"/>
      <w:r w:rsidRPr="00DE1B30">
        <w:rPr>
          <w:sz w:val="22"/>
          <w:szCs w:val="22"/>
        </w:rPr>
        <w:t xml:space="preserve">(L18) </w:t>
      </w:r>
      <w:r w:rsidR="00562BE9" w:rsidRPr="00DE1B30">
        <w:rPr>
          <w:sz w:val="22"/>
          <w:szCs w:val="22"/>
        </w:rPr>
        <w:t xml:space="preserve">“Appellants Reply Brief” </w:t>
      </w:r>
      <w:bookmarkEnd w:id="8"/>
      <w:r w:rsidR="00562BE9" w:rsidRPr="00DE1B30">
        <w:rPr>
          <w:sz w:val="22"/>
          <w:szCs w:val="22"/>
        </w:rPr>
        <w:t>(February 2, 2018)</w:t>
      </w:r>
    </w:p>
    <w:p w14:paraId="2A7DFB62" w14:textId="77777777" w:rsidR="00562BE9" w:rsidRPr="00DE1B30" w:rsidRDefault="00562BE9" w:rsidP="00562BE9">
      <w:pPr>
        <w:rPr>
          <w:u w:val="single"/>
          <w:shd w:val="clear" w:color="auto" w:fill="FFFFFF"/>
        </w:rPr>
      </w:pPr>
    </w:p>
    <w:p w14:paraId="04346F3D" w14:textId="77777777" w:rsidR="00562BE9" w:rsidRPr="00DE1B30" w:rsidRDefault="00562BE9" w:rsidP="00EF6A9F">
      <w:pPr>
        <w:ind w:left="360"/>
        <w:rPr>
          <w:shd w:val="clear" w:color="auto" w:fill="FFFFFF"/>
        </w:rPr>
      </w:pPr>
      <w:r w:rsidRPr="00DE1B30">
        <w:rPr>
          <w:i/>
          <w:iCs/>
          <w:shd w:val="clear" w:color="auto" w:fill="FFFFFF"/>
        </w:rPr>
        <w:t>Fisher v. Cook</w:t>
      </w:r>
      <w:r w:rsidRPr="00DE1B30">
        <w:rPr>
          <w:shd w:val="clear" w:color="auto" w:fill="FFFFFF"/>
        </w:rPr>
        <w:t>, No. 2:19-CV-02034 (W.D. Ark. Apr. 24, 2019)</w:t>
      </w:r>
    </w:p>
    <w:p w14:paraId="6A9C1E0C" w14:textId="77777777" w:rsidR="00562BE9" w:rsidRPr="00DE1B30" w:rsidRDefault="00562BE9" w:rsidP="00562BE9">
      <w:pPr>
        <w:rPr>
          <w:u w:val="single"/>
        </w:rPr>
      </w:pPr>
    </w:p>
    <w:p w14:paraId="0239969E" w14:textId="0FDAB127" w:rsidR="00562BE9" w:rsidRPr="00DE1B30" w:rsidRDefault="0068346F" w:rsidP="00223F95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(L19) </w:t>
      </w:r>
      <w:r w:rsidR="00562BE9" w:rsidRPr="00DE1B30">
        <w:rPr>
          <w:sz w:val="22"/>
          <w:szCs w:val="22"/>
        </w:rPr>
        <w:t>“Complaint” (March 1, 2019)</w:t>
      </w:r>
    </w:p>
    <w:p w14:paraId="7653E038" w14:textId="77777777" w:rsidR="00562BE9" w:rsidRPr="00DE1B30" w:rsidRDefault="00562BE9" w:rsidP="00223F95">
      <w:pPr>
        <w:ind w:left="720"/>
        <w:rPr>
          <w:sz w:val="22"/>
          <w:szCs w:val="22"/>
        </w:rPr>
      </w:pPr>
    </w:p>
    <w:p w14:paraId="0ACDC6BA" w14:textId="39DB3ADF" w:rsidR="00562BE9" w:rsidRPr="00DE1B30" w:rsidRDefault="0068346F" w:rsidP="00223F95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(L20) </w:t>
      </w:r>
      <w:r w:rsidR="00562BE9" w:rsidRPr="00DE1B30">
        <w:rPr>
          <w:sz w:val="22"/>
          <w:szCs w:val="22"/>
        </w:rPr>
        <w:t>“Case Overview:</w:t>
      </w:r>
      <w:r w:rsidR="00562BE9" w:rsidRPr="00DE1B30">
        <w:rPr>
          <w:i/>
          <w:iCs/>
          <w:sz w:val="22"/>
          <w:szCs w:val="22"/>
        </w:rPr>
        <w:t xml:space="preserve"> Fisher v. Cook</w:t>
      </w:r>
      <w:r w:rsidR="00562BE9" w:rsidRPr="00DE1B30">
        <w:rPr>
          <w:sz w:val="22"/>
          <w:szCs w:val="22"/>
        </w:rPr>
        <w:t xml:space="preserve">,” produced by The Goldwater Institute (March 13, 2019) </w:t>
      </w:r>
    </w:p>
    <w:p w14:paraId="134D73DD" w14:textId="77777777" w:rsidR="00562BE9" w:rsidRPr="00DE1B30" w:rsidRDefault="00562BE9" w:rsidP="00562BE9">
      <w:pPr>
        <w:ind w:left="360"/>
        <w:rPr>
          <w:sz w:val="22"/>
          <w:szCs w:val="22"/>
        </w:rPr>
      </w:pPr>
    </w:p>
    <w:p w14:paraId="1D6291CC" w14:textId="2A6E44F2" w:rsidR="00562BE9" w:rsidRPr="00DE1B30" w:rsidRDefault="0068346F" w:rsidP="0068346F">
      <w:pPr>
        <w:ind w:left="1080" w:hanging="360"/>
        <w:rPr>
          <w:sz w:val="22"/>
          <w:szCs w:val="22"/>
        </w:rPr>
      </w:pPr>
      <w:bookmarkStart w:id="9" w:name="_Hlk164688114"/>
      <w:r w:rsidRPr="00DE1B30">
        <w:rPr>
          <w:sz w:val="22"/>
          <w:szCs w:val="22"/>
        </w:rPr>
        <w:t xml:space="preserve">(L21) </w:t>
      </w:r>
      <w:r w:rsidR="00562BE9" w:rsidRPr="00DE1B30">
        <w:rPr>
          <w:sz w:val="22"/>
          <w:szCs w:val="22"/>
        </w:rPr>
        <w:t xml:space="preserve">“Backgrounder: Fighting for Equal Protection for Native American Children, </w:t>
      </w:r>
      <w:r w:rsidR="00562BE9" w:rsidRPr="00DE1B30">
        <w:rPr>
          <w:i/>
          <w:iCs/>
          <w:sz w:val="22"/>
          <w:szCs w:val="22"/>
        </w:rPr>
        <w:t>Fisher et al v. Cook et al (Arkansas)</w:t>
      </w:r>
      <w:r w:rsidR="00562BE9" w:rsidRPr="00DE1B30">
        <w:rPr>
          <w:sz w:val="22"/>
          <w:szCs w:val="22"/>
        </w:rPr>
        <w:t>,”</w:t>
      </w:r>
      <w:bookmarkEnd w:id="9"/>
      <w:r w:rsidR="00562BE9" w:rsidRPr="00DE1B30">
        <w:rPr>
          <w:sz w:val="22"/>
          <w:szCs w:val="22"/>
        </w:rPr>
        <w:t xml:space="preserve"> produced by The Goldwater Institute (downloaded December 10, 2019)</w:t>
      </w:r>
    </w:p>
    <w:p w14:paraId="697FEE89" w14:textId="77777777" w:rsidR="00562BE9" w:rsidRPr="00DE1B30" w:rsidRDefault="00562BE9" w:rsidP="00562BE9"/>
    <w:p w14:paraId="16291526" w14:textId="77777777" w:rsidR="00562BE9" w:rsidRPr="00DE1B30" w:rsidRDefault="00562BE9" w:rsidP="00EF6A9F">
      <w:pPr>
        <w:ind w:left="360"/>
        <w:rPr>
          <w:shd w:val="clear" w:color="auto" w:fill="FFFFFF"/>
        </w:rPr>
      </w:pPr>
      <w:bookmarkStart w:id="10" w:name="_Hlk164686744"/>
      <w:r w:rsidRPr="00DE1B30">
        <w:rPr>
          <w:i/>
          <w:iCs/>
          <w:shd w:val="clear" w:color="auto" w:fill="FFFFFF"/>
        </w:rPr>
        <w:t>In re Alexandria P</w:t>
      </w:r>
      <w:bookmarkEnd w:id="10"/>
      <w:r w:rsidRPr="00DE1B30">
        <w:rPr>
          <w:shd w:val="clear" w:color="auto" w:fill="FFFFFF"/>
        </w:rPr>
        <w:t>., 1 Cal.App.5th 331, 204 Cal. Rptr. 3d 617 (Cal. Ct. App. 2016)</w:t>
      </w:r>
    </w:p>
    <w:p w14:paraId="411D1E2F" w14:textId="77777777" w:rsidR="00562BE9" w:rsidRPr="00DE1B30" w:rsidRDefault="00562BE9" w:rsidP="00562BE9"/>
    <w:p w14:paraId="151BC093" w14:textId="179E5D66" w:rsidR="00562BE9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(L22) </w:t>
      </w:r>
      <w:r w:rsidR="00562BE9" w:rsidRPr="00DE1B30">
        <w:rPr>
          <w:sz w:val="22"/>
          <w:szCs w:val="22"/>
        </w:rPr>
        <w:t>“Goldwater Letter to Chief Justice Cantil-Sakauye and Associate Justices” (March 24, 2016)</w:t>
      </w:r>
    </w:p>
    <w:p w14:paraId="64B79686" w14:textId="77777777" w:rsidR="00562BE9" w:rsidRPr="00DE1B30" w:rsidRDefault="00562BE9" w:rsidP="00223F95">
      <w:pPr>
        <w:ind w:left="720"/>
        <w:rPr>
          <w:sz w:val="22"/>
          <w:szCs w:val="22"/>
        </w:rPr>
      </w:pPr>
    </w:p>
    <w:p w14:paraId="72168BB0" w14:textId="660D3E9E" w:rsidR="00562BE9" w:rsidRPr="00DE1B30" w:rsidRDefault="0068346F" w:rsidP="00223F95">
      <w:pPr>
        <w:ind w:left="720"/>
        <w:rPr>
          <w:sz w:val="22"/>
          <w:szCs w:val="22"/>
        </w:rPr>
      </w:pPr>
      <w:bookmarkStart w:id="11" w:name="_Hlk164686732"/>
      <w:r w:rsidRPr="00DE1B30">
        <w:rPr>
          <w:sz w:val="22"/>
          <w:szCs w:val="22"/>
        </w:rPr>
        <w:t xml:space="preserve">(L23) </w:t>
      </w:r>
      <w:r w:rsidR="00562BE9" w:rsidRPr="00DE1B30">
        <w:rPr>
          <w:sz w:val="22"/>
          <w:szCs w:val="22"/>
        </w:rPr>
        <w:t xml:space="preserve">“Brief of Amicus Curiae Goldwater Institute” </w:t>
      </w:r>
      <w:bookmarkEnd w:id="11"/>
      <w:r w:rsidR="00562BE9" w:rsidRPr="00DE1B30">
        <w:rPr>
          <w:sz w:val="22"/>
          <w:szCs w:val="22"/>
        </w:rPr>
        <w:t>(April 22, 2016)</w:t>
      </w:r>
    </w:p>
    <w:p w14:paraId="1F0C564B" w14:textId="77777777" w:rsidR="00562BE9" w:rsidRPr="00DE1B30" w:rsidRDefault="00562BE9" w:rsidP="00223F95">
      <w:pPr>
        <w:ind w:left="720"/>
        <w:rPr>
          <w:sz w:val="22"/>
          <w:szCs w:val="22"/>
        </w:rPr>
      </w:pPr>
    </w:p>
    <w:p w14:paraId="37573790" w14:textId="34C71B48" w:rsidR="00562BE9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(L24) </w:t>
      </w:r>
      <w:r w:rsidR="00562BE9" w:rsidRPr="00DE1B30">
        <w:rPr>
          <w:sz w:val="22"/>
          <w:szCs w:val="22"/>
        </w:rPr>
        <w:t>“Brief of Amicus Curiae of Goldwater Institute and the CATO Institute” (November 7, 2016)</w:t>
      </w:r>
    </w:p>
    <w:p w14:paraId="27FB719F" w14:textId="77777777" w:rsidR="00562BE9" w:rsidRPr="00DE1B30" w:rsidRDefault="00562BE9" w:rsidP="00562BE9">
      <w:pPr>
        <w:ind w:left="360"/>
        <w:rPr>
          <w:sz w:val="22"/>
          <w:szCs w:val="22"/>
        </w:rPr>
      </w:pPr>
    </w:p>
    <w:p w14:paraId="7442A039" w14:textId="1CAA4789" w:rsidR="00562BE9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(L25) </w:t>
      </w:r>
      <w:r w:rsidR="00562BE9" w:rsidRPr="00DE1B30">
        <w:rPr>
          <w:sz w:val="22"/>
          <w:szCs w:val="22"/>
        </w:rPr>
        <w:t xml:space="preserve">“In re. Alexandria P.: Equal Protection of Indian Children,” produced by The Goldwater Institute (March 25, 2016) </w:t>
      </w:r>
    </w:p>
    <w:p w14:paraId="64E3E730" w14:textId="77777777" w:rsidR="00562BE9" w:rsidRPr="00DE1B30" w:rsidRDefault="00562BE9" w:rsidP="00562BE9">
      <w:pPr>
        <w:rPr>
          <w:u w:val="single"/>
          <w:shd w:val="clear" w:color="auto" w:fill="FFFFFF"/>
        </w:rPr>
      </w:pPr>
    </w:p>
    <w:p w14:paraId="65FF6787" w14:textId="06B59F39" w:rsidR="00562BE9" w:rsidRPr="00DE1B30" w:rsidRDefault="00562BE9" w:rsidP="00EF6A9F">
      <w:pPr>
        <w:ind w:left="360"/>
        <w:rPr>
          <w:shd w:val="clear" w:color="auto" w:fill="FFFFFF"/>
        </w:rPr>
      </w:pPr>
      <w:bookmarkStart w:id="12" w:name="_Hlk164688680"/>
      <w:r w:rsidRPr="00DE1B30">
        <w:rPr>
          <w:i/>
          <w:iCs/>
          <w:shd w:val="clear" w:color="auto" w:fill="FFFFFF"/>
        </w:rPr>
        <w:t>In re C.J</w:t>
      </w:r>
      <w:r w:rsidRPr="00DE1B30">
        <w:rPr>
          <w:shd w:val="clear" w:color="auto" w:fill="FFFFFF"/>
        </w:rPr>
        <w:t>.</w:t>
      </w:r>
      <w:bookmarkEnd w:id="12"/>
      <w:r w:rsidRPr="00DE1B30">
        <w:rPr>
          <w:shd w:val="clear" w:color="auto" w:fill="FFFFFF"/>
        </w:rPr>
        <w:t>, 108 N.E.3d 677, 2018 Ohio 931 (Ohio Ct. App. 2018)</w:t>
      </w:r>
    </w:p>
    <w:p w14:paraId="123392EB" w14:textId="77777777" w:rsidR="00562BE9" w:rsidRPr="00DE1B30" w:rsidRDefault="00562BE9" w:rsidP="00562BE9"/>
    <w:p w14:paraId="5F97F1EC" w14:textId="7D1E158F" w:rsidR="00562BE9" w:rsidRPr="00DE1B30" w:rsidRDefault="0068346F" w:rsidP="00891688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(L26) </w:t>
      </w:r>
      <w:r w:rsidR="00562BE9" w:rsidRPr="00DE1B30">
        <w:rPr>
          <w:sz w:val="22"/>
          <w:szCs w:val="22"/>
        </w:rPr>
        <w:t>“Brief of Appellant Guardian Ad Litem” (July 31, 2017)</w:t>
      </w:r>
    </w:p>
    <w:p w14:paraId="6328DF8C" w14:textId="77777777" w:rsidR="00562BE9" w:rsidRPr="00DE1B30" w:rsidRDefault="00562BE9" w:rsidP="00891688">
      <w:pPr>
        <w:ind w:left="720"/>
        <w:rPr>
          <w:sz w:val="22"/>
          <w:szCs w:val="22"/>
        </w:rPr>
      </w:pPr>
    </w:p>
    <w:p w14:paraId="3214DE85" w14:textId="521FAF48" w:rsidR="00562BE9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(L27) </w:t>
      </w:r>
      <w:r w:rsidR="00562BE9" w:rsidRPr="00DE1B30">
        <w:rPr>
          <w:sz w:val="22"/>
          <w:szCs w:val="22"/>
        </w:rPr>
        <w:t>“GAL’s Response to Brief of Amici Curiae National Congress of American Indians and National Indian Child Welfare Association</w:t>
      </w:r>
      <w:r w:rsidR="003875E5" w:rsidRPr="00DE1B30">
        <w:rPr>
          <w:sz w:val="22"/>
          <w:szCs w:val="22"/>
        </w:rPr>
        <w:t>”</w:t>
      </w:r>
      <w:r w:rsidR="00562BE9" w:rsidRPr="00DE1B30">
        <w:rPr>
          <w:sz w:val="22"/>
          <w:szCs w:val="22"/>
        </w:rPr>
        <w:t xml:space="preserve"> (October 6, 2017)</w:t>
      </w:r>
    </w:p>
    <w:p w14:paraId="65A953EE" w14:textId="77777777" w:rsidR="00562BE9" w:rsidRPr="00DE1B30" w:rsidRDefault="00562BE9" w:rsidP="00891688">
      <w:pPr>
        <w:ind w:left="720"/>
        <w:rPr>
          <w:b/>
          <w:bCs/>
          <w:sz w:val="22"/>
          <w:szCs w:val="22"/>
          <w:u w:val="single"/>
        </w:rPr>
      </w:pPr>
    </w:p>
    <w:p w14:paraId="2C05B378" w14:textId="331CA350" w:rsidR="00562BE9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(L28) </w:t>
      </w:r>
      <w:r w:rsidR="00562BE9" w:rsidRPr="00DE1B30">
        <w:rPr>
          <w:sz w:val="22"/>
          <w:szCs w:val="22"/>
        </w:rPr>
        <w:t xml:space="preserve">“Pursuing Equal Protection for Native American Children: </w:t>
      </w:r>
      <w:r w:rsidR="00562BE9" w:rsidRPr="00DE1B30">
        <w:rPr>
          <w:i/>
          <w:iCs/>
          <w:sz w:val="22"/>
          <w:szCs w:val="22"/>
        </w:rPr>
        <w:t>In re. C.J. Jr.</w:t>
      </w:r>
      <w:r w:rsidR="00562BE9" w:rsidRPr="00DE1B30">
        <w:rPr>
          <w:sz w:val="22"/>
          <w:szCs w:val="22"/>
        </w:rPr>
        <w:t xml:space="preserve">,” produced by The Goldwater Institute (October 31, 2017) </w:t>
      </w:r>
    </w:p>
    <w:p w14:paraId="129B2C4E" w14:textId="77777777" w:rsidR="00562BE9" w:rsidRPr="00DE1B30" w:rsidRDefault="00562BE9" w:rsidP="00160F4D"/>
    <w:p w14:paraId="458BC10B" w14:textId="77777777" w:rsidR="00562BE9" w:rsidRPr="00DE1B30" w:rsidRDefault="00562BE9" w:rsidP="00EF6A9F">
      <w:pPr>
        <w:ind w:left="360"/>
        <w:rPr>
          <w:shd w:val="clear" w:color="auto" w:fill="FFFFFF"/>
        </w:rPr>
      </w:pPr>
      <w:bookmarkStart w:id="13" w:name="_Hlk164689131"/>
      <w:r w:rsidRPr="00DE1B30">
        <w:rPr>
          <w:i/>
          <w:iCs/>
          <w:shd w:val="clear" w:color="auto" w:fill="FFFFFF"/>
        </w:rPr>
        <w:t>In re Interest of A.L.M</w:t>
      </w:r>
      <w:r w:rsidRPr="00DE1B30">
        <w:rPr>
          <w:shd w:val="clear" w:color="auto" w:fill="FFFFFF"/>
        </w:rPr>
        <w:t>.</w:t>
      </w:r>
      <w:bookmarkEnd w:id="13"/>
      <w:r w:rsidRPr="00DE1B30">
        <w:rPr>
          <w:shd w:val="clear" w:color="auto" w:fill="FFFFFF"/>
        </w:rPr>
        <w:t>, NO. 02-17-00298-CV (Tex. App. Dec. 7, 2017)</w:t>
      </w:r>
    </w:p>
    <w:p w14:paraId="1D799CC3" w14:textId="77777777" w:rsidR="00562BE9" w:rsidRPr="00DE1B30" w:rsidRDefault="00562BE9" w:rsidP="00562BE9"/>
    <w:p w14:paraId="5D7FAF8B" w14:textId="3C0C575B" w:rsidR="00562BE9" w:rsidRPr="00DE1B30" w:rsidRDefault="0068346F" w:rsidP="00891688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(L29) </w:t>
      </w:r>
      <w:r w:rsidR="00562BE9" w:rsidRPr="00DE1B30">
        <w:rPr>
          <w:sz w:val="22"/>
          <w:szCs w:val="22"/>
        </w:rPr>
        <w:t>“Brief of Amicus Curiae Goldwater Institute” (October 30, 2017)</w:t>
      </w:r>
    </w:p>
    <w:p w14:paraId="067E4503" w14:textId="77777777" w:rsidR="00562BE9" w:rsidRPr="00DE1B30" w:rsidRDefault="00562BE9" w:rsidP="00562BE9">
      <w:pPr>
        <w:ind w:left="360"/>
        <w:rPr>
          <w:sz w:val="22"/>
          <w:szCs w:val="22"/>
        </w:rPr>
      </w:pPr>
    </w:p>
    <w:p w14:paraId="352A2B94" w14:textId="3963E5F7" w:rsidR="00562BE9" w:rsidRPr="00DE1B30" w:rsidRDefault="0068346F" w:rsidP="00891688">
      <w:pPr>
        <w:ind w:left="720"/>
        <w:rPr>
          <w:sz w:val="22"/>
          <w:szCs w:val="22"/>
        </w:rPr>
      </w:pPr>
      <w:bookmarkStart w:id="14" w:name="_Hlk164689119"/>
      <w:r w:rsidRPr="00DE1B30">
        <w:rPr>
          <w:sz w:val="22"/>
          <w:szCs w:val="22"/>
        </w:rPr>
        <w:t xml:space="preserve">(L30) </w:t>
      </w:r>
      <w:r w:rsidR="00562BE9" w:rsidRPr="00DE1B30">
        <w:rPr>
          <w:sz w:val="22"/>
          <w:szCs w:val="22"/>
        </w:rPr>
        <w:t>“</w:t>
      </w:r>
      <w:r w:rsidR="00562BE9" w:rsidRPr="00DE1B30">
        <w:rPr>
          <w:i/>
          <w:iCs/>
          <w:sz w:val="22"/>
          <w:szCs w:val="22"/>
        </w:rPr>
        <w:t>In re A.L.M.</w:t>
      </w:r>
      <w:r w:rsidR="00562BE9" w:rsidRPr="00DE1B30">
        <w:rPr>
          <w:sz w:val="22"/>
          <w:szCs w:val="22"/>
        </w:rPr>
        <w:t xml:space="preserve">,” </w:t>
      </w:r>
      <w:bookmarkEnd w:id="14"/>
      <w:r w:rsidR="00562BE9" w:rsidRPr="00DE1B30">
        <w:rPr>
          <w:sz w:val="22"/>
          <w:szCs w:val="22"/>
        </w:rPr>
        <w:t xml:space="preserve">produced by The Goldwater Institute (October 31, 2017) </w:t>
      </w:r>
    </w:p>
    <w:p w14:paraId="1F70CD96" w14:textId="77777777" w:rsidR="00562BE9" w:rsidRPr="00DE1B30" w:rsidRDefault="00562BE9" w:rsidP="00562BE9">
      <w:pPr>
        <w:rPr>
          <w:u w:val="single"/>
          <w:shd w:val="clear" w:color="auto" w:fill="FFFFFF"/>
        </w:rPr>
      </w:pPr>
    </w:p>
    <w:p w14:paraId="2032CB34" w14:textId="77777777" w:rsidR="00512532" w:rsidRPr="00DE1B30" w:rsidRDefault="00512532" w:rsidP="00EF6A9F">
      <w:pPr>
        <w:ind w:left="360"/>
      </w:pPr>
      <w:r w:rsidRPr="00DE1B30">
        <w:rPr>
          <w:i/>
          <w:iCs/>
          <w:shd w:val="clear" w:color="auto" w:fill="FFFFFF"/>
        </w:rPr>
        <w:t>In re Interest of Y.J</w:t>
      </w:r>
      <w:r w:rsidRPr="00DE1B30">
        <w:rPr>
          <w:shd w:val="clear" w:color="auto" w:fill="FFFFFF"/>
        </w:rPr>
        <w:t>., No. 02-19-00235-CV (Tex. App. Dec. 19, 2019)</w:t>
      </w:r>
    </w:p>
    <w:p w14:paraId="57AA46BB" w14:textId="77777777" w:rsidR="00512532" w:rsidRPr="00DE1B30" w:rsidRDefault="00512532" w:rsidP="00EF6A9F">
      <w:pPr>
        <w:ind w:left="360"/>
      </w:pPr>
    </w:p>
    <w:p w14:paraId="3A6860A8" w14:textId="4879FB50" w:rsidR="00512532" w:rsidRPr="00DE1B30" w:rsidRDefault="0068346F" w:rsidP="00891688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(L31) </w:t>
      </w:r>
      <w:r w:rsidR="00512532" w:rsidRPr="00DE1B30">
        <w:rPr>
          <w:sz w:val="22"/>
          <w:szCs w:val="22"/>
        </w:rPr>
        <w:t>“Brief of Goldwater Institute as Amicus Curiae” (March 24, 2020)</w:t>
      </w:r>
    </w:p>
    <w:p w14:paraId="5150D603" w14:textId="77777777" w:rsidR="00512532" w:rsidRPr="00DE1B30" w:rsidRDefault="00512532" w:rsidP="00512532">
      <w:pPr>
        <w:ind w:left="360"/>
        <w:rPr>
          <w:sz w:val="22"/>
          <w:szCs w:val="22"/>
        </w:rPr>
      </w:pPr>
    </w:p>
    <w:p w14:paraId="252F07C9" w14:textId="26AB1058" w:rsidR="00512532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(L32) </w:t>
      </w:r>
      <w:r w:rsidR="00512532" w:rsidRPr="00DE1B30">
        <w:rPr>
          <w:sz w:val="22"/>
          <w:szCs w:val="22"/>
        </w:rPr>
        <w:t>“Providing Equal Protection Rights to Native American Children: In re. Y.J. Case Overview” (downloaded December 2020)</w:t>
      </w:r>
    </w:p>
    <w:p w14:paraId="48DEA37D" w14:textId="77777777" w:rsidR="00512532" w:rsidRPr="00DE1B30" w:rsidRDefault="00512532" w:rsidP="00562BE9">
      <w:pPr>
        <w:rPr>
          <w:u w:val="single"/>
          <w:shd w:val="clear" w:color="auto" w:fill="FFFFFF"/>
        </w:rPr>
      </w:pPr>
    </w:p>
    <w:p w14:paraId="2CCB22E4" w14:textId="77777777" w:rsidR="00512532" w:rsidRPr="00DE1B30" w:rsidRDefault="00512532" w:rsidP="00EF6A9F">
      <w:pPr>
        <w:ind w:left="360"/>
      </w:pPr>
      <w:r w:rsidRPr="00DE1B30">
        <w:rPr>
          <w:i/>
          <w:iCs/>
        </w:rPr>
        <w:t>In re. J.P.C</w:t>
      </w:r>
      <w:r w:rsidRPr="00DE1B30">
        <w:t>., CA-SA 2017-0061 (Pima County, AZ 2017)</w:t>
      </w:r>
    </w:p>
    <w:p w14:paraId="08064652" w14:textId="77777777" w:rsidR="00512532" w:rsidRPr="00DE1B30" w:rsidRDefault="00512532" w:rsidP="00512532"/>
    <w:p w14:paraId="73C47035" w14:textId="1CAB8025" w:rsidR="00512532" w:rsidRPr="00DE1B30" w:rsidRDefault="0068346F" w:rsidP="00891688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(L33) </w:t>
      </w:r>
      <w:r w:rsidR="00512532" w:rsidRPr="00DE1B30">
        <w:rPr>
          <w:sz w:val="22"/>
          <w:szCs w:val="22"/>
        </w:rPr>
        <w:t>“Petition for Review” (October 16, 2017)</w:t>
      </w:r>
    </w:p>
    <w:p w14:paraId="521198D7" w14:textId="77777777" w:rsidR="00512532" w:rsidRPr="00DE1B30" w:rsidRDefault="00512532" w:rsidP="00891688">
      <w:pPr>
        <w:ind w:left="720"/>
        <w:rPr>
          <w:sz w:val="22"/>
          <w:szCs w:val="22"/>
        </w:rPr>
      </w:pPr>
    </w:p>
    <w:p w14:paraId="0821460D" w14:textId="5E4A7E29" w:rsidR="00512532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(L34) </w:t>
      </w:r>
      <w:r w:rsidR="00512532" w:rsidRPr="00DE1B30">
        <w:rPr>
          <w:sz w:val="22"/>
          <w:szCs w:val="22"/>
        </w:rPr>
        <w:t xml:space="preserve">“Fighting for Equal Protection for Native American Children: </w:t>
      </w:r>
      <w:r w:rsidR="00512532" w:rsidRPr="00DE1B30">
        <w:rPr>
          <w:i/>
          <w:iCs/>
          <w:sz w:val="22"/>
          <w:szCs w:val="22"/>
        </w:rPr>
        <w:t>In re. J.P.C.</w:t>
      </w:r>
      <w:r w:rsidR="00512532" w:rsidRPr="00DE1B30">
        <w:rPr>
          <w:sz w:val="22"/>
          <w:szCs w:val="22"/>
        </w:rPr>
        <w:t xml:space="preserve">,” produced by The Goldwater Institute (September 14, 2017) </w:t>
      </w:r>
    </w:p>
    <w:p w14:paraId="7F89214F" w14:textId="77777777" w:rsidR="00512532" w:rsidRPr="00DE1B30" w:rsidRDefault="00512532" w:rsidP="00891688">
      <w:pPr>
        <w:ind w:left="720"/>
        <w:rPr>
          <w:sz w:val="22"/>
          <w:szCs w:val="22"/>
        </w:rPr>
      </w:pPr>
    </w:p>
    <w:p w14:paraId="4ACFC391" w14:textId="3D815D4D" w:rsidR="00512532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(L35) </w:t>
      </w:r>
      <w:r w:rsidR="00512532" w:rsidRPr="00DE1B30">
        <w:rPr>
          <w:sz w:val="22"/>
          <w:szCs w:val="22"/>
        </w:rPr>
        <w:t>“</w:t>
      </w:r>
      <w:r w:rsidR="00512532" w:rsidRPr="00DE1B30">
        <w:rPr>
          <w:i/>
          <w:iCs/>
          <w:sz w:val="22"/>
          <w:szCs w:val="22"/>
        </w:rPr>
        <w:t>In re JPC.</w:t>
      </w:r>
      <w:r w:rsidR="00512532" w:rsidRPr="00DE1B30">
        <w:rPr>
          <w:sz w:val="22"/>
          <w:szCs w:val="22"/>
        </w:rPr>
        <w:t xml:space="preserve"> - Backgrounder,” produced by The Goldwater Institute (downloaded February 19, 2019)</w:t>
      </w:r>
    </w:p>
    <w:p w14:paraId="36D92BF4" w14:textId="77777777" w:rsidR="00512532" w:rsidRPr="00DE1B30" w:rsidRDefault="00512532" w:rsidP="00512532">
      <w:pPr>
        <w:rPr>
          <w:u w:val="single"/>
          <w:shd w:val="clear" w:color="auto" w:fill="FAFAFA"/>
        </w:rPr>
      </w:pPr>
    </w:p>
    <w:p w14:paraId="3ED26F86" w14:textId="1F8E72DC" w:rsidR="00512532" w:rsidRPr="00DE1B30" w:rsidRDefault="00512532" w:rsidP="00EF6A9F">
      <w:pPr>
        <w:ind w:left="360"/>
        <w:rPr>
          <w:shd w:val="clear" w:color="auto" w:fill="FAFAFA"/>
        </w:rPr>
      </w:pPr>
      <w:r w:rsidRPr="00DE1B30">
        <w:rPr>
          <w:i/>
          <w:iCs/>
          <w:shd w:val="clear" w:color="auto" w:fill="FAFAFA"/>
        </w:rPr>
        <w:t>In re Welfare of A.J.F</w:t>
      </w:r>
      <w:r w:rsidRPr="00DE1B30">
        <w:rPr>
          <w:shd w:val="clear" w:color="auto" w:fill="FAFAFA"/>
        </w:rPr>
        <w:t>., No. A06-303, 2007 WL 92843 (Minn.App. Jan. 16, 2007)</w:t>
      </w:r>
    </w:p>
    <w:p w14:paraId="2A0D42CB" w14:textId="77777777" w:rsidR="00512532" w:rsidRPr="00DE1B30" w:rsidRDefault="00512532" w:rsidP="00512532">
      <w:pPr>
        <w:rPr>
          <w:sz w:val="22"/>
          <w:szCs w:val="22"/>
        </w:rPr>
      </w:pPr>
    </w:p>
    <w:p w14:paraId="59C83ACA" w14:textId="4A04D6A4" w:rsidR="00512532" w:rsidRPr="00DE1B30" w:rsidRDefault="0068346F" w:rsidP="00891688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(L36) </w:t>
      </w:r>
      <w:r w:rsidR="00512532" w:rsidRPr="00DE1B30">
        <w:rPr>
          <w:sz w:val="22"/>
          <w:szCs w:val="22"/>
        </w:rPr>
        <w:t>“Petition for Writ of Prohibition” (November 21, 2017)</w:t>
      </w:r>
    </w:p>
    <w:p w14:paraId="71843770" w14:textId="77777777" w:rsidR="00512532" w:rsidRPr="00DE1B30" w:rsidRDefault="00512532" w:rsidP="00891688">
      <w:pPr>
        <w:ind w:left="720"/>
        <w:rPr>
          <w:sz w:val="22"/>
          <w:szCs w:val="22"/>
        </w:rPr>
      </w:pPr>
    </w:p>
    <w:p w14:paraId="784FBEA4" w14:textId="755F3A1C" w:rsidR="00512532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(L37) </w:t>
      </w:r>
      <w:r w:rsidR="00512532" w:rsidRPr="00DE1B30">
        <w:rPr>
          <w:sz w:val="22"/>
          <w:szCs w:val="22"/>
        </w:rPr>
        <w:t xml:space="preserve">“Seeking Equal Protection for a Native American Boy in Minnesota:  </w:t>
      </w:r>
      <w:r w:rsidR="00512532" w:rsidRPr="00DE1B30">
        <w:rPr>
          <w:i/>
          <w:iCs/>
          <w:sz w:val="22"/>
          <w:szCs w:val="22"/>
        </w:rPr>
        <w:t>In re A.J.F.</w:t>
      </w:r>
      <w:r w:rsidR="00512532" w:rsidRPr="00DE1B30">
        <w:rPr>
          <w:sz w:val="22"/>
          <w:szCs w:val="22"/>
        </w:rPr>
        <w:t xml:space="preserve">,” produced by The Goldwater Institute (November 21, 2017) </w:t>
      </w:r>
    </w:p>
    <w:p w14:paraId="23F29A7E" w14:textId="77777777" w:rsidR="00512532" w:rsidRPr="00DE1B30" w:rsidRDefault="00512532" w:rsidP="00562BE9">
      <w:pPr>
        <w:rPr>
          <w:u w:val="single"/>
          <w:shd w:val="clear" w:color="auto" w:fill="FFFFFF"/>
        </w:rPr>
      </w:pPr>
    </w:p>
    <w:p w14:paraId="7FD87EC7" w14:textId="26519CA1" w:rsidR="00562BE9" w:rsidRPr="00DE1B30" w:rsidRDefault="00562BE9" w:rsidP="00EF6A9F">
      <w:pPr>
        <w:ind w:left="360"/>
        <w:rPr>
          <w:shd w:val="clear" w:color="auto" w:fill="FFFFFF"/>
        </w:rPr>
      </w:pPr>
      <w:r w:rsidRPr="00DE1B30">
        <w:rPr>
          <w:i/>
          <w:iCs/>
          <w:shd w:val="clear" w:color="auto" w:fill="FFFFFF"/>
        </w:rPr>
        <w:t>Nat'l Council for Adoption v. Jewell</w:t>
      </w:r>
      <w:r w:rsidRPr="00DE1B30">
        <w:rPr>
          <w:shd w:val="clear" w:color="auto" w:fill="FFFFFF"/>
        </w:rPr>
        <w:t>, 156 F. Supp. 3d 727 (E.D. Va. 2015)</w:t>
      </w:r>
    </w:p>
    <w:p w14:paraId="2F849D4B" w14:textId="77777777" w:rsidR="00562BE9" w:rsidRPr="00DE1B30" w:rsidRDefault="00562BE9" w:rsidP="00562BE9"/>
    <w:p w14:paraId="0D93099C" w14:textId="175B2308" w:rsidR="00562BE9" w:rsidRPr="00DE1B30" w:rsidRDefault="0068346F" w:rsidP="00891688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(L38) </w:t>
      </w:r>
      <w:r w:rsidR="00562BE9" w:rsidRPr="00DE1B30">
        <w:rPr>
          <w:sz w:val="22"/>
          <w:szCs w:val="22"/>
        </w:rPr>
        <w:t>“Complaint and Prayer for Declaratory and Injunctive Relief” (May 27, 2015)</w:t>
      </w:r>
    </w:p>
    <w:p w14:paraId="40EEE4F3" w14:textId="77777777" w:rsidR="00562BE9" w:rsidRPr="00DE1B30" w:rsidRDefault="00562BE9" w:rsidP="00562BE9">
      <w:pPr>
        <w:rPr>
          <w:u w:val="single"/>
          <w:shd w:val="clear" w:color="auto" w:fill="FFFFFF"/>
        </w:rPr>
      </w:pPr>
    </w:p>
    <w:p w14:paraId="01DC4573" w14:textId="5CE46476" w:rsidR="00562BE9" w:rsidRPr="00DE1B30" w:rsidRDefault="00562BE9" w:rsidP="00EF6A9F">
      <w:pPr>
        <w:ind w:left="360"/>
        <w:rPr>
          <w:shd w:val="clear" w:color="auto" w:fill="FFFFFF"/>
        </w:rPr>
      </w:pPr>
      <w:r w:rsidRPr="00DE1B30">
        <w:rPr>
          <w:i/>
          <w:iCs/>
          <w:shd w:val="clear" w:color="auto" w:fill="FFFFFF"/>
        </w:rPr>
        <w:t>R.B. v. C.W. (In re Adoption of T.A.W.)</w:t>
      </w:r>
      <w:r w:rsidRPr="00DE1B30">
        <w:rPr>
          <w:shd w:val="clear" w:color="auto" w:fill="FFFFFF"/>
        </w:rPr>
        <w:t>, 186 Wash. 2d 828, 383 P.3d 492, 186 Wn. 2d 828 (Wash. 2016)</w:t>
      </w:r>
    </w:p>
    <w:p w14:paraId="7A60F90F" w14:textId="77777777" w:rsidR="00562BE9" w:rsidRPr="00DE1B30" w:rsidRDefault="00562BE9" w:rsidP="00562BE9">
      <w:pPr>
        <w:rPr>
          <w:u w:val="single"/>
        </w:rPr>
      </w:pPr>
    </w:p>
    <w:p w14:paraId="753F9BB3" w14:textId="6BBA970A" w:rsidR="00562BE9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(L39) </w:t>
      </w:r>
      <w:r w:rsidR="00562BE9" w:rsidRPr="00DE1B30">
        <w:rPr>
          <w:sz w:val="22"/>
          <w:szCs w:val="22"/>
        </w:rPr>
        <w:t>“Amicus Brief,” submitted by Goldwater Institute (September 25, 2015)</w:t>
      </w:r>
    </w:p>
    <w:p w14:paraId="24451E7C" w14:textId="77777777" w:rsidR="00562BE9" w:rsidRPr="00DE1B30" w:rsidRDefault="00562BE9" w:rsidP="00EF6A9F">
      <w:pPr>
        <w:ind w:left="720"/>
        <w:rPr>
          <w:sz w:val="22"/>
          <w:szCs w:val="22"/>
        </w:rPr>
      </w:pPr>
    </w:p>
    <w:p w14:paraId="0AAF49A6" w14:textId="3CB74EC2" w:rsidR="00562BE9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(L40) </w:t>
      </w:r>
      <w:r w:rsidR="00562BE9" w:rsidRPr="00DE1B30">
        <w:rPr>
          <w:sz w:val="22"/>
          <w:szCs w:val="22"/>
        </w:rPr>
        <w:t xml:space="preserve">“Fighting to Achieve Equal Protection for Indian Children: T.A.W.,” produced by The Goldwater Institute (October 7, 2015) </w:t>
      </w:r>
    </w:p>
    <w:p w14:paraId="729C4D19" w14:textId="77777777" w:rsidR="00562BE9" w:rsidRPr="00DE1B30" w:rsidRDefault="00562BE9" w:rsidP="00160F4D">
      <w:pPr>
        <w:rPr>
          <w:u w:val="single"/>
          <w:shd w:val="clear" w:color="auto" w:fill="FFFFFF"/>
        </w:rPr>
      </w:pPr>
    </w:p>
    <w:p w14:paraId="4CA418D6" w14:textId="77777777" w:rsidR="00562BE9" w:rsidRPr="00DE1B30" w:rsidRDefault="00562BE9" w:rsidP="00EF6A9F">
      <w:pPr>
        <w:ind w:left="360"/>
        <w:rPr>
          <w:shd w:val="clear" w:color="auto" w:fill="FFFFFF"/>
        </w:rPr>
      </w:pPr>
      <w:r w:rsidRPr="00DE1B30">
        <w:rPr>
          <w:i/>
          <w:iCs/>
          <w:shd w:val="clear" w:color="auto" w:fill="FFFFFF"/>
        </w:rPr>
        <w:t>Renteria v. Superior Court of Cal</w:t>
      </w:r>
      <w:r w:rsidRPr="00DE1B30">
        <w:rPr>
          <w:shd w:val="clear" w:color="auto" w:fill="FFFFFF"/>
        </w:rPr>
        <w:t>., 138 S. Ct. 986, 200 L. Ed. 2d 250 (2018)</w:t>
      </w:r>
    </w:p>
    <w:p w14:paraId="4E59A89A" w14:textId="77777777" w:rsidR="00562BE9" w:rsidRPr="00DE1B30" w:rsidRDefault="00562BE9" w:rsidP="00562BE9"/>
    <w:p w14:paraId="60A5F422" w14:textId="5F554DEE" w:rsidR="00562BE9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(L41) </w:t>
      </w:r>
      <w:r w:rsidR="00562BE9" w:rsidRPr="00DE1B30">
        <w:rPr>
          <w:sz w:val="22"/>
          <w:szCs w:val="22"/>
        </w:rPr>
        <w:t>“Petition for a Writ of Certiorari” (July 17, 2017)</w:t>
      </w:r>
    </w:p>
    <w:p w14:paraId="5993B489" w14:textId="77777777" w:rsidR="00562BE9" w:rsidRPr="00DE1B30" w:rsidRDefault="00562BE9" w:rsidP="00EF6A9F">
      <w:pPr>
        <w:ind w:left="720"/>
        <w:rPr>
          <w:sz w:val="22"/>
          <w:szCs w:val="22"/>
        </w:rPr>
      </w:pPr>
    </w:p>
    <w:p w14:paraId="1281D319" w14:textId="429E5E9C" w:rsidR="00562BE9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(L42) </w:t>
      </w:r>
      <w:r w:rsidR="00562BE9" w:rsidRPr="00DE1B30">
        <w:rPr>
          <w:sz w:val="22"/>
          <w:szCs w:val="22"/>
        </w:rPr>
        <w:t>“Petition for Review” (July 24, 2017)</w:t>
      </w:r>
    </w:p>
    <w:p w14:paraId="198C2C11" w14:textId="77777777" w:rsidR="00562BE9" w:rsidRPr="00DE1B30" w:rsidRDefault="00562BE9" w:rsidP="00EF6A9F">
      <w:pPr>
        <w:ind w:left="720"/>
        <w:rPr>
          <w:sz w:val="22"/>
          <w:szCs w:val="22"/>
        </w:rPr>
      </w:pPr>
    </w:p>
    <w:p w14:paraId="318354AE" w14:textId="34F413FD" w:rsidR="00562BE9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lastRenderedPageBreak/>
        <w:t xml:space="preserve">(L43) </w:t>
      </w:r>
      <w:r w:rsidR="00562BE9" w:rsidRPr="00DE1B30">
        <w:rPr>
          <w:sz w:val="22"/>
          <w:szCs w:val="22"/>
        </w:rPr>
        <w:t>“Reply to Answer to Petition for Review” (August 17, 2017)</w:t>
      </w:r>
    </w:p>
    <w:p w14:paraId="16545C26" w14:textId="77777777" w:rsidR="00562BE9" w:rsidRPr="00DE1B30" w:rsidRDefault="00562BE9" w:rsidP="00EF6A9F">
      <w:pPr>
        <w:ind w:left="720"/>
        <w:rPr>
          <w:b/>
          <w:bCs/>
          <w:sz w:val="22"/>
          <w:szCs w:val="22"/>
          <w:u w:val="single"/>
        </w:rPr>
      </w:pPr>
    </w:p>
    <w:p w14:paraId="3D5FD57A" w14:textId="77D5DED2" w:rsidR="00562BE9" w:rsidRPr="00DE1B30" w:rsidRDefault="0068346F" w:rsidP="0068346F">
      <w:pPr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(L44) </w:t>
      </w:r>
      <w:r w:rsidR="00562BE9" w:rsidRPr="00DE1B30">
        <w:rPr>
          <w:sz w:val="22"/>
          <w:szCs w:val="22"/>
        </w:rPr>
        <w:t xml:space="preserve">“Renteria v. Superior Court: Equal Protection for Indian Children,” produced by The Goldwater Institute (September 14, 2017) </w:t>
      </w:r>
    </w:p>
    <w:p w14:paraId="208D8197" w14:textId="77777777" w:rsidR="00562BE9" w:rsidRPr="00DE1B30" w:rsidRDefault="00562BE9" w:rsidP="00EF6A9F">
      <w:pPr>
        <w:ind w:left="720"/>
        <w:rPr>
          <w:b/>
          <w:bCs/>
          <w:sz w:val="22"/>
          <w:szCs w:val="22"/>
          <w:u w:val="single"/>
        </w:rPr>
      </w:pPr>
    </w:p>
    <w:p w14:paraId="6FB13048" w14:textId="06EB686A" w:rsidR="00562BE9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(L45) </w:t>
      </w:r>
      <w:r w:rsidR="00562BE9" w:rsidRPr="00DE1B30">
        <w:rPr>
          <w:sz w:val="22"/>
          <w:szCs w:val="22"/>
        </w:rPr>
        <w:t>“Petition for a Writ of Certiorari” (November 2017)</w:t>
      </w:r>
    </w:p>
    <w:p w14:paraId="3F161157" w14:textId="77777777" w:rsidR="00562BE9" w:rsidRPr="00DE1B30" w:rsidRDefault="00562BE9" w:rsidP="00160F4D">
      <w:pPr>
        <w:rPr>
          <w:u w:val="single"/>
          <w:shd w:val="clear" w:color="auto" w:fill="FFFFFF"/>
        </w:rPr>
      </w:pPr>
    </w:p>
    <w:p w14:paraId="6A88CB9C" w14:textId="7146AADF" w:rsidR="008677A4" w:rsidRPr="00DE1B30" w:rsidRDefault="008677A4" w:rsidP="00EF6A9F">
      <w:pPr>
        <w:ind w:left="360"/>
      </w:pPr>
      <w:r w:rsidRPr="00DE1B30">
        <w:rPr>
          <w:i/>
          <w:iCs/>
          <w:shd w:val="clear" w:color="auto" w:fill="FFFFFF"/>
        </w:rPr>
        <w:t>R.K.B. v. E.T.</w:t>
      </w:r>
      <w:r w:rsidRPr="00DE1B30">
        <w:rPr>
          <w:shd w:val="clear" w:color="auto" w:fill="FFFFFF"/>
        </w:rPr>
        <w:t>, 138 S. Ct. 1326, 200 L. Ed. 2d 513 (2018)</w:t>
      </w:r>
    </w:p>
    <w:p w14:paraId="1FDA9220" w14:textId="77777777" w:rsidR="008677A4" w:rsidRPr="00DE1B30" w:rsidRDefault="008677A4" w:rsidP="00160F4D"/>
    <w:p w14:paraId="6CD6DE5D" w14:textId="6053BE75" w:rsidR="00160F4D" w:rsidRPr="00DE1B30" w:rsidRDefault="0068346F" w:rsidP="00EF6A9F">
      <w:pPr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(L46) </w:t>
      </w:r>
      <w:r w:rsidR="00160F4D" w:rsidRPr="00DE1B30">
        <w:rPr>
          <w:sz w:val="22"/>
          <w:szCs w:val="22"/>
        </w:rPr>
        <w:t>“Petition for Writ of Certiorari” (December 29, 2017)</w:t>
      </w:r>
    </w:p>
    <w:p w14:paraId="0A1D7F4A" w14:textId="77777777" w:rsidR="00160F4D" w:rsidRPr="00DE1B30" w:rsidRDefault="00160F4D" w:rsidP="008677A4">
      <w:pPr>
        <w:ind w:left="360"/>
        <w:rPr>
          <w:sz w:val="22"/>
          <w:szCs w:val="22"/>
        </w:rPr>
      </w:pPr>
    </w:p>
    <w:p w14:paraId="28A8E3C5" w14:textId="0ADA5286" w:rsidR="00160F4D" w:rsidRPr="00DE1B30" w:rsidRDefault="0068346F" w:rsidP="0068346F">
      <w:pPr>
        <w:tabs>
          <w:tab w:val="left" w:pos="1080"/>
        </w:tabs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(L47) </w:t>
      </w:r>
      <w:r w:rsidR="00160F4D" w:rsidRPr="00DE1B30">
        <w:rPr>
          <w:sz w:val="22"/>
          <w:szCs w:val="22"/>
        </w:rPr>
        <w:t>“Brief of the Academy of Adoption and Assisted Reproduction Attorneys as Amici Curiae” (February 2018)</w:t>
      </w:r>
    </w:p>
    <w:p w14:paraId="7236C4A5" w14:textId="77777777" w:rsidR="00160F4D" w:rsidRPr="00DE1B30" w:rsidRDefault="00160F4D" w:rsidP="00EF6A9F">
      <w:pPr>
        <w:tabs>
          <w:tab w:val="left" w:pos="720"/>
        </w:tabs>
        <w:ind w:left="720"/>
        <w:rPr>
          <w:sz w:val="22"/>
          <w:szCs w:val="22"/>
        </w:rPr>
      </w:pPr>
    </w:p>
    <w:p w14:paraId="3A22E41B" w14:textId="6A35541D" w:rsidR="00160F4D" w:rsidRPr="00DE1B30" w:rsidRDefault="0068346F" w:rsidP="00EF6A9F">
      <w:pPr>
        <w:tabs>
          <w:tab w:val="left" w:pos="720"/>
        </w:tabs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(L48) </w:t>
      </w:r>
      <w:r w:rsidR="00160F4D" w:rsidRPr="00DE1B30">
        <w:rPr>
          <w:sz w:val="22"/>
          <w:szCs w:val="22"/>
        </w:rPr>
        <w:t>“Brief Amicus Curiae of the Goldwater Institute” (February 2018)</w:t>
      </w:r>
    </w:p>
    <w:p w14:paraId="6795A484" w14:textId="77777777" w:rsidR="00160F4D" w:rsidRPr="00DE1B30" w:rsidRDefault="00160F4D" w:rsidP="00EF6A9F">
      <w:pPr>
        <w:tabs>
          <w:tab w:val="left" w:pos="720"/>
        </w:tabs>
        <w:ind w:left="720"/>
        <w:rPr>
          <w:sz w:val="22"/>
          <w:szCs w:val="22"/>
        </w:rPr>
      </w:pPr>
    </w:p>
    <w:p w14:paraId="153CAD70" w14:textId="77777777" w:rsidR="00562BE9" w:rsidRPr="00DE1B30" w:rsidRDefault="00562BE9" w:rsidP="00EF6A9F">
      <w:pPr>
        <w:ind w:left="360"/>
      </w:pPr>
      <w:r w:rsidRPr="00DE1B30">
        <w:rPr>
          <w:i/>
          <w:iCs/>
          <w:shd w:val="clear" w:color="auto" w:fill="FFFFFF"/>
        </w:rPr>
        <w:t>S.S. v. Stephanie H</w:t>
      </w:r>
      <w:r w:rsidRPr="00DE1B30">
        <w:rPr>
          <w:shd w:val="clear" w:color="auto" w:fill="FFFFFF"/>
        </w:rPr>
        <w:t>., 388 P.3d 569, 241 Ariz. 419, 756 Ariz. Adv. Rep. 43 (Ariz. Ct. App. 2017)</w:t>
      </w:r>
    </w:p>
    <w:p w14:paraId="53D66353" w14:textId="77777777" w:rsidR="00562BE9" w:rsidRPr="00DE1B30" w:rsidRDefault="00562BE9" w:rsidP="00EF6A9F">
      <w:pPr>
        <w:ind w:left="360"/>
      </w:pPr>
    </w:p>
    <w:p w14:paraId="62AD457C" w14:textId="1EA7AD4F" w:rsidR="00562BE9" w:rsidRPr="00DE1B30" w:rsidRDefault="0068346F" w:rsidP="00EF6A9F">
      <w:pPr>
        <w:tabs>
          <w:tab w:val="left" w:pos="720"/>
        </w:tabs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(L49) </w:t>
      </w:r>
      <w:r w:rsidR="00562BE9" w:rsidRPr="00DE1B30">
        <w:rPr>
          <w:sz w:val="22"/>
          <w:szCs w:val="22"/>
        </w:rPr>
        <w:t>“Petition for a Writ of Certiorari” (July 17, 2017)</w:t>
      </w:r>
    </w:p>
    <w:p w14:paraId="2C4F9A30" w14:textId="77777777" w:rsidR="00562BE9" w:rsidRPr="00DE1B30" w:rsidRDefault="00562BE9" w:rsidP="00EF6A9F">
      <w:pPr>
        <w:tabs>
          <w:tab w:val="left" w:pos="720"/>
        </w:tabs>
        <w:ind w:left="720"/>
        <w:rPr>
          <w:b/>
          <w:bCs/>
          <w:sz w:val="22"/>
          <w:szCs w:val="22"/>
          <w:u w:val="single"/>
        </w:rPr>
      </w:pPr>
    </w:p>
    <w:p w14:paraId="04DAEBBF" w14:textId="0B074268" w:rsidR="00562BE9" w:rsidRPr="00DE1B30" w:rsidRDefault="0068346F" w:rsidP="0068346F">
      <w:pPr>
        <w:tabs>
          <w:tab w:val="left" w:pos="1080"/>
        </w:tabs>
        <w:ind w:left="108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(L50) </w:t>
      </w:r>
      <w:r w:rsidR="00562BE9" w:rsidRPr="00DE1B30">
        <w:rPr>
          <w:sz w:val="22"/>
          <w:szCs w:val="22"/>
        </w:rPr>
        <w:t>“</w:t>
      </w:r>
      <w:r w:rsidR="00562BE9" w:rsidRPr="00DE1B30">
        <w:rPr>
          <w:i/>
          <w:iCs/>
          <w:sz w:val="22"/>
          <w:szCs w:val="22"/>
        </w:rPr>
        <w:t>S.S. v. Colorado River Indian Tribes</w:t>
      </w:r>
      <w:r w:rsidR="00562BE9" w:rsidRPr="00DE1B30">
        <w:rPr>
          <w:sz w:val="22"/>
          <w:szCs w:val="22"/>
        </w:rPr>
        <w:t xml:space="preserve">: Equal Protection for Indian Children,” produced by The Goldwater Institute (September 8, 2017) </w:t>
      </w:r>
    </w:p>
    <w:p w14:paraId="615F0A34" w14:textId="77777777" w:rsidR="00562BE9" w:rsidRPr="00DE1B30" w:rsidRDefault="00562BE9" w:rsidP="00EF6A9F">
      <w:pPr>
        <w:tabs>
          <w:tab w:val="left" w:pos="720"/>
        </w:tabs>
        <w:ind w:left="720"/>
        <w:rPr>
          <w:u w:val="single"/>
        </w:rPr>
      </w:pPr>
    </w:p>
    <w:p w14:paraId="348A1686" w14:textId="5D92BCBA" w:rsidR="00562BE9" w:rsidRPr="00DE1B30" w:rsidRDefault="00562BE9" w:rsidP="00EF6A9F">
      <w:pPr>
        <w:ind w:left="360"/>
      </w:pPr>
      <w:r w:rsidRPr="00DE1B30">
        <w:rPr>
          <w:i/>
          <w:iCs/>
        </w:rPr>
        <w:t>Watso v. Lourey</w:t>
      </w:r>
      <w:r w:rsidRPr="00DE1B30">
        <w:rPr>
          <w:shd w:val="clear" w:color="auto" w:fill="FFFFFF"/>
        </w:rPr>
        <w:t>, 929 F.3d 1024 (8th Cir. 2019)</w:t>
      </w:r>
    </w:p>
    <w:p w14:paraId="308EEB9F" w14:textId="77777777" w:rsidR="00562BE9" w:rsidRPr="00DE1B30" w:rsidRDefault="00562BE9" w:rsidP="00562BE9"/>
    <w:p w14:paraId="75F1FD8A" w14:textId="308B4355" w:rsidR="00562BE9" w:rsidRPr="00DE1B30" w:rsidRDefault="0068346F" w:rsidP="00EF6A9F">
      <w:pPr>
        <w:tabs>
          <w:tab w:val="left" w:pos="720"/>
        </w:tabs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(L51) </w:t>
      </w:r>
      <w:r w:rsidR="00562BE9" w:rsidRPr="00DE1B30">
        <w:rPr>
          <w:sz w:val="22"/>
          <w:szCs w:val="22"/>
        </w:rPr>
        <w:t>“(Corrected) Appellants Principal Brief” (May 30, 2018)</w:t>
      </w:r>
    </w:p>
    <w:p w14:paraId="5F987B9C" w14:textId="77777777" w:rsidR="00562BE9" w:rsidRPr="00DE1B30" w:rsidRDefault="00562BE9" w:rsidP="00EF6A9F">
      <w:pPr>
        <w:tabs>
          <w:tab w:val="left" w:pos="360"/>
          <w:tab w:val="left" w:pos="720"/>
        </w:tabs>
        <w:ind w:left="360"/>
        <w:rPr>
          <w:sz w:val="22"/>
          <w:szCs w:val="22"/>
        </w:rPr>
      </w:pPr>
    </w:p>
    <w:p w14:paraId="77CAFFD6" w14:textId="20236C18" w:rsidR="00562BE9" w:rsidRPr="00DE1B30" w:rsidRDefault="0068346F" w:rsidP="00EF6A9F">
      <w:pPr>
        <w:tabs>
          <w:tab w:val="left" w:pos="720"/>
        </w:tabs>
        <w:ind w:left="720"/>
        <w:rPr>
          <w:sz w:val="22"/>
          <w:szCs w:val="22"/>
        </w:rPr>
      </w:pPr>
      <w:r w:rsidRPr="00DE1B30">
        <w:rPr>
          <w:sz w:val="22"/>
          <w:szCs w:val="22"/>
        </w:rPr>
        <w:t xml:space="preserve">(L52) </w:t>
      </w:r>
      <w:r w:rsidR="00562BE9" w:rsidRPr="00DE1B30">
        <w:rPr>
          <w:sz w:val="22"/>
          <w:szCs w:val="22"/>
        </w:rPr>
        <w:t>“Appellants Reply Brief” (July 25, 2018)</w:t>
      </w:r>
    </w:p>
    <w:p w14:paraId="58361899" w14:textId="77777777" w:rsidR="009151F7" w:rsidRPr="00DE1B30" w:rsidRDefault="009151F7" w:rsidP="009151F7"/>
    <w:p w14:paraId="5BA7E06B" w14:textId="77777777" w:rsidR="00437BEF" w:rsidRPr="00DE1B30" w:rsidRDefault="00437BEF">
      <w:pPr>
        <w:rPr>
          <w:b/>
          <w:bCs/>
        </w:rPr>
      </w:pPr>
    </w:p>
    <w:p w14:paraId="32E41DE8" w14:textId="77777777" w:rsidR="00C53337" w:rsidRPr="00DE1B30" w:rsidRDefault="00C53337">
      <w:pPr>
        <w:rPr>
          <w:u w:val="single"/>
        </w:rPr>
      </w:pPr>
      <w:r w:rsidRPr="00DE1B30">
        <w:rPr>
          <w:u w:val="single"/>
        </w:rPr>
        <w:br w:type="page"/>
      </w:r>
    </w:p>
    <w:p w14:paraId="5DBE338D" w14:textId="584A3BC7" w:rsidR="009151F7" w:rsidRPr="00DE1B30" w:rsidRDefault="00437BEF">
      <w:pPr>
        <w:rPr>
          <w:u w:val="single"/>
        </w:rPr>
      </w:pPr>
      <w:r w:rsidRPr="00DE1B30">
        <w:rPr>
          <w:u w:val="single"/>
        </w:rPr>
        <w:lastRenderedPageBreak/>
        <w:t>Supplemental Documents Analyzed</w:t>
      </w:r>
      <w:r w:rsidR="00223F95" w:rsidRPr="00DE1B30">
        <w:rPr>
          <w:u w:val="single"/>
        </w:rPr>
        <w:t xml:space="preserve"> </w:t>
      </w:r>
    </w:p>
    <w:p w14:paraId="0CCF31DB" w14:textId="504CDF28" w:rsidR="0049617F" w:rsidRPr="00DE1B30" w:rsidRDefault="0049617F">
      <w:pPr>
        <w:rPr>
          <w:b/>
          <w:bCs/>
        </w:rPr>
      </w:pPr>
    </w:p>
    <w:p w14:paraId="7DC9E847" w14:textId="5DA1F3AB" w:rsidR="00EE481E" w:rsidRPr="00DE1B30" w:rsidRDefault="00EE481E" w:rsidP="00EE481E">
      <w:pPr>
        <w:rPr>
          <w:highlight w:val="yellow"/>
        </w:rPr>
      </w:pPr>
      <w:r w:rsidRPr="00DE1B30">
        <w:rPr>
          <w:shd w:val="clear" w:color="auto" w:fill="FFFFFF"/>
        </w:rPr>
        <w:t xml:space="preserve">The final analysis sample included the following 14 </w:t>
      </w:r>
      <w:r w:rsidR="00390DFF">
        <w:rPr>
          <w:shd w:val="clear" w:color="auto" w:fill="FFFFFF"/>
        </w:rPr>
        <w:t xml:space="preserve">Goldwater Institute </w:t>
      </w:r>
      <w:r w:rsidRPr="00DE1B30">
        <w:rPr>
          <w:shd w:val="clear" w:color="auto" w:fill="FFFFFF"/>
        </w:rPr>
        <w:t>documents</w:t>
      </w:r>
      <w:r w:rsidR="0068346F" w:rsidRPr="00DE1B30">
        <w:rPr>
          <w:shd w:val="clear" w:color="auto" w:fill="FFFFFF"/>
        </w:rPr>
        <w:t>.  Documents are cited using the codes below:</w:t>
      </w:r>
    </w:p>
    <w:p w14:paraId="641B138D" w14:textId="77777777" w:rsidR="00EE481E" w:rsidRPr="00DE1B30" w:rsidRDefault="00EE481E"/>
    <w:p w14:paraId="099ECBE8" w14:textId="369D985E" w:rsidR="00F206FB" w:rsidRPr="00DE1B30" w:rsidRDefault="0068346F" w:rsidP="0068346F">
      <w:pPr>
        <w:ind w:left="720" w:hanging="360"/>
        <w:rPr>
          <w:sz w:val="22"/>
          <w:szCs w:val="22"/>
        </w:rPr>
      </w:pPr>
      <w:r w:rsidRPr="00DE1B30">
        <w:rPr>
          <w:sz w:val="22"/>
          <w:szCs w:val="22"/>
        </w:rPr>
        <w:t xml:space="preserve">(G1) </w:t>
      </w:r>
      <w:r w:rsidR="00F206FB" w:rsidRPr="00DE1B30">
        <w:rPr>
          <w:sz w:val="22"/>
          <w:szCs w:val="22"/>
        </w:rPr>
        <w:t xml:space="preserve">Coleman, Starlee. </w:t>
      </w:r>
      <w:r w:rsidR="00DA099F" w:rsidRPr="00DE1B30">
        <w:rPr>
          <w:sz w:val="22"/>
          <w:szCs w:val="22"/>
        </w:rPr>
        <w:t xml:space="preserve">2016. </w:t>
      </w:r>
      <w:bookmarkStart w:id="15" w:name="_Hlk164688821"/>
      <w:r w:rsidR="00F206FB" w:rsidRPr="00DE1B30">
        <w:rPr>
          <w:i/>
          <w:iCs/>
          <w:sz w:val="22"/>
          <w:szCs w:val="22"/>
        </w:rPr>
        <w:t>Goldwater Institute Supports Appeal by Foster Parents in Controversial Indian Child Adoption Case</w:t>
      </w:r>
      <w:bookmarkEnd w:id="15"/>
      <w:r w:rsidR="00F206FB" w:rsidRPr="00DE1B30">
        <w:rPr>
          <w:sz w:val="22"/>
          <w:szCs w:val="22"/>
        </w:rPr>
        <w:t>. Goldwater Institute.</w:t>
      </w:r>
    </w:p>
    <w:p w14:paraId="57020C9E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595214DB" w14:textId="104BDB11" w:rsidR="00437BEF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(G2) </w:t>
      </w:r>
      <w:proofErr w:type="spellStart"/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>Dynar</w:t>
      </w:r>
      <w:proofErr w:type="spellEnd"/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 xml:space="preserve">, Ali. 2019. </w:t>
      </w:r>
      <w:r w:rsidR="00437BEF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In Defense of Liberty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>. Goldwater Institute.</w:t>
      </w:r>
    </w:p>
    <w:p w14:paraId="2A32D477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45128949" w14:textId="5A499830" w:rsidR="00437BEF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(G3) 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 xml:space="preserve">Flatten, Mark. 2015. </w:t>
      </w:r>
      <w:r w:rsidR="00437BEF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Death on a Reservation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>. Phoenix, AZ: Goldwater Institute.</w:t>
      </w:r>
    </w:p>
    <w:p w14:paraId="53BBD7D4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44F8414A" w14:textId="6850485E" w:rsidR="00F206FB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(G4) </w:t>
      </w:r>
      <w:r w:rsidR="00F206FB" w:rsidRPr="00DE1B30">
        <w:rPr>
          <w:rFonts w:eastAsia="Times New Roman"/>
          <w:kern w:val="0"/>
          <w:sz w:val="22"/>
          <w:szCs w:val="22"/>
          <w14:ligatures w14:val="none"/>
        </w:rPr>
        <w:t xml:space="preserve">Goldwater Institute. 2019. </w:t>
      </w:r>
      <w:bookmarkStart w:id="16" w:name="_Hlk164687939"/>
      <w:r w:rsidR="00F206FB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Ensuring Equal Protection for Native American Children</w:t>
      </w:r>
      <w:bookmarkEnd w:id="16"/>
      <w:r w:rsidR="00F206FB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: Challenging the Indian Child Welfare Act.</w:t>
      </w:r>
      <w:r w:rsidR="00F206FB" w:rsidRPr="00DE1B30">
        <w:rPr>
          <w:rFonts w:eastAsia="Times New Roman"/>
          <w:kern w:val="0"/>
          <w:sz w:val="22"/>
          <w:szCs w:val="22"/>
          <w14:ligatures w14:val="none"/>
        </w:rPr>
        <w:t xml:space="preserve"> Goldwater Institute.</w:t>
      </w:r>
    </w:p>
    <w:p w14:paraId="6F5894DE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539DD827" w14:textId="71C948AD" w:rsidR="00437BEF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(G5) 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 xml:space="preserve">Sandefur, Timothy. 2016. “Lexi and Veronica - The Dandelions.” </w:t>
      </w:r>
      <w:r w:rsidR="00437BEF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CATO Unbound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>.</w:t>
      </w:r>
    </w:p>
    <w:p w14:paraId="186D80FF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0D283189" w14:textId="70C3AEBE" w:rsidR="00437BEF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(G6) 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 xml:space="preserve">Sandefur, Timothy. 2016. “Racial Discrimination Is No ‘Gold Standard.’” </w:t>
      </w:r>
      <w:r w:rsidR="00437BEF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CATO Unbound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>.</w:t>
      </w:r>
    </w:p>
    <w:p w14:paraId="15323941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1D8BBA40" w14:textId="282DE13B" w:rsidR="00F66DDC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(G7) </w:t>
      </w:r>
      <w:r w:rsidR="00F66DDC" w:rsidRPr="00DE1B30">
        <w:rPr>
          <w:rFonts w:eastAsia="Times New Roman"/>
          <w:kern w:val="0"/>
          <w:sz w:val="22"/>
          <w:szCs w:val="22"/>
          <w14:ligatures w14:val="none"/>
        </w:rPr>
        <w:t xml:space="preserve">Sandefur, Timothy. 2016. “How to Fix ICWA.” </w:t>
      </w:r>
      <w:r w:rsidR="00F66DDC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CATO Unbound</w:t>
      </w:r>
      <w:r w:rsidR="00F66DDC" w:rsidRPr="00DE1B30">
        <w:rPr>
          <w:rFonts w:eastAsia="Times New Roman"/>
          <w:kern w:val="0"/>
          <w:sz w:val="22"/>
          <w:szCs w:val="22"/>
          <w14:ligatures w14:val="none"/>
        </w:rPr>
        <w:t>.</w:t>
      </w:r>
    </w:p>
    <w:p w14:paraId="0A52660F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5A010938" w14:textId="2B497AE2" w:rsidR="00437BEF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(G8) 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 xml:space="preserve">Sandefur, Timothy. 2016. “Treat Children as Individuals, Not as Resources.” </w:t>
      </w:r>
      <w:r w:rsidR="00437BEF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CATO Unbound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>.</w:t>
      </w:r>
    </w:p>
    <w:p w14:paraId="343676FE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3257B7A2" w14:textId="06D4B0CF" w:rsidR="00DA099F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(G9) </w:t>
      </w:r>
      <w:r w:rsidR="00DA099F" w:rsidRPr="00DE1B30">
        <w:rPr>
          <w:rFonts w:eastAsia="Times New Roman"/>
          <w:kern w:val="0"/>
          <w:sz w:val="22"/>
          <w:szCs w:val="22"/>
          <w14:ligatures w14:val="none"/>
        </w:rPr>
        <w:t xml:space="preserve">Sandefur, Timothy. 2016. “Sovereignty - Tribal or Otherwise - Must Respect Our Rights.” </w:t>
      </w:r>
      <w:r w:rsidR="00DA099F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CATO Unbound</w:t>
      </w:r>
      <w:r w:rsidR="00DA099F" w:rsidRPr="00DE1B30">
        <w:rPr>
          <w:rFonts w:eastAsia="Times New Roman"/>
          <w:kern w:val="0"/>
          <w:sz w:val="22"/>
          <w:szCs w:val="22"/>
          <w14:ligatures w14:val="none"/>
        </w:rPr>
        <w:t>.</w:t>
      </w:r>
    </w:p>
    <w:p w14:paraId="45D9F87D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6A2CA009" w14:textId="49A2C5A6" w:rsidR="00DA099F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(G10) </w:t>
      </w:r>
      <w:r w:rsidR="00DA099F" w:rsidRPr="00DE1B30">
        <w:rPr>
          <w:rFonts w:eastAsia="Times New Roman"/>
          <w:kern w:val="0"/>
          <w:sz w:val="22"/>
          <w:szCs w:val="22"/>
          <w14:ligatures w14:val="none"/>
        </w:rPr>
        <w:t xml:space="preserve">Sandefur, Timothy. 2016. “The Best Interests of Individual Children.” </w:t>
      </w:r>
      <w:r w:rsidR="00DA099F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CATO Unbound</w:t>
      </w:r>
      <w:r w:rsidR="00DA099F" w:rsidRPr="00DE1B30">
        <w:rPr>
          <w:rFonts w:eastAsia="Times New Roman"/>
          <w:kern w:val="0"/>
          <w:sz w:val="22"/>
          <w:szCs w:val="22"/>
          <w14:ligatures w14:val="none"/>
        </w:rPr>
        <w:t>.</w:t>
      </w:r>
    </w:p>
    <w:p w14:paraId="70AD1025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</w:p>
    <w:p w14:paraId="74CB88E0" w14:textId="5EA0607F" w:rsidR="00437BEF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(G11) 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 xml:space="preserve">Sandefur, Timothy. 2017. </w:t>
      </w:r>
      <w:r w:rsidR="00437BEF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Escaping the ICWA Penalty Box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>. Goldwater Institute.</w:t>
      </w:r>
    </w:p>
    <w:p w14:paraId="0AE83116" w14:textId="34EED962" w:rsidR="00437BEF" w:rsidRPr="00DE1B30" w:rsidRDefault="00437BEF" w:rsidP="0068346F">
      <w:pPr>
        <w:ind w:left="72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rFonts w:eastAsia="Times New Roman"/>
          <w:kern w:val="0"/>
          <w:sz w:val="22"/>
          <w:szCs w:val="22"/>
          <w14:ligatures w14:val="none"/>
        </w:rPr>
        <w:t xml:space="preserve">*Also published </w:t>
      </w:r>
      <w:r w:rsidR="00F66DDC" w:rsidRPr="00DE1B30">
        <w:rPr>
          <w:rFonts w:eastAsia="Times New Roman"/>
          <w:kern w:val="0"/>
          <w:sz w:val="22"/>
          <w:szCs w:val="22"/>
          <w14:ligatures w14:val="none"/>
        </w:rPr>
        <w:t>in short form</w:t>
      </w:r>
      <w:r w:rsidR="001F690D" w:rsidRPr="00DE1B30">
        <w:rPr>
          <w:rFonts w:eastAsia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1F690D" w:rsidRPr="00DE1B30">
        <w:rPr>
          <w:rFonts w:eastAsia="Times New Roman"/>
          <w:kern w:val="0"/>
          <w:sz w:val="22"/>
          <w:szCs w:val="22"/>
          <w14:ligatures w14:val="none"/>
        </w:rPr>
        <w:t>andin</w:t>
      </w:r>
      <w:proofErr w:type="spellEnd"/>
      <w:r w:rsidR="001F690D" w:rsidRPr="00DE1B30">
        <w:rPr>
          <w:rFonts w:eastAsia="Times New Roman"/>
          <w:kern w:val="0"/>
          <w:sz w:val="22"/>
          <w:szCs w:val="22"/>
          <w14:ligatures w14:val="none"/>
        </w:rPr>
        <w:t xml:space="preserve"> the </w:t>
      </w:r>
      <w:r w:rsidR="001F690D" w:rsidRPr="00DE1B30">
        <w:rPr>
          <w:i/>
          <w:iCs/>
          <w:sz w:val="22"/>
          <w:szCs w:val="22"/>
          <w:shd w:val="clear" w:color="auto" w:fill="FFFFFF"/>
        </w:rPr>
        <w:t>Children's Legal Rights Journal.</w:t>
      </w:r>
    </w:p>
    <w:p w14:paraId="5D16279F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3F4EE9EB" w14:textId="0CF99A47" w:rsidR="00437BEF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(G12) 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 xml:space="preserve">Sandefur, Timothy. 2017. “Suffer the Little Children.” </w:t>
      </w:r>
      <w:r w:rsidR="00437BEF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Regulation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 xml:space="preserve"> Winter:16–20.</w:t>
      </w:r>
    </w:p>
    <w:p w14:paraId="72D3036F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5170AF9E" w14:textId="72BE636F" w:rsidR="00437BEF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(G13) 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 xml:space="preserve">Sandefur, Timothy. 2018. </w:t>
      </w:r>
      <w:r w:rsidR="00437BEF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Family Malpractice</w:t>
      </w:r>
      <w:r w:rsidR="00437BEF" w:rsidRPr="00DE1B30">
        <w:rPr>
          <w:rFonts w:eastAsia="Times New Roman"/>
          <w:kern w:val="0"/>
          <w:sz w:val="22"/>
          <w:szCs w:val="22"/>
          <w14:ligatures w14:val="none"/>
        </w:rPr>
        <w:t>. Goldwater Institute.</w:t>
      </w:r>
    </w:p>
    <w:p w14:paraId="07CFAD7D" w14:textId="77777777" w:rsidR="0049617F" w:rsidRPr="00DE1B30" w:rsidRDefault="0049617F" w:rsidP="0068346F">
      <w:pPr>
        <w:ind w:left="720" w:hanging="360"/>
        <w:rPr>
          <w:rFonts w:eastAsia="Times New Roman"/>
          <w:kern w:val="0"/>
          <w:sz w:val="22"/>
          <w:szCs w:val="22"/>
          <w:highlight w:val="yellow"/>
          <w14:ligatures w14:val="none"/>
        </w:rPr>
      </w:pPr>
    </w:p>
    <w:p w14:paraId="32B4C9F7" w14:textId="707FD294" w:rsidR="00F66DDC" w:rsidRPr="00DE1B30" w:rsidRDefault="0068346F" w:rsidP="0068346F">
      <w:pPr>
        <w:ind w:left="720" w:hanging="360"/>
        <w:rPr>
          <w:rFonts w:eastAsia="Times New Roman"/>
          <w:kern w:val="0"/>
          <w:sz w:val="22"/>
          <w:szCs w:val="22"/>
          <w14:ligatures w14:val="none"/>
        </w:rPr>
      </w:pPr>
      <w:r w:rsidRPr="00DE1B30">
        <w:rPr>
          <w:sz w:val="22"/>
          <w:szCs w:val="22"/>
        </w:rPr>
        <w:t xml:space="preserve">(G14) </w:t>
      </w:r>
      <w:r w:rsidR="00F66DDC" w:rsidRPr="00DE1B30">
        <w:rPr>
          <w:rFonts w:eastAsia="Times New Roman"/>
          <w:kern w:val="0"/>
          <w:sz w:val="22"/>
          <w:szCs w:val="22"/>
          <w14:ligatures w14:val="none"/>
        </w:rPr>
        <w:t xml:space="preserve">Sandefur, Timothy. 2018. “Recent Developments in Indian Child Welfare Act Litigation: Moving Toward Equal Protection?” </w:t>
      </w:r>
      <w:r w:rsidR="00F66DDC" w:rsidRPr="00DE1B30">
        <w:rPr>
          <w:rFonts w:eastAsia="Times New Roman"/>
          <w:i/>
          <w:iCs/>
          <w:kern w:val="0"/>
          <w:sz w:val="22"/>
          <w:szCs w:val="22"/>
          <w14:ligatures w14:val="none"/>
        </w:rPr>
        <w:t>Texas Review of Law &amp; Politics</w:t>
      </w:r>
      <w:r w:rsidR="00F66DDC" w:rsidRPr="00DE1B30">
        <w:rPr>
          <w:rFonts w:eastAsia="Times New Roman"/>
          <w:kern w:val="0"/>
          <w:sz w:val="22"/>
          <w:szCs w:val="22"/>
          <w14:ligatures w14:val="none"/>
        </w:rPr>
        <w:t xml:space="preserve"> 23(3):425–65.</w:t>
      </w:r>
    </w:p>
    <w:p w14:paraId="13342690" w14:textId="77777777" w:rsidR="00390DFF" w:rsidRDefault="00390DFF">
      <w:pPr>
        <w:rPr>
          <w:rFonts w:eastAsia="Times New Roman"/>
          <w:kern w:val="0"/>
          <w:u w:val="single"/>
          <w14:ligatures w14:val="none"/>
        </w:rPr>
      </w:pPr>
      <w:r>
        <w:rPr>
          <w:rFonts w:eastAsia="Times New Roman"/>
          <w:kern w:val="0"/>
          <w:u w:val="single"/>
          <w14:ligatures w14:val="none"/>
        </w:rPr>
        <w:br w:type="page"/>
      </w:r>
    </w:p>
    <w:p w14:paraId="0E01ED6F" w14:textId="290DD86A" w:rsidR="00C53337" w:rsidRPr="00DE1B30" w:rsidRDefault="00C53337" w:rsidP="00C53337">
      <w:pPr>
        <w:rPr>
          <w:rFonts w:eastAsia="Times New Roman"/>
          <w:kern w:val="0"/>
          <w:u w:val="single"/>
          <w14:ligatures w14:val="none"/>
        </w:rPr>
      </w:pPr>
      <w:r w:rsidRPr="00DE1B30">
        <w:rPr>
          <w:rFonts w:eastAsia="Times New Roman"/>
          <w:kern w:val="0"/>
          <w:u w:val="single"/>
          <w14:ligatures w14:val="none"/>
        </w:rPr>
        <w:lastRenderedPageBreak/>
        <w:t>Coding Scheme</w:t>
      </w:r>
    </w:p>
    <w:p w14:paraId="7AFE63B5" w14:textId="77777777" w:rsidR="00C53337" w:rsidRPr="00DE1B30" w:rsidRDefault="00C53337" w:rsidP="00C53337">
      <w:pPr>
        <w:rPr>
          <w:rFonts w:eastAsia="Times New Roman"/>
          <w:kern w:val="0"/>
          <w14:ligatures w14:val="none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220"/>
      </w:tblGrid>
      <w:tr w:rsidR="00DE1B30" w:rsidRPr="00DE1B30" w14:paraId="0A93EF57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</w:tcPr>
          <w:p w14:paraId="0C44134A" w14:textId="77777777" w:rsidR="00C53337" w:rsidRPr="00DE1B30" w:rsidRDefault="00C53337" w:rsidP="00C53337">
            <w:pPr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Code</w:t>
            </w:r>
          </w:p>
        </w:tc>
        <w:tc>
          <w:tcPr>
            <w:tcW w:w="5220" w:type="dxa"/>
            <w:shd w:val="clear" w:color="auto" w:fill="auto"/>
            <w:noWrap/>
            <w:vAlign w:val="bottom"/>
          </w:tcPr>
          <w:p w14:paraId="2AA4AD2A" w14:textId="77777777" w:rsidR="00C53337" w:rsidRPr="00DE1B30" w:rsidRDefault="00C53337" w:rsidP="00C53337">
            <w:pPr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DE1B30" w:rsidRPr="00DE1B30" w14:paraId="3A760225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</w:tcPr>
          <w:p w14:paraId="6851903B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Document Set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14:paraId="1C17070B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E1B30" w:rsidRPr="00DE1B30" w14:paraId="2AC04A43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</w:tcPr>
          <w:p w14:paraId="5C3D146A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Court Case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14:paraId="2E451195" w14:textId="7E390B73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Document is from the dataset of legal cases </w:t>
            </w:r>
          </w:p>
        </w:tc>
      </w:tr>
      <w:tr w:rsidR="00DE1B30" w:rsidRPr="00DE1B30" w14:paraId="4D6A32E3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</w:tcPr>
          <w:p w14:paraId="46F6D95D" w14:textId="2FD95E22" w:rsidR="00C53337" w:rsidRPr="00DE1B30" w:rsidRDefault="00C53337" w:rsidP="00C53337">
            <w:pPr>
              <w:ind w:left="144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Specific Case</w:t>
            </w:r>
          </w:p>
        </w:tc>
        <w:tc>
          <w:tcPr>
            <w:tcW w:w="5220" w:type="dxa"/>
            <w:shd w:val="clear" w:color="auto" w:fill="auto"/>
            <w:noWrap/>
            <w:vAlign w:val="center"/>
          </w:tcPr>
          <w:p w14:paraId="06FDB089" w14:textId="3E152654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Subcode for each of the 18 legal cases</w:t>
            </w:r>
          </w:p>
        </w:tc>
      </w:tr>
      <w:tr w:rsidR="00DE1B30" w:rsidRPr="00DE1B30" w14:paraId="2DEEE53A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DEDAA9B" w14:textId="0B2652FC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Goldwater Document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11B6D3FA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Document is from the dataset of Goldwater publications</w:t>
            </w:r>
          </w:p>
        </w:tc>
      </w:tr>
      <w:tr w:rsidR="00DE1B30" w:rsidRPr="00DE1B30" w14:paraId="4E4A0805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40DCBFE1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Erasure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6FBA0476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E1B30" w:rsidRPr="00DE1B30" w14:paraId="3ECBB589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9228A0D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No History – Full Document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0D16CD39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Document contains no mention of ICWA’s historical antecedents (e.g. genocide, assimilation, forced child removals, etc)</w:t>
            </w:r>
          </w:p>
        </w:tc>
      </w:tr>
      <w:tr w:rsidR="00DE1B30" w:rsidRPr="00DE1B30" w14:paraId="1E72A30F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8001A98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Historical Dispossession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2708FA2F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Truncated or minimized discussion of ICWA’s historical antecedents (e.g. genocide, assimilation, forced child removals, etc)</w:t>
            </w:r>
          </w:p>
        </w:tc>
      </w:tr>
      <w:tr w:rsidR="00DE1B30" w:rsidRPr="00DE1B30" w14:paraId="5E309870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EE642F4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Settler Normativity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52A34F93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E1B30" w:rsidRPr="00DE1B30" w14:paraId="70BC1C2A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954D8F5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Settler Savior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1713E16F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Framing of white foster/adoptive families as the best hope for tribal children</w:t>
            </w:r>
          </w:p>
        </w:tc>
      </w:tr>
      <w:tr w:rsidR="00DE1B30" w:rsidRPr="00DE1B30" w14:paraId="2FC6CAE6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7B9163FA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Settler Injury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13B55D3E" w14:textId="2E2076E8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Framing of white</w:t>
            </w:r>
            <w:r w:rsidR="00371E68"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foster families as victims </w:t>
            </w:r>
          </w:p>
        </w:tc>
      </w:tr>
      <w:tr w:rsidR="00DE1B30" w:rsidRPr="00DE1B30" w14:paraId="545C64D5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786295F2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Negative Judgements: </w:t>
            </w:r>
          </w:p>
          <w:p w14:paraId="791F4E2F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Native Nations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41076938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Negative framing of tribal governments </w:t>
            </w:r>
          </w:p>
        </w:tc>
      </w:tr>
      <w:tr w:rsidR="00DE1B30" w:rsidRPr="00DE1B30" w14:paraId="22DE930F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779510E6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Negative Judgements: </w:t>
            </w:r>
          </w:p>
          <w:p w14:paraId="2CB6395F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American Indians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65C3C80D" w14:textId="7A196F2F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Negative framing of American Indians</w:t>
            </w:r>
            <w:r w:rsidR="00371E68"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/Native Americans</w:t>
            </w:r>
          </w:p>
        </w:tc>
      </w:tr>
      <w:tr w:rsidR="00DE1B30" w:rsidRPr="00DE1B30" w14:paraId="609984F0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4FBC7559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Substandard Protection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0BEEBB71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Argument that ICWA provides substandard protections for children because it prioritizes tribal preservation</w:t>
            </w:r>
          </w:p>
        </w:tc>
      </w:tr>
      <w:tr w:rsidR="00DE1B30" w:rsidRPr="00DE1B30" w14:paraId="4F0EE93F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7C8DCF70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Individualism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675BFD3D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Argument that ICWA runs counter to individual rights</w:t>
            </w:r>
          </w:p>
        </w:tc>
      </w:tr>
      <w:tr w:rsidR="00DE1B30" w:rsidRPr="00DE1B30" w14:paraId="4DE124AF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A16F8CC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Reclassification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2E535498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Framing of “Indian” as a racial category rather than a political citizenship status</w:t>
            </w:r>
          </w:p>
        </w:tc>
      </w:tr>
      <w:tr w:rsidR="00DE1B30" w:rsidRPr="00DE1B30" w14:paraId="6F661BE0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514922C4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Colorblindness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7DC7A732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E1B30" w:rsidRPr="00DE1B30" w14:paraId="70985FB2" w14:textId="77777777" w:rsidTr="00DE1B30">
        <w:trPr>
          <w:trHeight w:val="7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B48642D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General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6337D94E" w14:textId="5B6ED94C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Argument that any consideration of race </w:t>
            </w:r>
            <w:r w:rsidR="00371E68"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constitutes</w:t>
            </w: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preferential treatment or discrimination; argument that law/policy should not consider race at all  </w:t>
            </w:r>
          </w:p>
        </w:tc>
      </w:tr>
      <w:tr w:rsidR="00DE1B30" w:rsidRPr="00DE1B30" w14:paraId="38B250C5" w14:textId="77777777" w:rsidTr="00DE1B30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09C321E" w14:textId="77777777" w:rsidR="00C53337" w:rsidRPr="00DE1B30" w:rsidRDefault="00C53337" w:rsidP="00C53337">
            <w:pPr>
              <w:ind w:left="720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Reverse Racism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233B6584" w14:textId="77777777" w:rsidR="00C53337" w:rsidRPr="00DE1B30" w:rsidRDefault="00C53337" w:rsidP="00C53337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DE1B3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Argument that ICWA discriminates against white families (e.g. denying them the right to foster/adopt)</w:t>
            </w:r>
          </w:p>
        </w:tc>
      </w:tr>
    </w:tbl>
    <w:p w14:paraId="2BD16AE9" w14:textId="77777777" w:rsidR="00C53337" w:rsidRPr="00DE1B30" w:rsidRDefault="00C53337" w:rsidP="00C53337">
      <w:pPr>
        <w:rPr>
          <w:rFonts w:eastAsia="Times New Roman"/>
          <w:kern w:val="0"/>
          <w14:ligatures w14:val="none"/>
        </w:rPr>
      </w:pPr>
    </w:p>
    <w:p w14:paraId="1BFF4237" w14:textId="77777777" w:rsidR="00C53337" w:rsidRPr="00DE1B30" w:rsidRDefault="00C53337" w:rsidP="00C53337">
      <w:pPr>
        <w:rPr>
          <w:rFonts w:eastAsia="Times New Roman"/>
          <w:kern w:val="0"/>
          <w:highlight w:val="yellow"/>
          <w14:ligatures w14:val="none"/>
        </w:rPr>
      </w:pPr>
    </w:p>
    <w:p w14:paraId="39BCEBB2" w14:textId="77777777" w:rsidR="0049617F" w:rsidRPr="00DE1B30" w:rsidRDefault="0049617F" w:rsidP="0049617F">
      <w:pPr>
        <w:rPr>
          <w:rFonts w:eastAsia="Times New Roman"/>
          <w:kern w:val="0"/>
          <w:highlight w:val="yellow"/>
          <w14:ligatures w14:val="none"/>
        </w:rPr>
      </w:pPr>
    </w:p>
    <w:sectPr w:rsidR="0049617F" w:rsidRPr="00DE1B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DD635" w14:textId="77777777" w:rsidR="006A6563" w:rsidRDefault="006A6563" w:rsidP="00F30E96">
      <w:r>
        <w:separator/>
      </w:r>
    </w:p>
  </w:endnote>
  <w:endnote w:type="continuationSeparator" w:id="0">
    <w:p w14:paraId="6D9F1892" w14:textId="77777777" w:rsidR="006A6563" w:rsidRDefault="006A6563" w:rsidP="00F3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113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BD894" w14:textId="73E2B756" w:rsidR="0096021D" w:rsidRDefault="009602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FE97A" w14:textId="77777777" w:rsidR="0096021D" w:rsidRDefault="00960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AE13" w14:textId="77777777" w:rsidR="006A6563" w:rsidRDefault="006A6563" w:rsidP="00F30E96">
      <w:r>
        <w:separator/>
      </w:r>
    </w:p>
  </w:footnote>
  <w:footnote w:type="continuationSeparator" w:id="0">
    <w:p w14:paraId="79A07F09" w14:textId="77777777" w:rsidR="006A6563" w:rsidRDefault="006A6563" w:rsidP="00F30E96">
      <w:r>
        <w:continuationSeparator/>
      </w:r>
    </w:p>
  </w:footnote>
  <w:footnote w:id="1">
    <w:p w14:paraId="74DA9121" w14:textId="77777777" w:rsidR="00562BE9" w:rsidRDefault="00562BE9" w:rsidP="00562BE9">
      <w:pPr>
        <w:pStyle w:val="FootnoteText"/>
      </w:pPr>
      <w:r>
        <w:rPr>
          <w:rStyle w:val="FootnoteReference"/>
        </w:rPr>
        <w:footnoteRef/>
      </w:r>
      <w:r>
        <w:t xml:space="preserve"> Also known as </w:t>
      </w:r>
      <w:r w:rsidRPr="00C334CF">
        <w:rPr>
          <w:i/>
          <w:iCs/>
        </w:rPr>
        <w:t>Brackeen v. Zinke</w:t>
      </w:r>
      <w:r>
        <w:rPr>
          <w:i/>
          <w:iCs/>
        </w:rPr>
        <w:t xml:space="preserve"> </w:t>
      </w:r>
      <w:r w:rsidRPr="00C334CF">
        <w:t>(2018),</w:t>
      </w:r>
      <w:r>
        <w:t xml:space="preserve"> </w:t>
      </w:r>
      <w:r w:rsidRPr="00C334CF">
        <w:rPr>
          <w:i/>
          <w:iCs/>
        </w:rPr>
        <w:t>Brackeen v. Haaland</w:t>
      </w:r>
      <w:r>
        <w:t xml:space="preserve"> (2021)</w:t>
      </w:r>
      <w:r w:rsidRPr="00C334CF">
        <w:t>, and</w:t>
      </w:r>
      <w:r>
        <w:rPr>
          <w:i/>
          <w:iCs/>
        </w:rPr>
        <w:t xml:space="preserve"> Haaland v. Brackeen </w:t>
      </w:r>
      <w:r w:rsidRPr="00C334CF">
        <w:t>(2023)</w:t>
      </w:r>
    </w:p>
  </w:footnote>
  <w:footnote w:id="2">
    <w:p w14:paraId="7FFE99A4" w14:textId="32A0DC72" w:rsidR="00562BE9" w:rsidRPr="00C334CF" w:rsidRDefault="00562BE9" w:rsidP="00562BE9">
      <w:pPr>
        <w:pStyle w:val="FootnoteText"/>
        <w:rPr>
          <w:u w:val="single"/>
        </w:rPr>
      </w:pPr>
      <w:r>
        <w:rPr>
          <w:rStyle w:val="FootnoteReference"/>
        </w:rPr>
        <w:footnoteRef/>
      </w:r>
      <w:r>
        <w:t xml:space="preserve"> </w:t>
      </w:r>
      <w:r w:rsidR="00DE1B30">
        <w:t>Also known as</w:t>
      </w:r>
      <w:r>
        <w:t xml:space="preserve"> </w:t>
      </w:r>
      <w:r w:rsidRPr="00F30E96">
        <w:rPr>
          <w:i/>
          <w:iCs/>
        </w:rPr>
        <w:t>A.D. v Washburn</w:t>
      </w:r>
      <w:r w:rsidRPr="00C334CF">
        <w:t xml:space="preserve"> (2016)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26E"/>
    <w:multiLevelType w:val="hybridMultilevel"/>
    <w:tmpl w:val="EDAA16F6"/>
    <w:lvl w:ilvl="0" w:tplc="5360E0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E0D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FE8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84E01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864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2AF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985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74E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8BAC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FD7E22"/>
    <w:multiLevelType w:val="hybridMultilevel"/>
    <w:tmpl w:val="57D05B38"/>
    <w:lvl w:ilvl="0" w:tplc="EA14B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0C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ECC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E0AB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B0D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114F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C8E7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6AC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68B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41976FBF"/>
    <w:multiLevelType w:val="hybridMultilevel"/>
    <w:tmpl w:val="8E049F52"/>
    <w:lvl w:ilvl="0" w:tplc="AA0AE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6A3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D45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B308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D016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D47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D6D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FEA4E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826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4AA1383"/>
    <w:multiLevelType w:val="hybridMultilevel"/>
    <w:tmpl w:val="9DD0D11C"/>
    <w:lvl w:ilvl="0" w:tplc="A686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9E8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994B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DCB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B0A1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845E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0ACA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5C09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93057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6AEF179C"/>
    <w:multiLevelType w:val="hybridMultilevel"/>
    <w:tmpl w:val="D4369B24"/>
    <w:lvl w:ilvl="0" w:tplc="2946A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423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A071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E6E5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FC7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E43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D961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46D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F849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6D7D28DA"/>
    <w:multiLevelType w:val="hybridMultilevel"/>
    <w:tmpl w:val="D8D4FDC2"/>
    <w:lvl w:ilvl="0" w:tplc="AECAF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14D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7DEC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F82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8547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9A0F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543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D6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CD68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7E8B6CCD"/>
    <w:multiLevelType w:val="hybridMultilevel"/>
    <w:tmpl w:val="72F4924E"/>
    <w:lvl w:ilvl="0" w:tplc="61E03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EE5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FEE18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C644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C2861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F1A6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9A8C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460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B8B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425812405">
    <w:abstractNumId w:val="2"/>
  </w:num>
  <w:num w:numId="2" w16cid:durableId="1388068586">
    <w:abstractNumId w:val="0"/>
  </w:num>
  <w:num w:numId="3" w16cid:durableId="428429108">
    <w:abstractNumId w:val="3"/>
  </w:num>
  <w:num w:numId="4" w16cid:durableId="92014172">
    <w:abstractNumId w:val="5"/>
  </w:num>
  <w:num w:numId="5" w16cid:durableId="1798647893">
    <w:abstractNumId w:val="1"/>
  </w:num>
  <w:num w:numId="6" w16cid:durableId="1655379538">
    <w:abstractNumId w:val="6"/>
  </w:num>
  <w:num w:numId="7" w16cid:durableId="885534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C"/>
    <w:rsid w:val="00041F21"/>
    <w:rsid w:val="00044250"/>
    <w:rsid w:val="0008681C"/>
    <w:rsid w:val="000A3AAC"/>
    <w:rsid w:val="000E41ED"/>
    <w:rsid w:val="000F1686"/>
    <w:rsid w:val="000F5AD7"/>
    <w:rsid w:val="00101B83"/>
    <w:rsid w:val="00101F63"/>
    <w:rsid w:val="00107D5D"/>
    <w:rsid w:val="001200C9"/>
    <w:rsid w:val="001503CC"/>
    <w:rsid w:val="00160F4D"/>
    <w:rsid w:val="001A32FA"/>
    <w:rsid w:val="001E6901"/>
    <w:rsid w:val="001F690D"/>
    <w:rsid w:val="002131EE"/>
    <w:rsid w:val="00213672"/>
    <w:rsid w:val="00223F95"/>
    <w:rsid w:val="0027611C"/>
    <w:rsid w:val="002E203B"/>
    <w:rsid w:val="003000B4"/>
    <w:rsid w:val="0030229A"/>
    <w:rsid w:val="00310FEE"/>
    <w:rsid w:val="0032511C"/>
    <w:rsid w:val="00355A0E"/>
    <w:rsid w:val="00371E68"/>
    <w:rsid w:val="00376F87"/>
    <w:rsid w:val="0038047F"/>
    <w:rsid w:val="003875E5"/>
    <w:rsid w:val="00390DFF"/>
    <w:rsid w:val="003A2003"/>
    <w:rsid w:val="003C63EA"/>
    <w:rsid w:val="00426842"/>
    <w:rsid w:val="004338B5"/>
    <w:rsid w:val="00437BEF"/>
    <w:rsid w:val="0049617F"/>
    <w:rsid w:val="0049746F"/>
    <w:rsid w:val="004F592C"/>
    <w:rsid w:val="005017ED"/>
    <w:rsid w:val="00512532"/>
    <w:rsid w:val="00537DAC"/>
    <w:rsid w:val="0054245C"/>
    <w:rsid w:val="00554921"/>
    <w:rsid w:val="0055721B"/>
    <w:rsid w:val="00562BE9"/>
    <w:rsid w:val="005C300A"/>
    <w:rsid w:val="00632868"/>
    <w:rsid w:val="0068346F"/>
    <w:rsid w:val="006941A0"/>
    <w:rsid w:val="006A6563"/>
    <w:rsid w:val="006C4B4B"/>
    <w:rsid w:val="006E15C0"/>
    <w:rsid w:val="007020D9"/>
    <w:rsid w:val="00714F28"/>
    <w:rsid w:val="007340F6"/>
    <w:rsid w:val="00734BE8"/>
    <w:rsid w:val="007720B3"/>
    <w:rsid w:val="007B7F3E"/>
    <w:rsid w:val="007F0457"/>
    <w:rsid w:val="00812B87"/>
    <w:rsid w:val="00833DAF"/>
    <w:rsid w:val="00842CB5"/>
    <w:rsid w:val="008454B0"/>
    <w:rsid w:val="00861C09"/>
    <w:rsid w:val="008677A4"/>
    <w:rsid w:val="008863AD"/>
    <w:rsid w:val="00891688"/>
    <w:rsid w:val="008E5451"/>
    <w:rsid w:val="00905678"/>
    <w:rsid w:val="009151F7"/>
    <w:rsid w:val="00925EAC"/>
    <w:rsid w:val="0096021D"/>
    <w:rsid w:val="009863BB"/>
    <w:rsid w:val="009E606B"/>
    <w:rsid w:val="00A01CB9"/>
    <w:rsid w:val="00A25B99"/>
    <w:rsid w:val="00A4152D"/>
    <w:rsid w:val="00A60D87"/>
    <w:rsid w:val="00A70CE6"/>
    <w:rsid w:val="00A74EC7"/>
    <w:rsid w:val="00A77ADD"/>
    <w:rsid w:val="00A97BF3"/>
    <w:rsid w:val="00AE7575"/>
    <w:rsid w:val="00B433BA"/>
    <w:rsid w:val="00B433CC"/>
    <w:rsid w:val="00B65C24"/>
    <w:rsid w:val="00B75442"/>
    <w:rsid w:val="00B95225"/>
    <w:rsid w:val="00BA5398"/>
    <w:rsid w:val="00BB2084"/>
    <w:rsid w:val="00BC42F4"/>
    <w:rsid w:val="00BD013F"/>
    <w:rsid w:val="00BD7C49"/>
    <w:rsid w:val="00BF4129"/>
    <w:rsid w:val="00BF6A59"/>
    <w:rsid w:val="00C07DBD"/>
    <w:rsid w:val="00C2671B"/>
    <w:rsid w:val="00C30503"/>
    <w:rsid w:val="00C334CF"/>
    <w:rsid w:val="00C53337"/>
    <w:rsid w:val="00C6453F"/>
    <w:rsid w:val="00CD2403"/>
    <w:rsid w:val="00CE11A6"/>
    <w:rsid w:val="00CE3A95"/>
    <w:rsid w:val="00D113E2"/>
    <w:rsid w:val="00D30F65"/>
    <w:rsid w:val="00D54E83"/>
    <w:rsid w:val="00D63A3F"/>
    <w:rsid w:val="00DA099F"/>
    <w:rsid w:val="00DA2BB6"/>
    <w:rsid w:val="00DA6543"/>
    <w:rsid w:val="00DC58AE"/>
    <w:rsid w:val="00DE1B30"/>
    <w:rsid w:val="00DE2088"/>
    <w:rsid w:val="00E260EF"/>
    <w:rsid w:val="00E476FD"/>
    <w:rsid w:val="00E50EA7"/>
    <w:rsid w:val="00E70DF2"/>
    <w:rsid w:val="00EA71E5"/>
    <w:rsid w:val="00EB7D0C"/>
    <w:rsid w:val="00EE481E"/>
    <w:rsid w:val="00EF1E31"/>
    <w:rsid w:val="00EF6A9F"/>
    <w:rsid w:val="00F13F63"/>
    <w:rsid w:val="00F16E4D"/>
    <w:rsid w:val="00F20544"/>
    <w:rsid w:val="00F206FB"/>
    <w:rsid w:val="00F21D7F"/>
    <w:rsid w:val="00F30E96"/>
    <w:rsid w:val="00F358DE"/>
    <w:rsid w:val="00F40E64"/>
    <w:rsid w:val="00F437E6"/>
    <w:rsid w:val="00F61FA8"/>
    <w:rsid w:val="00F66B3B"/>
    <w:rsid w:val="00F66DDC"/>
    <w:rsid w:val="00FA579E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2821D"/>
  <w15:chartTrackingRefBased/>
  <w15:docId w15:val="{0615D8F3-7B2B-4524-96DD-6FBFE0F6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3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3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3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3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3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3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3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3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3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3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3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3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3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3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3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3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3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3C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11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3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9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746F"/>
    <w:rPr>
      <w:i/>
      <w:iCs/>
    </w:rPr>
  </w:style>
  <w:style w:type="character" w:customStyle="1" w:styleId="s2">
    <w:name w:val="s2"/>
    <w:basedOn w:val="DefaultParagraphFont"/>
    <w:rsid w:val="00F66DDC"/>
  </w:style>
  <w:style w:type="character" w:styleId="Hyperlink">
    <w:name w:val="Hyperlink"/>
    <w:basedOn w:val="DefaultParagraphFont"/>
    <w:uiPriority w:val="99"/>
    <w:semiHidden/>
    <w:unhideWhenUsed/>
    <w:rsid w:val="00F66DDC"/>
    <w:rPr>
      <w:color w:val="0000FF"/>
      <w:u w:val="single"/>
    </w:rPr>
  </w:style>
  <w:style w:type="character" w:customStyle="1" w:styleId="s3">
    <w:name w:val="s3"/>
    <w:basedOn w:val="DefaultParagraphFont"/>
    <w:rsid w:val="00F66DDC"/>
  </w:style>
  <w:style w:type="paragraph" w:styleId="FootnoteText">
    <w:name w:val="footnote text"/>
    <w:basedOn w:val="Normal"/>
    <w:link w:val="FootnoteTextChar"/>
    <w:uiPriority w:val="99"/>
    <w:semiHidden/>
    <w:unhideWhenUsed/>
    <w:rsid w:val="00F30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E96"/>
    <w:rPr>
      <w:vertAlign w:val="superscript"/>
    </w:rPr>
  </w:style>
  <w:style w:type="paragraph" w:customStyle="1" w:styleId="Default">
    <w:name w:val="Default"/>
    <w:rsid w:val="000F1686"/>
    <w:pPr>
      <w:autoSpaceDE w:val="0"/>
      <w:autoSpaceDN w:val="0"/>
      <w:adjustRightInd w:val="0"/>
    </w:pPr>
    <w:rPr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960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21D"/>
  </w:style>
  <w:style w:type="paragraph" w:styleId="Footer">
    <w:name w:val="footer"/>
    <w:basedOn w:val="Normal"/>
    <w:link w:val="FooterChar"/>
    <w:uiPriority w:val="99"/>
    <w:unhideWhenUsed/>
    <w:rsid w:val="00960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4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9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B8E6-E24C-40F8-A81F-90F0E9BA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8409</Characters>
  <Application>Microsoft Office Word</Application>
  <DocSecurity>0</DocSecurity>
  <Lines>280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Hana E.</dc:creator>
  <cp:keywords/>
  <dc:description/>
  <cp:lastModifiedBy>Brown, Hana E.</cp:lastModifiedBy>
  <cp:revision>4</cp:revision>
  <dcterms:created xsi:type="dcterms:W3CDTF">2024-07-11T17:50:00Z</dcterms:created>
  <dcterms:modified xsi:type="dcterms:W3CDTF">2024-07-11T18:52:00Z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06ac9e5e-86bd-4a5b-ba8c-e0157e930661</vt:lpwstr>
  </property>
  <property fmtid="{D5CDD505-2E9C-101B-9397-08002B2CF9AE}" pid="3" name="ZOTERO_PREF_1">
    <vt:lpwstr>&lt;data data-version="3" zotero-version="6.0.36"&gt;&lt;session id="IG9J2xS2"/&gt;&lt;style id="http://www.zotero.org/styles/american-sociological-association" locale="en-US" hasBibliography="1" bibliographyStyleHasBeenSet="0"/&gt;&lt;prefs&gt;&lt;pref name="fieldType" value="Fiel</vt:lpwstr>
  </property>
  <property fmtid="{D5CDD505-2E9C-101B-9397-08002B2CF9AE}" pid="4" name="ZOTERO_PREF_2">
    <vt:lpwstr>d"/&gt;&lt;/prefs&gt;&lt;/data&gt;</vt:lpwstr>
  </property>
</Properties>
</file>