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2F8A0">
      <w:pPr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Supplementary file</w:t>
      </w:r>
    </w:p>
    <w:p w14:paraId="3D3AE0B1">
      <w:pPr>
        <w:rPr>
          <w:rFonts w:hint="default"/>
          <w:lang w:val="en-US"/>
        </w:rPr>
      </w:pPr>
    </w:p>
    <w:p w14:paraId="6C2F98A7">
      <w:pPr>
        <w:jc w:val="center"/>
        <w:rPr>
          <w:rFonts w:hint="default" w:ascii="Times New Roman" w:hAnsi="Times New Roman" w:cs="Times New Roman"/>
          <w:b/>
          <w:bCs/>
          <w:color w:val="0000FF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0"/>
          <w:szCs w:val="20"/>
          <w:lang w:val="en-US"/>
        </w:rPr>
        <w:t xml:space="preserve">Unusual electron temperature profile due to grain electrostatics in Planetary nebula cored dusty plasma   </w:t>
      </w:r>
    </w:p>
    <w:p w14:paraId="742D4691"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</w:pPr>
    </w:p>
    <w:p w14:paraId="6D83CDED"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Hemanga Jyoti Sarmah</w:t>
      </w:r>
    </w:p>
    <w:p w14:paraId="070E4588">
      <w:p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</w:pPr>
    </w:p>
    <w:p w14:paraId="6A0AA536">
      <w:pPr>
        <w:jc w:val="center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0"/>
          <w:szCs w:val="20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0"/>
          <w:szCs w:val="20"/>
          <w:lang w:val="en-US"/>
        </w:rPr>
        <w:t>Department of Physics, Morigaon College, Morigaon-782015, Assam</w:t>
      </w:r>
    </w:p>
    <w:p w14:paraId="3D86FA87">
      <w:pPr>
        <w:rPr>
          <w:rFonts w:hint="default"/>
          <w:lang w:val="en-US"/>
        </w:rPr>
      </w:pPr>
    </w:p>
    <w:p w14:paraId="2DE5FFF0">
      <w:pPr>
        <w:rPr>
          <w:rFonts w:hint="default"/>
          <w:lang w:val="en-US"/>
        </w:rPr>
      </w:pPr>
    </w:p>
    <w:p w14:paraId="5863077F">
      <w:r>
        <w:drawing>
          <wp:inline distT="0" distB="0" distL="114300" distR="114300">
            <wp:extent cx="3481705" cy="204025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105D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FF"/>
          <w:lang w:val="en-US"/>
        </w:rPr>
        <w:t>Figure S1</w:t>
      </w:r>
      <w:r>
        <w:rPr>
          <w:rFonts w:hint="default"/>
          <w:lang w:val="en-US"/>
        </w:rPr>
        <w:t xml:space="preserve">: 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>The incident spectrum as synthesized by CLOUDY in the inner face of the DP shell</w:t>
      </w:r>
    </w:p>
    <w:p w14:paraId="4C506A62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</w:pPr>
    </w:p>
    <w:p w14:paraId="1F445018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725160" cy="2287905"/>
            <wp:effectExtent l="0" t="0" r="5080" b="1333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1685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sz w:val="20"/>
          <w:szCs w:val="20"/>
          <w:vertAlign w:val="baseline"/>
          <w:lang w:val="en-US"/>
        </w:rPr>
        <w:t>Figure S2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: Temperature profile as per eqn. 3. </w:t>
      </w:r>
      <w:r>
        <w:rPr>
          <w:rFonts w:hint="default" w:ascii="Times New Roman" w:hAnsi="Times New Roman" w:eastAsia="SimSun" w:cs="Times New Roman"/>
          <w:color w:val="0000FF"/>
          <w:sz w:val="20"/>
          <w:szCs w:val="20"/>
          <w:vertAlign w:val="baseline"/>
          <w:lang w:val="en-US"/>
        </w:rPr>
        <w:t>(a)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hydrogen density 10 cm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superscript"/>
          <w:lang w:val="en-US"/>
          <w14:textFill>
            <w14:solidFill>
              <w14:schemeClr w14:val="tx1"/>
            </w14:solidFill>
          </w14:textFill>
        </w:rPr>
        <w:t>-3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color w:val="0000FF"/>
          <w:sz w:val="20"/>
          <w:szCs w:val="20"/>
          <w:vertAlign w:val="baseline"/>
          <w:lang w:val="en-US"/>
        </w:rPr>
        <w:t>(b)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hydrogen density 10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superscript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cm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superscript"/>
          <w:lang w:val="en-US"/>
          <w14:textFill>
            <w14:solidFill>
              <w14:schemeClr w14:val="tx1"/>
            </w14:solidFill>
          </w14:textFill>
        </w:rPr>
        <w:t>-3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7B48C3E">
      <w:pPr>
        <w:rPr>
          <w:rFonts w:hint="default" w:hAnsi="Cambria Math" w:cs="Times New Roman"/>
          <w:i w:val="0"/>
          <w:color w:val="FF0000"/>
          <w:sz w:val="20"/>
          <w:szCs w:val="20"/>
          <w:lang w:val="en-US"/>
        </w:rPr>
      </w:pPr>
    </w:p>
    <w:p w14:paraId="0A27790E">
      <w:pPr>
        <w:rPr>
          <w:rFonts w:hint="default" w:hAnsi="Cambria Math" w:cs="Times New Roman"/>
          <w:b w:val="0"/>
          <w:bCs w:val="0"/>
          <w:i w:val="0"/>
          <w:color w:val="auto"/>
          <w:sz w:val="20"/>
          <w:szCs w:val="20"/>
          <w:lang w:val="en-US"/>
        </w:rPr>
      </w:pPr>
      <w:r>
        <w:rPr>
          <w:rFonts w:hint="default" w:hAnsi="Cambria Math" w:cs="Times New Roman"/>
          <w:b/>
          <w:bCs/>
          <w:i w:val="0"/>
          <w:color w:val="auto"/>
          <w:sz w:val="20"/>
          <w:szCs w:val="20"/>
          <w:lang w:val="en-US"/>
        </w:rPr>
        <w:t>Note:</w:t>
      </w:r>
      <w:r>
        <w:rPr>
          <w:rFonts w:hint="default" w:hAnsi="Cambria Math" w:cs="Times New Roman"/>
          <w:b w:val="0"/>
          <w:bCs w:val="0"/>
          <w:i w:val="0"/>
          <w:color w:val="auto"/>
          <w:sz w:val="20"/>
          <w:szCs w:val="20"/>
          <w:lang w:val="en-US"/>
        </w:rPr>
        <w:t xml:space="preserve"> In order to solve eqn. 3., we consider</w:t>
      </w:r>
    </w:p>
    <w:p w14:paraId="4DBAEC82">
      <w:pPr>
        <w:rPr>
          <w:rFonts w:hint="default" w:hAnsi="Cambria Math" w:cs="Cambria Math"/>
          <w:i/>
          <w:color w:val="auto"/>
          <w:sz w:val="20"/>
          <w:szCs w:val="20"/>
          <w:lang w:val="en-US"/>
        </w:rPr>
      </w:pPr>
      <m:oMathPara>
        <m:oMath>
          <m:r>
            <m:rPr/>
            <w:rPr>
              <w:rFonts w:hint="default" w:ascii="Cambria Math" w:hAnsi="Cambria Math" w:cs="Times New Roman"/>
              <w:color w:val="auto"/>
              <w:sz w:val="20"/>
              <w:szCs w:val="20"/>
              <w:lang w:val="en-US"/>
            </w:rPr>
            <m:t>Incident energy ℎ</m:t>
          </m:r>
          <m:r>
            <m:rPr/>
            <w:rPr>
              <w:rFonts w:hint="default" w:ascii="Cambria Math" w:hAnsi="Cambria Math" w:cs="Cambria Math"/>
              <w:color w:val="auto"/>
              <w:sz w:val="20"/>
              <w:szCs w:val="20"/>
              <w:lang w:val="en-US"/>
            </w:rPr>
            <m:t xml:space="preserve">ν </m:t>
          </m:r>
          <m:r>
            <m:rPr/>
            <w:rPr>
              <w:rFonts w:ascii="Cambria Math" w:hAnsi="Cambria Math" w:cs="Cambria Math"/>
              <w:color w:val="auto"/>
              <w:sz w:val="20"/>
              <w:szCs w:val="20"/>
              <w:lang w:val="en-US"/>
            </w:rPr>
            <m:t>≈</m:t>
          </m:r>
          <m:r>
            <m:rPr/>
            <w:rPr>
              <w:rFonts w:hint="default" w:ascii="Cambria Math" w:hAnsi="Cambria Math" w:cs="Cambria Math"/>
              <w:color w:val="auto"/>
              <w:sz w:val="20"/>
              <w:szCs w:val="20"/>
              <w:lang w:val="en-US"/>
            </w:rPr>
            <m:t>36 eV corresponding to peak of tℎe incedent radiation</m:t>
          </m:r>
        </m:oMath>
      </m:oMathPara>
    </w:p>
    <w:p w14:paraId="0E741EF4">
      <w:pPr>
        <w:rPr>
          <w:rFonts w:hint="default" w:hAnsi="Cambria Math" w:cs="Cambria Math"/>
          <w:i/>
          <w:color w:val="auto"/>
          <w:sz w:val="20"/>
          <w:szCs w:val="20"/>
          <w:lang w:val="en-US"/>
        </w:rPr>
      </w:pPr>
      <m:oMathPara>
        <m:oMath>
          <m:r>
            <m:rPr/>
            <w:rPr>
              <w:rFonts w:hint="default" w:ascii="Cambria Math" w:hAnsi="Cambria Math" w:cs="Cambria Math"/>
              <w:color w:val="auto"/>
              <w:sz w:val="20"/>
              <w:szCs w:val="20"/>
              <w:lang w:val="en-US"/>
            </w:rPr>
            <m:t xml:space="preserve">As tℎe DP is mostly dominated by ℎydrogen </m:t>
          </m:r>
          <m:sSub>
            <m:sSubPr>
              <m:ctrlPr>
                <w:rPr>
                  <w:rFonts w:hint="default" w:ascii="Cambria Math" w:hAnsi="Cambria Math" w:cs="Cambria Math"/>
                  <w:i/>
                  <w:color w:val="auto"/>
                  <w:sz w:val="20"/>
                  <w:szCs w:val="20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 w:cs="Cambria Math"/>
                  <w:color w:val="auto"/>
                  <w:sz w:val="20"/>
                  <w:szCs w:val="20"/>
                  <w:lang w:val="en-US"/>
                </w:rPr>
                <m:t>ϕ</m:t>
              </m:r>
              <m:ctrlPr>
                <w:rPr>
                  <w:rFonts w:hint="default" w:ascii="Cambria Math" w:hAnsi="Cambria Math" w:cs="Cambria Math"/>
                  <w:i/>
                  <w:color w:val="auto"/>
                  <w:sz w:val="20"/>
                  <w:szCs w:val="20"/>
                  <w:lang w:val="en-US"/>
                </w:rPr>
              </m:ctrlPr>
            </m:e>
            <m:sub>
              <m:r>
                <m:rPr/>
                <w:rPr>
                  <w:rFonts w:hint="default" w:ascii="Cambria Math" w:hAnsi="Cambria Math" w:cs="Cambria Math"/>
                  <w:color w:val="auto"/>
                  <w:sz w:val="20"/>
                  <w:szCs w:val="20"/>
                  <w:lang w:val="en-US"/>
                </w:rPr>
                <m:t>tℎ</m:t>
              </m:r>
              <m:ctrlPr>
                <w:rPr>
                  <w:rFonts w:hint="default" w:ascii="Cambria Math" w:hAnsi="Cambria Math" w:cs="Cambria Math"/>
                  <w:i/>
                  <w:color w:val="auto"/>
                  <w:sz w:val="20"/>
                  <w:szCs w:val="20"/>
                  <w:lang w:val="en-US"/>
                </w:rPr>
              </m:ctrlPr>
            </m:sub>
          </m:sSub>
          <m:r>
            <m:rPr/>
            <w:rPr>
              <w:rFonts w:hint="default" w:ascii="Cambria Math" w:hAnsi="Cambria Math" w:cs="Cambria Math"/>
              <w:color w:val="auto"/>
              <w:sz w:val="20"/>
              <w:szCs w:val="20"/>
              <w:lang w:val="en-US"/>
            </w:rPr>
            <m:t>=13.6 eV is used</m:t>
          </m:r>
        </m:oMath>
      </m:oMathPara>
    </w:p>
    <w:p w14:paraId="0A7832D5">
      <w:pPr>
        <w:rPr>
          <w:rFonts w:hint="default" w:hAnsi="Cambria Math" w:cs="Cambria Math"/>
          <w:i/>
          <w:color w:val="auto"/>
          <w:sz w:val="20"/>
          <w:szCs w:val="20"/>
          <w:lang w:val="en-US"/>
        </w:rPr>
      </w:pPr>
      <w:r>
        <w:rPr>
          <w:rFonts w:hint="default" w:ascii="Calibri" w:hAnsi="Calibri" w:cs="Calibri"/>
          <w:i w:val="0"/>
          <w:iCs/>
          <w:color w:val="auto"/>
          <w:sz w:val="20"/>
          <w:szCs w:val="20"/>
          <w:lang w:val="en-US"/>
        </w:rPr>
        <w:t>α,β, γ</w:t>
      </w:r>
      <w:r>
        <w:rPr>
          <w:rFonts w:hint="default" w:hAnsi="Cambria Math" w:cs="Cambria Math"/>
          <w:i/>
          <w:color w:val="auto"/>
          <w:sz w:val="20"/>
          <w:szCs w:val="20"/>
          <w:lang w:val="en-US"/>
        </w:rPr>
        <w:t xml:space="preserve"> are constant and are varied until best fit.</w:t>
      </w:r>
    </w:p>
    <w:p w14:paraId="2B5E14C7">
      <w:pP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</w:pPr>
      <w:r>
        <w:rPr>
          <w:rFonts w:hint="default" w:hAnsi="Cambria Math" w:cs="Cambria Math"/>
          <w:i/>
          <w:color w:val="auto"/>
          <w:sz w:val="20"/>
          <w:szCs w:val="20"/>
          <w:lang w:val="en-US"/>
        </w:rPr>
        <w:t xml:space="preserve">Again,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Cambria Math"/>
                <w:color w:val="auto"/>
                <w:sz w:val="20"/>
                <w:szCs w:val="20"/>
                <w:lang w:val="en-US"/>
              </w:rPr>
              <m:t>d</m:t>
            </m:r>
            <m:ctrlPr>
              <w:rPr>
                <w:rFonts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Cambria Math"/>
                <w:color w:val="auto"/>
                <w:sz w:val="20"/>
                <w:szCs w:val="20"/>
                <w:lang w:val="en-US"/>
              </w:rPr>
              <m:t>g</m:t>
            </m:r>
            <m:ctrlPr>
              <w:rPr>
                <w:rFonts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sub>
        </m:sSub>
      </m:oMath>
      <w:r>
        <w:rPr>
          <w:rFonts w:hint="default" w:hAnsi="Cambria Math" w:cs="Cambria Math"/>
          <w:i/>
          <w:color w:val="auto"/>
          <w:sz w:val="20"/>
          <w:szCs w:val="20"/>
          <w:lang w:val="en-US"/>
        </w:rPr>
        <w:t xml:space="preserve"> 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>is considered 10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perscript"/>
          <w:lang w:val="en-US"/>
        </w:rPr>
        <w:t>-5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 xml:space="preserve"> and 10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perscript"/>
          <w:lang w:val="en-US"/>
        </w:rPr>
        <w:t>-8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 xml:space="preserve"> for n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bscript"/>
          <w:lang w:val="en-US"/>
        </w:rPr>
        <w:t>H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>= 10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perscript"/>
          <w:lang w:val="en-US"/>
        </w:rPr>
        <w:t>4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 xml:space="preserve"> cm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 xml:space="preserve"> and n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bscript"/>
          <w:lang w:val="en-US"/>
        </w:rPr>
        <w:t>H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>=10 cm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vertAlign w:val="superscript"/>
          <w:lang w:val="en-US"/>
        </w:rPr>
        <w:t>-3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 xml:space="preserve"> respectively; which is consistent with the CLOUDY output.  </w:t>
      </w:r>
    </w:p>
    <w:p w14:paraId="7F6ED28B">
      <w:pP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</w:pPr>
      <m:oMath>
        <m:r>
          <m:rPr/>
          <w:rPr>
            <w:rFonts w:hint="default" w:ascii="Cambria Math" w:hAnsi="Cambria Math" w:cs="Cambria Math"/>
            <w:color w:val="auto"/>
            <w:sz w:val="20"/>
            <w:szCs w:val="20"/>
            <w:lang w:val="en-US"/>
          </w:rPr>
          <m:t xml:space="preserve">Tℎe values for </m:t>
        </m:r>
        <m:r>
          <m:rPr/>
          <w:rPr>
            <w:rFonts w:ascii="Cambria Math" w:hAnsi="Cambria Math" w:cs="Cambria Math"/>
            <w:color w:val="auto"/>
            <w:sz w:val="20"/>
            <w:szCs w:val="20"/>
            <w:lang w:val="en-US"/>
          </w:rPr>
          <m:t>Δ</m:t>
        </m:r>
        <m:sSub>
          <m:sSubPr>
            <m:ctrlPr>
              <w:rPr>
                <w:rFonts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Cambria Math"/>
                <w:color w:val="auto"/>
                <w:sz w:val="20"/>
                <w:szCs w:val="20"/>
                <w:lang w:val="en-US"/>
              </w:rPr>
              <m:t>n</m:t>
            </m:r>
            <m:ctrlPr>
              <w:rPr>
                <w:rFonts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Cambria Math"/>
                <w:color w:val="auto"/>
                <w:sz w:val="20"/>
                <w:szCs w:val="20"/>
                <w:lang w:val="en-US"/>
              </w:rPr>
              <m:t>e</m:t>
            </m:r>
            <m:ctrlPr>
              <w:rPr>
                <w:rFonts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sub>
        </m:sSub>
      </m:oMath>
      <w:r>
        <w:rPr>
          <w:rFonts w:hint="default" w:hAnsi="Cambria Math" w:cs="Cambria Math"/>
          <w:i/>
          <w:color w:val="auto"/>
          <w:sz w:val="20"/>
          <w:szCs w:val="20"/>
          <w:lang w:val="en-US"/>
        </w:rPr>
        <w:t xml:space="preserve"> and </w:t>
      </w:r>
      <m:oMath>
        <m:sSub>
          <m:sSubPr>
            <m:ctrlPr>
              <w:rPr>
                <w:rFonts w:hint="default"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Cambria Math"/>
                <w:color w:val="auto"/>
                <w:sz w:val="20"/>
                <w:szCs w:val="20"/>
                <w:lang w:val="en-US"/>
              </w:rPr>
              <m:t>ϕ</m:t>
            </m:r>
            <m:ctrlPr>
              <w:rPr>
                <w:rFonts w:hint="default"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Cambria Math"/>
                <w:color w:val="auto"/>
                <w:sz w:val="20"/>
                <w:szCs w:val="20"/>
                <w:lang w:val="en-US"/>
              </w:rPr>
              <m:t>el</m:t>
            </m:r>
            <m:ctrlPr>
              <w:rPr>
                <w:rFonts w:hint="default" w:ascii="Cambria Math" w:hAnsi="Cambria Math" w:cs="Cambria Math"/>
                <w:i/>
                <w:color w:val="auto"/>
                <w:sz w:val="20"/>
                <w:szCs w:val="20"/>
                <w:lang w:val="en-US"/>
              </w:rPr>
            </m:ctrlPr>
          </m:sub>
        </m:sSub>
      </m:oMath>
      <w:r>
        <w:rPr>
          <w:rFonts w:hint="default" w:hAnsi="Cambria Math" w:cs="Cambria Math"/>
          <w:i/>
          <w:color w:val="auto"/>
          <w:sz w:val="20"/>
          <w:szCs w:val="20"/>
          <w:lang w:val="en-US"/>
        </w:rPr>
        <w:t xml:space="preserve"> </w:t>
      </w:r>
      <w:r>
        <w:rPr>
          <w:rFonts w:hint="default" w:hAnsi="Cambria Math" w:cs="Cambria Math"/>
          <w:i w:val="0"/>
          <w:iCs/>
          <w:color w:val="auto"/>
          <w:sz w:val="20"/>
          <w:szCs w:val="20"/>
          <w:lang w:val="en-US"/>
        </w:rPr>
        <w:t>are employed from the CLOUDY output</w:t>
      </w:r>
    </w:p>
    <w:p w14:paraId="02B66889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vertAlign w:val="baseline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96055" cy="2571115"/>
            <wp:effectExtent l="0" t="0" r="12065" b="4445"/>
            <wp:docPr id="3" name="Picture 3" descr="r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v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2EFD">
      <w:pPr>
        <w:rPr>
          <w:rFonts w:hint="default"/>
          <w:lang w:val="en-US"/>
        </w:rPr>
      </w:pPr>
      <w:r>
        <w:rPr>
          <w:rFonts w:hint="default"/>
          <w:b/>
          <w:bCs/>
          <w:color w:val="0000FF"/>
          <w:lang w:val="en-US"/>
        </w:rPr>
        <w:t>Figure S3</w:t>
      </w:r>
      <w:r>
        <w:rPr>
          <w:rFonts w:hint="default"/>
          <w:lang w:val="en-US"/>
        </w:rPr>
        <w:t>: Variation of grain temperature w.r.t. average grain charge. Note: An increasing trend has been witnessed. Average grain charge means the average over different charge state of a single type of grain.</w:t>
      </w:r>
      <w:bookmarkStart w:id="0" w:name="_GoBack"/>
      <w:bookmarkEnd w:id="0"/>
      <w:r>
        <w:rPr>
          <w:rFonts w:hint="default"/>
          <w:lang w:val="en-US"/>
        </w:rPr>
        <w:t xml:space="preserve"> </w:t>
      </w:r>
    </w:p>
    <w:p w14:paraId="70A07E0E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 w14:paraId="3093700A"/>
    <w:p w14:paraId="187675F2">
      <w:r>
        <w:drawing>
          <wp:inline distT="0" distB="0" distL="114300" distR="114300">
            <wp:extent cx="3687445" cy="2792095"/>
            <wp:effectExtent l="0" t="0" r="635" b="1206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80A0">
      <w:pPr>
        <w:rPr>
          <w:rFonts w:hint="default"/>
          <w:lang w:val="en-US"/>
        </w:rPr>
      </w:pPr>
      <w:r>
        <w:rPr>
          <w:rFonts w:hint="default"/>
          <w:b/>
          <w:bCs/>
          <w:color w:val="0000FF"/>
          <w:lang w:val="en-US"/>
        </w:rPr>
        <w:t>Figure S4</w:t>
      </w:r>
      <w:r>
        <w:rPr>
          <w:rFonts w:hint="default"/>
          <w:lang w:val="en-US"/>
        </w:rPr>
        <w:t>: Electron density (at inner face of DP cloud) variation with hydrogen density</w:t>
      </w:r>
    </w:p>
    <w:p w14:paraId="4C253C76">
      <w:pPr>
        <w:rPr>
          <w:rFonts w:hint="default"/>
          <w:lang w:val="en-US"/>
        </w:rPr>
      </w:pPr>
    </w:p>
    <w:p w14:paraId="0D303188">
      <w:pPr>
        <w:rPr>
          <w:rFonts w:hint="default"/>
          <w:lang w:val="en-US"/>
        </w:rPr>
      </w:pPr>
    </w:p>
    <w:p w14:paraId="796A2C4B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lang w:val="en-US"/>
        </w:rPr>
        <w:t xml:space="preserve">Link for </w:t>
      </w:r>
      <w:r>
        <w:rPr>
          <w:rFonts w:hint="default" w:ascii="Times New Roman" w:hAnsi="Times New Roman" w:eastAsia="SimSun" w:cs="Times New Roman"/>
          <w:i/>
          <w:i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pah1_ab08_10.opc</w:t>
      </w:r>
      <w: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file</w:t>
      </w:r>
    </w:p>
    <w:p w14:paraId="2635156F">
      <w:pPr>
        <w:rPr>
          <w:rFonts w:hint="default" w:ascii="Times New Roman" w:hAnsi="Times New Roman" w:eastAsia="SimSu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782C5651"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imSun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instrText xml:space="preserve"> HYPERLINK "https://gitlab.nublado.org/cloudy/cloudy/-/blob/master/data/pah1_ab08_10.opc" </w:instrText>
      </w:r>
      <w:r>
        <w:rPr>
          <w:rFonts w:hint="default" w:ascii="Times New Roman" w:hAnsi="Times New Roman" w:eastAsia="SimSun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fldChar w:fldCharType="separate"/>
      </w:r>
      <w:r>
        <w:rPr>
          <w:rStyle w:val="51"/>
          <w:rFonts w:hint="default" w:ascii="Times New Roman" w:hAnsi="Times New Roman" w:eastAsia="SimSun"/>
          <w:i w:val="0"/>
          <w:iCs w:val="0"/>
          <w:caps w:val="0"/>
          <w:spacing w:val="0"/>
          <w:sz w:val="18"/>
          <w:szCs w:val="18"/>
          <w:shd w:val="clear" w:fill="FFFFFF"/>
          <w:lang w:val="en-US"/>
        </w:rPr>
        <w:t>https://gitlab.nublado.org/cloudy/cloudy/-/blob/master/data/pah1_ab08_10.opc</w:t>
      </w:r>
      <w:r>
        <w:rPr>
          <w:rFonts w:hint="default" w:ascii="Times New Roman" w:hAnsi="Times New Roman" w:eastAsia="SimSun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fldChar w:fldCharType="end"/>
      </w:r>
    </w:p>
    <w:p w14:paraId="71A482E3"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eastAsia="SimSun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</w:pPr>
    </w:p>
    <w:p w14:paraId="1BBD70B4">
      <w:pPr>
        <w:rPr>
          <w:rFonts w:hint="default"/>
          <w:lang w:val="en-US"/>
        </w:rPr>
      </w:pPr>
    </w:p>
    <w:sectPr>
      <w:pgSz w:w="11906" w:h="16838"/>
      <w:pgMar w:top="1327" w:right="1440" w:bottom="1417" w:left="1440" w:header="709" w:footer="709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034F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921394"/>
    <w:rsid w:val="237511E5"/>
    <w:rsid w:val="36535FFF"/>
    <w:rsid w:val="441E4816"/>
    <w:rsid w:val="517D78BF"/>
    <w:rsid w:val="59793001"/>
    <w:rsid w:val="63F034F4"/>
    <w:rsid w:val="67D867E7"/>
    <w:rsid w:val="688339F6"/>
    <w:rsid w:val="7B6A663E"/>
    <w:rsid w:val="7DE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2024-07-07T09:39:00Z</dcterms:created>
  <dc:creator>91940</dc:creator>
  <cp:lastModifiedBy>91940</cp:lastModifiedBy>
  <dcterms:modified xsi:type="dcterms:W3CDTF">2024-12-11T12:25:54Z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778A1C0692EF426FA0C94AD2BC37BBAC_11</vt:lpwstr>
  </property>
</Properties>
</file>