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D7133" w14:textId="28949F37" w:rsidR="00E13886" w:rsidRDefault="002E3807" w:rsidP="00E1388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w:t>
      </w:r>
      <w:r w:rsidR="004E751F">
        <w:rPr>
          <w:rFonts w:ascii="Times New Roman" w:eastAsia="Times New Roman" w:hAnsi="Times New Roman" w:cs="Times New Roman"/>
          <w:b/>
          <w:sz w:val="24"/>
          <w:szCs w:val="24"/>
        </w:rPr>
        <w:t>al material</w:t>
      </w:r>
      <w:r w:rsidR="00E13886">
        <w:rPr>
          <w:rFonts w:ascii="Times New Roman" w:eastAsia="Times New Roman" w:hAnsi="Times New Roman" w:cs="Times New Roman"/>
          <w:b/>
          <w:sz w:val="24"/>
          <w:szCs w:val="24"/>
        </w:rPr>
        <w:t xml:space="preserve"> for “Retreat and Frontal Ablation Rates for Alaska’s Lake-Terminating Glaciers: Investigating Potential Physical Controls with Implications for Future Stability” by Noah Caldwell, William Armstrong, Robert McNabb, Ellyn Enderlin, Daniel McGrath, Brianna Rick, Jacob Hanson, and L. Baker Perry</w:t>
      </w:r>
    </w:p>
    <w:p w14:paraId="3BFA76E0" w14:textId="337C756A" w:rsidR="00C258FA" w:rsidRDefault="00C258FA">
      <w:pPr>
        <w:widowControl w:val="0"/>
        <w:spacing w:after="0" w:line="360" w:lineRule="auto"/>
        <w:jc w:val="both"/>
        <w:rPr>
          <w:rFonts w:ascii="Times New Roman" w:eastAsia="Times New Roman" w:hAnsi="Times New Roman" w:cs="Times New Roman"/>
          <w:b/>
          <w:sz w:val="24"/>
          <w:szCs w:val="24"/>
        </w:rPr>
      </w:pPr>
    </w:p>
    <w:p w14:paraId="12AF5428" w14:textId="77777777" w:rsidR="00C258FA" w:rsidRDefault="002E3807">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0F9E1D" wp14:editId="62318FD5">
            <wp:extent cx="5842000" cy="43815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842000" cy="4381500"/>
                    </a:xfrm>
                    <a:prstGeom prst="rect">
                      <a:avLst/>
                    </a:prstGeom>
                    <a:ln/>
                  </pic:spPr>
                </pic:pic>
              </a:graphicData>
            </a:graphic>
          </wp:inline>
        </w:drawing>
      </w:r>
    </w:p>
    <w:p w14:paraId="6B3C41C5" w14:textId="77777777" w:rsidR="00C258FA" w:rsidRDefault="002E3807">
      <w:pPr>
        <w:widowControl w:val="0"/>
        <w:spacing w:after="0" w:line="360" w:lineRule="auto"/>
        <w:jc w:val="both"/>
        <w:rPr>
          <w:rFonts w:ascii="Times New Roman" w:eastAsia="Times New Roman" w:hAnsi="Times New Roman" w:cs="Times New Roman"/>
          <w:sz w:val="24"/>
          <w:szCs w:val="24"/>
        </w:rPr>
      </w:pPr>
      <w:r w:rsidRPr="00DB4896">
        <w:rPr>
          <w:rFonts w:ascii="Times New Roman" w:eastAsia="Times New Roman" w:hAnsi="Times New Roman" w:cs="Times New Roman"/>
          <w:b/>
          <w:bCs/>
          <w:sz w:val="24"/>
          <w:szCs w:val="24"/>
        </w:rPr>
        <w:t>Figure S1.</w:t>
      </w:r>
      <w:r>
        <w:rPr>
          <w:rFonts w:ascii="Times New Roman" w:eastAsia="Times New Roman" w:hAnsi="Times New Roman" w:cs="Times New Roman"/>
          <w:sz w:val="24"/>
          <w:szCs w:val="24"/>
        </w:rPr>
        <w:t xml:space="preserve"> Distribution of glacier area for the study glaciers (dark blue dashed line) compared with all Region 01 lake-terminating glaciers as defined by the RGI Version 6 (cyan solid line) and all Region 01 glaciers regardless of terminus type (gray).</w:t>
      </w:r>
    </w:p>
    <w:p w14:paraId="01B40819" w14:textId="77777777" w:rsidR="00C258FA" w:rsidRDefault="00C258FA">
      <w:pPr>
        <w:widowControl w:val="0"/>
        <w:spacing w:after="0" w:line="360" w:lineRule="auto"/>
        <w:jc w:val="both"/>
        <w:rPr>
          <w:rFonts w:ascii="Times New Roman" w:eastAsia="Times New Roman" w:hAnsi="Times New Roman" w:cs="Times New Roman"/>
          <w:sz w:val="24"/>
          <w:szCs w:val="24"/>
        </w:rPr>
      </w:pPr>
    </w:p>
    <w:p w14:paraId="72A75F5A" w14:textId="77777777" w:rsidR="00C258FA" w:rsidRDefault="00C258FA">
      <w:pPr>
        <w:widowControl w:val="0"/>
        <w:spacing w:after="0" w:line="360" w:lineRule="auto"/>
        <w:jc w:val="both"/>
        <w:rPr>
          <w:rFonts w:ascii="Times New Roman" w:eastAsia="Times New Roman" w:hAnsi="Times New Roman" w:cs="Times New Roman"/>
          <w:sz w:val="24"/>
          <w:szCs w:val="24"/>
        </w:rPr>
      </w:pPr>
    </w:p>
    <w:p w14:paraId="1A01E959" w14:textId="77777777" w:rsidR="00C258FA" w:rsidRDefault="002E3807">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267D24C" wp14:editId="03FB6104">
            <wp:extent cx="4690170" cy="3517627"/>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4690170" cy="3517627"/>
                    </a:xfrm>
                    <a:prstGeom prst="rect">
                      <a:avLst/>
                    </a:prstGeom>
                    <a:ln/>
                  </pic:spPr>
                </pic:pic>
              </a:graphicData>
            </a:graphic>
          </wp:inline>
        </w:drawing>
      </w:r>
    </w:p>
    <w:p w14:paraId="5661CA3B" w14:textId="4D910C8D" w:rsidR="00C258FA" w:rsidRDefault="002E3807">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S</w:t>
      </w:r>
      <w:r w:rsidR="00F74A0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Histogram of the timing of images used for terminus delineation. The red fill highlights the period from May 1 - September 30.</w:t>
      </w:r>
    </w:p>
    <w:p w14:paraId="5085FC43" w14:textId="77777777" w:rsidR="00670CA7" w:rsidRDefault="00670CA7">
      <w:pPr>
        <w:widowControl w:val="0"/>
        <w:spacing w:after="0" w:line="360" w:lineRule="auto"/>
        <w:jc w:val="both"/>
        <w:rPr>
          <w:rFonts w:ascii="Times New Roman" w:eastAsia="Times New Roman" w:hAnsi="Times New Roman" w:cs="Times New Roman"/>
          <w:sz w:val="24"/>
          <w:szCs w:val="24"/>
        </w:rPr>
      </w:pPr>
    </w:p>
    <w:p w14:paraId="6A41E1AB" w14:textId="2580EDE2" w:rsidR="00670CA7" w:rsidRDefault="000F1700">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32B690" wp14:editId="24D57406">
            <wp:extent cx="5842000" cy="4381500"/>
            <wp:effectExtent l="0" t="0" r="0" b="0"/>
            <wp:docPr id="139012949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9491" name="Picture 1" descr="A graph of a func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0" cy="4381500"/>
                    </a:xfrm>
                    <a:prstGeom prst="rect">
                      <a:avLst/>
                    </a:prstGeom>
                  </pic:spPr>
                </pic:pic>
              </a:graphicData>
            </a:graphic>
          </wp:inline>
        </w:drawing>
      </w:r>
    </w:p>
    <w:p w14:paraId="72583DA4" w14:textId="1A14BD5E" w:rsidR="00670CA7" w:rsidRPr="00262E47" w:rsidRDefault="00670CA7">
      <w:pPr>
        <w:widowControl w:val="0"/>
        <w:spacing w:after="0" w:line="360" w:lineRule="auto"/>
        <w:jc w:val="both"/>
        <w:rPr>
          <w:rFonts w:ascii="Times New Roman" w:eastAsia="Times New Roman" w:hAnsi="Times New Roman" w:cs="Times New Roman"/>
          <w:sz w:val="24"/>
          <w:szCs w:val="24"/>
        </w:rPr>
      </w:pPr>
      <w:r w:rsidRPr="00AE6B37">
        <w:rPr>
          <w:rFonts w:ascii="Times New Roman" w:eastAsia="Times New Roman" w:hAnsi="Times New Roman" w:cs="Times New Roman"/>
          <w:b/>
          <w:bCs/>
          <w:sz w:val="24"/>
          <w:szCs w:val="24"/>
        </w:rPr>
        <w:t xml:space="preserve">Figure S3. </w:t>
      </w:r>
      <w:r w:rsidR="00262E47">
        <w:rPr>
          <w:rFonts w:ascii="Times New Roman" w:eastAsia="Times New Roman" w:hAnsi="Times New Roman" w:cs="Times New Roman"/>
          <w:sz w:val="24"/>
          <w:szCs w:val="24"/>
        </w:rPr>
        <w:t>Difference in estimated frontal ablation rates using the full study period (1984 – 2021) retreat rates (x-axis) compared to the primary result reported in the study which uses the more recent 2009 – 2018 retreat rates that better overlap with other input datasets. Marker colors indicate glaciers that retreated faster (red) or slower (blue) over 2009 – 2018 compared with 1984 – 2021.</w:t>
      </w:r>
      <w:r w:rsidR="00474D28">
        <w:rPr>
          <w:rFonts w:ascii="Times New Roman" w:eastAsia="Times New Roman" w:hAnsi="Times New Roman" w:cs="Times New Roman"/>
          <w:sz w:val="24"/>
          <w:szCs w:val="24"/>
        </w:rPr>
        <w:t xml:space="preserve"> The dashed line shows 1:1, and solid black lines separate positive from negative frontal ablation values. </w:t>
      </w:r>
      <w:r w:rsidR="00262E47">
        <w:rPr>
          <w:rFonts w:ascii="Times New Roman" w:eastAsia="Times New Roman" w:hAnsi="Times New Roman" w:cs="Times New Roman"/>
          <w:sz w:val="24"/>
          <w:szCs w:val="24"/>
        </w:rPr>
        <w:t xml:space="preserve"> Negative </w:t>
      </w:r>
      <w:r w:rsidR="00262E47" w:rsidRPr="00262E47">
        <w:rPr>
          <w:rFonts w:ascii="Times New Roman" w:eastAsia="Times New Roman" w:hAnsi="Times New Roman" w:cs="Times New Roman"/>
          <w:i/>
          <w:iCs/>
          <w:sz w:val="24"/>
          <w:szCs w:val="24"/>
        </w:rPr>
        <w:t>F</w:t>
      </w:r>
      <w:r w:rsidR="00262E47">
        <w:rPr>
          <w:rFonts w:ascii="Times New Roman" w:eastAsia="Times New Roman" w:hAnsi="Times New Roman" w:cs="Times New Roman"/>
          <w:sz w:val="24"/>
          <w:szCs w:val="24"/>
        </w:rPr>
        <w:t xml:space="preserve"> values imply non-physical mass gain through frontal ablation (ice accretion), which we discuss in the text is more likely related to temporal mismatch between input datasets, particularly on surging glaciers, as well as overestimation of surface melt below the flux gate.</w:t>
      </w:r>
    </w:p>
    <w:p w14:paraId="00981D8B" w14:textId="77777777" w:rsidR="00C258FA" w:rsidRDefault="00C258FA">
      <w:pPr>
        <w:widowControl w:val="0"/>
        <w:spacing w:after="0" w:line="360" w:lineRule="auto"/>
        <w:jc w:val="both"/>
        <w:rPr>
          <w:rFonts w:ascii="Times New Roman" w:eastAsia="Times New Roman" w:hAnsi="Times New Roman" w:cs="Times New Roman"/>
          <w:sz w:val="24"/>
          <w:szCs w:val="24"/>
        </w:rPr>
      </w:pPr>
    </w:p>
    <w:p w14:paraId="66B20462" w14:textId="77777777" w:rsidR="00C258FA" w:rsidRDefault="002E3807">
      <w:pPr>
        <w:widowControl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DC57ACB" wp14:editId="7C049B41">
            <wp:extent cx="5842000" cy="4381500"/>
            <wp:effectExtent l="0" t="0" r="0" b="0"/>
            <wp:docPr id="20" name="image8.png" descr="A graph with colored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with colored dots&#10;&#10;Description automatically generated"/>
                    <pic:cNvPicPr preferRelativeResize="0"/>
                  </pic:nvPicPr>
                  <pic:blipFill>
                    <a:blip r:embed="rId9"/>
                    <a:srcRect/>
                    <a:stretch>
                      <a:fillRect/>
                    </a:stretch>
                  </pic:blipFill>
                  <pic:spPr>
                    <a:xfrm>
                      <a:off x="0" y="0"/>
                      <a:ext cx="5842000" cy="4381500"/>
                    </a:xfrm>
                    <a:prstGeom prst="rect">
                      <a:avLst/>
                    </a:prstGeom>
                    <a:ln/>
                  </pic:spPr>
                </pic:pic>
              </a:graphicData>
            </a:graphic>
          </wp:inline>
        </w:drawing>
      </w:r>
    </w:p>
    <w:p w14:paraId="565F07DB" w14:textId="1234FC1C" w:rsidR="00C258FA" w:rsidRPr="00F74A00" w:rsidRDefault="002E3807">
      <w:pPr>
        <w:widowControl w:val="0"/>
        <w:spacing w:after="0" w:line="360" w:lineRule="auto"/>
        <w:jc w:val="both"/>
        <w:rPr>
          <w:rFonts w:ascii="Times New Roman" w:eastAsia="Times New Roman" w:hAnsi="Times New Roman" w:cs="Times New Roman"/>
          <w:sz w:val="24"/>
          <w:szCs w:val="24"/>
        </w:rPr>
      </w:pPr>
      <w:r w:rsidRPr="00AE6B37">
        <w:rPr>
          <w:rFonts w:ascii="Times New Roman" w:eastAsia="Times New Roman" w:hAnsi="Times New Roman" w:cs="Times New Roman"/>
          <w:b/>
          <w:bCs/>
          <w:sz w:val="24"/>
          <w:szCs w:val="24"/>
        </w:rPr>
        <w:t xml:space="preserve">Figure </w:t>
      </w:r>
      <w:r w:rsidR="00F74A00" w:rsidRPr="00AE6B37">
        <w:rPr>
          <w:rFonts w:ascii="Times New Roman" w:eastAsia="Times New Roman" w:hAnsi="Times New Roman" w:cs="Times New Roman"/>
          <w:b/>
          <w:bCs/>
          <w:sz w:val="24"/>
          <w:szCs w:val="24"/>
        </w:rPr>
        <w:t>S</w:t>
      </w:r>
      <w:r w:rsidR="00AD3B73" w:rsidRPr="00AE6B37">
        <w:rPr>
          <w:rFonts w:ascii="Times New Roman" w:eastAsia="Times New Roman" w:hAnsi="Times New Roman" w:cs="Times New Roman"/>
          <w:b/>
          <w:bCs/>
          <w:sz w:val="24"/>
          <w:szCs w:val="24"/>
        </w:rPr>
        <w:t>4</w:t>
      </w:r>
      <w:r w:rsidRPr="00AE6B37">
        <w:rPr>
          <w:rFonts w:ascii="Times New Roman" w:eastAsia="Times New Roman" w:hAnsi="Times New Roman" w:cs="Times New Roman"/>
          <w:b/>
          <w:bCs/>
          <w:sz w:val="24"/>
          <w:szCs w:val="24"/>
        </w:rPr>
        <w:t xml:space="preserve">. </w:t>
      </w:r>
      <w:r w:rsidR="00F74A00">
        <w:rPr>
          <w:rFonts w:ascii="Times New Roman" w:eastAsia="Times New Roman" w:hAnsi="Times New Roman" w:cs="Times New Roman"/>
          <w:sz w:val="24"/>
          <w:szCs w:val="24"/>
        </w:rPr>
        <w:t xml:space="preserve">The difference in frontal ablation estimates using different assumptions for the mass balance below the flux gate. The x-axis shows the frontal ablation rate used in the main text, where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=-10</m:t>
        </m:r>
      </m:oMath>
      <w:r w:rsidR="00F74A00">
        <w:rPr>
          <w:rFonts w:ascii="Times New Roman" w:eastAsia="Times New Roman" w:hAnsi="Times New Roman" w:cs="Times New Roman"/>
          <w:sz w:val="24"/>
          <w:szCs w:val="24"/>
        </w:rPr>
        <w:t xml:space="preserve"> m a</w:t>
      </w:r>
      <w:r w:rsidR="00F74A00" w:rsidRPr="00F74A00">
        <w:rPr>
          <w:rFonts w:ascii="Times New Roman" w:eastAsia="Times New Roman" w:hAnsi="Times New Roman" w:cs="Times New Roman"/>
          <w:sz w:val="24"/>
          <w:szCs w:val="24"/>
          <w:vertAlign w:val="superscript"/>
        </w:rPr>
        <w:t>-1</w:t>
      </w:r>
      <w:r w:rsidR="00F74A00">
        <w:rPr>
          <w:rFonts w:ascii="Times New Roman" w:eastAsia="Times New Roman" w:hAnsi="Times New Roman" w:cs="Times New Roman"/>
          <w:sz w:val="24"/>
          <w:szCs w:val="24"/>
        </w:rPr>
        <w:t xml:space="preserve"> is applied over the glacier surface area below the flux gate (colors). The y-axis shows the difference in frontal ablation estimates if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=-5</m:t>
        </m:r>
      </m:oMath>
      <w:r w:rsidR="00F74A00">
        <w:rPr>
          <w:rFonts w:ascii="Times New Roman" w:eastAsia="Times New Roman" w:hAnsi="Times New Roman" w:cs="Times New Roman"/>
          <w:sz w:val="24"/>
          <w:szCs w:val="24"/>
        </w:rPr>
        <w:t xml:space="preserve"> m a</w:t>
      </w:r>
      <w:r w:rsidR="00F74A00" w:rsidRPr="00F74A00">
        <w:rPr>
          <w:rFonts w:ascii="Times New Roman" w:eastAsia="Times New Roman" w:hAnsi="Times New Roman" w:cs="Times New Roman"/>
          <w:sz w:val="24"/>
          <w:szCs w:val="24"/>
          <w:vertAlign w:val="superscript"/>
        </w:rPr>
        <w:t>-1</w:t>
      </w:r>
      <w:r w:rsidR="00F74A00">
        <w:rPr>
          <w:rFonts w:ascii="Times New Roman" w:eastAsia="Times New Roman" w:hAnsi="Times New Roman" w:cs="Times New Roman"/>
          <w:sz w:val="24"/>
          <w:szCs w:val="24"/>
        </w:rPr>
        <w:t xml:space="preserve"> is used instead, where negative values indicate lower frontal ablation rates using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=-10</m:t>
        </m:r>
      </m:oMath>
      <w:r w:rsidR="00F74A00">
        <w:rPr>
          <w:rFonts w:ascii="Times New Roman" w:eastAsia="Times New Roman" w:hAnsi="Times New Roman" w:cs="Times New Roman"/>
          <w:sz w:val="24"/>
          <w:szCs w:val="24"/>
        </w:rPr>
        <w:t xml:space="preserve"> m a</w:t>
      </w:r>
      <w:r w:rsidR="00F74A00" w:rsidRPr="00F74A00">
        <w:rPr>
          <w:rFonts w:ascii="Times New Roman" w:eastAsia="Times New Roman" w:hAnsi="Times New Roman" w:cs="Times New Roman"/>
          <w:sz w:val="24"/>
          <w:szCs w:val="24"/>
          <w:vertAlign w:val="superscript"/>
        </w:rPr>
        <w:t>-1</w:t>
      </w:r>
      <w:r w:rsidR="00F74A00">
        <w:rPr>
          <w:rFonts w:ascii="Times New Roman" w:eastAsia="Times New Roman" w:hAnsi="Times New Roman" w:cs="Times New Roman"/>
          <w:sz w:val="24"/>
          <w:szCs w:val="24"/>
        </w:rPr>
        <w:t xml:space="preserve">. On average, </w:t>
      </w:r>
      <w:r w:rsidR="00F74A00" w:rsidRPr="00F74A00">
        <w:rPr>
          <w:rFonts w:ascii="Times New Roman" w:eastAsia="Times New Roman" w:hAnsi="Times New Roman" w:cs="Times New Roman"/>
          <w:i/>
          <w:iCs/>
          <w:sz w:val="24"/>
          <w:szCs w:val="24"/>
        </w:rPr>
        <w:t>F</w:t>
      </w:r>
      <w:r w:rsidR="00F74A00">
        <w:rPr>
          <w:rFonts w:ascii="Times New Roman" w:eastAsia="Times New Roman" w:hAnsi="Times New Roman" w:cs="Times New Roman"/>
          <w:sz w:val="24"/>
          <w:szCs w:val="24"/>
        </w:rPr>
        <w:t xml:space="preserve"> estimates are 10% higher using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=-5</m:t>
        </m:r>
      </m:oMath>
      <w:r w:rsidR="00F74A00">
        <w:rPr>
          <w:rFonts w:ascii="Times New Roman" w:eastAsia="Times New Roman" w:hAnsi="Times New Roman" w:cs="Times New Roman"/>
          <w:sz w:val="24"/>
          <w:szCs w:val="24"/>
        </w:rPr>
        <w:t xml:space="preserve"> m a</w:t>
      </w:r>
      <w:r w:rsidR="00F74A00" w:rsidRPr="00F74A00">
        <w:rPr>
          <w:rFonts w:ascii="Times New Roman" w:eastAsia="Times New Roman" w:hAnsi="Times New Roman" w:cs="Times New Roman"/>
          <w:sz w:val="24"/>
          <w:szCs w:val="24"/>
          <w:vertAlign w:val="superscript"/>
        </w:rPr>
        <w:t>-1</w:t>
      </w:r>
      <w:r w:rsidR="00F74A00">
        <w:rPr>
          <w:rFonts w:ascii="Times New Roman" w:eastAsia="Times New Roman" w:hAnsi="Times New Roman" w:cs="Times New Roman"/>
          <w:sz w:val="24"/>
          <w:szCs w:val="24"/>
        </w:rPr>
        <w:t>.</w:t>
      </w:r>
    </w:p>
    <w:p w14:paraId="16BD4337" w14:textId="77777777" w:rsidR="00C258FA" w:rsidRDefault="00C258FA">
      <w:pPr>
        <w:widowControl w:val="0"/>
        <w:spacing w:after="0" w:line="360" w:lineRule="auto"/>
        <w:jc w:val="both"/>
        <w:rPr>
          <w:rFonts w:ascii="Times New Roman" w:eastAsia="Times New Roman" w:hAnsi="Times New Roman" w:cs="Times New Roman"/>
          <w:sz w:val="24"/>
          <w:szCs w:val="24"/>
        </w:rPr>
      </w:pPr>
    </w:p>
    <w:p w14:paraId="75C8429C" w14:textId="77777777" w:rsidR="00C258FA" w:rsidRDefault="002E380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7C500D3" wp14:editId="3BBD945E">
            <wp:extent cx="5943600" cy="35814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3581400"/>
                    </a:xfrm>
                    <a:prstGeom prst="rect">
                      <a:avLst/>
                    </a:prstGeom>
                    <a:ln/>
                  </pic:spPr>
                </pic:pic>
              </a:graphicData>
            </a:graphic>
          </wp:inline>
        </w:drawing>
      </w:r>
    </w:p>
    <w:p w14:paraId="1EB04C44" w14:textId="0F7DAFB5" w:rsidR="00C258FA" w:rsidRDefault="002E3807">
      <w:pPr>
        <w:jc w:val="both"/>
        <w:rPr>
          <w:rFonts w:ascii="Times New Roman" w:eastAsia="Times New Roman" w:hAnsi="Times New Roman" w:cs="Times New Roman"/>
          <w:sz w:val="24"/>
          <w:szCs w:val="24"/>
        </w:rPr>
      </w:pPr>
      <w:r w:rsidRPr="00AE6B37">
        <w:rPr>
          <w:rFonts w:ascii="Times New Roman" w:eastAsia="Times New Roman" w:hAnsi="Times New Roman" w:cs="Times New Roman"/>
          <w:b/>
          <w:bCs/>
          <w:sz w:val="24"/>
          <w:szCs w:val="24"/>
        </w:rPr>
        <w:t>Figure S</w:t>
      </w:r>
      <w:r w:rsidR="00AD3B73" w:rsidRPr="00AE6B37">
        <w:rPr>
          <w:rFonts w:ascii="Times New Roman" w:eastAsia="Times New Roman" w:hAnsi="Times New Roman" w:cs="Times New Roman"/>
          <w:b/>
          <w:bCs/>
          <w:sz w:val="24"/>
          <w:szCs w:val="24"/>
        </w:rPr>
        <w:t>5</w:t>
      </w:r>
      <w:r w:rsidRPr="00AE6B37">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Uncertainty in frontal ablation as a function of frontal ablation magnitude.</w:t>
      </w:r>
    </w:p>
    <w:p w14:paraId="21E8C429" w14:textId="77777777" w:rsidR="0021418D" w:rsidRDefault="0021418D">
      <w:pPr>
        <w:jc w:val="both"/>
        <w:rPr>
          <w:rFonts w:ascii="Times New Roman" w:eastAsia="Times New Roman" w:hAnsi="Times New Roman" w:cs="Times New Roman"/>
          <w:sz w:val="24"/>
          <w:szCs w:val="24"/>
        </w:rPr>
      </w:pPr>
    </w:p>
    <w:p w14:paraId="5C078EC6" w14:textId="23C229B0" w:rsidR="0021418D" w:rsidRDefault="00B40943">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AC612F0" wp14:editId="0CC04C99">
            <wp:extent cx="5943600" cy="5473700"/>
            <wp:effectExtent l="0" t="0" r="0" b="0"/>
            <wp:docPr id="1571741541" name="Picture 2" descr="A map of alaska showing different types of iceber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41541" name="Picture 2" descr="A map of alaska showing different types of iceberg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473700"/>
                    </a:xfrm>
                    <a:prstGeom prst="rect">
                      <a:avLst/>
                    </a:prstGeom>
                  </pic:spPr>
                </pic:pic>
              </a:graphicData>
            </a:graphic>
          </wp:inline>
        </w:drawing>
      </w:r>
    </w:p>
    <w:p w14:paraId="28DA9850" w14:textId="7C405E15" w:rsidR="0021418D" w:rsidRDefault="0021418D">
      <w:pPr>
        <w:jc w:val="both"/>
        <w:rPr>
          <w:rFonts w:ascii="Times New Roman" w:eastAsia="Times New Roman" w:hAnsi="Times New Roman" w:cs="Times New Roman"/>
          <w:sz w:val="24"/>
          <w:szCs w:val="24"/>
        </w:rPr>
      </w:pPr>
      <w:r w:rsidRPr="00AE6B37">
        <w:rPr>
          <w:rFonts w:ascii="Times New Roman" w:eastAsia="Times New Roman" w:hAnsi="Times New Roman" w:cs="Times New Roman"/>
          <w:b/>
          <w:bCs/>
          <w:sz w:val="24"/>
          <w:szCs w:val="24"/>
        </w:rPr>
        <w:t xml:space="preserve">Figure S6. </w:t>
      </w:r>
      <w:r w:rsidR="00B40943">
        <w:rPr>
          <w:rFonts w:ascii="Times New Roman" w:eastAsia="Times New Roman" w:hAnsi="Times New Roman" w:cs="Times New Roman"/>
          <w:sz w:val="24"/>
          <w:szCs w:val="24"/>
        </w:rPr>
        <w:t xml:space="preserve">Maps of (a) retreat rate over the full 1984 – 2021 study period as well as (b) frontal ablation estimated using the full study period retreat rate. This figure presents very similar data to Fig. 5 in the main </w:t>
      </w:r>
      <w:proofErr w:type="gramStart"/>
      <w:r w:rsidR="00B40943">
        <w:rPr>
          <w:rFonts w:ascii="Times New Roman" w:eastAsia="Times New Roman" w:hAnsi="Times New Roman" w:cs="Times New Roman"/>
          <w:sz w:val="24"/>
          <w:szCs w:val="24"/>
        </w:rPr>
        <w:t>text, but</w:t>
      </w:r>
      <w:proofErr w:type="gramEnd"/>
      <w:r w:rsidR="00B40943">
        <w:rPr>
          <w:rFonts w:ascii="Times New Roman" w:eastAsia="Times New Roman" w:hAnsi="Times New Roman" w:cs="Times New Roman"/>
          <w:sz w:val="24"/>
          <w:szCs w:val="24"/>
        </w:rPr>
        <w:t xml:space="preserve"> uses a different time period for estimating retreat and frontal ablation rates.</w:t>
      </w:r>
    </w:p>
    <w:p w14:paraId="6C6A8E43" w14:textId="1B8BEF93" w:rsidR="00C258FA" w:rsidRDefault="00C258FA">
      <w:pPr>
        <w:spacing w:line="360" w:lineRule="auto"/>
        <w:jc w:val="both"/>
        <w:rPr>
          <w:rFonts w:ascii="Times New Roman" w:eastAsia="Times New Roman" w:hAnsi="Times New Roman" w:cs="Times New Roman"/>
          <w:b/>
          <w:sz w:val="24"/>
          <w:szCs w:val="24"/>
        </w:rPr>
      </w:pPr>
    </w:p>
    <w:p w14:paraId="6272A0D5" w14:textId="0B8417AF" w:rsidR="0056794C" w:rsidRDefault="0056794C" w:rsidP="0056794C">
      <w:pPr>
        <w:spacing w:line="360" w:lineRule="auto"/>
        <w:jc w:val="center"/>
        <w:rPr>
          <w:rFonts w:ascii="Times New Roman" w:eastAsia="Times New Roman" w:hAnsi="Times New Roman" w:cs="Times New Roman"/>
          <w:b/>
          <w:sz w:val="24"/>
          <w:szCs w:val="24"/>
        </w:rPr>
      </w:pPr>
      <w:r>
        <w:rPr>
          <w:noProof/>
        </w:rPr>
        <w:lastRenderedPageBreak/>
        <w:drawing>
          <wp:inline distT="0" distB="0" distL="0" distR="0" wp14:anchorId="658D560F" wp14:editId="292EE1D2">
            <wp:extent cx="3877598" cy="3576836"/>
            <wp:effectExtent l="0" t="0" r="8890" b="5080"/>
            <wp:docPr id="1964383147" name="Picture 1" descr="A pie chart with number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83147" name="Picture 1" descr="A pie chart with numbers and a red circle&#10;&#10;Description automatically generated"/>
                    <pic:cNvPicPr/>
                  </pic:nvPicPr>
                  <pic:blipFill>
                    <a:blip r:embed="rId12"/>
                    <a:stretch>
                      <a:fillRect/>
                    </a:stretch>
                  </pic:blipFill>
                  <pic:spPr>
                    <a:xfrm>
                      <a:off x="0" y="0"/>
                      <a:ext cx="3888800" cy="3587169"/>
                    </a:xfrm>
                    <a:prstGeom prst="rect">
                      <a:avLst/>
                    </a:prstGeom>
                  </pic:spPr>
                </pic:pic>
              </a:graphicData>
            </a:graphic>
          </wp:inline>
        </w:drawing>
      </w:r>
    </w:p>
    <w:p w14:paraId="45083D47" w14:textId="49CDBCB5" w:rsidR="0056794C" w:rsidRPr="0056794C" w:rsidRDefault="0056794C">
      <w:pPr>
        <w:spacing w:line="360" w:lineRule="auto"/>
        <w:jc w:val="both"/>
        <w:rPr>
          <w:rFonts w:ascii="Times New Roman" w:eastAsia="Times New Roman" w:hAnsi="Times New Roman" w:cs="Times New Roman"/>
          <w:bCs/>
          <w:sz w:val="24"/>
          <w:szCs w:val="24"/>
        </w:rPr>
      </w:pPr>
      <w:r w:rsidRPr="00AE6B37">
        <w:rPr>
          <w:rFonts w:ascii="Times New Roman" w:eastAsia="Times New Roman" w:hAnsi="Times New Roman" w:cs="Times New Roman"/>
          <w:b/>
          <w:sz w:val="24"/>
          <w:szCs w:val="24"/>
        </w:rPr>
        <w:t xml:space="preserve">Figure S7. </w:t>
      </w:r>
      <w:r>
        <w:rPr>
          <w:rFonts w:ascii="Times New Roman" w:eastAsia="Times New Roman" w:hAnsi="Times New Roman" w:cs="Times New Roman"/>
          <w:bCs/>
          <w:sz w:val="24"/>
          <w:szCs w:val="24"/>
        </w:rPr>
        <w:t>Summary of changes in retreat rates between the 1984 – 1999</w:t>
      </w:r>
      <w:r w:rsidR="00805CF1">
        <w:rPr>
          <w:rFonts w:ascii="Times New Roman" w:eastAsia="Times New Roman" w:hAnsi="Times New Roman" w:cs="Times New Roman"/>
          <w:bCs/>
          <w:sz w:val="24"/>
          <w:szCs w:val="24"/>
        </w:rPr>
        <w:t xml:space="preserve"> (early)</w:t>
      </w:r>
      <w:r>
        <w:rPr>
          <w:rFonts w:ascii="Times New Roman" w:eastAsia="Times New Roman" w:hAnsi="Times New Roman" w:cs="Times New Roman"/>
          <w:bCs/>
          <w:sz w:val="24"/>
          <w:szCs w:val="24"/>
        </w:rPr>
        <w:t>, 1999 – 2009</w:t>
      </w:r>
      <w:r w:rsidR="00805CF1">
        <w:rPr>
          <w:rFonts w:ascii="Times New Roman" w:eastAsia="Times New Roman" w:hAnsi="Times New Roman" w:cs="Times New Roman"/>
          <w:bCs/>
          <w:sz w:val="24"/>
          <w:szCs w:val="24"/>
        </w:rPr>
        <w:t xml:space="preserve"> (middle)</w:t>
      </w:r>
      <w:r>
        <w:rPr>
          <w:rFonts w:ascii="Times New Roman" w:eastAsia="Times New Roman" w:hAnsi="Times New Roman" w:cs="Times New Roman"/>
          <w:bCs/>
          <w:sz w:val="24"/>
          <w:szCs w:val="24"/>
        </w:rPr>
        <w:t xml:space="preserve">, and 2009 – 2018 </w:t>
      </w:r>
      <w:r w:rsidR="00805CF1">
        <w:rPr>
          <w:rFonts w:ascii="Times New Roman" w:eastAsia="Times New Roman" w:hAnsi="Times New Roman" w:cs="Times New Roman"/>
          <w:bCs/>
          <w:sz w:val="24"/>
          <w:szCs w:val="24"/>
        </w:rPr>
        <w:t xml:space="preserve">(late) </w:t>
      </w:r>
      <w:r>
        <w:rPr>
          <w:rFonts w:ascii="Times New Roman" w:eastAsia="Times New Roman" w:hAnsi="Times New Roman" w:cs="Times New Roman"/>
          <w:bCs/>
          <w:sz w:val="24"/>
          <w:szCs w:val="24"/>
        </w:rPr>
        <w:t xml:space="preserve">periods. </w:t>
      </w:r>
      <w:r w:rsidR="00805CF1">
        <w:rPr>
          <w:rFonts w:ascii="Times New Roman" w:eastAsia="Times New Roman" w:hAnsi="Times New Roman" w:cs="Times New Roman"/>
          <w:bCs/>
          <w:sz w:val="24"/>
          <w:szCs w:val="24"/>
        </w:rPr>
        <w:t xml:space="preserve">Glaciers that retreated fastest in the early period and slowest in the late period are denoted as “consistently slowing” and drawn in dark blue. Glaciers that retreated slowest in the early period, fastest in the middle period, and slowest in the late period as labelled “accelerating/slowing” and drawn in light blue. The other two classes are similarly defined. </w:t>
      </w:r>
      <w:r w:rsidR="00440879">
        <w:rPr>
          <w:rFonts w:ascii="Times New Roman" w:eastAsia="Times New Roman" w:hAnsi="Times New Roman" w:cs="Times New Roman"/>
          <w:bCs/>
          <w:sz w:val="24"/>
          <w:szCs w:val="24"/>
        </w:rPr>
        <w:t>Numbers indicate percent of study glaciers falling into that style of retreat rate change.</w:t>
      </w:r>
    </w:p>
    <w:p w14:paraId="4EE09E12" w14:textId="77777777" w:rsidR="00C258FA" w:rsidRDefault="00C258FA">
      <w:pPr>
        <w:spacing w:line="360" w:lineRule="auto"/>
        <w:jc w:val="both"/>
        <w:rPr>
          <w:rFonts w:ascii="Times New Roman" w:eastAsia="Times New Roman" w:hAnsi="Times New Roman" w:cs="Times New Roman"/>
          <w:sz w:val="24"/>
          <w:szCs w:val="24"/>
        </w:rPr>
      </w:pPr>
    </w:p>
    <w:p w14:paraId="1A1CEA97" w14:textId="77777777" w:rsidR="00C258FA" w:rsidRDefault="00C258FA">
      <w:pPr>
        <w:spacing w:line="360" w:lineRule="auto"/>
        <w:jc w:val="both"/>
        <w:rPr>
          <w:rFonts w:ascii="Times New Roman" w:eastAsia="Times New Roman" w:hAnsi="Times New Roman" w:cs="Times New Roman"/>
          <w:b/>
          <w:sz w:val="24"/>
          <w:szCs w:val="24"/>
        </w:rPr>
      </w:pPr>
    </w:p>
    <w:p w14:paraId="6260525C" w14:textId="77777777" w:rsidR="00C258FA" w:rsidRDefault="00C258FA">
      <w:pPr>
        <w:spacing w:line="360" w:lineRule="auto"/>
        <w:jc w:val="both"/>
        <w:rPr>
          <w:rFonts w:ascii="Times New Roman" w:eastAsia="Times New Roman" w:hAnsi="Times New Roman" w:cs="Times New Roman"/>
          <w:sz w:val="24"/>
          <w:szCs w:val="24"/>
        </w:rPr>
      </w:pPr>
    </w:p>
    <w:p w14:paraId="24447368" w14:textId="77777777" w:rsidR="00C258FA" w:rsidRDefault="00C258FA">
      <w:pPr>
        <w:spacing w:line="360" w:lineRule="auto"/>
        <w:jc w:val="both"/>
        <w:rPr>
          <w:rFonts w:ascii="Times New Roman" w:eastAsia="Times New Roman" w:hAnsi="Times New Roman" w:cs="Times New Roman"/>
          <w:sz w:val="24"/>
          <w:szCs w:val="24"/>
        </w:rPr>
      </w:pPr>
    </w:p>
    <w:p w14:paraId="710C2A67" w14:textId="77777777" w:rsidR="00C258FA" w:rsidRDefault="002E3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2F19B55" wp14:editId="71E3A311">
            <wp:extent cx="5050273" cy="3787704"/>
            <wp:effectExtent l="0" t="0" r="4445" b="0"/>
            <wp:docPr id="22" name="image13.png"/>
            <wp:cNvGraphicFramePr/>
            <a:graphic xmlns:a="http://schemas.openxmlformats.org/drawingml/2006/main">
              <a:graphicData uri="http://schemas.openxmlformats.org/drawingml/2006/picture">
                <pic:pic xmlns:pic="http://schemas.openxmlformats.org/drawingml/2006/picture">
                  <pic:nvPicPr>
                    <pic:cNvPr id="22" name="image13.pn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5050273" cy="3787704"/>
                    </a:xfrm>
                    <a:prstGeom prst="rect">
                      <a:avLst/>
                    </a:prstGeom>
                    <a:ln/>
                  </pic:spPr>
                </pic:pic>
              </a:graphicData>
            </a:graphic>
          </wp:inline>
        </w:drawing>
      </w:r>
    </w:p>
    <w:p w14:paraId="7AC3B883" w14:textId="41C1D2EC" w:rsidR="00C258FA" w:rsidRDefault="002E3807">
      <w:pPr>
        <w:spacing w:line="360" w:lineRule="auto"/>
        <w:jc w:val="both"/>
        <w:rPr>
          <w:rFonts w:ascii="Times New Roman" w:eastAsia="Times New Roman" w:hAnsi="Times New Roman" w:cs="Times New Roman"/>
          <w:sz w:val="24"/>
          <w:szCs w:val="24"/>
        </w:rPr>
      </w:pPr>
      <w:r w:rsidRPr="00AE6B37">
        <w:rPr>
          <w:rFonts w:ascii="Times New Roman" w:eastAsia="Times New Roman" w:hAnsi="Times New Roman" w:cs="Times New Roman"/>
          <w:b/>
          <w:bCs/>
          <w:sz w:val="24"/>
          <w:szCs w:val="24"/>
        </w:rPr>
        <w:t>Figure S</w:t>
      </w:r>
      <w:r w:rsidR="00AD3B73" w:rsidRPr="00AE6B37">
        <w:rPr>
          <w:rFonts w:ascii="Times New Roman" w:eastAsia="Times New Roman" w:hAnsi="Times New Roman" w:cs="Times New Roman"/>
          <w:b/>
          <w:bCs/>
          <w:sz w:val="24"/>
          <w:szCs w:val="24"/>
        </w:rPr>
        <w:t>8</w:t>
      </w:r>
      <w:r w:rsidRPr="00AE6B37">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Distributions of lake-terminating (blue) and marine-terminating (red) frontal ablation rates. The vertical lines show the median (solid line) and interquartile range (dashed lines) for each class.</w:t>
      </w:r>
      <w:r w:rsidR="00A26820">
        <w:rPr>
          <w:rFonts w:ascii="Times New Roman" w:eastAsia="Times New Roman" w:hAnsi="Times New Roman" w:cs="Times New Roman"/>
          <w:sz w:val="24"/>
          <w:szCs w:val="24"/>
        </w:rPr>
        <w:t xml:space="preserve"> Marine-terminating glaciers with outlying frontal ablation rates (Columbia Glacier, F = 3.7 Gt a</w:t>
      </w:r>
      <w:r w:rsidR="00A26820" w:rsidRPr="00BA0FF5">
        <w:rPr>
          <w:rFonts w:ascii="Times New Roman" w:eastAsia="Times New Roman" w:hAnsi="Times New Roman" w:cs="Times New Roman"/>
          <w:sz w:val="24"/>
          <w:szCs w:val="24"/>
          <w:vertAlign w:val="superscript"/>
        </w:rPr>
        <w:t>-1</w:t>
      </w:r>
      <w:r w:rsidR="00A26820">
        <w:rPr>
          <w:rFonts w:ascii="Times New Roman" w:eastAsia="Times New Roman" w:hAnsi="Times New Roman" w:cs="Times New Roman"/>
          <w:sz w:val="24"/>
          <w:szCs w:val="24"/>
        </w:rPr>
        <w:t>; Hubbard Glacier, F = 3.6 Gt a</w:t>
      </w:r>
      <w:r w:rsidR="00A26820" w:rsidRPr="00BA0FF5">
        <w:rPr>
          <w:rFonts w:ascii="Times New Roman" w:eastAsia="Times New Roman" w:hAnsi="Times New Roman" w:cs="Times New Roman"/>
          <w:sz w:val="24"/>
          <w:szCs w:val="24"/>
          <w:vertAlign w:val="superscript"/>
        </w:rPr>
        <w:t>-1</w:t>
      </w:r>
      <w:r w:rsidR="00A26820">
        <w:rPr>
          <w:rFonts w:ascii="Times New Roman" w:eastAsia="Times New Roman" w:hAnsi="Times New Roman" w:cs="Times New Roman"/>
          <w:sz w:val="24"/>
          <w:szCs w:val="24"/>
        </w:rPr>
        <w:t xml:space="preserve">) and </w:t>
      </w:r>
      <w:r w:rsidR="001B0237">
        <w:rPr>
          <w:rFonts w:ascii="Times New Roman" w:eastAsia="Times New Roman" w:hAnsi="Times New Roman" w:cs="Times New Roman"/>
          <w:sz w:val="24"/>
          <w:szCs w:val="24"/>
        </w:rPr>
        <w:t xml:space="preserve">the </w:t>
      </w:r>
      <w:r w:rsidR="00A26820">
        <w:rPr>
          <w:rFonts w:ascii="Times New Roman" w:eastAsia="Times New Roman" w:hAnsi="Times New Roman" w:cs="Times New Roman"/>
          <w:sz w:val="24"/>
          <w:szCs w:val="24"/>
        </w:rPr>
        <w:t>lake-terminating Bering Glacier (F = -0.56 Gt a</w:t>
      </w:r>
      <w:r w:rsidR="00A26820" w:rsidRPr="00BA0FF5">
        <w:rPr>
          <w:rFonts w:ascii="Times New Roman" w:eastAsia="Times New Roman" w:hAnsi="Times New Roman" w:cs="Times New Roman"/>
          <w:sz w:val="24"/>
          <w:szCs w:val="24"/>
          <w:vertAlign w:val="superscript"/>
        </w:rPr>
        <w:t>-1</w:t>
      </w:r>
      <w:r w:rsidR="00A26820">
        <w:rPr>
          <w:rFonts w:ascii="Times New Roman" w:eastAsia="Times New Roman" w:hAnsi="Times New Roman" w:cs="Times New Roman"/>
          <w:sz w:val="24"/>
          <w:szCs w:val="24"/>
        </w:rPr>
        <w:t>; negative value discussed in text) are not shown for clarity.</w:t>
      </w:r>
    </w:p>
    <w:p w14:paraId="0CEBED8F" w14:textId="77777777" w:rsidR="002A292C" w:rsidRDefault="002A292C" w:rsidP="002A292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03A1B44" wp14:editId="15B32BBC">
            <wp:extent cx="5943600" cy="6261100"/>
            <wp:effectExtent l="0" t="0" r="0" b="0"/>
            <wp:docPr id="23" name="image20.png" descr="A table of symbol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image20.png" descr="A table of symbols with text&#10;&#10;Description automatically generated with medium confidence"/>
                    <pic:cNvPicPr preferRelativeResize="0"/>
                  </pic:nvPicPr>
                  <pic:blipFill>
                    <a:blip r:embed="rId14"/>
                    <a:srcRect/>
                    <a:stretch>
                      <a:fillRect/>
                    </a:stretch>
                  </pic:blipFill>
                  <pic:spPr>
                    <a:xfrm>
                      <a:off x="0" y="0"/>
                      <a:ext cx="5943600" cy="6261100"/>
                    </a:xfrm>
                    <a:prstGeom prst="rect">
                      <a:avLst/>
                    </a:prstGeom>
                    <a:ln/>
                  </pic:spPr>
                </pic:pic>
              </a:graphicData>
            </a:graphic>
          </wp:inline>
        </w:drawing>
      </w:r>
    </w:p>
    <w:p w14:paraId="52054BCF" w14:textId="77777777" w:rsidR="002A292C" w:rsidRDefault="002A292C" w:rsidP="002A292C">
      <w:pPr>
        <w:spacing w:line="360" w:lineRule="auto"/>
        <w:jc w:val="both"/>
        <w:rPr>
          <w:rFonts w:ascii="Times New Roman" w:eastAsia="Times New Roman" w:hAnsi="Times New Roman" w:cs="Times New Roman"/>
          <w:sz w:val="24"/>
          <w:szCs w:val="24"/>
        </w:rPr>
      </w:pPr>
      <w:r w:rsidRPr="00E37230">
        <w:rPr>
          <w:rFonts w:ascii="Times New Roman" w:eastAsia="Times New Roman" w:hAnsi="Times New Roman" w:cs="Times New Roman"/>
          <w:b/>
          <w:bCs/>
          <w:sz w:val="24"/>
          <w:szCs w:val="24"/>
        </w:rPr>
        <w:t>Table S1</w:t>
      </w:r>
      <w:r w:rsidRPr="00E37230">
        <w:rPr>
          <w:rFonts w:ascii="Times New Roman" w:eastAsia="Times New Roman" w:hAnsi="Times New Roman" w:cs="Times New Roman"/>
          <w:sz w:val="24"/>
          <w:szCs w:val="24"/>
        </w:rPr>
        <w:t>. D</w:t>
      </w:r>
      <w:r>
        <w:rPr>
          <w:rFonts w:ascii="Times New Roman" w:eastAsia="Times New Roman" w:hAnsi="Times New Roman" w:cs="Times New Roman"/>
          <w:sz w:val="24"/>
          <w:szCs w:val="24"/>
        </w:rPr>
        <w:t xml:space="preserve">efinitions of variables used for calculating frontal ablation rates and flotation fraction as described in sections 2.3 and 2.6. “-” Indicates a value that varies between individual glaciers. </w:t>
      </w:r>
    </w:p>
    <w:p w14:paraId="418A669C" w14:textId="77777777" w:rsidR="00C258FA" w:rsidRDefault="00C258FA">
      <w:pPr>
        <w:spacing w:after="0" w:line="360" w:lineRule="auto"/>
        <w:rPr>
          <w:rFonts w:ascii="Times New Roman" w:eastAsia="Times New Roman" w:hAnsi="Times New Roman" w:cs="Times New Roman"/>
          <w:sz w:val="24"/>
          <w:szCs w:val="24"/>
        </w:rPr>
      </w:pPr>
    </w:p>
    <w:p w14:paraId="0BD90CCE" w14:textId="77777777" w:rsidR="002E3807" w:rsidRDefault="002E3807">
      <w:pPr>
        <w:spacing w:after="0" w:line="360" w:lineRule="auto"/>
        <w:rPr>
          <w:rFonts w:ascii="Times New Roman" w:eastAsia="Times New Roman" w:hAnsi="Times New Roman" w:cs="Times New Roman"/>
          <w:sz w:val="24"/>
          <w:szCs w:val="24"/>
        </w:rPr>
      </w:pPr>
    </w:p>
    <w:p w14:paraId="5F25EA56" w14:textId="77777777" w:rsidR="002E3807" w:rsidRDefault="002E3807">
      <w:pPr>
        <w:spacing w:after="0" w:line="360" w:lineRule="auto"/>
        <w:rPr>
          <w:rFonts w:ascii="Times New Roman" w:eastAsia="Times New Roman" w:hAnsi="Times New Roman" w:cs="Times New Roman"/>
          <w:sz w:val="24"/>
          <w:szCs w:val="24"/>
        </w:rPr>
      </w:pPr>
    </w:p>
    <w:p w14:paraId="55FD3E6E" w14:textId="77777777" w:rsidR="002E3807" w:rsidRDefault="002E3807">
      <w:pPr>
        <w:spacing w:after="0" w:line="360" w:lineRule="auto"/>
        <w:rPr>
          <w:rFonts w:ascii="Times New Roman" w:eastAsia="Times New Roman" w:hAnsi="Times New Roman" w:cs="Times New Roman"/>
          <w:sz w:val="24"/>
          <w:szCs w:val="24"/>
        </w:rPr>
      </w:pPr>
    </w:p>
    <w:tbl>
      <w:tblPr>
        <w:tblStyle w:val="a"/>
        <w:tblW w:w="8805" w:type="dxa"/>
        <w:tblLayout w:type="fixed"/>
        <w:tblLook w:val="0400" w:firstRow="0" w:lastRow="0" w:firstColumn="0" w:lastColumn="0" w:noHBand="0" w:noVBand="1"/>
      </w:tblPr>
      <w:tblGrid>
        <w:gridCol w:w="2283"/>
        <w:gridCol w:w="862"/>
        <w:gridCol w:w="862"/>
        <w:gridCol w:w="862"/>
        <w:gridCol w:w="862"/>
        <w:gridCol w:w="862"/>
        <w:gridCol w:w="1042"/>
        <w:gridCol w:w="1170"/>
      </w:tblGrid>
      <w:tr w:rsidR="00C258FA" w14:paraId="16870820" w14:textId="77777777">
        <w:trPr>
          <w:trHeight w:val="320"/>
        </w:trPr>
        <w:tc>
          <w:tcPr>
            <w:tcW w:w="8805" w:type="dxa"/>
            <w:gridSpan w:val="8"/>
            <w:tcBorders>
              <w:top w:val="single" w:sz="12" w:space="0" w:color="000000"/>
              <w:left w:val="single" w:sz="12" w:space="0" w:color="000000"/>
              <w:bottom w:val="nil"/>
              <w:right w:val="single" w:sz="12" w:space="0" w:color="000000"/>
            </w:tcBorders>
            <w:shd w:val="clear" w:color="auto" w:fill="auto"/>
            <w:vAlign w:val="center"/>
          </w:tcPr>
          <w:p w14:paraId="758F5399"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Retreat rate by percentile [m/a]</w:t>
            </w:r>
          </w:p>
        </w:tc>
      </w:tr>
      <w:tr w:rsidR="00C258FA" w14:paraId="3FEF7331" w14:textId="77777777">
        <w:trPr>
          <w:trHeight w:val="620"/>
        </w:trPr>
        <w:tc>
          <w:tcPr>
            <w:tcW w:w="2283"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54F6AB2"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Percentile / Time period</w:t>
            </w:r>
          </w:p>
        </w:tc>
        <w:tc>
          <w:tcPr>
            <w:tcW w:w="862" w:type="dxa"/>
            <w:tcBorders>
              <w:top w:val="single" w:sz="4" w:space="0" w:color="000000"/>
              <w:left w:val="nil"/>
              <w:bottom w:val="single" w:sz="4" w:space="0" w:color="000000"/>
              <w:right w:val="nil"/>
            </w:tcBorders>
            <w:shd w:val="clear" w:color="auto" w:fill="auto"/>
            <w:vAlign w:val="center"/>
          </w:tcPr>
          <w:p w14:paraId="62BD1BE8"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 w:type="dxa"/>
            <w:tcBorders>
              <w:top w:val="single" w:sz="4" w:space="0" w:color="000000"/>
              <w:left w:val="nil"/>
              <w:bottom w:val="single" w:sz="4" w:space="0" w:color="000000"/>
              <w:right w:val="nil"/>
            </w:tcBorders>
            <w:shd w:val="clear" w:color="auto" w:fill="auto"/>
            <w:vAlign w:val="center"/>
          </w:tcPr>
          <w:p w14:paraId="0BE48D0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62" w:type="dxa"/>
            <w:tcBorders>
              <w:top w:val="single" w:sz="4" w:space="0" w:color="000000"/>
              <w:left w:val="nil"/>
              <w:bottom w:val="single" w:sz="4" w:space="0" w:color="000000"/>
              <w:right w:val="nil"/>
            </w:tcBorders>
            <w:shd w:val="clear" w:color="auto" w:fill="auto"/>
            <w:vAlign w:val="center"/>
          </w:tcPr>
          <w:p w14:paraId="5A0398D7"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862" w:type="dxa"/>
            <w:tcBorders>
              <w:top w:val="single" w:sz="4" w:space="0" w:color="000000"/>
              <w:left w:val="nil"/>
              <w:bottom w:val="single" w:sz="4" w:space="0" w:color="000000"/>
              <w:right w:val="nil"/>
            </w:tcBorders>
            <w:shd w:val="clear" w:color="auto" w:fill="auto"/>
            <w:vAlign w:val="center"/>
          </w:tcPr>
          <w:p w14:paraId="570B52A3"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62" w:type="dxa"/>
            <w:tcBorders>
              <w:top w:val="single" w:sz="4" w:space="0" w:color="000000"/>
              <w:left w:val="nil"/>
              <w:bottom w:val="single" w:sz="4" w:space="0" w:color="000000"/>
              <w:right w:val="nil"/>
            </w:tcBorders>
            <w:shd w:val="clear" w:color="auto" w:fill="auto"/>
            <w:vAlign w:val="center"/>
          </w:tcPr>
          <w:p w14:paraId="686E0B95"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042" w:type="dxa"/>
            <w:tcBorders>
              <w:top w:val="single" w:sz="4" w:space="0" w:color="000000"/>
              <w:left w:val="single" w:sz="4" w:space="0" w:color="000000"/>
              <w:bottom w:val="single" w:sz="4" w:space="0" w:color="000000"/>
              <w:right w:val="nil"/>
            </w:tcBorders>
            <w:shd w:val="clear" w:color="auto" w:fill="auto"/>
            <w:vAlign w:val="center"/>
          </w:tcPr>
          <w:p w14:paraId="60BF4132"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IQR</w:t>
            </w:r>
          </w:p>
          <w:p w14:paraId="243514DA"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170" w:type="dxa"/>
            <w:tcBorders>
              <w:top w:val="single" w:sz="4" w:space="0" w:color="000000"/>
              <w:left w:val="nil"/>
              <w:bottom w:val="single" w:sz="4" w:space="0" w:color="000000"/>
              <w:right w:val="single" w:sz="12" w:space="0" w:color="000000"/>
            </w:tcBorders>
            <w:shd w:val="clear" w:color="auto" w:fill="auto"/>
            <w:vAlign w:val="center"/>
          </w:tcPr>
          <w:p w14:paraId="236DA213"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Span </w:t>
            </w:r>
            <w:r>
              <w:rPr>
                <w:rFonts w:ascii="Times New Roman" w:eastAsia="Times New Roman" w:hAnsi="Times New Roman" w:cs="Times New Roman"/>
                <w:sz w:val="24"/>
                <w:szCs w:val="24"/>
              </w:rPr>
              <w:br/>
              <w:t>5 – 95%</w:t>
            </w:r>
          </w:p>
        </w:tc>
      </w:tr>
      <w:tr w:rsidR="00C258FA" w14:paraId="46897F56" w14:textId="77777777">
        <w:trPr>
          <w:trHeight w:val="310"/>
        </w:trPr>
        <w:tc>
          <w:tcPr>
            <w:tcW w:w="2283" w:type="dxa"/>
            <w:tcBorders>
              <w:top w:val="nil"/>
              <w:left w:val="single" w:sz="12" w:space="0" w:color="000000"/>
              <w:bottom w:val="nil"/>
              <w:right w:val="single" w:sz="4" w:space="0" w:color="000000"/>
            </w:tcBorders>
            <w:shd w:val="clear" w:color="auto" w:fill="auto"/>
            <w:vAlign w:val="center"/>
          </w:tcPr>
          <w:p w14:paraId="6022F2C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1986 - 1999</w:t>
            </w:r>
          </w:p>
        </w:tc>
        <w:tc>
          <w:tcPr>
            <w:tcW w:w="862" w:type="dxa"/>
            <w:tcBorders>
              <w:top w:val="nil"/>
              <w:left w:val="nil"/>
              <w:bottom w:val="nil"/>
              <w:right w:val="nil"/>
            </w:tcBorders>
            <w:shd w:val="clear" w:color="auto" w:fill="auto"/>
            <w:vAlign w:val="center"/>
          </w:tcPr>
          <w:p w14:paraId="37C94757"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862" w:type="dxa"/>
            <w:tcBorders>
              <w:top w:val="nil"/>
              <w:left w:val="nil"/>
              <w:bottom w:val="nil"/>
              <w:right w:val="nil"/>
            </w:tcBorders>
            <w:shd w:val="clear" w:color="auto" w:fill="auto"/>
            <w:vAlign w:val="center"/>
          </w:tcPr>
          <w:p w14:paraId="3FC2962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62" w:type="dxa"/>
            <w:tcBorders>
              <w:top w:val="nil"/>
              <w:left w:val="nil"/>
              <w:bottom w:val="nil"/>
              <w:right w:val="nil"/>
            </w:tcBorders>
            <w:shd w:val="clear" w:color="auto" w:fill="auto"/>
            <w:vAlign w:val="center"/>
          </w:tcPr>
          <w:p w14:paraId="2707C6FD"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62" w:type="dxa"/>
            <w:tcBorders>
              <w:top w:val="nil"/>
              <w:left w:val="nil"/>
              <w:bottom w:val="nil"/>
              <w:right w:val="nil"/>
            </w:tcBorders>
            <w:shd w:val="clear" w:color="auto" w:fill="auto"/>
            <w:vAlign w:val="center"/>
          </w:tcPr>
          <w:p w14:paraId="7069A9CE"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62" w:type="dxa"/>
            <w:tcBorders>
              <w:top w:val="nil"/>
              <w:left w:val="nil"/>
              <w:bottom w:val="nil"/>
              <w:right w:val="nil"/>
            </w:tcBorders>
            <w:shd w:val="clear" w:color="auto" w:fill="auto"/>
            <w:vAlign w:val="center"/>
          </w:tcPr>
          <w:p w14:paraId="20A43222"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042" w:type="dxa"/>
            <w:tcBorders>
              <w:top w:val="nil"/>
              <w:left w:val="single" w:sz="4" w:space="0" w:color="000000"/>
              <w:bottom w:val="nil"/>
              <w:right w:val="nil"/>
            </w:tcBorders>
            <w:shd w:val="clear" w:color="auto" w:fill="auto"/>
            <w:vAlign w:val="center"/>
          </w:tcPr>
          <w:p w14:paraId="56240436"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170" w:type="dxa"/>
            <w:tcBorders>
              <w:top w:val="nil"/>
              <w:left w:val="nil"/>
              <w:bottom w:val="nil"/>
              <w:right w:val="single" w:sz="12" w:space="0" w:color="000000"/>
            </w:tcBorders>
            <w:shd w:val="clear" w:color="auto" w:fill="auto"/>
            <w:vAlign w:val="center"/>
          </w:tcPr>
          <w:p w14:paraId="3EC27ED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r>
      <w:tr w:rsidR="00C258FA" w14:paraId="6A23D3E8" w14:textId="77777777">
        <w:trPr>
          <w:trHeight w:val="310"/>
        </w:trPr>
        <w:tc>
          <w:tcPr>
            <w:tcW w:w="2283" w:type="dxa"/>
            <w:tcBorders>
              <w:top w:val="nil"/>
              <w:left w:val="single" w:sz="12" w:space="0" w:color="000000"/>
              <w:bottom w:val="nil"/>
              <w:right w:val="single" w:sz="4" w:space="0" w:color="000000"/>
            </w:tcBorders>
            <w:shd w:val="clear" w:color="auto" w:fill="auto"/>
            <w:vAlign w:val="center"/>
          </w:tcPr>
          <w:p w14:paraId="23E6CFAD"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1999 - 2009</w:t>
            </w:r>
          </w:p>
        </w:tc>
        <w:tc>
          <w:tcPr>
            <w:tcW w:w="862" w:type="dxa"/>
            <w:tcBorders>
              <w:top w:val="nil"/>
              <w:left w:val="nil"/>
              <w:bottom w:val="nil"/>
              <w:right w:val="nil"/>
            </w:tcBorders>
            <w:shd w:val="clear" w:color="auto" w:fill="auto"/>
            <w:vAlign w:val="center"/>
          </w:tcPr>
          <w:p w14:paraId="68B9D39F"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862" w:type="dxa"/>
            <w:tcBorders>
              <w:top w:val="nil"/>
              <w:left w:val="nil"/>
              <w:bottom w:val="nil"/>
              <w:right w:val="nil"/>
            </w:tcBorders>
            <w:shd w:val="clear" w:color="auto" w:fill="auto"/>
            <w:vAlign w:val="center"/>
          </w:tcPr>
          <w:p w14:paraId="3BF8684F"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862" w:type="dxa"/>
            <w:tcBorders>
              <w:top w:val="nil"/>
              <w:left w:val="nil"/>
              <w:bottom w:val="nil"/>
              <w:right w:val="nil"/>
            </w:tcBorders>
            <w:shd w:val="clear" w:color="auto" w:fill="auto"/>
            <w:vAlign w:val="center"/>
          </w:tcPr>
          <w:p w14:paraId="43C6679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862" w:type="dxa"/>
            <w:tcBorders>
              <w:top w:val="nil"/>
              <w:left w:val="nil"/>
              <w:bottom w:val="nil"/>
              <w:right w:val="nil"/>
            </w:tcBorders>
            <w:shd w:val="clear" w:color="auto" w:fill="auto"/>
            <w:vAlign w:val="center"/>
          </w:tcPr>
          <w:p w14:paraId="2D817509"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862" w:type="dxa"/>
            <w:tcBorders>
              <w:top w:val="nil"/>
              <w:left w:val="nil"/>
              <w:bottom w:val="nil"/>
              <w:right w:val="nil"/>
            </w:tcBorders>
            <w:shd w:val="clear" w:color="auto" w:fill="auto"/>
            <w:vAlign w:val="center"/>
          </w:tcPr>
          <w:p w14:paraId="5A7397EF"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42" w:type="dxa"/>
            <w:tcBorders>
              <w:top w:val="nil"/>
              <w:left w:val="single" w:sz="4" w:space="0" w:color="000000"/>
              <w:bottom w:val="nil"/>
              <w:right w:val="nil"/>
            </w:tcBorders>
            <w:shd w:val="clear" w:color="auto" w:fill="auto"/>
            <w:vAlign w:val="center"/>
          </w:tcPr>
          <w:p w14:paraId="1F989879"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70" w:type="dxa"/>
            <w:tcBorders>
              <w:top w:val="nil"/>
              <w:left w:val="nil"/>
              <w:bottom w:val="nil"/>
              <w:right w:val="single" w:sz="12" w:space="0" w:color="000000"/>
            </w:tcBorders>
            <w:shd w:val="clear" w:color="auto" w:fill="auto"/>
            <w:vAlign w:val="center"/>
          </w:tcPr>
          <w:p w14:paraId="3C1E1BF8"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r w:rsidR="00C258FA" w14:paraId="09B4FDBD" w14:textId="77777777">
        <w:trPr>
          <w:trHeight w:val="310"/>
        </w:trPr>
        <w:tc>
          <w:tcPr>
            <w:tcW w:w="2283" w:type="dxa"/>
            <w:tcBorders>
              <w:top w:val="nil"/>
              <w:left w:val="single" w:sz="12" w:space="0" w:color="000000"/>
              <w:bottom w:val="nil"/>
              <w:right w:val="single" w:sz="4" w:space="0" w:color="000000"/>
            </w:tcBorders>
            <w:shd w:val="clear" w:color="auto" w:fill="auto"/>
            <w:vAlign w:val="center"/>
          </w:tcPr>
          <w:p w14:paraId="7B854AD0"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2009 - 2018</w:t>
            </w:r>
          </w:p>
        </w:tc>
        <w:tc>
          <w:tcPr>
            <w:tcW w:w="862" w:type="dxa"/>
            <w:tcBorders>
              <w:top w:val="nil"/>
              <w:left w:val="nil"/>
              <w:bottom w:val="nil"/>
              <w:right w:val="nil"/>
            </w:tcBorders>
            <w:shd w:val="clear" w:color="auto" w:fill="auto"/>
            <w:vAlign w:val="center"/>
          </w:tcPr>
          <w:p w14:paraId="4393FE1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862" w:type="dxa"/>
            <w:tcBorders>
              <w:top w:val="nil"/>
              <w:left w:val="nil"/>
              <w:bottom w:val="nil"/>
              <w:right w:val="nil"/>
            </w:tcBorders>
            <w:shd w:val="clear" w:color="auto" w:fill="auto"/>
            <w:vAlign w:val="center"/>
          </w:tcPr>
          <w:p w14:paraId="1F88250E"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862" w:type="dxa"/>
            <w:tcBorders>
              <w:top w:val="nil"/>
              <w:left w:val="nil"/>
              <w:bottom w:val="nil"/>
              <w:right w:val="nil"/>
            </w:tcBorders>
            <w:shd w:val="clear" w:color="auto" w:fill="auto"/>
            <w:vAlign w:val="center"/>
          </w:tcPr>
          <w:p w14:paraId="45025C5B"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862" w:type="dxa"/>
            <w:tcBorders>
              <w:top w:val="nil"/>
              <w:left w:val="nil"/>
              <w:bottom w:val="nil"/>
              <w:right w:val="nil"/>
            </w:tcBorders>
            <w:shd w:val="clear" w:color="auto" w:fill="auto"/>
            <w:vAlign w:val="center"/>
          </w:tcPr>
          <w:p w14:paraId="069DF9D6"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62" w:type="dxa"/>
            <w:tcBorders>
              <w:top w:val="nil"/>
              <w:left w:val="nil"/>
              <w:bottom w:val="nil"/>
              <w:right w:val="nil"/>
            </w:tcBorders>
            <w:shd w:val="clear" w:color="auto" w:fill="auto"/>
            <w:vAlign w:val="center"/>
          </w:tcPr>
          <w:p w14:paraId="758633FF"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2" w:type="dxa"/>
            <w:tcBorders>
              <w:top w:val="nil"/>
              <w:left w:val="single" w:sz="4" w:space="0" w:color="000000"/>
              <w:bottom w:val="nil"/>
              <w:right w:val="nil"/>
            </w:tcBorders>
            <w:shd w:val="clear" w:color="auto" w:fill="auto"/>
            <w:vAlign w:val="center"/>
          </w:tcPr>
          <w:p w14:paraId="3885B2C0"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170" w:type="dxa"/>
            <w:tcBorders>
              <w:top w:val="nil"/>
              <w:left w:val="nil"/>
              <w:bottom w:val="nil"/>
              <w:right w:val="single" w:sz="12" w:space="0" w:color="000000"/>
            </w:tcBorders>
            <w:shd w:val="clear" w:color="auto" w:fill="auto"/>
            <w:vAlign w:val="center"/>
          </w:tcPr>
          <w:p w14:paraId="7C2745FD"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r>
      <w:tr w:rsidR="00C258FA" w14:paraId="06D1BAA9" w14:textId="77777777">
        <w:trPr>
          <w:trHeight w:val="320"/>
        </w:trPr>
        <w:tc>
          <w:tcPr>
            <w:tcW w:w="2283"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7F76F4D4"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1986 - 2018</w:t>
            </w:r>
          </w:p>
        </w:tc>
        <w:tc>
          <w:tcPr>
            <w:tcW w:w="862" w:type="dxa"/>
            <w:tcBorders>
              <w:top w:val="single" w:sz="4" w:space="0" w:color="000000"/>
              <w:left w:val="nil"/>
              <w:bottom w:val="single" w:sz="12" w:space="0" w:color="000000"/>
              <w:right w:val="nil"/>
            </w:tcBorders>
            <w:shd w:val="clear" w:color="auto" w:fill="auto"/>
            <w:vAlign w:val="center"/>
          </w:tcPr>
          <w:p w14:paraId="119B5990"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862" w:type="dxa"/>
            <w:tcBorders>
              <w:top w:val="single" w:sz="4" w:space="0" w:color="000000"/>
              <w:left w:val="nil"/>
              <w:bottom w:val="single" w:sz="12" w:space="0" w:color="000000"/>
              <w:right w:val="nil"/>
            </w:tcBorders>
            <w:shd w:val="clear" w:color="auto" w:fill="auto"/>
            <w:vAlign w:val="center"/>
          </w:tcPr>
          <w:p w14:paraId="0FC79633"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862" w:type="dxa"/>
            <w:tcBorders>
              <w:top w:val="single" w:sz="4" w:space="0" w:color="000000"/>
              <w:left w:val="nil"/>
              <w:bottom w:val="single" w:sz="12" w:space="0" w:color="000000"/>
              <w:right w:val="nil"/>
            </w:tcBorders>
            <w:shd w:val="clear" w:color="auto" w:fill="auto"/>
            <w:vAlign w:val="center"/>
          </w:tcPr>
          <w:p w14:paraId="76D9CE6F"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862" w:type="dxa"/>
            <w:tcBorders>
              <w:top w:val="single" w:sz="4" w:space="0" w:color="000000"/>
              <w:left w:val="nil"/>
              <w:bottom w:val="single" w:sz="12" w:space="0" w:color="000000"/>
              <w:right w:val="nil"/>
            </w:tcBorders>
            <w:shd w:val="clear" w:color="auto" w:fill="auto"/>
            <w:vAlign w:val="center"/>
          </w:tcPr>
          <w:p w14:paraId="1CD16319"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62" w:type="dxa"/>
            <w:tcBorders>
              <w:top w:val="single" w:sz="4" w:space="0" w:color="000000"/>
              <w:left w:val="nil"/>
              <w:bottom w:val="single" w:sz="12" w:space="0" w:color="000000"/>
              <w:right w:val="nil"/>
            </w:tcBorders>
            <w:shd w:val="clear" w:color="auto" w:fill="auto"/>
            <w:vAlign w:val="center"/>
          </w:tcPr>
          <w:p w14:paraId="27D389C7"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42" w:type="dxa"/>
            <w:tcBorders>
              <w:top w:val="single" w:sz="4" w:space="0" w:color="000000"/>
              <w:left w:val="single" w:sz="4" w:space="0" w:color="000000"/>
              <w:bottom w:val="single" w:sz="12" w:space="0" w:color="000000"/>
              <w:right w:val="nil"/>
            </w:tcBorders>
            <w:shd w:val="clear" w:color="auto" w:fill="auto"/>
            <w:vAlign w:val="center"/>
          </w:tcPr>
          <w:p w14:paraId="79596D02"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70" w:type="dxa"/>
            <w:tcBorders>
              <w:top w:val="single" w:sz="4" w:space="0" w:color="000000"/>
              <w:left w:val="nil"/>
              <w:bottom w:val="single" w:sz="12" w:space="0" w:color="000000"/>
              <w:right w:val="single" w:sz="12" w:space="0" w:color="000000"/>
            </w:tcBorders>
            <w:shd w:val="clear" w:color="auto" w:fill="auto"/>
            <w:vAlign w:val="center"/>
          </w:tcPr>
          <w:p w14:paraId="76B7DE22" w14:textId="77777777" w:rsidR="00C258FA" w:rsidRDefault="002E380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bl>
    <w:p w14:paraId="5FB66968" w14:textId="4C23E335" w:rsidR="002A292C" w:rsidRDefault="002E3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w:t>
      </w:r>
      <w:r w:rsidR="002A292C">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Summary statistics of rates of glacier length change for each ~decadal period. The rightmost two columns are indicators of the variability within the sample. Negative numbers indicate advance.</w:t>
      </w:r>
    </w:p>
    <w:sectPr w:rsidR="002A292C">
      <w:headerReference w:type="default" r:id="rId15"/>
      <w:footerReference w:type="default" r:id="rId16"/>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80E24" w14:textId="77777777" w:rsidR="00F92D64" w:rsidRDefault="00F92D64">
      <w:pPr>
        <w:spacing w:after="0" w:line="240" w:lineRule="auto"/>
      </w:pPr>
      <w:r>
        <w:separator/>
      </w:r>
    </w:p>
  </w:endnote>
  <w:endnote w:type="continuationSeparator" w:id="0">
    <w:p w14:paraId="4A6C9889" w14:textId="77777777" w:rsidR="00F92D64" w:rsidRDefault="00F92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59DBA3D-1DDD-A641-813A-A790F75D1A4D}"/>
    <w:embedBold r:id="rId2" w:fontKey="{06CCFCB2-C22B-AC4C-BC4F-5864370A753B}"/>
  </w:font>
  <w:font w:name="Times New Roman">
    <w:panose1 w:val="02020603050405020304"/>
    <w:charset w:val="00"/>
    <w:family w:val="roman"/>
    <w:pitch w:val="variable"/>
    <w:sig w:usb0="E0002EFF" w:usb1="C000785B" w:usb2="00000009" w:usb3="00000000" w:csb0="000001FF" w:csb1="00000000"/>
    <w:embedRegular r:id="rId3" w:fontKey="{50FF4B87-6F5B-B847-89F1-05E264B82ECA}"/>
    <w:embedBold r:id="rId4" w:fontKey="{C4ABA3E9-36F3-8F48-909F-3AB2576A45CF}"/>
    <w:embedItalic r:id="rId5" w:fontKey="{596FF756-D73C-134E-BC77-0A821F257836}"/>
  </w:font>
  <w:font w:name="Georgia">
    <w:panose1 w:val="02040502050405020303"/>
    <w:charset w:val="00"/>
    <w:family w:val="roman"/>
    <w:pitch w:val="variable"/>
    <w:sig w:usb0="00000287" w:usb1="00000000" w:usb2="00000000" w:usb3="00000000" w:csb0="0000009F" w:csb1="00000000"/>
    <w:embedRegular r:id="rId6" w:fontKey="{AA53BEE2-CECE-4D41-BFEE-FE10ACE836CA}"/>
    <w:embedItalic r:id="rId7" w:fontKey="{296B6D4C-25D7-5F41-B803-31268AE1878E}"/>
  </w:font>
  <w:font w:name="Cambria Math">
    <w:panose1 w:val="02040503050406030204"/>
    <w:charset w:val="00"/>
    <w:family w:val="roman"/>
    <w:pitch w:val="variable"/>
    <w:sig w:usb0="E00002FF" w:usb1="420024FF" w:usb2="00000000" w:usb3="00000000" w:csb0="0000019F" w:csb1="00000000"/>
    <w:embedItalic r:id="rId8" w:fontKey="{CB9138F9-B533-CA41-B3D6-821FF690B9D0}"/>
  </w:font>
  <w:font w:name="Cambria">
    <w:panose1 w:val="02040503050406030204"/>
    <w:charset w:val="00"/>
    <w:family w:val="roman"/>
    <w:pitch w:val="variable"/>
    <w:sig w:usb0="E00006FF" w:usb1="420024FF" w:usb2="02000000" w:usb3="00000000" w:csb0="0000019F" w:csb1="00000000"/>
    <w:embedRegular r:id="rId9" w:fontKey="{493A2716-BB29-764E-B359-1187996E5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5D2EC" w14:textId="77777777" w:rsidR="00C258FA" w:rsidRDefault="002E3807">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B12D46">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8B9D9" w14:textId="77777777" w:rsidR="00F92D64" w:rsidRDefault="00F92D64">
      <w:pPr>
        <w:spacing w:after="0" w:line="240" w:lineRule="auto"/>
      </w:pPr>
      <w:r>
        <w:separator/>
      </w:r>
    </w:p>
  </w:footnote>
  <w:footnote w:type="continuationSeparator" w:id="0">
    <w:p w14:paraId="3AC3C93F" w14:textId="77777777" w:rsidR="00F92D64" w:rsidRDefault="00F92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74A0" w14:textId="77777777" w:rsidR="00C258FA" w:rsidRDefault="00C258F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8FA"/>
    <w:rsid w:val="00023EA3"/>
    <w:rsid w:val="00025D92"/>
    <w:rsid w:val="00091FB5"/>
    <w:rsid w:val="00095EFE"/>
    <w:rsid w:val="000A43F4"/>
    <w:rsid w:val="000B0736"/>
    <w:rsid w:val="000C5DD8"/>
    <w:rsid w:val="000D357B"/>
    <w:rsid w:val="000D5F54"/>
    <w:rsid w:val="000E45D5"/>
    <w:rsid w:val="000F1700"/>
    <w:rsid w:val="000F5543"/>
    <w:rsid w:val="001150F8"/>
    <w:rsid w:val="001500E7"/>
    <w:rsid w:val="001A5585"/>
    <w:rsid w:val="001A7C45"/>
    <w:rsid w:val="001B0237"/>
    <w:rsid w:val="001E0CFB"/>
    <w:rsid w:val="001E4734"/>
    <w:rsid w:val="001F2190"/>
    <w:rsid w:val="002037A6"/>
    <w:rsid w:val="002128D4"/>
    <w:rsid w:val="0021418D"/>
    <w:rsid w:val="002204D2"/>
    <w:rsid w:val="00230E5B"/>
    <w:rsid w:val="00241200"/>
    <w:rsid w:val="00262E47"/>
    <w:rsid w:val="0028221D"/>
    <w:rsid w:val="00285244"/>
    <w:rsid w:val="002A292C"/>
    <w:rsid w:val="002A6E75"/>
    <w:rsid w:val="002E3807"/>
    <w:rsid w:val="002F2D28"/>
    <w:rsid w:val="0031058F"/>
    <w:rsid w:val="00320619"/>
    <w:rsid w:val="00326886"/>
    <w:rsid w:val="0032788A"/>
    <w:rsid w:val="00333F04"/>
    <w:rsid w:val="00344B85"/>
    <w:rsid w:val="003512D8"/>
    <w:rsid w:val="00365D39"/>
    <w:rsid w:val="00371AE1"/>
    <w:rsid w:val="003750A5"/>
    <w:rsid w:val="00380E4B"/>
    <w:rsid w:val="0038327B"/>
    <w:rsid w:val="00392E88"/>
    <w:rsid w:val="003B618E"/>
    <w:rsid w:val="003C6577"/>
    <w:rsid w:val="003D41FF"/>
    <w:rsid w:val="003E3963"/>
    <w:rsid w:val="003E647E"/>
    <w:rsid w:val="003F65F7"/>
    <w:rsid w:val="003F7549"/>
    <w:rsid w:val="00414EB3"/>
    <w:rsid w:val="00415E57"/>
    <w:rsid w:val="00420D2D"/>
    <w:rsid w:val="00440879"/>
    <w:rsid w:val="00446715"/>
    <w:rsid w:val="0045350A"/>
    <w:rsid w:val="0045529D"/>
    <w:rsid w:val="004570B1"/>
    <w:rsid w:val="00474495"/>
    <w:rsid w:val="00474D28"/>
    <w:rsid w:val="004873DE"/>
    <w:rsid w:val="00490C4C"/>
    <w:rsid w:val="00490E0D"/>
    <w:rsid w:val="004A418B"/>
    <w:rsid w:val="004C5E91"/>
    <w:rsid w:val="004E3B5B"/>
    <w:rsid w:val="004E3D76"/>
    <w:rsid w:val="004E751F"/>
    <w:rsid w:val="004F3A6A"/>
    <w:rsid w:val="005476D6"/>
    <w:rsid w:val="00555A02"/>
    <w:rsid w:val="0056794C"/>
    <w:rsid w:val="00575A48"/>
    <w:rsid w:val="00592599"/>
    <w:rsid w:val="005B1288"/>
    <w:rsid w:val="005B1B92"/>
    <w:rsid w:val="005B49B3"/>
    <w:rsid w:val="005C579D"/>
    <w:rsid w:val="005C78AA"/>
    <w:rsid w:val="005D11CC"/>
    <w:rsid w:val="005D7C24"/>
    <w:rsid w:val="006154A3"/>
    <w:rsid w:val="00622184"/>
    <w:rsid w:val="00622F87"/>
    <w:rsid w:val="006350A4"/>
    <w:rsid w:val="0067070E"/>
    <w:rsid w:val="00670CA7"/>
    <w:rsid w:val="00671B7E"/>
    <w:rsid w:val="006A5D8F"/>
    <w:rsid w:val="006B053A"/>
    <w:rsid w:val="006B63F0"/>
    <w:rsid w:val="006C1C94"/>
    <w:rsid w:val="006D0195"/>
    <w:rsid w:val="006D315D"/>
    <w:rsid w:val="0070495C"/>
    <w:rsid w:val="00711D80"/>
    <w:rsid w:val="007128F3"/>
    <w:rsid w:val="007239FA"/>
    <w:rsid w:val="00736FA5"/>
    <w:rsid w:val="007441C4"/>
    <w:rsid w:val="00746B22"/>
    <w:rsid w:val="00754763"/>
    <w:rsid w:val="00783C9E"/>
    <w:rsid w:val="00787E6F"/>
    <w:rsid w:val="007A1F91"/>
    <w:rsid w:val="007A2120"/>
    <w:rsid w:val="007A7B8B"/>
    <w:rsid w:val="007B2BC3"/>
    <w:rsid w:val="007B32A6"/>
    <w:rsid w:val="007B3C42"/>
    <w:rsid w:val="007B7144"/>
    <w:rsid w:val="007C043C"/>
    <w:rsid w:val="007C2819"/>
    <w:rsid w:val="007C7CD1"/>
    <w:rsid w:val="007D644A"/>
    <w:rsid w:val="007E18E7"/>
    <w:rsid w:val="007E3934"/>
    <w:rsid w:val="007F7177"/>
    <w:rsid w:val="00805CF1"/>
    <w:rsid w:val="008517F6"/>
    <w:rsid w:val="00884CAC"/>
    <w:rsid w:val="0088641D"/>
    <w:rsid w:val="00886460"/>
    <w:rsid w:val="00895EAE"/>
    <w:rsid w:val="008A1D85"/>
    <w:rsid w:val="008B1D20"/>
    <w:rsid w:val="008E0FD6"/>
    <w:rsid w:val="00900930"/>
    <w:rsid w:val="00901188"/>
    <w:rsid w:val="00930441"/>
    <w:rsid w:val="00954BFB"/>
    <w:rsid w:val="009602D8"/>
    <w:rsid w:val="009A7B6B"/>
    <w:rsid w:val="009B4FB3"/>
    <w:rsid w:val="009B6A30"/>
    <w:rsid w:val="009D02CD"/>
    <w:rsid w:val="009D2571"/>
    <w:rsid w:val="009D38C7"/>
    <w:rsid w:val="009E41E9"/>
    <w:rsid w:val="009E4CD6"/>
    <w:rsid w:val="009F4210"/>
    <w:rsid w:val="00A07EEE"/>
    <w:rsid w:val="00A150AA"/>
    <w:rsid w:val="00A169E3"/>
    <w:rsid w:val="00A26820"/>
    <w:rsid w:val="00A26D73"/>
    <w:rsid w:val="00A36C06"/>
    <w:rsid w:val="00A410AD"/>
    <w:rsid w:val="00A536AA"/>
    <w:rsid w:val="00A90A8E"/>
    <w:rsid w:val="00AA711C"/>
    <w:rsid w:val="00AB3D5D"/>
    <w:rsid w:val="00AB58FB"/>
    <w:rsid w:val="00AD3B73"/>
    <w:rsid w:val="00AE6B37"/>
    <w:rsid w:val="00AF5745"/>
    <w:rsid w:val="00AF6804"/>
    <w:rsid w:val="00B11C08"/>
    <w:rsid w:val="00B12D46"/>
    <w:rsid w:val="00B14112"/>
    <w:rsid w:val="00B148EF"/>
    <w:rsid w:val="00B176D4"/>
    <w:rsid w:val="00B40943"/>
    <w:rsid w:val="00B50118"/>
    <w:rsid w:val="00B5137C"/>
    <w:rsid w:val="00B60FCD"/>
    <w:rsid w:val="00B65328"/>
    <w:rsid w:val="00B87CDC"/>
    <w:rsid w:val="00B929C8"/>
    <w:rsid w:val="00BA0FF5"/>
    <w:rsid w:val="00BA4A26"/>
    <w:rsid w:val="00BB3AAF"/>
    <w:rsid w:val="00BB3B22"/>
    <w:rsid w:val="00BB677A"/>
    <w:rsid w:val="00BE2ACD"/>
    <w:rsid w:val="00BF498A"/>
    <w:rsid w:val="00C0382E"/>
    <w:rsid w:val="00C258FA"/>
    <w:rsid w:val="00C267AA"/>
    <w:rsid w:val="00C40476"/>
    <w:rsid w:val="00C414B6"/>
    <w:rsid w:val="00C41568"/>
    <w:rsid w:val="00C42556"/>
    <w:rsid w:val="00C510F3"/>
    <w:rsid w:val="00C57CF7"/>
    <w:rsid w:val="00C71D29"/>
    <w:rsid w:val="00C77379"/>
    <w:rsid w:val="00C823E3"/>
    <w:rsid w:val="00C93A25"/>
    <w:rsid w:val="00C96C78"/>
    <w:rsid w:val="00C97B7C"/>
    <w:rsid w:val="00CA3D86"/>
    <w:rsid w:val="00CB6981"/>
    <w:rsid w:val="00CB7694"/>
    <w:rsid w:val="00CD7F4B"/>
    <w:rsid w:val="00CF495A"/>
    <w:rsid w:val="00D1560B"/>
    <w:rsid w:val="00D256F6"/>
    <w:rsid w:val="00D46B54"/>
    <w:rsid w:val="00D52F3D"/>
    <w:rsid w:val="00D866D4"/>
    <w:rsid w:val="00D93EEA"/>
    <w:rsid w:val="00DB4896"/>
    <w:rsid w:val="00DC1DC2"/>
    <w:rsid w:val="00DE1C6C"/>
    <w:rsid w:val="00DE43E4"/>
    <w:rsid w:val="00E00278"/>
    <w:rsid w:val="00E13886"/>
    <w:rsid w:val="00E27E5B"/>
    <w:rsid w:val="00E32345"/>
    <w:rsid w:val="00E367EF"/>
    <w:rsid w:val="00E37230"/>
    <w:rsid w:val="00E44507"/>
    <w:rsid w:val="00E53EF0"/>
    <w:rsid w:val="00E633B7"/>
    <w:rsid w:val="00E709A9"/>
    <w:rsid w:val="00E74676"/>
    <w:rsid w:val="00E81464"/>
    <w:rsid w:val="00E92E7C"/>
    <w:rsid w:val="00E93025"/>
    <w:rsid w:val="00EB7E6B"/>
    <w:rsid w:val="00EC33FF"/>
    <w:rsid w:val="00ED71EB"/>
    <w:rsid w:val="00EE39E4"/>
    <w:rsid w:val="00EF3885"/>
    <w:rsid w:val="00F04163"/>
    <w:rsid w:val="00F10A60"/>
    <w:rsid w:val="00F74A00"/>
    <w:rsid w:val="00F92D64"/>
    <w:rsid w:val="00F96A7D"/>
    <w:rsid w:val="00FB170C"/>
    <w:rsid w:val="00FB6FD3"/>
    <w:rsid w:val="00FB7F69"/>
    <w:rsid w:val="00FF18F8"/>
    <w:rsid w:val="00FF3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B2375"/>
  <w15:docId w15:val="{0B13F30B-1902-3D45-954E-5EE1D4E5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B12D46"/>
  </w:style>
  <w:style w:type="paragraph" w:styleId="CommentSubject">
    <w:name w:val="annotation subject"/>
    <w:basedOn w:val="CommentText"/>
    <w:next w:val="CommentText"/>
    <w:link w:val="CommentSubjectChar"/>
    <w:uiPriority w:val="99"/>
    <w:semiHidden/>
    <w:unhideWhenUsed/>
    <w:rsid w:val="00490E0D"/>
    <w:rPr>
      <w:b/>
      <w:bCs/>
    </w:rPr>
  </w:style>
  <w:style w:type="character" w:customStyle="1" w:styleId="CommentSubjectChar">
    <w:name w:val="Comment Subject Char"/>
    <w:basedOn w:val="CommentTextChar"/>
    <w:link w:val="CommentSubject"/>
    <w:uiPriority w:val="99"/>
    <w:semiHidden/>
    <w:rsid w:val="00490E0D"/>
    <w:rPr>
      <w:b/>
      <w:bCs/>
      <w:sz w:val="20"/>
      <w:szCs w:val="20"/>
    </w:rPr>
  </w:style>
  <w:style w:type="character" w:styleId="Hyperlink">
    <w:name w:val="Hyperlink"/>
    <w:basedOn w:val="DefaultParagraphFont"/>
    <w:uiPriority w:val="99"/>
    <w:unhideWhenUsed/>
    <w:rsid w:val="008B1D20"/>
    <w:rPr>
      <w:color w:val="0000FF" w:themeColor="hyperlink"/>
      <w:u w:val="single"/>
    </w:rPr>
  </w:style>
  <w:style w:type="character" w:styleId="UnresolvedMention">
    <w:name w:val="Unresolved Mention"/>
    <w:basedOn w:val="DefaultParagraphFont"/>
    <w:uiPriority w:val="99"/>
    <w:semiHidden/>
    <w:unhideWhenUsed/>
    <w:rsid w:val="008B1D20"/>
    <w:rPr>
      <w:color w:val="605E5C"/>
      <w:shd w:val="clear" w:color="auto" w:fill="E1DFDD"/>
    </w:rPr>
  </w:style>
  <w:style w:type="character" w:styleId="PlaceholderText">
    <w:name w:val="Placeholder Text"/>
    <w:basedOn w:val="DefaultParagraphFont"/>
    <w:uiPriority w:val="99"/>
    <w:semiHidden/>
    <w:rsid w:val="00F74A0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619</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William Henry</dc:creator>
  <cp:lastModifiedBy>Armstrong, William Henry</cp:lastModifiedBy>
  <cp:revision>4</cp:revision>
  <cp:lastPrinted>2024-12-20T15:04:00Z</cp:lastPrinted>
  <dcterms:created xsi:type="dcterms:W3CDTF">2024-12-20T15:04:00Z</dcterms:created>
  <dcterms:modified xsi:type="dcterms:W3CDTF">2025-01-30T20:06:00Z</dcterms:modified>
</cp:coreProperties>
</file>