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FFE02" w14:textId="4E4DF947" w:rsidR="00585C1D" w:rsidRDefault="00000000">
      <w:pPr>
        <w:pStyle w:val="Heading1"/>
        <w:ind w:left="0"/>
      </w:pPr>
      <w:bookmarkStart w:id="0" w:name="_48pi1tg" w:colFirst="0" w:colLast="0"/>
      <w:bookmarkEnd w:id="0"/>
      <w:r>
        <w:t>Supporting information for “Thickness of Ruth Glacier</w:t>
      </w:r>
      <w:r w:rsidR="00661622">
        <w:t>, Alaska,</w:t>
      </w:r>
      <w:r>
        <w:t xml:space="preserve"> and Depth of its Great Gorge from Ice-Penetrating Radar and Mass Conservation”</w:t>
      </w:r>
    </w:p>
    <w:p w14:paraId="0A30852F" w14:textId="77777777" w:rsidR="00585C1D" w:rsidRDefault="00000000">
      <w:r>
        <w:rPr>
          <w:noProof/>
        </w:rPr>
        <w:drawing>
          <wp:inline distT="114300" distB="114300" distL="114300" distR="114300" wp14:anchorId="5590FB06" wp14:editId="163C1DEE">
            <wp:extent cx="2686373" cy="3657600"/>
            <wp:effectExtent l="0" t="0" r="6350"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6" cstate="print">
                      <a:extLst>
                        <a:ext uri="{28A0092B-C50C-407E-A947-70E740481C1C}">
                          <a14:useLocalDpi xmlns:a14="http://schemas.microsoft.com/office/drawing/2010/main" val="0"/>
                        </a:ext>
                      </a:extLst>
                    </a:blip>
                    <a:srcRect t="124" b="124"/>
                    <a:stretch>
                      <a:fillRect/>
                    </a:stretch>
                  </pic:blipFill>
                  <pic:spPr>
                    <a:xfrm>
                      <a:off x="0" y="0"/>
                      <a:ext cx="2686373" cy="3657600"/>
                    </a:xfrm>
                    <a:prstGeom prst="rect">
                      <a:avLst/>
                    </a:prstGeom>
                    <a:ln/>
                  </pic:spPr>
                </pic:pic>
              </a:graphicData>
            </a:graphic>
          </wp:inline>
        </w:drawing>
      </w:r>
    </w:p>
    <w:p w14:paraId="02720DE8" w14:textId="77777777" w:rsidR="00585C1D" w:rsidRDefault="00000000">
      <w:pPr>
        <w:spacing w:line="240" w:lineRule="auto"/>
      </w:pPr>
      <w:r>
        <w:rPr>
          <w:b/>
        </w:rPr>
        <w:t xml:space="preserve">Figure S1. </w:t>
      </w:r>
      <w:r>
        <w:t>Groundhog radar-derived ice influx gate to Ruth Glacier’s Great Gorge. (a) Groundhog radar-derived measurements of ice thickness along a profile crossing the entrance to the gorge. (b) Ice thickness measurements along the same profile as in (a), with holes filled through cubic spline, and the tails extrapolated to zero-thickness at the glacier’s boundary. Glacier surface velocity vectors in red from ITS_LIVE. (c) Ice thickness and ITS_LIVE surface velocity along the Groundhog radar-derived gate shown in (</w:t>
      </w:r>
      <w:proofErr w:type="spellStart"/>
      <w:proofErr w:type="gramStart"/>
      <w:r>
        <w:t>a,b</w:t>
      </w:r>
      <w:proofErr w:type="spellEnd"/>
      <w:proofErr w:type="gramEnd"/>
      <w:r>
        <w:t>), providing ice influx to the gorge. Black shaded area surrounding ice thickness profile represents Groundhog ice thickness measurement uncertainty. Gray vertical shaded regions indicate positions along the influx gate where holes were filled.</w:t>
      </w:r>
    </w:p>
    <w:p w14:paraId="6C8C28BD" w14:textId="77777777" w:rsidR="00585C1D" w:rsidRDefault="00585C1D">
      <w:pPr>
        <w:spacing w:line="240" w:lineRule="auto"/>
      </w:pPr>
    </w:p>
    <w:p w14:paraId="5803C1FD" w14:textId="77777777" w:rsidR="00585C1D" w:rsidRDefault="00585C1D">
      <w:pPr>
        <w:spacing w:line="240" w:lineRule="auto"/>
      </w:pPr>
    </w:p>
    <w:p w14:paraId="2335E3E6" w14:textId="77777777" w:rsidR="00585C1D" w:rsidRDefault="00585C1D">
      <w:pPr>
        <w:spacing w:line="240" w:lineRule="auto"/>
      </w:pPr>
    </w:p>
    <w:p w14:paraId="6574B1FD" w14:textId="77777777" w:rsidR="00585C1D" w:rsidRDefault="00000000">
      <w:r>
        <w:rPr>
          <w:noProof/>
        </w:rPr>
        <w:drawing>
          <wp:inline distT="114300" distB="114300" distL="114300" distR="114300" wp14:anchorId="77799B6F" wp14:editId="0F4CDD26">
            <wp:extent cx="2689412" cy="18288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t="20" b="20"/>
                    <a:stretch>
                      <a:fillRect/>
                    </a:stretch>
                  </pic:blipFill>
                  <pic:spPr>
                    <a:xfrm>
                      <a:off x="0" y="0"/>
                      <a:ext cx="2689412" cy="1828800"/>
                    </a:xfrm>
                    <a:prstGeom prst="rect">
                      <a:avLst/>
                    </a:prstGeom>
                    <a:ln/>
                  </pic:spPr>
                </pic:pic>
              </a:graphicData>
            </a:graphic>
          </wp:inline>
        </w:drawing>
      </w:r>
    </w:p>
    <w:p w14:paraId="48DD2308" w14:textId="77777777" w:rsidR="00585C1D" w:rsidRDefault="00000000">
      <w:pPr>
        <w:spacing w:line="240" w:lineRule="auto"/>
      </w:pPr>
      <w:r>
        <w:rPr>
          <w:b/>
        </w:rPr>
        <w:lastRenderedPageBreak/>
        <w:t xml:space="preserve">Figure S2. </w:t>
      </w:r>
      <w:r>
        <w:t xml:space="preserve">ARES radar-derived ice flux through a gate on the lower Ruth Glacier ~15 km up-glacier from the terminus. The ITS_LIVE surface speed profile (red) indicates the potential for an asymmetric </w:t>
      </w:r>
      <w:proofErr w:type="gramStart"/>
      <w:r>
        <w:t>cross-flow</w:t>
      </w:r>
      <w:proofErr w:type="gramEnd"/>
      <w:r>
        <w:t xml:space="preserve"> bed shape. Solid black line indicates symmetric ice thickness profile constrained by ARES radar-derived measurements along a near-centerline profile and the glacier valley edges (blue circles, with vertical error bars corresponding to radar measurement uncertainty). Gray shaded area represents uncertainty related to the potential for an asymmetric bed shape.</w:t>
      </w:r>
    </w:p>
    <w:p w14:paraId="6695C7DD" w14:textId="77777777" w:rsidR="00585C1D" w:rsidRDefault="00585C1D">
      <w:pPr>
        <w:spacing w:line="240" w:lineRule="auto"/>
      </w:pPr>
    </w:p>
    <w:p w14:paraId="1B2160F3" w14:textId="77777777" w:rsidR="00585C1D" w:rsidRDefault="00000000">
      <w:r>
        <w:rPr>
          <w:noProof/>
        </w:rPr>
        <w:drawing>
          <wp:inline distT="114300" distB="114300" distL="114300" distR="114300" wp14:anchorId="12CCBCF8" wp14:editId="537A387B">
            <wp:extent cx="5943600" cy="2743200"/>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5943600" cy="2743200"/>
                    </a:xfrm>
                    <a:prstGeom prst="rect">
                      <a:avLst/>
                    </a:prstGeom>
                    <a:ln/>
                  </pic:spPr>
                </pic:pic>
              </a:graphicData>
            </a:graphic>
          </wp:inline>
        </w:drawing>
      </w:r>
    </w:p>
    <w:p w14:paraId="6A9100D3" w14:textId="77777777" w:rsidR="00585C1D" w:rsidRDefault="00000000">
      <w:pPr>
        <w:spacing w:line="240" w:lineRule="auto"/>
      </w:pPr>
      <w:r>
        <w:rPr>
          <w:b/>
        </w:rPr>
        <w:t xml:space="preserve">Figure S3. </w:t>
      </w:r>
      <w:r>
        <w:t xml:space="preserve">Ruth Glacier average rates of surface elevation change for the 2000–2019 period from </w:t>
      </w:r>
      <w:hyperlink r:id="rId9">
        <w:proofErr w:type="spellStart"/>
        <w:r>
          <w:t>Hugonnet</w:t>
        </w:r>
        <w:proofErr w:type="spellEnd"/>
        <w:r>
          <w:t xml:space="preserve"> et al. (2021)</w:t>
        </w:r>
      </w:hyperlink>
      <w:r>
        <w:t>. Dashed line indicates the Groundhog profile used to constrain the ice influx to the Great Gorge (Figure S1) and thus the up-glacier extent of our model domain.</w:t>
      </w:r>
    </w:p>
    <w:p w14:paraId="57D9817B" w14:textId="77777777" w:rsidR="00585C1D" w:rsidRDefault="00585C1D">
      <w:pPr>
        <w:spacing w:line="240" w:lineRule="auto"/>
      </w:pPr>
    </w:p>
    <w:p w14:paraId="4E493BED" w14:textId="77777777" w:rsidR="00585C1D" w:rsidRDefault="00000000">
      <w:pPr>
        <w:keepNext/>
      </w:pPr>
      <w:r>
        <w:rPr>
          <w:noProof/>
        </w:rPr>
        <w:lastRenderedPageBreak/>
        <w:drawing>
          <wp:inline distT="0" distB="0" distL="0" distR="0" wp14:anchorId="12D59DFA" wp14:editId="19ABB3E4">
            <wp:extent cx="3961181" cy="3656474"/>
            <wp:effectExtent l="0" t="0" r="1270" b="1270"/>
            <wp:docPr id="2" name="image5.jpg"/>
            <wp:cNvGraphicFramePr/>
            <a:graphic xmlns:a="http://schemas.openxmlformats.org/drawingml/2006/main">
              <a:graphicData uri="http://schemas.openxmlformats.org/drawingml/2006/picture">
                <pic:pic xmlns:pic="http://schemas.openxmlformats.org/drawingml/2006/picture">
                  <pic:nvPicPr>
                    <pic:cNvPr id="2" name="image5.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3961181" cy="3656474"/>
                    </a:xfrm>
                    <a:prstGeom prst="rect">
                      <a:avLst/>
                    </a:prstGeom>
                    <a:ln/>
                  </pic:spPr>
                </pic:pic>
              </a:graphicData>
            </a:graphic>
          </wp:inline>
        </w:drawing>
      </w:r>
    </w:p>
    <w:p w14:paraId="6A8CD0AE" w14:textId="77777777" w:rsidR="00585C1D" w:rsidRDefault="00000000">
      <w:pPr>
        <w:pBdr>
          <w:top w:val="nil"/>
          <w:left w:val="nil"/>
          <w:bottom w:val="nil"/>
          <w:right w:val="nil"/>
          <w:between w:val="nil"/>
        </w:pBdr>
        <w:spacing w:line="240" w:lineRule="auto"/>
        <w:rPr>
          <w:color w:val="000000"/>
        </w:rPr>
      </w:pPr>
      <w:r>
        <w:rPr>
          <w:b/>
          <w:color w:val="000000"/>
        </w:rPr>
        <w:t>Figure</w:t>
      </w:r>
      <w:r>
        <w:rPr>
          <w:b/>
        </w:rPr>
        <w:t xml:space="preserve"> S4</w:t>
      </w:r>
      <w:r>
        <w:rPr>
          <w:b/>
          <w:color w:val="000000"/>
        </w:rPr>
        <w:t>.</w:t>
      </w:r>
      <w:r>
        <w:rPr>
          <w:color w:val="000000"/>
        </w:rPr>
        <w:t xml:space="preserve"> </w:t>
      </w:r>
      <w:proofErr w:type="spellStart"/>
      <w:r>
        <w:rPr>
          <w:color w:val="000000"/>
        </w:rPr>
        <w:t>PlanetScope</w:t>
      </w:r>
      <w:proofErr w:type="spellEnd"/>
      <w:r>
        <w:rPr>
          <w:color w:val="000000"/>
        </w:rPr>
        <w:t xml:space="preserve"> imagery from summer (top left) 2019, (top right) 2020, (lower left) 2021, and (lower right) 2022 illustrating the relatively stable snowline at approximately the entrance to the Great Gorge, corresponding to a surface elevation of ~1550 m in reference to the WGS 84 ellipsoid.</w:t>
      </w:r>
    </w:p>
    <w:p w14:paraId="372E9E65" w14:textId="77777777" w:rsidR="00585C1D" w:rsidRDefault="00585C1D"/>
    <w:p w14:paraId="127F53D9" w14:textId="77777777" w:rsidR="00585C1D" w:rsidRDefault="00000000">
      <w:pPr>
        <w:spacing w:line="240" w:lineRule="auto"/>
      </w:pPr>
      <w:r>
        <w:rPr>
          <w:noProof/>
        </w:rPr>
        <w:drawing>
          <wp:inline distT="114300" distB="114300" distL="114300" distR="114300" wp14:anchorId="13B273CE" wp14:editId="40116753">
            <wp:extent cx="5943600" cy="21082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5943600" cy="2108200"/>
                    </a:xfrm>
                    <a:prstGeom prst="rect">
                      <a:avLst/>
                    </a:prstGeom>
                    <a:ln/>
                  </pic:spPr>
                </pic:pic>
              </a:graphicData>
            </a:graphic>
          </wp:inline>
        </w:drawing>
      </w:r>
      <w:r>
        <w:rPr>
          <w:b/>
        </w:rPr>
        <w:t xml:space="preserve">Figure S5. </w:t>
      </w:r>
      <w:r>
        <w:t xml:space="preserve">Ruth Glacier main centerline (dashed black line) and </w:t>
      </w:r>
      <w:proofErr w:type="gramStart"/>
      <w:r>
        <w:t>cross-flow</w:t>
      </w:r>
      <w:proofErr w:type="gramEnd"/>
      <w:r>
        <w:t xml:space="preserve"> transects (red lines) provided by the Open Global Glacier Model (OGGGM; </w:t>
      </w:r>
      <w:hyperlink r:id="rId12">
        <w:proofErr w:type="spellStart"/>
        <w:r>
          <w:t>Maussion</w:t>
        </w:r>
        <w:proofErr w:type="spellEnd"/>
        <w:r>
          <w:t xml:space="preserve"> et al., 2019)</w:t>
        </w:r>
      </w:hyperlink>
      <w:r>
        <w:t xml:space="preserve">. Ice thickness was estimated across </w:t>
      </w:r>
      <w:proofErr w:type="gramStart"/>
      <w:r>
        <w:t>cross-flow</w:t>
      </w:r>
      <w:proofErr w:type="gramEnd"/>
      <w:r>
        <w:t xml:space="preserve"> transect between radar-constrained gates in the amphitheater and along lower Ruth Glacier.</w:t>
      </w:r>
    </w:p>
    <w:p w14:paraId="39C0666D" w14:textId="77777777" w:rsidR="00585C1D" w:rsidRDefault="00000000">
      <w:r>
        <w:rPr>
          <w:noProof/>
        </w:rPr>
        <w:lastRenderedPageBreak/>
        <w:drawing>
          <wp:inline distT="114300" distB="114300" distL="114300" distR="114300" wp14:anchorId="76B5AB8C" wp14:editId="3283163E">
            <wp:extent cx="2971800" cy="29718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971800" cy="2971800"/>
                    </a:xfrm>
                    <a:prstGeom prst="rect">
                      <a:avLst/>
                    </a:prstGeom>
                    <a:ln/>
                  </pic:spPr>
                </pic:pic>
              </a:graphicData>
            </a:graphic>
          </wp:inline>
        </w:drawing>
      </w:r>
    </w:p>
    <w:p w14:paraId="25263F16" w14:textId="77777777" w:rsidR="00585C1D" w:rsidRDefault="00000000">
      <w:pPr>
        <w:spacing w:line="240" w:lineRule="auto"/>
      </w:pPr>
      <w:r>
        <w:rPr>
          <w:b/>
        </w:rPr>
        <w:t xml:space="preserve">Figure S6. </w:t>
      </w:r>
      <w:r>
        <w:t>Statistical analysis of crossover disagreement between Groundhog radar-derived measurements of ice thickness. Q</w:t>
      </w:r>
      <w:r>
        <w:rPr>
          <w:vertAlign w:val="subscript"/>
        </w:rPr>
        <w:t>n</w:t>
      </w:r>
      <w:r>
        <w:t xml:space="preserve"> denotes the nth quantile. Orange line in the upper boxplot (and histogram) corresponds to the median (Q</w:t>
      </w:r>
      <w:r>
        <w:rPr>
          <w:vertAlign w:val="subscript"/>
        </w:rPr>
        <w:t>2</w:t>
      </w:r>
      <w:r>
        <w:t>). The left and right edges of the box correspond to the first quantile (Q</w:t>
      </w:r>
      <w:r>
        <w:rPr>
          <w:vertAlign w:val="subscript"/>
        </w:rPr>
        <w:t>1</w:t>
      </w:r>
      <w:r>
        <w:t>) and third quantile (Q</w:t>
      </w:r>
      <w:r>
        <w:rPr>
          <w:vertAlign w:val="subscript"/>
        </w:rPr>
        <w:t>3</w:t>
      </w:r>
      <w:r>
        <w:t>), respectively. Outliers beyond boxplot tails are shown by white circles. Histogram count corresponds to the number of radar measurements crossings.</w:t>
      </w:r>
    </w:p>
    <w:p w14:paraId="474F0084" w14:textId="77777777" w:rsidR="00585C1D" w:rsidRDefault="00585C1D">
      <w:pPr>
        <w:spacing w:line="240" w:lineRule="auto"/>
      </w:pPr>
    </w:p>
    <w:p w14:paraId="3CD39368" w14:textId="77777777" w:rsidR="00585C1D" w:rsidRDefault="00585C1D">
      <w:pPr>
        <w:spacing w:line="240" w:lineRule="auto"/>
      </w:pPr>
    </w:p>
    <w:p w14:paraId="1BCAD340" w14:textId="77777777" w:rsidR="00585C1D" w:rsidRDefault="00000000">
      <w:pPr>
        <w:spacing w:line="240" w:lineRule="auto"/>
      </w:pPr>
      <w:r>
        <w:rPr>
          <w:b/>
        </w:rPr>
        <w:t>Table S1.</w:t>
      </w:r>
      <w:r>
        <w:t xml:space="preserve"> Radar constrained flux entering the Great Gorge (</w:t>
      </w:r>
      <m:oMath>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in</m:t>
            </m:r>
          </m:sub>
        </m:sSub>
      </m:oMath>
      <w:r>
        <w:t>), down-glacier flux (</w:t>
      </w:r>
      <m:oMath>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out</m:t>
            </m:r>
          </m:sub>
        </m:sSub>
      </m:oMath>
      <w:r>
        <w:t>), and specific mass balance (</w:t>
      </w:r>
      <m:oMath>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a</m:t>
            </m:r>
          </m:sub>
        </m:sSub>
      </m:oMath>
      <w:r>
        <w:t xml:space="preserve">) between radar-constrained flux gates required by mass conservation for the range of </w:t>
      </w:r>
      <m:oMath>
        <m:r>
          <w:rPr>
            <w:rFonts w:ascii="Cambria Math" w:hAnsi="Cambria Math"/>
          </w:rPr>
          <m:t>γ</m:t>
        </m:r>
      </m:oMath>
      <w:r>
        <w:t xml:space="preserve">-factors considered in this study. </w:t>
      </w:r>
      <w:r>
        <w:rPr>
          <w:vertAlign w:val="superscript"/>
        </w:rPr>
        <w:t>1</w:t>
      </w:r>
      <w:r>
        <w:t xml:space="preserve"> is for a symmetric bed shape at the down-glacier radar-constrained flux gate, while </w:t>
      </w:r>
      <w:r>
        <w:rPr>
          <w:vertAlign w:val="superscript"/>
        </w:rPr>
        <w:t>2</w:t>
      </w:r>
      <w:r>
        <w:t xml:space="preserve"> is for an asymmetric bed shape (Figure S2).</w:t>
      </w:r>
    </w:p>
    <w:tbl>
      <w:tblPr>
        <w:tblStyle w:val="a"/>
        <w:tblW w:w="8691" w:type="dxa"/>
        <w:tblBorders>
          <w:top w:val="nil"/>
          <w:left w:val="nil"/>
          <w:bottom w:val="nil"/>
          <w:right w:val="nil"/>
          <w:insideH w:val="nil"/>
          <w:insideV w:val="nil"/>
        </w:tblBorders>
        <w:tblLayout w:type="fixed"/>
        <w:tblLook w:val="0600" w:firstRow="0" w:lastRow="0" w:firstColumn="0" w:lastColumn="0" w:noHBand="1" w:noVBand="1"/>
      </w:tblPr>
      <w:tblGrid>
        <w:gridCol w:w="1448"/>
        <w:gridCol w:w="1448"/>
        <w:gridCol w:w="1448"/>
        <w:gridCol w:w="1449"/>
        <w:gridCol w:w="1449"/>
        <w:gridCol w:w="1449"/>
      </w:tblGrid>
      <w:tr w:rsidR="00585C1D" w14:paraId="4E8D73E9" w14:textId="77777777">
        <w:trPr>
          <w:trHeight w:val="415"/>
        </w:trPr>
        <w:tc>
          <w:tcPr>
            <w:tcW w:w="1448" w:type="dxa"/>
            <w:tcBorders>
              <w:top w:val="nil"/>
              <w:left w:val="nil"/>
              <w:bottom w:val="single" w:sz="8" w:space="0" w:color="000000"/>
              <w:right w:val="nil"/>
            </w:tcBorders>
            <w:tcMar>
              <w:top w:w="20" w:type="dxa"/>
              <w:left w:w="20" w:type="dxa"/>
              <w:bottom w:w="100" w:type="dxa"/>
              <w:right w:w="20" w:type="dxa"/>
            </w:tcMar>
            <w:vAlign w:val="bottom"/>
          </w:tcPr>
          <w:p w14:paraId="4F170941" w14:textId="77777777" w:rsidR="00585C1D" w:rsidRDefault="00000000">
            <w:pPr>
              <w:spacing w:line="240" w:lineRule="auto"/>
              <w:rPr>
                <w:sz w:val="20"/>
                <w:szCs w:val="20"/>
              </w:rPr>
            </w:pPr>
            <m:oMath>
              <m:sSub>
                <m:sSubPr>
                  <m:ctrlPr>
                    <w:rPr>
                      <w:rFonts w:ascii="Cambria Math" w:hAnsi="Cambria Math"/>
                    </w:rPr>
                  </m:ctrlPr>
                </m:sSubPr>
                <m:e>
                  <m:r>
                    <w:rPr>
                      <w:rFonts w:ascii="Cambria Math" w:hAnsi="Cambria Math"/>
                    </w:rPr>
                    <m:t>γ</m:t>
                  </m:r>
                </m:e>
                <m:sub/>
              </m:sSub>
            </m:oMath>
            <w:r>
              <w:rPr>
                <w:sz w:val="20"/>
                <w:szCs w:val="20"/>
              </w:rPr>
              <w:t xml:space="preserve"> </w:t>
            </w:r>
          </w:p>
        </w:tc>
        <w:tc>
          <w:tcPr>
            <w:tcW w:w="1448" w:type="dxa"/>
            <w:tcBorders>
              <w:top w:val="nil"/>
              <w:left w:val="nil"/>
              <w:bottom w:val="single" w:sz="8" w:space="0" w:color="000000"/>
              <w:right w:val="nil"/>
            </w:tcBorders>
            <w:tcMar>
              <w:top w:w="20" w:type="dxa"/>
              <w:left w:w="20" w:type="dxa"/>
              <w:bottom w:w="100" w:type="dxa"/>
              <w:right w:w="20" w:type="dxa"/>
            </w:tcMar>
            <w:vAlign w:val="bottom"/>
          </w:tcPr>
          <w:p w14:paraId="41CAD5A2" w14:textId="77777777" w:rsidR="00585C1D" w:rsidRDefault="00000000">
            <w:pPr>
              <w:spacing w:line="240" w:lineRule="auto"/>
              <w:rPr>
                <w:sz w:val="20"/>
                <w:szCs w:val="20"/>
              </w:rPr>
            </w:pPr>
            <m:oMath>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in</m:t>
                  </m:r>
                </m:sub>
              </m:sSub>
            </m:oMath>
            <w:r>
              <w:rPr>
                <w:sz w:val="20"/>
                <w:szCs w:val="20"/>
              </w:rPr>
              <w:t xml:space="preserve"> (km</w:t>
            </w:r>
            <w:r>
              <w:rPr>
                <w:sz w:val="20"/>
                <w:szCs w:val="20"/>
                <w:vertAlign w:val="superscript"/>
              </w:rPr>
              <w:t xml:space="preserve">3 </w:t>
            </w:r>
            <w:r>
              <w:rPr>
                <w:sz w:val="20"/>
                <w:szCs w:val="20"/>
              </w:rPr>
              <w:t>yr</w:t>
            </w:r>
            <w:r>
              <w:rPr>
                <w:sz w:val="20"/>
                <w:szCs w:val="20"/>
                <w:vertAlign w:val="superscript"/>
              </w:rPr>
              <w:t>-1</w:t>
            </w:r>
            <w:r>
              <w:rPr>
                <w:sz w:val="20"/>
                <w:szCs w:val="20"/>
              </w:rPr>
              <w:t>)</w:t>
            </w:r>
          </w:p>
        </w:tc>
        <w:tc>
          <w:tcPr>
            <w:tcW w:w="1448" w:type="dxa"/>
            <w:tcBorders>
              <w:top w:val="nil"/>
              <w:left w:val="nil"/>
              <w:bottom w:val="single" w:sz="8" w:space="0" w:color="000000"/>
              <w:right w:val="nil"/>
            </w:tcBorders>
            <w:tcMar>
              <w:top w:w="20" w:type="dxa"/>
              <w:left w:w="20" w:type="dxa"/>
              <w:bottom w:w="100" w:type="dxa"/>
              <w:right w:w="20" w:type="dxa"/>
            </w:tcMar>
            <w:vAlign w:val="bottom"/>
          </w:tcPr>
          <w:p w14:paraId="1D728B95" w14:textId="77777777" w:rsidR="00585C1D" w:rsidRDefault="00000000">
            <w:pPr>
              <w:spacing w:line="240" w:lineRule="auto"/>
              <w:rPr>
                <w:sz w:val="20"/>
                <w:szCs w:val="20"/>
              </w:rPr>
            </w:pPr>
            <m:oMath>
              <m:sSup>
                <m:sSupPr>
                  <m:ctrlPr>
                    <w:rPr>
                      <w:rFonts w:ascii="Cambria Math" w:hAnsi="Cambria Math"/>
                      <w:sz w:val="20"/>
                      <w:szCs w:val="20"/>
                    </w:rPr>
                  </m:ctrlPr>
                </m:sSupPr>
                <m:e>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out</m:t>
                      </m:r>
                    </m:sub>
                  </m:sSub>
                </m:e>
                <m:sup>
                  <m:r>
                    <w:rPr>
                      <w:rFonts w:ascii="Cambria Math" w:hAnsi="Cambria Math"/>
                      <w:sz w:val="20"/>
                      <w:szCs w:val="20"/>
                    </w:rPr>
                    <m:t>1</m:t>
                  </m:r>
                </m:sup>
              </m:sSup>
            </m:oMath>
            <w:r>
              <w:rPr>
                <w:sz w:val="20"/>
                <w:szCs w:val="20"/>
              </w:rPr>
              <w:t xml:space="preserve"> (km</w:t>
            </w:r>
            <w:r>
              <w:rPr>
                <w:sz w:val="20"/>
                <w:szCs w:val="20"/>
                <w:vertAlign w:val="superscript"/>
              </w:rPr>
              <w:t xml:space="preserve">3 </w:t>
            </w:r>
            <w:r>
              <w:rPr>
                <w:sz w:val="20"/>
                <w:szCs w:val="20"/>
              </w:rPr>
              <w:t>yr</w:t>
            </w:r>
            <w:r>
              <w:rPr>
                <w:sz w:val="20"/>
                <w:szCs w:val="20"/>
                <w:vertAlign w:val="superscript"/>
              </w:rPr>
              <w:t>-1</w:t>
            </w:r>
            <w:r>
              <w:rPr>
                <w:sz w:val="20"/>
                <w:szCs w:val="20"/>
              </w:rPr>
              <w:t>)</w:t>
            </w:r>
          </w:p>
        </w:tc>
        <w:tc>
          <w:tcPr>
            <w:tcW w:w="1448" w:type="dxa"/>
            <w:tcBorders>
              <w:top w:val="nil"/>
              <w:left w:val="nil"/>
              <w:bottom w:val="single" w:sz="8" w:space="0" w:color="000000"/>
              <w:right w:val="nil"/>
            </w:tcBorders>
            <w:tcMar>
              <w:top w:w="20" w:type="dxa"/>
              <w:left w:w="20" w:type="dxa"/>
              <w:bottom w:w="100" w:type="dxa"/>
              <w:right w:w="20" w:type="dxa"/>
            </w:tcMar>
            <w:vAlign w:val="bottom"/>
          </w:tcPr>
          <w:p w14:paraId="4E61A3E7" w14:textId="77777777" w:rsidR="00585C1D" w:rsidRDefault="00000000">
            <w:pPr>
              <w:spacing w:line="240" w:lineRule="auto"/>
              <w:rPr>
                <w:sz w:val="20"/>
                <w:szCs w:val="20"/>
              </w:rPr>
            </w:pPr>
            <m:oMath>
              <m:sSup>
                <m:sSupPr>
                  <m:ctrlPr>
                    <w:rPr>
                      <w:rFonts w:ascii="Cambria Math" w:hAnsi="Cambria Math"/>
                      <w:sz w:val="20"/>
                      <w:szCs w:val="20"/>
                    </w:rPr>
                  </m:ctrlPr>
                </m:sSupPr>
                <m:e>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out</m:t>
                      </m:r>
                    </m:sub>
                  </m:sSub>
                </m:e>
                <m:sup>
                  <m:r>
                    <w:rPr>
                      <w:rFonts w:ascii="Cambria Math" w:hAnsi="Cambria Math"/>
                      <w:sz w:val="20"/>
                      <w:szCs w:val="20"/>
                    </w:rPr>
                    <m:t>2</m:t>
                  </m:r>
                </m:sup>
              </m:sSup>
            </m:oMath>
            <w:r>
              <w:rPr>
                <w:sz w:val="20"/>
                <w:szCs w:val="20"/>
              </w:rPr>
              <w:t xml:space="preserve"> (km</w:t>
            </w:r>
            <w:r>
              <w:rPr>
                <w:sz w:val="20"/>
                <w:szCs w:val="20"/>
                <w:vertAlign w:val="superscript"/>
              </w:rPr>
              <w:t xml:space="preserve">3 </w:t>
            </w:r>
            <w:r>
              <w:rPr>
                <w:sz w:val="20"/>
                <w:szCs w:val="20"/>
              </w:rPr>
              <w:t>yr</w:t>
            </w:r>
            <w:r>
              <w:rPr>
                <w:sz w:val="20"/>
                <w:szCs w:val="20"/>
                <w:vertAlign w:val="superscript"/>
              </w:rPr>
              <w:t>-1</w:t>
            </w:r>
            <w:r>
              <w:rPr>
                <w:sz w:val="20"/>
                <w:szCs w:val="20"/>
              </w:rPr>
              <w:t>)</w:t>
            </w:r>
          </w:p>
        </w:tc>
        <w:tc>
          <w:tcPr>
            <w:tcW w:w="1448" w:type="dxa"/>
            <w:tcBorders>
              <w:top w:val="nil"/>
              <w:left w:val="nil"/>
              <w:bottom w:val="single" w:sz="8" w:space="0" w:color="000000"/>
              <w:right w:val="nil"/>
            </w:tcBorders>
            <w:tcMar>
              <w:top w:w="20" w:type="dxa"/>
              <w:left w:w="20" w:type="dxa"/>
              <w:bottom w:w="100" w:type="dxa"/>
              <w:right w:w="20" w:type="dxa"/>
            </w:tcMar>
            <w:vAlign w:val="bottom"/>
          </w:tcPr>
          <w:p w14:paraId="12D9A76B" w14:textId="77777777" w:rsidR="00585C1D" w:rsidRDefault="00000000">
            <w:pPr>
              <w:spacing w:line="240" w:lineRule="auto"/>
              <w:rPr>
                <w:sz w:val="20"/>
                <w:szCs w:val="20"/>
              </w:rPr>
            </w:pPr>
            <m:oMath>
              <m:sSup>
                <m:sSupPr>
                  <m:ctrlPr>
                    <w:rPr>
                      <w:rFonts w:ascii="Cambria Math" w:hAnsi="Cambria Math"/>
                      <w:sz w:val="20"/>
                      <w:szCs w:val="20"/>
                    </w:rPr>
                  </m:ctrlPr>
                </m:sSupPr>
                <m:e>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a</m:t>
                      </m:r>
                    </m:sub>
                  </m:sSub>
                </m:e>
                <m:sup>
                  <m:r>
                    <w:rPr>
                      <w:rFonts w:ascii="Cambria Math" w:hAnsi="Cambria Math"/>
                      <w:sz w:val="20"/>
                      <w:szCs w:val="20"/>
                    </w:rPr>
                    <m:t>1</m:t>
                  </m:r>
                </m:sup>
              </m:sSup>
            </m:oMath>
            <w:r>
              <w:rPr>
                <w:sz w:val="20"/>
                <w:szCs w:val="20"/>
              </w:rPr>
              <w:t>(m w.e. yr</w:t>
            </w:r>
            <w:r>
              <w:rPr>
                <w:sz w:val="20"/>
                <w:szCs w:val="20"/>
                <w:vertAlign w:val="superscript"/>
              </w:rPr>
              <w:t>-1</w:t>
            </w:r>
            <w:r>
              <w:rPr>
                <w:sz w:val="20"/>
                <w:szCs w:val="20"/>
              </w:rPr>
              <w:t>)</w:t>
            </w:r>
          </w:p>
        </w:tc>
        <w:tc>
          <w:tcPr>
            <w:tcW w:w="1448" w:type="dxa"/>
            <w:tcBorders>
              <w:top w:val="nil"/>
              <w:left w:val="nil"/>
              <w:bottom w:val="single" w:sz="8" w:space="0" w:color="000000"/>
              <w:right w:val="nil"/>
            </w:tcBorders>
            <w:tcMar>
              <w:top w:w="20" w:type="dxa"/>
              <w:left w:w="20" w:type="dxa"/>
              <w:bottom w:w="100" w:type="dxa"/>
              <w:right w:w="20" w:type="dxa"/>
            </w:tcMar>
            <w:vAlign w:val="bottom"/>
          </w:tcPr>
          <w:p w14:paraId="42F866D3" w14:textId="77777777" w:rsidR="00585C1D" w:rsidRDefault="00000000">
            <w:pPr>
              <w:spacing w:line="240" w:lineRule="auto"/>
              <w:rPr>
                <w:sz w:val="20"/>
                <w:szCs w:val="20"/>
              </w:rPr>
            </w:pPr>
            <m:oMath>
              <m:sSup>
                <m:sSupPr>
                  <m:ctrlPr>
                    <w:rPr>
                      <w:rFonts w:ascii="Cambria Math" w:hAnsi="Cambria Math"/>
                      <w:sz w:val="20"/>
                      <w:szCs w:val="20"/>
                    </w:rPr>
                  </m:ctrlPr>
                </m:sSupPr>
                <m:e>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a</m:t>
                      </m:r>
                    </m:sub>
                  </m:sSub>
                </m:e>
                <m:sup>
                  <m:r>
                    <w:rPr>
                      <w:rFonts w:ascii="Cambria Math" w:hAnsi="Cambria Math"/>
                      <w:sz w:val="20"/>
                      <w:szCs w:val="20"/>
                    </w:rPr>
                    <m:t>2</m:t>
                  </m:r>
                </m:sup>
              </m:sSup>
            </m:oMath>
            <w:r>
              <w:rPr>
                <w:sz w:val="20"/>
                <w:szCs w:val="20"/>
              </w:rPr>
              <w:t>(m w.e. yr</w:t>
            </w:r>
            <w:r>
              <w:rPr>
                <w:sz w:val="20"/>
                <w:szCs w:val="20"/>
                <w:vertAlign w:val="superscript"/>
              </w:rPr>
              <w:t>-1</w:t>
            </w:r>
            <w:r>
              <w:rPr>
                <w:sz w:val="20"/>
                <w:szCs w:val="20"/>
              </w:rPr>
              <w:t>)</w:t>
            </w:r>
          </w:p>
        </w:tc>
      </w:tr>
      <w:tr w:rsidR="00585C1D" w14:paraId="1C23FCB5" w14:textId="77777777">
        <w:trPr>
          <w:trHeight w:val="415"/>
        </w:trPr>
        <w:tc>
          <w:tcPr>
            <w:tcW w:w="1448" w:type="dxa"/>
            <w:tcBorders>
              <w:top w:val="single" w:sz="8" w:space="0" w:color="000000"/>
              <w:left w:val="nil"/>
              <w:bottom w:val="nil"/>
              <w:right w:val="nil"/>
            </w:tcBorders>
            <w:tcMar>
              <w:top w:w="20" w:type="dxa"/>
              <w:left w:w="20" w:type="dxa"/>
              <w:bottom w:w="100" w:type="dxa"/>
              <w:right w:w="20" w:type="dxa"/>
            </w:tcMar>
            <w:vAlign w:val="bottom"/>
          </w:tcPr>
          <w:p w14:paraId="23A48185" w14:textId="77777777" w:rsidR="00585C1D" w:rsidRDefault="00000000">
            <w:pPr>
              <w:spacing w:line="240" w:lineRule="auto"/>
              <w:rPr>
                <w:sz w:val="20"/>
                <w:szCs w:val="20"/>
              </w:rPr>
            </w:pPr>
            <w:r>
              <w:rPr>
                <w:sz w:val="20"/>
                <w:szCs w:val="20"/>
              </w:rPr>
              <w:t>0.825</w:t>
            </w:r>
          </w:p>
        </w:tc>
        <w:tc>
          <w:tcPr>
            <w:tcW w:w="1448" w:type="dxa"/>
            <w:tcBorders>
              <w:top w:val="single" w:sz="8" w:space="0" w:color="000000"/>
              <w:left w:val="nil"/>
              <w:bottom w:val="nil"/>
              <w:right w:val="nil"/>
            </w:tcBorders>
            <w:tcMar>
              <w:top w:w="20" w:type="dxa"/>
              <w:left w:w="20" w:type="dxa"/>
              <w:bottom w:w="100" w:type="dxa"/>
              <w:right w:w="20" w:type="dxa"/>
            </w:tcMar>
            <w:vAlign w:val="bottom"/>
          </w:tcPr>
          <w:p w14:paraId="790996EA" w14:textId="77777777" w:rsidR="00585C1D" w:rsidRDefault="00000000">
            <w:pPr>
              <w:spacing w:line="240" w:lineRule="auto"/>
              <w:rPr>
                <w:sz w:val="20"/>
                <w:szCs w:val="20"/>
              </w:rPr>
            </w:pPr>
            <w:r>
              <w:rPr>
                <w:sz w:val="20"/>
                <w:szCs w:val="20"/>
              </w:rPr>
              <w:t>0.19</w:t>
            </w:r>
          </w:p>
        </w:tc>
        <w:tc>
          <w:tcPr>
            <w:tcW w:w="1448" w:type="dxa"/>
            <w:tcBorders>
              <w:top w:val="single" w:sz="8" w:space="0" w:color="000000"/>
              <w:left w:val="nil"/>
              <w:bottom w:val="nil"/>
              <w:right w:val="nil"/>
            </w:tcBorders>
            <w:tcMar>
              <w:top w:w="20" w:type="dxa"/>
              <w:left w:w="20" w:type="dxa"/>
              <w:bottom w:w="100" w:type="dxa"/>
              <w:right w:w="20" w:type="dxa"/>
            </w:tcMar>
            <w:vAlign w:val="bottom"/>
          </w:tcPr>
          <w:p w14:paraId="7FEF99C5" w14:textId="77777777" w:rsidR="00585C1D" w:rsidRDefault="00000000">
            <w:pPr>
              <w:spacing w:line="240" w:lineRule="auto"/>
              <w:rPr>
                <w:sz w:val="20"/>
                <w:szCs w:val="20"/>
              </w:rPr>
            </w:pPr>
            <w:r>
              <w:rPr>
                <w:sz w:val="20"/>
                <w:szCs w:val="20"/>
              </w:rPr>
              <w:t>0.05</w:t>
            </w:r>
          </w:p>
        </w:tc>
        <w:tc>
          <w:tcPr>
            <w:tcW w:w="1448" w:type="dxa"/>
            <w:tcBorders>
              <w:top w:val="single" w:sz="8" w:space="0" w:color="000000"/>
              <w:left w:val="nil"/>
              <w:bottom w:val="nil"/>
              <w:right w:val="nil"/>
            </w:tcBorders>
            <w:tcMar>
              <w:top w:w="20" w:type="dxa"/>
              <w:left w:w="20" w:type="dxa"/>
              <w:bottom w:w="100" w:type="dxa"/>
              <w:right w:w="20" w:type="dxa"/>
            </w:tcMar>
            <w:vAlign w:val="bottom"/>
          </w:tcPr>
          <w:p w14:paraId="25EB2A0E" w14:textId="77777777" w:rsidR="00585C1D" w:rsidRDefault="00000000">
            <w:pPr>
              <w:spacing w:line="240" w:lineRule="auto"/>
              <w:rPr>
                <w:sz w:val="20"/>
                <w:szCs w:val="20"/>
              </w:rPr>
            </w:pPr>
            <w:r>
              <w:rPr>
                <w:sz w:val="20"/>
                <w:szCs w:val="20"/>
              </w:rPr>
              <w:t>0.06</w:t>
            </w:r>
          </w:p>
        </w:tc>
        <w:tc>
          <w:tcPr>
            <w:tcW w:w="1448" w:type="dxa"/>
            <w:tcBorders>
              <w:top w:val="single" w:sz="8" w:space="0" w:color="000000"/>
              <w:left w:val="nil"/>
              <w:bottom w:val="nil"/>
              <w:right w:val="nil"/>
            </w:tcBorders>
            <w:tcMar>
              <w:top w:w="20" w:type="dxa"/>
              <w:left w:w="20" w:type="dxa"/>
              <w:bottom w:w="100" w:type="dxa"/>
              <w:right w:w="20" w:type="dxa"/>
            </w:tcMar>
            <w:vAlign w:val="bottom"/>
          </w:tcPr>
          <w:p w14:paraId="49B92EEE" w14:textId="77777777" w:rsidR="00585C1D" w:rsidRDefault="00000000">
            <w:pPr>
              <w:spacing w:line="240" w:lineRule="auto"/>
              <w:rPr>
                <w:sz w:val="20"/>
                <w:szCs w:val="20"/>
              </w:rPr>
            </w:pPr>
            <w:r>
              <w:rPr>
                <w:sz w:val="20"/>
                <w:szCs w:val="20"/>
              </w:rPr>
              <w:t>-2.33</w:t>
            </w:r>
          </w:p>
        </w:tc>
        <w:tc>
          <w:tcPr>
            <w:tcW w:w="1448" w:type="dxa"/>
            <w:tcBorders>
              <w:top w:val="single" w:sz="8" w:space="0" w:color="000000"/>
              <w:left w:val="nil"/>
              <w:bottom w:val="nil"/>
              <w:right w:val="nil"/>
            </w:tcBorders>
            <w:tcMar>
              <w:top w:w="20" w:type="dxa"/>
              <w:left w:w="20" w:type="dxa"/>
              <w:bottom w:w="100" w:type="dxa"/>
              <w:right w:w="20" w:type="dxa"/>
            </w:tcMar>
            <w:vAlign w:val="bottom"/>
          </w:tcPr>
          <w:p w14:paraId="604A441D" w14:textId="77777777" w:rsidR="00585C1D" w:rsidRDefault="00000000">
            <w:pPr>
              <w:spacing w:line="240" w:lineRule="auto"/>
              <w:rPr>
                <w:sz w:val="20"/>
                <w:szCs w:val="20"/>
              </w:rPr>
            </w:pPr>
            <w:r>
              <w:rPr>
                <w:sz w:val="20"/>
                <w:szCs w:val="20"/>
              </w:rPr>
              <w:t>-2.24</w:t>
            </w:r>
          </w:p>
        </w:tc>
      </w:tr>
      <w:tr w:rsidR="00585C1D" w14:paraId="2D38FE5E" w14:textId="77777777">
        <w:trPr>
          <w:trHeight w:val="415"/>
        </w:trPr>
        <w:tc>
          <w:tcPr>
            <w:tcW w:w="1448" w:type="dxa"/>
            <w:tcBorders>
              <w:top w:val="nil"/>
              <w:left w:val="nil"/>
              <w:bottom w:val="nil"/>
              <w:right w:val="nil"/>
            </w:tcBorders>
            <w:tcMar>
              <w:top w:w="20" w:type="dxa"/>
              <w:left w:w="20" w:type="dxa"/>
              <w:bottom w:w="100" w:type="dxa"/>
              <w:right w:w="20" w:type="dxa"/>
            </w:tcMar>
            <w:vAlign w:val="bottom"/>
          </w:tcPr>
          <w:p w14:paraId="2BA25C02" w14:textId="77777777" w:rsidR="00585C1D" w:rsidRDefault="00000000">
            <w:pPr>
              <w:spacing w:line="240" w:lineRule="auto"/>
              <w:rPr>
                <w:sz w:val="20"/>
                <w:szCs w:val="20"/>
              </w:rPr>
            </w:pPr>
            <w:r>
              <w:rPr>
                <w:sz w:val="20"/>
                <w:szCs w:val="20"/>
              </w:rPr>
              <w:t>0.85</w:t>
            </w:r>
          </w:p>
        </w:tc>
        <w:tc>
          <w:tcPr>
            <w:tcW w:w="1448" w:type="dxa"/>
            <w:tcBorders>
              <w:top w:val="nil"/>
              <w:left w:val="nil"/>
              <w:bottom w:val="nil"/>
              <w:right w:val="nil"/>
            </w:tcBorders>
            <w:tcMar>
              <w:top w:w="20" w:type="dxa"/>
              <w:left w:w="20" w:type="dxa"/>
              <w:bottom w:w="100" w:type="dxa"/>
              <w:right w:w="20" w:type="dxa"/>
            </w:tcMar>
            <w:vAlign w:val="bottom"/>
          </w:tcPr>
          <w:p w14:paraId="0EB091AB" w14:textId="77777777" w:rsidR="00585C1D" w:rsidRDefault="00000000">
            <w:pPr>
              <w:spacing w:line="240" w:lineRule="auto"/>
              <w:rPr>
                <w:sz w:val="20"/>
                <w:szCs w:val="20"/>
              </w:rPr>
            </w:pPr>
            <w:r>
              <w:rPr>
                <w:sz w:val="20"/>
                <w:szCs w:val="20"/>
              </w:rPr>
              <w:t>0.20</w:t>
            </w:r>
          </w:p>
        </w:tc>
        <w:tc>
          <w:tcPr>
            <w:tcW w:w="1448" w:type="dxa"/>
            <w:tcBorders>
              <w:top w:val="nil"/>
              <w:left w:val="nil"/>
              <w:bottom w:val="nil"/>
              <w:right w:val="nil"/>
            </w:tcBorders>
            <w:tcMar>
              <w:top w:w="20" w:type="dxa"/>
              <w:left w:w="20" w:type="dxa"/>
              <w:bottom w:w="100" w:type="dxa"/>
              <w:right w:w="20" w:type="dxa"/>
            </w:tcMar>
            <w:vAlign w:val="bottom"/>
          </w:tcPr>
          <w:p w14:paraId="26D117E7" w14:textId="77777777" w:rsidR="00585C1D" w:rsidRDefault="00000000">
            <w:pPr>
              <w:spacing w:line="240" w:lineRule="auto"/>
              <w:rPr>
                <w:sz w:val="20"/>
                <w:szCs w:val="20"/>
              </w:rPr>
            </w:pPr>
            <w:r>
              <w:rPr>
                <w:sz w:val="20"/>
                <w:szCs w:val="20"/>
              </w:rPr>
              <w:t>0.06</w:t>
            </w:r>
          </w:p>
        </w:tc>
        <w:tc>
          <w:tcPr>
            <w:tcW w:w="1448" w:type="dxa"/>
            <w:tcBorders>
              <w:top w:val="nil"/>
              <w:left w:val="nil"/>
              <w:bottom w:val="nil"/>
              <w:right w:val="nil"/>
            </w:tcBorders>
            <w:tcMar>
              <w:top w:w="20" w:type="dxa"/>
              <w:left w:w="20" w:type="dxa"/>
              <w:bottom w:w="100" w:type="dxa"/>
              <w:right w:w="20" w:type="dxa"/>
            </w:tcMar>
            <w:vAlign w:val="bottom"/>
          </w:tcPr>
          <w:p w14:paraId="3E8EB709" w14:textId="77777777" w:rsidR="00585C1D" w:rsidRDefault="00000000">
            <w:pPr>
              <w:spacing w:line="240" w:lineRule="auto"/>
              <w:rPr>
                <w:sz w:val="20"/>
                <w:szCs w:val="20"/>
              </w:rPr>
            </w:pPr>
            <w:r>
              <w:rPr>
                <w:sz w:val="20"/>
                <w:szCs w:val="20"/>
              </w:rPr>
              <w:t>0.07</w:t>
            </w:r>
          </w:p>
        </w:tc>
        <w:tc>
          <w:tcPr>
            <w:tcW w:w="1448" w:type="dxa"/>
            <w:tcBorders>
              <w:top w:val="nil"/>
              <w:left w:val="nil"/>
              <w:bottom w:val="nil"/>
              <w:right w:val="nil"/>
            </w:tcBorders>
            <w:tcMar>
              <w:top w:w="20" w:type="dxa"/>
              <w:left w:w="20" w:type="dxa"/>
              <w:bottom w:w="100" w:type="dxa"/>
              <w:right w:w="20" w:type="dxa"/>
            </w:tcMar>
            <w:vAlign w:val="bottom"/>
          </w:tcPr>
          <w:p w14:paraId="04109E01" w14:textId="77777777" w:rsidR="00585C1D" w:rsidRDefault="00000000">
            <w:pPr>
              <w:spacing w:line="240" w:lineRule="auto"/>
              <w:rPr>
                <w:sz w:val="20"/>
                <w:szCs w:val="20"/>
              </w:rPr>
            </w:pPr>
            <w:r>
              <w:rPr>
                <w:sz w:val="20"/>
                <w:szCs w:val="20"/>
              </w:rPr>
              <w:t>-2.37</w:t>
            </w:r>
          </w:p>
        </w:tc>
        <w:tc>
          <w:tcPr>
            <w:tcW w:w="1448" w:type="dxa"/>
            <w:tcBorders>
              <w:top w:val="nil"/>
              <w:left w:val="nil"/>
              <w:bottom w:val="nil"/>
              <w:right w:val="nil"/>
            </w:tcBorders>
            <w:tcMar>
              <w:top w:w="20" w:type="dxa"/>
              <w:left w:w="20" w:type="dxa"/>
              <w:bottom w:w="100" w:type="dxa"/>
              <w:right w:w="20" w:type="dxa"/>
            </w:tcMar>
            <w:vAlign w:val="bottom"/>
          </w:tcPr>
          <w:p w14:paraId="0C8A35A7" w14:textId="77777777" w:rsidR="00585C1D" w:rsidRDefault="00000000">
            <w:pPr>
              <w:spacing w:line="240" w:lineRule="auto"/>
              <w:rPr>
                <w:sz w:val="20"/>
                <w:szCs w:val="20"/>
              </w:rPr>
            </w:pPr>
            <w:r>
              <w:rPr>
                <w:sz w:val="20"/>
                <w:szCs w:val="20"/>
              </w:rPr>
              <w:t>-2.28</w:t>
            </w:r>
          </w:p>
        </w:tc>
      </w:tr>
      <w:tr w:rsidR="00585C1D" w14:paraId="403F3E22" w14:textId="77777777">
        <w:trPr>
          <w:trHeight w:val="415"/>
        </w:trPr>
        <w:tc>
          <w:tcPr>
            <w:tcW w:w="1448" w:type="dxa"/>
            <w:tcBorders>
              <w:top w:val="nil"/>
              <w:left w:val="nil"/>
              <w:bottom w:val="nil"/>
              <w:right w:val="nil"/>
            </w:tcBorders>
            <w:tcMar>
              <w:top w:w="20" w:type="dxa"/>
              <w:left w:w="20" w:type="dxa"/>
              <w:bottom w:w="100" w:type="dxa"/>
              <w:right w:w="20" w:type="dxa"/>
            </w:tcMar>
            <w:vAlign w:val="bottom"/>
          </w:tcPr>
          <w:p w14:paraId="7E83268C" w14:textId="77777777" w:rsidR="00585C1D" w:rsidRDefault="00000000">
            <w:pPr>
              <w:spacing w:line="240" w:lineRule="auto"/>
              <w:rPr>
                <w:sz w:val="20"/>
                <w:szCs w:val="20"/>
              </w:rPr>
            </w:pPr>
            <w:r>
              <w:rPr>
                <w:sz w:val="20"/>
                <w:szCs w:val="20"/>
              </w:rPr>
              <w:t>0.875</w:t>
            </w:r>
          </w:p>
        </w:tc>
        <w:tc>
          <w:tcPr>
            <w:tcW w:w="1448" w:type="dxa"/>
            <w:tcBorders>
              <w:top w:val="nil"/>
              <w:left w:val="nil"/>
              <w:bottom w:val="nil"/>
              <w:right w:val="nil"/>
            </w:tcBorders>
            <w:tcMar>
              <w:top w:w="20" w:type="dxa"/>
              <w:left w:w="20" w:type="dxa"/>
              <w:bottom w:w="100" w:type="dxa"/>
              <w:right w:w="20" w:type="dxa"/>
            </w:tcMar>
            <w:vAlign w:val="bottom"/>
          </w:tcPr>
          <w:p w14:paraId="086AD73A" w14:textId="77777777" w:rsidR="00585C1D" w:rsidRDefault="00000000">
            <w:pPr>
              <w:spacing w:line="240" w:lineRule="auto"/>
              <w:rPr>
                <w:sz w:val="20"/>
                <w:szCs w:val="20"/>
              </w:rPr>
            </w:pPr>
            <w:r>
              <w:rPr>
                <w:sz w:val="20"/>
                <w:szCs w:val="20"/>
              </w:rPr>
              <w:t>0.20</w:t>
            </w:r>
          </w:p>
        </w:tc>
        <w:tc>
          <w:tcPr>
            <w:tcW w:w="1448" w:type="dxa"/>
            <w:tcBorders>
              <w:top w:val="nil"/>
              <w:left w:val="nil"/>
              <w:bottom w:val="nil"/>
              <w:right w:val="nil"/>
            </w:tcBorders>
            <w:tcMar>
              <w:top w:w="20" w:type="dxa"/>
              <w:left w:w="20" w:type="dxa"/>
              <w:bottom w:w="100" w:type="dxa"/>
              <w:right w:w="20" w:type="dxa"/>
            </w:tcMar>
            <w:vAlign w:val="bottom"/>
          </w:tcPr>
          <w:p w14:paraId="05CF840C" w14:textId="77777777" w:rsidR="00585C1D" w:rsidRDefault="00000000">
            <w:pPr>
              <w:spacing w:line="240" w:lineRule="auto"/>
              <w:rPr>
                <w:sz w:val="20"/>
                <w:szCs w:val="20"/>
              </w:rPr>
            </w:pPr>
            <w:r>
              <w:rPr>
                <w:sz w:val="20"/>
                <w:szCs w:val="20"/>
              </w:rPr>
              <w:t>0.06</w:t>
            </w:r>
          </w:p>
        </w:tc>
        <w:tc>
          <w:tcPr>
            <w:tcW w:w="1448" w:type="dxa"/>
            <w:tcBorders>
              <w:top w:val="nil"/>
              <w:left w:val="nil"/>
              <w:bottom w:val="nil"/>
              <w:right w:val="nil"/>
            </w:tcBorders>
            <w:tcMar>
              <w:top w:w="20" w:type="dxa"/>
              <w:left w:w="20" w:type="dxa"/>
              <w:bottom w:w="100" w:type="dxa"/>
              <w:right w:w="20" w:type="dxa"/>
            </w:tcMar>
            <w:vAlign w:val="bottom"/>
          </w:tcPr>
          <w:p w14:paraId="050967C7" w14:textId="77777777" w:rsidR="00585C1D" w:rsidRDefault="00000000">
            <w:pPr>
              <w:spacing w:line="240" w:lineRule="auto"/>
              <w:rPr>
                <w:sz w:val="20"/>
                <w:szCs w:val="20"/>
              </w:rPr>
            </w:pPr>
            <w:r>
              <w:rPr>
                <w:sz w:val="20"/>
                <w:szCs w:val="20"/>
              </w:rPr>
              <w:t>0.07</w:t>
            </w:r>
          </w:p>
        </w:tc>
        <w:tc>
          <w:tcPr>
            <w:tcW w:w="1448" w:type="dxa"/>
            <w:tcBorders>
              <w:top w:val="nil"/>
              <w:left w:val="nil"/>
              <w:bottom w:val="nil"/>
              <w:right w:val="nil"/>
            </w:tcBorders>
            <w:tcMar>
              <w:top w:w="20" w:type="dxa"/>
              <w:left w:w="20" w:type="dxa"/>
              <w:bottom w:w="100" w:type="dxa"/>
              <w:right w:w="20" w:type="dxa"/>
            </w:tcMar>
            <w:vAlign w:val="bottom"/>
          </w:tcPr>
          <w:p w14:paraId="54DEDF3C" w14:textId="77777777" w:rsidR="00585C1D" w:rsidRDefault="00000000">
            <w:pPr>
              <w:spacing w:line="240" w:lineRule="auto"/>
              <w:rPr>
                <w:sz w:val="20"/>
                <w:szCs w:val="20"/>
              </w:rPr>
            </w:pPr>
            <w:r>
              <w:rPr>
                <w:sz w:val="20"/>
                <w:szCs w:val="20"/>
              </w:rPr>
              <w:t>-2.41</w:t>
            </w:r>
          </w:p>
        </w:tc>
        <w:tc>
          <w:tcPr>
            <w:tcW w:w="1448" w:type="dxa"/>
            <w:tcBorders>
              <w:top w:val="nil"/>
              <w:left w:val="nil"/>
              <w:bottom w:val="nil"/>
              <w:right w:val="nil"/>
            </w:tcBorders>
            <w:tcMar>
              <w:top w:w="20" w:type="dxa"/>
              <w:left w:w="20" w:type="dxa"/>
              <w:bottom w:w="100" w:type="dxa"/>
              <w:right w:w="20" w:type="dxa"/>
            </w:tcMar>
            <w:vAlign w:val="bottom"/>
          </w:tcPr>
          <w:p w14:paraId="0526E581" w14:textId="77777777" w:rsidR="00585C1D" w:rsidRDefault="00000000">
            <w:pPr>
              <w:spacing w:line="240" w:lineRule="auto"/>
              <w:rPr>
                <w:sz w:val="20"/>
                <w:szCs w:val="20"/>
              </w:rPr>
            </w:pPr>
            <w:r>
              <w:rPr>
                <w:sz w:val="20"/>
                <w:szCs w:val="20"/>
              </w:rPr>
              <w:t>-2.31</w:t>
            </w:r>
          </w:p>
        </w:tc>
      </w:tr>
      <w:tr w:rsidR="00585C1D" w14:paraId="1F7573CE" w14:textId="77777777">
        <w:trPr>
          <w:trHeight w:val="415"/>
        </w:trPr>
        <w:tc>
          <w:tcPr>
            <w:tcW w:w="1448" w:type="dxa"/>
            <w:tcBorders>
              <w:top w:val="nil"/>
              <w:left w:val="nil"/>
              <w:bottom w:val="nil"/>
              <w:right w:val="nil"/>
            </w:tcBorders>
            <w:tcMar>
              <w:top w:w="20" w:type="dxa"/>
              <w:left w:w="20" w:type="dxa"/>
              <w:bottom w:w="100" w:type="dxa"/>
              <w:right w:w="20" w:type="dxa"/>
            </w:tcMar>
            <w:vAlign w:val="bottom"/>
          </w:tcPr>
          <w:p w14:paraId="553F8800" w14:textId="77777777" w:rsidR="00585C1D" w:rsidRDefault="00000000">
            <w:pPr>
              <w:spacing w:line="240" w:lineRule="auto"/>
              <w:rPr>
                <w:sz w:val="20"/>
                <w:szCs w:val="20"/>
              </w:rPr>
            </w:pPr>
            <w:r>
              <w:rPr>
                <w:sz w:val="20"/>
                <w:szCs w:val="20"/>
              </w:rPr>
              <w:t>0.9</w:t>
            </w:r>
          </w:p>
        </w:tc>
        <w:tc>
          <w:tcPr>
            <w:tcW w:w="1448" w:type="dxa"/>
            <w:tcBorders>
              <w:top w:val="nil"/>
              <w:left w:val="nil"/>
              <w:bottom w:val="nil"/>
              <w:right w:val="nil"/>
            </w:tcBorders>
            <w:tcMar>
              <w:top w:w="20" w:type="dxa"/>
              <w:left w:w="20" w:type="dxa"/>
              <w:bottom w:w="100" w:type="dxa"/>
              <w:right w:w="20" w:type="dxa"/>
            </w:tcMar>
            <w:vAlign w:val="bottom"/>
          </w:tcPr>
          <w:p w14:paraId="01514630" w14:textId="77777777" w:rsidR="00585C1D" w:rsidRDefault="00000000">
            <w:pPr>
              <w:spacing w:line="240" w:lineRule="auto"/>
              <w:rPr>
                <w:sz w:val="20"/>
                <w:szCs w:val="20"/>
              </w:rPr>
            </w:pPr>
            <w:r>
              <w:rPr>
                <w:sz w:val="20"/>
                <w:szCs w:val="20"/>
              </w:rPr>
              <w:t>0.21</w:t>
            </w:r>
          </w:p>
        </w:tc>
        <w:tc>
          <w:tcPr>
            <w:tcW w:w="1448" w:type="dxa"/>
            <w:tcBorders>
              <w:top w:val="nil"/>
              <w:left w:val="nil"/>
              <w:bottom w:val="nil"/>
              <w:right w:val="nil"/>
            </w:tcBorders>
            <w:tcMar>
              <w:top w:w="20" w:type="dxa"/>
              <w:left w:w="20" w:type="dxa"/>
              <w:bottom w:w="100" w:type="dxa"/>
              <w:right w:w="20" w:type="dxa"/>
            </w:tcMar>
            <w:vAlign w:val="bottom"/>
          </w:tcPr>
          <w:p w14:paraId="25FE5F47" w14:textId="77777777" w:rsidR="00585C1D" w:rsidRDefault="00000000">
            <w:pPr>
              <w:spacing w:line="240" w:lineRule="auto"/>
              <w:rPr>
                <w:sz w:val="20"/>
                <w:szCs w:val="20"/>
              </w:rPr>
            </w:pPr>
            <w:r>
              <w:rPr>
                <w:sz w:val="20"/>
                <w:szCs w:val="20"/>
              </w:rPr>
              <w:t>0.06</w:t>
            </w:r>
          </w:p>
        </w:tc>
        <w:tc>
          <w:tcPr>
            <w:tcW w:w="1448" w:type="dxa"/>
            <w:tcBorders>
              <w:top w:val="nil"/>
              <w:left w:val="nil"/>
              <w:bottom w:val="nil"/>
              <w:right w:val="nil"/>
            </w:tcBorders>
            <w:tcMar>
              <w:top w:w="20" w:type="dxa"/>
              <w:left w:w="20" w:type="dxa"/>
              <w:bottom w:w="100" w:type="dxa"/>
              <w:right w:w="20" w:type="dxa"/>
            </w:tcMar>
            <w:vAlign w:val="bottom"/>
          </w:tcPr>
          <w:p w14:paraId="2A99F758" w14:textId="77777777" w:rsidR="00585C1D" w:rsidRDefault="00000000">
            <w:pPr>
              <w:spacing w:line="240" w:lineRule="auto"/>
              <w:rPr>
                <w:sz w:val="20"/>
                <w:szCs w:val="20"/>
              </w:rPr>
            </w:pPr>
            <w:r>
              <w:rPr>
                <w:sz w:val="20"/>
                <w:szCs w:val="20"/>
              </w:rPr>
              <w:t>0.07</w:t>
            </w:r>
          </w:p>
        </w:tc>
        <w:tc>
          <w:tcPr>
            <w:tcW w:w="1448" w:type="dxa"/>
            <w:tcBorders>
              <w:top w:val="nil"/>
              <w:left w:val="nil"/>
              <w:bottom w:val="nil"/>
              <w:right w:val="nil"/>
            </w:tcBorders>
            <w:tcMar>
              <w:top w:w="20" w:type="dxa"/>
              <w:left w:w="20" w:type="dxa"/>
              <w:bottom w:w="100" w:type="dxa"/>
              <w:right w:w="20" w:type="dxa"/>
            </w:tcMar>
            <w:vAlign w:val="bottom"/>
          </w:tcPr>
          <w:p w14:paraId="6FB2B40F" w14:textId="77777777" w:rsidR="00585C1D" w:rsidRDefault="00000000">
            <w:pPr>
              <w:spacing w:line="240" w:lineRule="auto"/>
              <w:rPr>
                <w:sz w:val="20"/>
                <w:szCs w:val="20"/>
              </w:rPr>
            </w:pPr>
            <w:r>
              <w:rPr>
                <w:sz w:val="20"/>
                <w:szCs w:val="20"/>
              </w:rPr>
              <w:t>-2.45</w:t>
            </w:r>
          </w:p>
        </w:tc>
        <w:tc>
          <w:tcPr>
            <w:tcW w:w="1448" w:type="dxa"/>
            <w:tcBorders>
              <w:top w:val="nil"/>
              <w:left w:val="nil"/>
              <w:bottom w:val="nil"/>
              <w:right w:val="nil"/>
            </w:tcBorders>
            <w:tcMar>
              <w:top w:w="20" w:type="dxa"/>
              <w:left w:w="20" w:type="dxa"/>
              <w:bottom w:w="100" w:type="dxa"/>
              <w:right w:w="20" w:type="dxa"/>
            </w:tcMar>
            <w:vAlign w:val="bottom"/>
          </w:tcPr>
          <w:p w14:paraId="35B297C7" w14:textId="77777777" w:rsidR="00585C1D" w:rsidRDefault="00000000">
            <w:pPr>
              <w:spacing w:line="240" w:lineRule="auto"/>
              <w:rPr>
                <w:sz w:val="20"/>
                <w:szCs w:val="20"/>
              </w:rPr>
            </w:pPr>
            <w:r>
              <w:rPr>
                <w:sz w:val="20"/>
                <w:szCs w:val="20"/>
              </w:rPr>
              <w:t>-2.35</w:t>
            </w:r>
          </w:p>
        </w:tc>
      </w:tr>
      <w:tr w:rsidR="00585C1D" w14:paraId="171C5268" w14:textId="77777777">
        <w:trPr>
          <w:trHeight w:val="415"/>
        </w:trPr>
        <w:tc>
          <w:tcPr>
            <w:tcW w:w="1448" w:type="dxa"/>
            <w:tcBorders>
              <w:top w:val="nil"/>
              <w:left w:val="nil"/>
              <w:bottom w:val="nil"/>
              <w:right w:val="nil"/>
            </w:tcBorders>
            <w:tcMar>
              <w:top w:w="20" w:type="dxa"/>
              <w:left w:w="20" w:type="dxa"/>
              <w:bottom w:w="100" w:type="dxa"/>
              <w:right w:w="20" w:type="dxa"/>
            </w:tcMar>
            <w:vAlign w:val="bottom"/>
          </w:tcPr>
          <w:p w14:paraId="77E85663" w14:textId="77777777" w:rsidR="00585C1D" w:rsidRDefault="00000000">
            <w:pPr>
              <w:spacing w:line="240" w:lineRule="auto"/>
              <w:rPr>
                <w:sz w:val="20"/>
                <w:szCs w:val="20"/>
              </w:rPr>
            </w:pPr>
            <w:r>
              <w:rPr>
                <w:sz w:val="20"/>
                <w:szCs w:val="20"/>
              </w:rPr>
              <w:t>0.925</w:t>
            </w:r>
          </w:p>
        </w:tc>
        <w:tc>
          <w:tcPr>
            <w:tcW w:w="1448" w:type="dxa"/>
            <w:tcBorders>
              <w:top w:val="nil"/>
              <w:left w:val="nil"/>
              <w:bottom w:val="nil"/>
              <w:right w:val="nil"/>
            </w:tcBorders>
            <w:tcMar>
              <w:top w:w="20" w:type="dxa"/>
              <w:left w:w="20" w:type="dxa"/>
              <w:bottom w:w="100" w:type="dxa"/>
              <w:right w:w="20" w:type="dxa"/>
            </w:tcMar>
            <w:vAlign w:val="bottom"/>
          </w:tcPr>
          <w:p w14:paraId="274708C8" w14:textId="77777777" w:rsidR="00585C1D" w:rsidRDefault="00000000">
            <w:pPr>
              <w:spacing w:line="240" w:lineRule="auto"/>
              <w:rPr>
                <w:sz w:val="20"/>
                <w:szCs w:val="20"/>
              </w:rPr>
            </w:pPr>
            <w:r>
              <w:rPr>
                <w:sz w:val="20"/>
                <w:szCs w:val="20"/>
              </w:rPr>
              <w:t>0.21</w:t>
            </w:r>
          </w:p>
        </w:tc>
        <w:tc>
          <w:tcPr>
            <w:tcW w:w="1448" w:type="dxa"/>
            <w:tcBorders>
              <w:top w:val="nil"/>
              <w:left w:val="nil"/>
              <w:bottom w:val="nil"/>
              <w:right w:val="nil"/>
            </w:tcBorders>
            <w:tcMar>
              <w:top w:w="20" w:type="dxa"/>
              <w:left w:w="20" w:type="dxa"/>
              <w:bottom w:w="100" w:type="dxa"/>
              <w:right w:w="20" w:type="dxa"/>
            </w:tcMar>
            <w:vAlign w:val="bottom"/>
          </w:tcPr>
          <w:p w14:paraId="6B289B06" w14:textId="77777777" w:rsidR="00585C1D" w:rsidRDefault="00000000">
            <w:pPr>
              <w:spacing w:line="240" w:lineRule="auto"/>
              <w:rPr>
                <w:sz w:val="20"/>
                <w:szCs w:val="20"/>
              </w:rPr>
            </w:pPr>
            <w:r>
              <w:rPr>
                <w:sz w:val="20"/>
                <w:szCs w:val="20"/>
              </w:rPr>
              <w:t>0.06</w:t>
            </w:r>
          </w:p>
        </w:tc>
        <w:tc>
          <w:tcPr>
            <w:tcW w:w="1448" w:type="dxa"/>
            <w:tcBorders>
              <w:top w:val="nil"/>
              <w:left w:val="nil"/>
              <w:bottom w:val="nil"/>
              <w:right w:val="nil"/>
            </w:tcBorders>
            <w:tcMar>
              <w:top w:w="20" w:type="dxa"/>
              <w:left w:w="20" w:type="dxa"/>
              <w:bottom w:w="100" w:type="dxa"/>
              <w:right w:w="20" w:type="dxa"/>
            </w:tcMar>
            <w:vAlign w:val="bottom"/>
          </w:tcPr>
          <w:p w14:paraId="0FD02221" w14:textId="77777777" w:rsidR="00585C1D" w:rsidRDefault="00000000">
            <w:pPr>
              <w:spacing w:line="240" w:lineRule="auto"/>
              <w:rPr>
                <w:sz w:val="20"/>
                <w:szCs w:val="20"/>
              </w:rPr>
            </w:pPr>
            <w:r>
              <w:rPr>
                <w:sz w:val="20"/>
                <w:szCs w:val="20"/>
              </w:rPr>
              <w:t>0.07</w:t>
            </w:r>
          </w:p>
        </w:tc>
        <w:tc>
          <w:tcPr>
            <w:tcW w:w="1448" w:type="dxa"/>
            <w:tcBorders>
              <w:top w:val="nil"/>
              <w:left w:val="nil"/>
              <w:bottom w:val="nil"/>
              <w:right w:val="nil"/>
            </w:tcBorders>
            <w:tcMar>
              <w:top w:w="20" w:type="dxa"/>
              <w:left w:w="20" w:type="dxa"/>
              <w:bottom w:w="100" w:type="dxa"/>
              <w:right w:w="20" w:type="dxa"/>
            </w:tcMar>
            <w:vAlign w:val="bottom"/>
          </w:tcPr>
          <w:p w14:paraId="3EBA0383" w14:textId="77777777" w:rsidR="00585C1D" w:rsidRDefault="00000000">
            <w:pPr>
              <w:spacing w:line="240" w:lineRule="auto"/>
              <w:rPr>
                <w:sz w:val="20"/>
                <w:szCs w:val="20"/>
              </w:rPr>
            </w:pPr>
            <w:r>
              <w:rPr>
                <w:sz w:val="20"/>
                <w:szCs w:val="20"/>
              </w:rPr>
              <w:t>-2.48</w:t>
            </w:r>
          </w:p>
        </w:tc>
        <w:tc>
          <w:tcPr>
            <w:tcW w:w="1448" w:type="dxa"/>
            <w:tcBorders>
              <w:top w:val="nil"/>
              <w:left w:val="nil"/>
              <w:bottom w:val="nil"/>
              <w:right w:val="nil"/>
            </w:tcBorders>
            <w:tcMar>
              <w:top w:w="20" w:type="dxa"/>
              <w:left w:w="20" w:type="dxa"/>
              <w:bottom w:w="100" w:type="dxa"/>
              <w:right w:w="20" w:type="dxa"/>
            </w:tcMar>
            <w:vAlign w:val="bottom"/>
          </w:tcPr>
          <w:p w14:paraId="012582EC" w14:textId="77777777" w:rsidR="00585C1D" w:rsidRDefault="00000000">
            <w:pPr>
              <w:spacing w:line="240" w:lineRule="auto"/>
              <w:rPr>
                <w:sz w:val="20"/>
                <w:szCs w:val="20"/>
              </w:rPr>
            </w:pPr>
            <w:r>
              <w:rPr>
                <w:sz w:val="20"/>
                <w:szCs w:val="20"/>
              </w:rPr>
              <w:t>-2.38</w:t>
            </w:r>
          </w:p>
        </w:tc>
      </w:tr>
      <w:tr w:rsidR="00585C1D" w14:paraId="0C5021B2" w14:textId="77777777">
        <w:trPr>
          <w:trHeight w:val="415"/>
        </w:trPr>
        <w:tc>
          <w:tcPr>
            <w:tcW w:w="1448" w:type="dxa"/>
            <w:tcBorders>
              <w:top w:val="nil"/>
              <w:left w:val="nil"/>
              <w:bottom w:val="nil"/>
              <w:right w:val="nil"/>
            </w:tcBorders>
            <w:tcMar>
              <w:top w:w="20" w:type="dxa"/>
              <w:left w:w="20" w:type="dxa"/>
              <w:bottom w:w="100" w:type="dxa"/>
              <w:right w:w="20" w:type="dxa"/>
            </w:tcMar>
            <w:vAlign w:val="bottom"/>
          </w:tcPr>
          <w:p w14:paraId="34921BE0" w14:textId="77777777" w:rsidR="00585C1D" w:rsidRDefault="00000000">
            <w:pPr>
              <w:spacing w:line="240" w:lineRule="auto"/>
              <w:rPr>
                <w:sz w:val="20"/>
                <w:szCs w:val="20"/>
              </w:rPr>
            </w:pPr>
            <w:r>
              <w:rPr>
                <w:sz w:val="20"/>
                <w:szCs w:val="20"/>
              </w:rPr>
              <w:t>0.95</w:t>
            </w:r>
          </w:p>
        </w:tc>
        <w:tc>
          <w:tcPr>
            <w:tcW w:w="1448" w:type="dxa"/>
            <w:tcBorders>
              <w:top w:val="nil"/>
              <w:left w:val="nil"/>
              <w:bottom w:val="nil"/>
              <w:right w:val="nil"/>
            </w:tcBorders>
            <w:tcMar>
              <w:top w:w="20" w:type="dxa"/>
              <w:left w:w="20" w:type="dxa"/>
              <w:bottom w:w="100" w:type="dxa"/>
              <w:right w:w="20" w:type="dxa"/>
            </w:tcMar>
            <w:vAlign w:val="bottom"/>
          </w:tcPr>
          <w:p w14:paraId="64443947" w14:textId="77777777" w:rsidR="00585C1D" w:rsidRDefault="00000000">
            <w:pPr>
              <w:spacing w:line="240" w:lineRule="auto"/>
              <w:rPr>
                <w:sz w:val="20"/>
                <w:szCs w:val="20"/>
              </w:rPr>
            </w:pPr>
            <w:r>
              <w:rPr>
                <w:sz w:val="20"/>
                <w:szCs w:val="20"/>
              </w:rPr>
              <w:t>0.22</w:t>
            </w:r>
          </w:p>
        </w:tc>
        <w:tc>
          <w:tcPr>
            <w:tcW w:w="1448" w:type="dxa"/>
            <w:tcBorders>
              <w:top w:val="nil"/>
              <w:left w:val="nil"/>
              <w:bottom w:val="nil"/>
              <w:right w:val="nil"/>
            </w:tcBorders>
            <w:tcMar>
              <w:top w:w="20" w:type="dxa"/>
              <w:left w:w="20" w:type="dxa"/>
              <w:bottom w:w="100" w:type="dxa"/>
              <w:right w:w="20" w:type="dxa"/>
            </w:tcMar>
            <w:vAlign w:val="bottom"/>
          </w:tcPr>
          <w:p w14:paraId="28563345" w14:textId="77777777" w:rsidR="00585C1D" w:rsidRDefault="00000000">
            <w:pPr>
              <w:spacing w:line="240" w:lineRule="auto"/>
              <w:rPr>
                <w:sz w:val="20"/>
                <w:szCs w:val="20"/>
              </w:rPr>
            </w:pPr>
            <w:r>
              <w:rPr>
                <w:sz w:val="20"/>
                <w:szCs w:val="20"/>
              </w:rPr>
              <w:t>0.06</w:t>
            </w:r>
          </w:p>
        </w:tc>
        <w:tc>
          <w:tcPr>
            <w:tcW w:w="1448" w:type="dxa"/>
            <w:tcBorders>
              <w:top w:val="nil"/>
              <w:left w:val="nil"/>
              <w:bottom w:val="nil"/>
              <w:right w:val="nil"/>
            </w:tcBorders>
            <w:tcMar>
              <w:top w:w="20" w:type="dxa"/>
              <w:left w:w="20" w:type="dxa"/>
              <w:bottom w:w="100" w:type="dxa"/>
              <w:right w:w="20" w:type="dxa"/>
            </w:tcMar>
            <w:vAlign w:val="bottom"/>
          </w:tcPr>
          <w:p w14:paraId="0DF9B177" w14:textId="77777777" w:rsidR="00585C1D" w:rsidRDefault="00000000">
            <w:pPr>
              <w:spacing w:line="240" w:lineRule="auto"/>
              <w:rPr>
                <w:sz w:val="20"/>
                <w:szCs w:val="20"/>
              </w:rPr>
            </w:pPr>
            <w:r>
              <w:rPr>
                <w:sz w:val="20"/>
                <w:szCs w:val="20"/>
              </w:rPr>
              <w:t>0.07</w:t>
            </w:r>
          </w:p>
        </w:tc>
        <w:tc>
          <w:tcPr>
            <w:tcW w:w="1448" w:type="dxa"/>
            <w:tcBorders>
              <w:top w:val="nil"/>
              <w:left w:val="nil"/>
              <w:bottom w:val="nil"/>
              <w:right w:val="nil"/>
            </w:tcBorders>
            <w:tcMar>
              <w:top w:w="20" w:type="dxa"/>
              <w:left w:w="20" w:type="dxa"/>
              <w:bottom w:w="100" w:type="dxa"/>
              <w:right w:w="20" w:type="dxa"/>
            </w:tcMar>
            <w:vAlign w:val="bottom"/>
          </w:tcPr>
          <w:p w14:paraId="3F19DC13" w14:textId="77777777" w:rsidR="00585C1D" w:rsidRDefault="00000000">
            <w:pPr>
              <w:spacing w:line="240" w:lineRule="auto"/>
              <w:rPr>
                <w:sz w:val="20"/>
                <w:szCs w:val="20"/>
              </w:rPr>
            </w:pPr>
            <w:r>
              <w:rPr>
                <w:sz w:val="20"/>
                <w:szCs w:val="20"/>
              </w:rPr>
              <w:t>-2.52</w:t>
            </w:r>
          </w:p>
        </w:tc>
        <w:tc>
          <w:tcPr>
            <w:tcW w:w="1448" w:type="dxa"/>
            <w:tcBorders>
              <w:top w:val="nil"/>
              <w:left w:val="nil"/>
              <w:bottom w:val="nil"/>
              <w:right w:val="nil"/>
            </w:tcBorders>
            <w:tcMar>
              <w:top w:w="20" w:type="dxa"/>
              <w:left w:w="20" w:type="dxa"/>
              <w:bottom w:w="100" w:type="dxa"/>
              <w:right w:w="20" w:type="dxa"/>
            </w:tcMar>
            <w:vAlign w:val="bottom"/>
          </w:tcPr>
          <w:p w14:paraId="5E1CA76E" w14:textId="77777777" w:rsidR="00585C1D" w:rsidRDefault="00000000">
            <w:pPr>
              <w:spacing w:line="240" w:lineRule="auto"/>
              <w:rPr>
                <w:sz w:val="20"/>
                <w:szCs w:val="20"/>
              </w:rPr>
            </w:pPr>
            <w:r>
              <w:rPr>
                <w:sz w:val="20"/>
                <w:szCs w:val="20"/>
              </w:rPr>
              <w:t>-2.42</w:t>
            </w:r>
          </w:p>
        </w:tc>
      </w:tr>
      <w:tr w:rsidR="00585C1D" w14:paraId="01D8D6AF" w14:textId="77777777">
        <w:trPr>
          <w:trHeight w:val="415"/>
        </w:trPr>
        <w:tc>
          <w:tcPr>
            <w:tcW w:w="1448" w:type="dxa"/>
            <w:tcBorders>
              <w:top w:val="nil"/>
              <w:left w:val="nil"/>
              <w:bottom w:val="nil"/>
              <w:right w:val="nil"/>
            </w:tcBorders>
            <w:tcMar>
              <w:top w:w="20" w:type="dxa"/>
              <w:left w:w="20" w:type="dxa"/>
              <w:bottom w:w="100" w:type="dxa"/>
              <w:right w:w="20" w:type="dxa"/>
            </w:tcMar>
            <w:vAlign w:val="bottom"/>
          </w:tcPr>
          <w:p w14:paraId="7929715E" w14:textId="77777777" w:rsidR="00585C1D" w:rsidRDefault="00000000">
            <w:pPr>
              <w:spacing w:line="240" w:lineRule="auto"/>
              <w:rPr>
                <w:sz w:val="20"/>
                <w:szCs w:val="20"/>
              </w:rPr>
            </w:pPr>
            <w:r>
              <w:rPr>
                <w:sz w:val="20"/>
                <w:szCs w:val="20"/>
              </w:rPr>
              <w:t>0.975</w:t>
            </w:r>
          </w:p>
        </w:tc>
        <w:tc>
          <w:tcPr>
            <w:tcW w:w="1448" w:type="dxa"/>
            <w:tcBorders>
              <w:top w:val="nil"/>
              <w:left w:val="nil"/>
              <w:bottom w:val="nil"/>
              <w:right w:val="nil"/>
            </w:tcBorders>
            <w:tcMar>
              <w:top w:w="20" w:type="dxa"/>
              <w:left w:w="20" w:type="dxa"/>
              <w:bottom w:w="100" w:type="dxa"/>
              <w:right w:w="20" w:type="dxa"/>
            </w:tcMar>
            <w:vAlign w:val="bottom"/>
          </w:tcPr>
          <w:p w14:paraId="45EF1CD5" w14:textId="77777777" w:rsidR="00585C1D" w:rsidRDefault="00000000">
            <w:pPr>
              <w:spacing w:line="240" w:lineRule="auto"/>
              <w:rPr>
                <w:sz w:val="20"/>
                <w:szCs w:val="20"/>
              </w:rPr>
            </w:pPr>
            <w:r>
              <w:rPr>
                <w:sz w:val="20"/>
                <w:szCs w:val="20"/>
              </w:rPr>
              <w:t>0.22</w:t>
            </w:r>
          </w:p>
        </w:tc>
        <w:tc>
          <w:tcPr>
            <w:tcW w:w="1448" w:type="dxa"/>
            <w:tcBorders>
              <w:top w:val="nil"/>
              <w:left w:val="nil"/>
              <w:bottom w:val="nil"/>
              <w:right w:val="nil"/>
            </w:tcBorders>
            <w:tcMar>
              <w:top w:w="20" w:type="dxa"/>
              <w:left w:w="20" w:type="dxa"/>
              <w:bottom w:w="100" w:type="dxa"/>
              <w:right w:w="20" w:type="dxa"/>
            </w:tcMar>
            <w:vAlign w:val="bottom"/>
          </w:tcPr>
          <w:p w14:paraId="0131F09F" w14:textId="77777777" w:rsidR="00585C1D" w:rsidRDefault="00000000">
            <w:pPr>
              <w:spacing w:line="240" w:lineRule="auto"/>
              <w:rPr>
                <w:sz w:val="20"/>
                <w:szCs w:val="20"/>
              </w:rPr>
            </w:pPr>
            <w:r>
              <w:rPr>
                <w:sz w:val="20"/>
                <w:szCs w:val="20"/>
              </w:rPr>
              <w:t>0.06</w:t>
            </w:r>
          </w:p>
        </w:tc>
        <w:tc>
          <w:tcPr>
            <w:tcW w:w="1448" w:type="dxa"/>
            <w:tcBorders>
              <w:top w:val="nil"/>
              <w:left w:val="nil"/>
              <w:bottom w:val="nil"/>
              <w:right w:val="nil"/>
            </w:tcBorders>
            <w:tcMar>
              <w:top w:w="20" w:type="dxa"/>
              <w:left w:w="20" w:type="dxa"/>
              <w:bottom w:w="100" w:type="dxa"/>
              <w:right w:w="20" w:type="dxa"/>
            </w:tcMar>
            <w:vAlign w:val="bottom"/>
          </w:tcPr>
          <w:p w14:paraId="73E8C40C" w14:textId="77777777" w:rsidR="00585C1D" w:rsidRDefault="00000000">
            <w:pPr>
              <w:spacing w:line="240" w:lineRule="auto"/>
              <w:rPr>
                <w:sz w:val="20"/>
                <w:szCs w:val="20"/>
              </w:rPr>
            </w:pPr>
            <w:r>
              <w:rPr>
                <w:sz w:val="20"/>
                <w:szCs w:val="20"/>
              </w:rPr>
              <w:t>0.08</w:t>
            </w:r>
          </w:p>
        </w:tc>
        <w:tc>
          <w:tcPr>
            <w:tcW w:w="1448" w:type="dxa"/>
            <w:tcBorders>
              <w:top w:val="nil"/>
              <w:left w:val="nil"/>
              <w:bottom w:val="nil"/>
              <w:right w:val="nil"/>
            </w:tcBorders>
            <w:tcMar>
              <w:top w:w="20" w:type="dxa"/>
              <w:left w:w="20" w:type="dxa"/>
              <w:bottom w:w="100" w:type="dxa"/>
              <w:right w:w="20" w:type="dxa"/>
            </w:tcMar>
            <w:vAlign w:val="bottom"/>
          </w:tcPr>
          <w:p w14:paraId="43B5FAB8" w14:textId="77777777" w:rsidR="00585C1D" w:rsidRDefault="00000000">
            <w:pPr>
              <w:spacing w:line="240" w:lineRule="auto"/>
              <w:rPr>
                <w:sz w:val="20"/>
                <w:szCs w:val="20"/>
              </w:rPr>
            </w:pPr>
            <w:r>
              <w:rPr>
                <w:sz w:val="20"/>
                <w:szCs w:val="20"/>
              </w:rPr>
              <w:t>-2.56</w:t>
            </w:r>
          </w:p>
        </w:tc>
        <w:tc>
          <w:tcPr>
            <w:tcW w:w="1448" w:type="dxa"/>
            <w:tcBorders>
              <w:top w:val="nil"/>
              <w:left w:val="nil"/>
              <w:bottom w:val="nil"/>
              <w:right w:val="nil"/>
            </w:tcBorders>
            <w:tcMar>
              <w:top w:w="20" w:type="dxa"/>
              <w:left w:w="20" w:type="dxa"/>
              <w:bottom w:w="100" w:type="dxa"/>
              <w:right w:w="20" w:type="dxa"/>
            </w:tcMar>
            <w:vAlign w:val="bottom"/>
          </w:tcPr>
          <w:p w14:paraId="37603B89" w14:textId="77777777" w:rsidR="00585C1D" w:rsidRDefault="00000000">
            <w:pPr>
              <w:spacing w:line="240" w:lineRule="auto"/>
              <w:rPr>
                <w:sz w:val="20"/>
                <w:szCs w:val="20"/>
              </w:rPr>
            </w:pPr>
            <w:r>
              <w:rPr>
                <w:sz w:val="20"/>
                <w:szCs w:val="20"/>
              </w:rPr>
              <w:t>-2.45</w:t>
            </w:r>
          </w:p>
        </w:tc>
      </w:tr>
    </w:tbl>
    <w:p w14:paraId="76B097DE" w14:textId="77777777" w:rsidR="00585C1D" w:rsidRDefault="00585C1D">
      <w:pPr>
        <w:spacing w:line="240" w:lineRule="auto"/>
      </w:pPr>
    </w:p>
    <w:p w14:paraId="6FBF0480" w14:textId="77777777" w:rsidR="00585C1D" w:rsidRDefault="00585C1D"/>
    <w:p w14:paraId="0E1CA601" w14:textId="77777777" w:rsidR="00585C1D" w:rsidRDefault="00000000">
      <w:r>
        <w:rPr>
          <w:noProof/>
        </w:rPr>
        <w:lastRenderedPageBreak/>
        <w:drawing>
          <wp:inline distT="114300" distB="114300" distL="114300" distR="114300" wp14:anchorId="69F91014" wp14:editId="12EABB04">
            <wp:extent cx="5943600" cy="218440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l="45" r="45"/>
                    <a:stretch>
                      <a:fillRect/>
                    </a:stretch>
                  </pic:blipFill>
                  <pic:spPr>
                    <a:xfrm>
                      <a:off x="0" y="0"/>
                      <a:ext cx="5943600" cy="2184400"/>
                    </a:xfrm>
                    <a:prstGeom prst="rect">
                      <a:avLst/>
                    </a:prstGeom>
                    <a:ln/>
                  </pic:spPr>
                </pic:pic>
              </a:graphicData>
            </a:graphic>
          </wp:inline>
        </w:drawing>
      </w:r>
    </w:p>
    <w:p w14:paraId="7C191F72" w14:textId="77777777" w:rsidR="00585C1D" w:rsidRDefault="00000000">
      <w:pPr>
        <w:spacing w:line="240" w:lineRule="auto"/>
      </w:pPr>
      <w:r>
        <w:rPr>
          <w:b/>
        </w:rPr>
        <w:t xml:space="preserve">Figure S7. </w:t>
      </w:r>
      <w:r>
        <w:t>Distribution of mass conservation model parameters which were simulated to invert for bed position across the model domain.</w:t>
      </w:r>
    </w:p>
    <w:p w14:paraId="6AD84342" w14:textId="77777777" w:rsidR="00585C1D" w:rsidRDefault="00585C1D">
      <w:pPr>
        <w:spacing w:line="240" w:lineRule="auto"/>
      </w:pPr>
    </w:p>
    <w:p w14:paraId="05993BEF" w14:textId="77777777" w:rsidR="00585C1D" w:rsidRDefault="00000000">
      <w:pPr>
        <w:spacing w:line="240" w:lineRule="auto"/>
      </w:pPr>
      <w:r>
        <w:rPr>
          <w:noProof/>
        </w:rPr>
        <w:drawing>
          <wp:inline distT="114300" distB="114300" distL="114300" distR="114300" wp14:anchorId="52154392" wp14:editId="14CE1DF2">
            <wp:extent cx="3657600" cy="18288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3657600" cy="1828800"/>
                    </a:xfrm>
                    <a:prstGeom prst="rect">
                      <a:avLst/>
                    </a:prstGeom>
                    <a:ln/>
                  </pic:spPr>
                </pic:pic>
              </a:graphicData>
            </a:graphic>
          </wp:inline>
        </w:drawing>
      </w:r>
    </w:p>
    <w:p w14:paraId="629CE42A" w14:textId="77777777" w:rsidR="00585C1D" w:rsidRDefault="00000000">
      <w:pPr>
        <w:spacing w:line="240" w:lineRule="auto"/>
      </w:pPr>
      <w:r>
        <w:rPr>
          <w:b/>
        </w:rPr>
        <w:t xml:space="preserve">Figure S8. </w:t>
      </w:r>
      <w:r>
        <w:t>Comparison showing the absolute deviation between the mean centerline thickness solution and 2σ uncertainty for all model runs which produced a relative down-glacier ice flux misfit of less than 25% and those which produced a relative down-glacier ice flux misfit of less than 10%.</w:t>
      </w:r>
    </w:p>
    <w:p w14:paraId="37E9FCC5" w14:textId="77777777" w:rsidR="00585C1D" w:rsidRDefault="00585C1D">
      <w:pPr>
        <w:spacing w:line="240" w:lineRule="auto"/>
      </w:pPr>
    </w:p>
    <w:p w14:paraId="2692DF6B" w14:textId="77777777" w:rsidR="00585C1D" w:rsidRDefault="00000000">
      <w:r>
        <w:rPr>
          <w:noProof/>
        </w:rPr>
        <w:drawing>
          <wp:inline distT="114300" distB="114300" distL="114300" distR="114300" wp14:anchorId="425F8197" wp14:editId="64FB4BEE">
            <wp:extent cx="5943600" cy="19177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943600" cy="1917700"/>
                    </a:xfrm>
                    <a:prstGeom prst="rect">
                      <a:avLst/>
                    </a:prstGeom>
                    <a:ln/>
                  </pic:spPr>
                </pic:pic>
              </a:graphicData>
            </a:graphic>
          </wp:inline>
        </w:drawing>
      </w:r>
    </w:p>
    <w:p w14:paraId="6B91DB25" w14:textId="77777777" w:rsidR="00585C1D" w:rsidRDefault="00000000">
      <w:pPr>
        <w:spacing w:line="240" w:lineRule="auto"/>
      </w:pPr>
      <w:r>
        <w:rPr>
          <w:b/>
        </w:rPr>
        <w:t xml:space="preserve">Figure S9. </w:t>
      </w:r>
      <w:r>
        <w:t>2σ uncertainty in modeled glacier surface mass balance between radar-constrained ice flux gates.</w:t>
      </w:r>
    </w:p>
    <w:sectPr w:rsidR="00585C1D">
      <w:headerReference w:type="default" r:id="rId17"/>
      <w:footerReference w:type="default" r:id="rId18"/>
      <w:pgSz w:w="12240" w:h="15840"/>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FDEBD" w14:textId="77777777" w:rsidR="00584CC4" w:rsidRDefault="00584CC4">
      <w:pPr>
        <w:spacing w:line="240" w:lineRule="auto"/>
      </w:pPr>
      <w:r>
        <w:separator/>
      </w:r>
    </w:p>
  </w:endnote>
  <w:endnote w:type="continuationSeparator" w:id="0">
    <w:p w14:paraId="5F76B3ED" w14:textId="77777777" w:rsidR="00584CC4" w:rsidRDefault="00584C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tka Heading">
    <w:panose1 w:val="00000000000000000000"/>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49B7E" w14:textId="77777777" w:rsidR="00585C1D" w:rsidRDefault="00000000">
    <w:pPr>
      <w:jc w:val="right"/>
    </w:pPr>
    <w:r>
      <w:fldChar w:fldCharType="begin"/>
    </w:r>
    <w:r>
      <w:instrText>PAGE</w:instrText>
    </w:r>
    <w:r>
      <w:fldChar w:fldCharType="separate"/>
    </w:r>
    <w:r w:rsidR="005E71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C8C07" w14:textId="77777777" w:rsidR="00584CC4" w:rsidRDefault="00584CC4">
      <w:pPr>
        <w:spacing w:line="240" w:lineRule="auto"/>
      </w:pPr>
      <w:r>
        <w:separator/>
      </w:r>
    </w:p>
  </w:footnote>
  <w:footnote w:type="continuationSeparator" w:id="0">
    <w:p w14:paraId="55AD1F7C" w14:textId="77777777" w:rsidR="00584CC4" w:rsidRDefault="00584C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F6309" w14:textId="77777777" w:rsidR="00585C1D" w:rsidRDefault="00585C1D">
    <w:pPr>
      <w:pBdr>
        <w:top w:val="nil"/>
        <w:left w:val="nil"/>
        <w:bottom w:val="nil"/>
        <w:right w:val="nil"/>
        <w:between w:val="nil"/>
      </w:pBdr>
      <w:tabs>
        <w:tab w:val="center" w:pos="4680"/>
        <w:tab w:val="right" w:pos="9360"/>
      </w:tabs>
      <w:spacing w:line="240" w:lineRule="auto"/>
      <w:jc w:val="right"/>
      <w:rPr>
        <w:color w:val="000000"/>
      </w:rPr>
    </w:pPr>
  </w:p>
  <w:p w14:paraId="46C72430" w14:textId="77777777" w:rsidR="00585C1D" w:rsidRDefault="00585C1D">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C1D"/>
    <w:rsid w:val="0004386F"/>
    <w:rsid w:val="00123C44"/>
    <w:rsid w:val="002406D3"/>
    <w:rsid w:val="002A54E6"/>
    <w:rsid w:val="0049695A"/>
    <w:rsid w:val="004A375A"/>
    <w:rsid w:val="00584CC4"/>
    <w:rsid w:val="00585C1D"/>
    <w:rsid w:val="005E71C7"/>
    <w:rsid w:val="00661622"/>
    <w:rsid w:val="00A04A96"/>
    <w:rsid w:val="00DB3108"/>
    <w:rsid w:val="00F07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A198DB"/>
  <w15:docId w15:val="{92BEB43E-6C39-E344-A09A-49B66A7D1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80" w:after="80"/>
      <w:ind w:left="360"/>
      <w:jc w:val="left"/>
      <w:outlineLvl w:val="0"/>
    </w:pPr>
  </w:style>
  <w:style w:type="paragraph" w:styleId="Heading2">
    <w:name w:val="heading 2"/>
    <w:basedOn w:val="Normal"/>
    <w:next w:val="Normal"/>
    <w:uiPriority w:val="9"/>
    <w:semiHidden/>
    <w:unhideWhenUsed/>
    <w:qFormat/>
    <w:pPr>
      <w:spacing w:before="80" w:after="80"/>
      <w:ind w:left="900" w:hanging="360"/>
      <w:outlineLvl w:val="1"/>
    </w:pPr>
  </w:style>
  <w:style w:type="paragraph" w:styleId="Heading3">
    <w:name w:val="heading 3"/>
    <w:basedOn w:val="Normal"/>
    <w:next w:val="Normal"/>
    <w:uiPriority w:val="9"/>
    <w:semiHidden/>
    <w:unhideWhenUsed/>
    <w:qFormat/>
    <w:pPr>
      <w:spacing w:before="80" w:after="80"/>
      <w:ind w:left="900" w:hanging="360"/>
      <w:outlineLvl w:val="2"/>
    </w:pPr>
  </w:style>
  <w:style w:type="paragraph" w:styleId="Heading4">
    <w:name w:val="heading 4"/>
    <w:basedOn w:val="Normal"/>
    <w:next w:val="Normal"/>
    <w:uiPriority w:val="9"/>
    <w:semiHidden/>
    <w:unhideWhenUsed/>
    <w:qFormat/>
    <w:pPr>
      <w:spacing w:line="259" w:lineRule="auto"/>
      <w:outlineLvl w:val="3"/>
    </w:pPr>
    <w:rPr>
      <w:rFonts w:ascii="Sitka Heading" w:eastAsia="Sitka Heading" w:hAnsi="Sitka Heading" w:cs="Sitka Heading"/>
      <w:smallCaps/>
      <w:sz w:val="32"/>
      <w:szCs w:val="32"/>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40"/>
      <w:outlineLvl w:val="5"/>
    </w:pPr>
    <w:rPr>
      <w:rFonts w:ascii="Calibri" w:eastAsia="Calibri" w:hAnsi="Calibri" w:cs="Calibr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sz w:val="26"/>
      <w:szCs w:val="26"/>
    </w:rPr>
  </w:style>
  <w:style w:type="paragraph" w:styleId="Subtitle">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5E7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www.zotero.org/google-docs/?WkIdmZ"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8.jp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zotero.org/google-docs/?BXZoEk" TargetMode="External"/><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641</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Brandon Tober</cp:lastModifiedBy>
  <cp:revision>3</cp:revision>
  <dcterms:created xsi:type="dcterms:W3CDTF">2024-06-07T03:27:00Z</dcterms:created>
  <dcterms:modified xsi:type="dcterms:W3CDTF">2024-06-07T03:39:00Z</dcterms:modified>
</cp:coreProperties>
</file>