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3A02" w14:textId="07054B59" w:rsidR="004A6834" w:rsidRPr="007075E6" w:rsidRDefault="004A6834" w:rsidP="004A6834">
      <w:pPr>
        <w:spacing w:after="0" w:line="480" w:lineRule="auto"/>
        <w:contextualSpacing/>
        <w:jc w:val="center"/>
        <w:rPr>
          <w:rFonts w:ascii="Times New Roman" w:hAnsi="Times New Roman" w:cs="Times New Roman"/>
          <w:bCs/>
          <w:i/>
          <w:sz w:val="36"/>
          <w:szCs w:val="36"/>
        </w:rPr>
      </w:pPr>
      <w:r>
        <w:rPr>
          <w:rFonts w:ascii="Times New Roman" w:hAnsi="Times New Roman" w:cs="Times New Roman"/>
          <w:bCs/>
          <w:i/>
          <w:sz w:val="36"/>
          <w:szCs w:val="36"/>
        </w:rPr>
        <w:t>Online Appendix</w:t>
      </w:r>
    </w:p>
    <w:p w14:paraId="1AF82E49" w14:textId="0F08E35F" w:rsidR="00F93D34" w:rsidRPr="0049153A" w:rsidRDefault="004A6834" w:rsidP="004A6834">
      <w:pPr>
        <w:spacing w:after="0" w:line="480" w:lineRule="auto"/>
        <w:contextualSpacing/>
        <w:jc w:val="right"/>
        <w:rPr>
          <w:rFonts w:ascii="Times New Roman" w:hAnsi="Times New Roman" w:cs="Times New Roman"/>
          <w:bCs/>
          <w:sz w:val="24"/>
          <w:szCs w:val="24"/>
        </w:rPr>
      </w:pPr>
      <w:r w:rsidRPr="007075E6">
        <w:rPr>
          <w:rFonts w:ascii="Times New Roman" w:hAnsi="Times New Roman" w:cs="Times New Roman"/>
          <w:smallCaps/>
          <w:sz w:val="24"/>
          <w:szCs w:val="24"/>
        </w:rPr>
        <w:t xml:space="preserve">Matthew </w:t>
      </w:r>
      <w:proofErr w:type="spellStart"/>
      <w:r w:rsidRPr="007075E6">
        <w:rPr>
          <w:rFonts w:ascii="Times New Roman" w:hAnsi="Times New Roman" w:cs="Times New Roman"/>
          <w:smallCaps/>
          <w:sz w:val="24"/>
          <w:szCs w:val="24"/>
        </w:rPr>
        <w:t>Jaremski</w:t>
      </w:r>
      <w:proofErr w:type="spellEnd"/>
      <w:r w:rsidRPr="007075E6">
        <w:rPr>
          <w:rFonts w:ascii="Times New Roman" w:hAnsi="Times New Roman" w:cs="Times New Roman"/>
          <w:smallCaps/>
          <w:sz w:val="24"/>
          <w:szCs w:val="24"/>
        </w:rPr>
        <w:t xml:space="preserve"> and David C. Wheelock</w:t>
      </w:r>
    </w:p>
    <w:p w14:paraId="31738224" w14:textId="77777777" w:rsidR="004A6834" w:rsidRDefault="004A6834" w:rsidP="004A6834">
      <w:pPr>
        <w:spacing w:after="0" w:line="240" w:lineRule="auto"/>
        <w:ind w:firstLine="720"/>
        <w:contextualSpacing/>
        <w:rPr>
          <w:rFonts w:ascii="Times New Roman" w:hAnsi="Times New Roman" w:cs="Times New Roman"/>
          <w:sz w:val="24"/>
          <w:szCs w:val="24"/>
        </w:rPr>
      </w:pPr>
    </w:p>
    <w:p w14:paraId="46ED39AD" w14:textId="63077DD7" w:rsidR="004F6B28" w:rsidRDefault="00F93D34" w:rsidP="0049153A">
      <w:pPr>
        <w:spacing w:after="0" w:line="480" w:lineRule="auto"/>
        <w:ind w:firstLine="720"/>
        <w:contextualSpacing/>
        <w:rPr>
          <w:rFonts w:ascii="Times New Roman" w:hAnsi="Times New Roman" w:cs="Times New Roman"/>
          <w:i/>
          <w:iCs/>
          <w:sz w:val="24"/>
          <w:szCs w:val="24"/>
        </w:rPr>
      </w:pPr>
      <w:r w:rsidRPr="00D04107">
        <w:rPr>
          <w:rFonts w:ascii="Times New Roman" w:hAnsi="Times New Roman" w:cs="Times New Roman"/>
          <w:sz w:val="24"/>
          <w:szCs w:val="24"/>
        </w:rPr>
        <w:t xml:space="preserve">This appendix provides preliminary evidence on the real economic </w:t>
      </w:r>
      <w:r w:rsidR="002A39CB">
        <w:rPr>
          <w:rFonts w:ascii="Times New Roman" w:hAnsi="Times New Roman" w:cs="Times New Roman"/>
          <w:sz w:val="24"/>
          <w:szCs w:val="24"/>
        </w:rPr>
        <w:t>impact</w:t>
      </w:r>
      <w:r w:rsidR="002A39CB" w:rsidRPr="00D04107">
        <w:rPr>
          <w:rFonts w:ascii="Times New Roman" w:hAnsi="Times New Roman" w:cs="Times New Roman"/>
          <w:sz w:val="24"/>
          <w:szCs w:val="24"/>
        </w:rPr>
        <w:t xml:space="preserve"> </w:t>
      </w:r>
      <w:r w:rsidRPr="00D04107">
        <w:rPr>
          <w:rFonts w:ascii="Times New Roman" w:hAnsi="Times New Roman" w:cs="Times New Roman"/>
          <w:sz w:val="24"/>
          <w:szCs w:val="24"/>
        </w:rPr>
        <w:t xml:space="preserve">of the transmission of financial distress through the interbank network during the Panic of 1907. </w:t>
      </w:r>
    </w:p>
    <w:p w14:paraId="6E3A6FFA" w14:textId="74CD8DBC" w:rsidR="00F93D34" w:rsidRPr="00D04107" w:rsidRDefault="00F93D34" w:rsidP="0049153A">
      <w:pPr>
        <w:spacing w:after="0" w:line="480" w:lineRule="auto"/>
        <w:contextualSpacing/>
        <w:rPr>
          <w:rFonts w:ascii="Times New Roman" w:hAnsi="Times New Roman" w:cs="Times New Roman"/>
          <w:sz w:val="24"/>
          <w:szCs w:val="24"/>
        </w:rPr>
      </w:pPr>
      <w:r w:rsidRPr="00D04107">
        <w:rPr>
          <w:rFonts w:ascii="Times New Roman" w:hAnsi="Times New Roman" w:cs="Times New Roman"/>
          <w:sz w:val="24"/>
          <w:szCs w:val="24"/>
        </w:rPr>
        <w:tab/>
        <w:t>We first examine state-level commercial failures</w:t>
      </w:r>
      <w:r w:rsidR="00405911">
        <w:rPr>
          <w:rFonts w:ascii="Times New Roman" w:hAnsi="Times New Roman" w:cs="Times New Roman"/>
          <w:sz w:val="24"/>
          <w:szCs w:val="24"/>
        </w:rPr>
        <w:t xml:space="preserve"> published quarterly by</w:t>
      </w:r>
      <w:r w:rsidRPr="00D04107">
        <w:rPr>
          <w:rFonts w:ascii="Times New Roman" w:hAnsi="Times New Roman" w:cs="Times New Roman"/>
          <w:sz w:val="24"/>
          <w:szCs w:val="24"/>
        </w:rPr>
        <w:t xml:space="preserve"> </w:t>
      </w:r>
      <w:r w:rsidRPr="00D04107">
        <w:rPr>
          <w:rFonts w:ascii="Times New Roman" w:hAnsi="Times New Roman" w:cs="Times New Roman"/>
          <w:i/>
          <w:iCs/>
          <w:sz w:val="24"/>
          <w:szCs w:val="24"/>
        </w:rPr>
        <w:t>Dun’s Review</w:t>
      </w:r>
      <w:r w:rsidRPr="00D04107">
        <w:rPr>
          <w:rFonts w:ascii="Times New Roman" w:hAnsi="Times New Roman" w:cs="Times New Roman"/>
          <w:sz w:val="24"/>
          <w:szCs w:val="24"/>
        </w:rPr>
        <w:t>. We collected the</w:t>
      </w:r>
      <w:r>
        <w:rPr>
          <w:rFonts w:ascii="Times New Roman" w:hAnsi="Times New Roman" w:cs="Times New Roman"/>
          <w:sz w:val="24"/>
          <w:szCs w:val="24"/>
        </w:rPr>
        <w:t xml:space="preserve"> </w:t>
      </w:r>
      <w:r w:rsidRPr="00D04107">
        <w:rPr>
          <w:rFonts w:ascii="Times New Roman" w:hAnsi="Times New Roman" w:cs="Times New Roman"/>
          <w:sz w:val="24"/>
          <w:szCs w:val="24"/>
        </w:rPr>
        <w:t>information on non-bank failures for 1906 through 1909 to provide a view of failures before, during, and after the panic. To match the commercial failure data, we aggregate the number of banks in a state that had at least one correspondent in New York City</w:t>
      </w:r>
      <w:r w:rsidR="009D0526">
        <w:rPr>
          <w:rFonts w:ascii="Times New Roman" w:hAnsi="Times New Roman" w:cs="Times New Roman"/>
          <w:sz w:val="24"/>
          <w:szCs w:val="24"/>
        </w:rPr>
        <w:t xml:space="preserve"> to the state-level</w:t>
      </w:r>
      <w:r w:rsidRPr="00D04107">
        <w:rPr>
          <w:rFonts w:ascii="Times New Roman" w:hAnsi="Times New Roman" w:cs="Times New Roman"/>
          <w:sz w:val="24"/>
          <w:szCs w:val="24"/>
        </w:rPr>
        <w:t>. Moreover, we calculate the average distance of banks in the state from New York City to capture any distance effects. We estimate the following fixed-effects panel model:</w:t>
      </w:r>
    </w:p>
    <w:p w14:paraId="52E6BD5C" w14:textId="77777777" w:rsidR="00F93D34" w:rsidRPr="00D04107" w:rsidRDefault="005E293A" w:rsidP="009D56FF">
      <w:pPr>
        <w:spacing w:after="0" w:line="480" w:lineRule="auto"/>
        <w:contextualSpacing/>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Failures</m:t>
              </m:r>
            </m:e>
            <m:sub>
              <m:r>
                <w:rPr>
                  <w:rFonts w:ascii="Cambria Math" w:hAnsi="Cambria Math" w:cs="Times New Roman"/>
                  <w:sz w:val="24"/>
                  <w:szCs w:val="24"/>
                </w:rPr>
                <m:t>s,t</m:t>
              </m:r>
            </m:sub>
          </m:sSub>
          <m:r>
            <w:rPr>
              <w:rFonts w:ascii="Cambria Math" w:hAnsi="Cambria Math" w:cs="Times New Roman"/>
              <w:sz w:val="24"/>
              <w:szCs w:val="24"/>
            </w:rPr>
            <m:t>= a+</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r>
                <w:rPr>
                  <w:rFonts w:ascii="Cambria Math" w:hAnsi="Cambria Math" w:cs="Times New Roman"/>
                  <w:sz w:val="24"/>
                  <w:szCs w:val="24"/>
                </w:rPr>
                <m:t>%NYCCorr</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m:t>
                  </m:r>
                </m:sub>
              </m:sSub>
              <m:r>
                <w:rPr>
                  <w:rFonts w:ascii="Cambria Math" w:hAnsi="Cambria Math" w:cs="Times New Roman"/>
                  <w:sz w:val="24"/>
                  <w:szCs w:val="24"/>
                </w:rPr>
                <m:t>NYCDist</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s,t</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A1</m:t>
              </m:r>
            </m:e>
          </m:d>
        </m:oMath>
      </m:oMathPara>
    </w:p>
    <w:p w14:paraId="78FB4FDB" w14:textId="0CC36A13" w:rsidR="00F93D34" w:rsidRPr="00D04107" w:rsidRDefault="00F93D34" w:rsidP="009D56FF">
      <w:pPr>
        <w:spacing w:after="0" w:line="480" w:lineRule="auto"/>
        <w:contextualSpacing/>
        <w:rPr>
          <w:rFonts w:ascii="Times New Roman" w:hAnsi="Times New Roman" w:cs="Times New Roman"/>
          <w:sz w:val="24"/>
          <w:szCs w:val="24"/>
        </w:rPr>
      </w:pPr>
      <w:r w:rsidRPr="00D04107">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Failures</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D04107">
        <w:rPr>
          <w:rFonts w:ascii="Times New Roman" w:hAnsi="Times New Roman" w:cs="Times New Roman"/>
          <w:sz w:val="24"/>
          <w:szCs w:val="24"/>
        </w:rPr>
        <w:t xml:space="preserve">is either the logarithm of total commercial failures or the logarithm of the total liabilities of commercial failures in </w:t>
      </w:r>
      <w:proofErr w:type="spellStart"/>
      <w:r w:rsidRPr="00D04107">
        <w:rPr>
          <w:rFonts w:ascii="Times New Roman" w:hAnsi="Times New Roman" w:cs="Times New Roman"/>
          <w:sz w:val="24"/>
          <w:szCs w:val="24"/>
        </w:rPr>
        <w:t xml:space="preserve">state </w:t>
      </w:r>
      <w:r w:rsidRPr="00D04107">
        <w:rPr>
          <w:rFonts w:ascii="Times New Roman" w:hAnsi="Times New Roman" w:cs="Times New Roman"/>
          <w:i/>
          <w:iCs/>
          <w:sz w:val="24"/>
          <w:szCs w:val="24"/>
        </w:rPr>
        <w:t>s</w:t>
      </w:r>
      <w:proofErr w:type="spellEnd"/>
      <w:r w:rsidRPr="00D04107">
        <w:rPr>
          <w:rFonts w:ascii="Times New Roman" w:hAnsi="Times New Roman" w:cs="Times New Roman"/>
          <w:sz w:val="24"/>
          <w:szCs w:val="24"/>
        </w:rPr>
        <w:t xml:space="preserve"> in quarter </w:t>
      </w:r>
      <w:r w:rsidRPr="00D04107">
        <w:rPr>
          <w:rFonts w:ascii="Times New Roman" w:hAnsi="Times New Roman" w:cs="Times New Roman"/>
          <w:i/>
          <w:sz w:val="24"/>
          <w:szCs w:val="24"/>
        </w:rPr>
        <w:t>t</w:t>
      </w:r>
      <w:r w:rsidRPr="00D0410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%NYCCorr</m:t>
            </m:r>
          </m:e>
          <m:sub>
            <m:r>
              <w:rPr>
                <w:rFonts w:ascii="Cambria Math" w:hAnsi="Cambria Math" w:cs="Times New Roman"/>
                <w:sz w:val="24"/>
                <w:szCs w:val="24"/>
              </w:rPr>
              <m:t>s</m:t>
            </m:r>
          </m:sub>
        </m:sSub>
      </m:oMath>
      <w:r w:rsidRPr="00D04107">
        <w:rPr>
          <w:rFonts w:ascii="Times New Roman" w:eastAsiaTheme="minorEastAsia" w:hAnsi="Times New Roman" w:cs="Times New Roman"/>
          <w:sz w:val="24"/>
          <w:szCs w:val="24"/>
        </w:rPr>
        <w:t xml:space="preserve"> is the fraction of banks in </w:t>
      </w:r>
      <w:proofErr w:type="spellStart"/>
      <w:r w:rsidRPr="00D04107">
        <w:rPr>
          <w:rFonts w:ascii="Times New Roman" w:eastAsiaTheme="minorEastAsia" w:hAnsi="Times New Roman" w:cs="Times New Roman"/>
          <w:sz w:val="24"/>
          <w:szCs w:val="24"/>
        </w:rPr>
        <w:t xml:space="preserve">state </w:t>
      </w:r>
      <w:r w:rsidRPr="00D04107">
        <w:rPr>
          <w:rFonts w:ascii="Times New Roman" w:eastAsiaTheme="minorEastAsia" w:hAnsi="Times New Roman" w:cs="Times New Roman"/>
          <w:i/>
          <w:iCs/>
          <w:sz w:val="24"/>
          <w:szCs w:val="24"/>
        </w:rPr>
        <w:t>s</w:t>
      </w:r>
      <w:proofErr w:type="spellEnd"/>
      <w:r w:rsidRPr="00D04107">
        <w:rPr>
          <w:rFonts w:ascii="Times New Roman" w:eastAsiaTheme="minorEastAsia" w:hAnsi="Times New Roman" w:cs="Times New Roman"/>
          <w:sz w:val="24"/>
          <w:szCs w:val="24"/>
        </w:rPr>
        <w:t xml:space="preserve"> that had at least one correspondent in New York City in 1907; </w:t>
      </w:r>
      <m:oMath>
        <m:sSub>
          <m:sSubPr>
            <m:ctrlPr>
              <w:rPr>
                <w:rFonts w:ascii="Cambria Math" w:hAnsi="Cambria Math" w:cs="Times New Roman"/>
                <w:i/>
                <w:sz w:val="24"/>
                <w:szCs w:val="24"/>
              </w:rPr>
            </m:ctrlPr>
          </m:sSubPr>
          <m:e>
            <m:r>
              <w:rPr>
                <w:rFonts w:ascii="Cambria Math" w:hAnsi="Cambria Math" w:cs="Times New Roman"/>
                <w:sz w:val="24"/>
                <w:szCs w:val="24"/>
              </w:rPr>
              <m:t>NYCDist</m:t>
            </m:r>
          </m:e>
          <m:sub>
            <m:r>
              <w:rPr>
                <w:rFonts w:ascii="Cambria Math" w:hAnsi="Cambria Math" w:cs="Times New Roman"/>
                <w:sz w:val="24"/>
                <w:szCs w:val="24"/>
              </w:rPr>
              <m:t>s</m:t>
            </m:r>
          </m:sub>
        </m:sSub>
      </m:oMath>
      <w:r w:rsidRPr="00D04107">
        <w:rPr>
          <w:rFonts w:ascii="Times New Roman" w:eastAsiaTheme="minorEastAsia" w:hAnsi="Times New Roman" w:cs="Times New Roman"/>
          <w:sz w:val="24"/>
          <w:szCs w:val="24"/>
        </w:rPr>
        <w:t xml:space="preserve"> is the average distance of banks in </w:t>
      </w:r>
      <w:proofErr w:type="spellStart"/>
      <w:r w:rsidRPr="00D04107">
        <w:rPr>
          <w:rFonts w:ascii="Times New Roman" w:eastAsiaTheme="minorEastAsia" w:hAnsi="Times New Roman" w:cs="Times New Roman"/>
          <w:sz w:val="24"/>
          <w:szCs w:val="24"/>
        </w:rPr>
        <w:t xml:space="preserve">state </w:t>
      </w:r>
      <w:r w:rsidRPr="00D04107">
        <w:rPr>
          <w:rFonts w:ascii="Times New Roman" w:eastAsiaTheme="minorEastAsia" w:hAnsi="Times New Roman" w:cs="Times New Roman"/>
          <w:i/>
          <w:iCs/>
          <w:sz w:val="24"/>
          <w:szCs w:val="24"/>
        </w:rPr>
        <w:t>s</w:t>
      </w:r>
      <w:proofErr w:type="spellEnd"/>
      <w:r w:rsidRPr="00D04107">
        <w:rPr>
          <w:rFonts w:ascii="Times New Roman" w:eastAsiaTheme="minorEastAsia" w:hAnsi="Times New Roman" w:cs="Times New Roman"/>
          <w:sz w:val="24"/>
          <w:szCs w:val="24"/>
        </w:rPr>
        <w:t xml:space="preserve"> from New York City;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 xml:space="preserve"> </m:t>
        </m:r>
      </m:oMath>
      <w:r w:rsidRPr="00D04107">
        <w:rPr>
          <w:rFonts w:ascii="Times New Roman" w:eastAsiaTheme="minorEastAsia" w:hAnsi="Times New Roman" w:cs="Times New Roman"/>
          <w:sz w:val="24"/>
          <w:szCs w:val="24"/>
        </w:rPr>
        <w:t xml:space="preserve">is a vector of quarter fixed effects;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s</m:t>
            </m:r>
          </m:sub>
        </m:sSub>
      </m:oMath>
      <w:r w:rsidRPr="00D04107">
        <w:rPr>
          <w:rFonts w:ascii="Times New Roman" w:hAnsi="Times New Roman" w:cs="Times New Roman"/>
          <w:sz w:val="24"/>
          <w:szCs w:val="24"/>
        </w:rPr>
        <w:t xml:space="preserve"> is a vector of state fixed effects; 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D04107">
        <w:rPr>
          <w:rFonts w:ascii="Times New Roman" w:hAnsi="Times New Roman" w:cs="Times New Roman"/>
          <w:sz w:val="24"/>
          <w:szCs w:val="24"/>
        </w:rPr>
        <w:t xml:space="preserve">is the error term. </w:t>
      </w:r>
    </w:p>
    <w:p w14:paraId="5C3371CD" w14:textId="60CCBADF" w:rsidR="00F93D34" w:rsidRPr="00D04107" w:rsidRDefault="00F93D34" w:rsidP="009D56FF">
      <w:pPr>
        <w:spacing w:after="0" w:line="480" w:lineRule="auto"/>
        <w:contextualSpacing/>
        <w:rPr>
          <w:rFonts w:ascii="Times New Roman" w:hAnsi="Times New Roman" w:cs="Times New Roman"/>
          <w:sz w:val="24"/>
          <w:szCs w:val="24"/>
        </w:rPr>
      </w:pPr>
      <w:r w:rsidRPr="00D04107">
        <w:rPr>
          <w:rFonts w:ascii="Times New Roman" w:hAnsi="Times New Roman" w:cs="Times New Roman"/>
          <w:sz w:val="24"/>
          <w:szCs w:val="24"/>
        </w:rPr>
        <w:tab/>
        <w:t>Figure A1 reports the vector of coefficients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oMath>
      <w:r w:rsidRPr="00D04107">
        <w:rPr>
          <w:rFonts w:ascii="Times New Roman" w:eastAsiaTheme="minorEastAsia" w:hAnsi="Times New Roman" w:cs="Times New Roman"/>
          <w:sz w:val="24"/>
          <w:szCs w:val="24"/>
        </w:rPr>
        <w:t xml:space="preserve">) on the interaction between the fraction of banks connected to New York City and the quarter fixed effects. The data show that commercial failures </w:t>
      </w:r>
      <w:r w:rsidR="00405911">
        <w:rPr>
          <w:rFonts w:ascii="Times New Roman" w:eastAsiaTheme="minorEastAsia" w:hAnsi="Times New Roman" w:cs="Times New Roman"/>
          <w:sz w:val="24"/>
          <w:szCs w:val="24"/>
        </w:rPr>
        <w:t xml:space="preserve">in more highly connected states </w:t>
      </w:r>
      <w:r w:rsidRPr="00D04107">
        <w:rPr>
          <w:rFonts w:ascii="Times New Roman" w:eastAsiaTheme="minorEastAsia" w:hAnsi="Times New Roman" w:cs="Times New Roman"/>
          <w:sz w:val="24"/>
          <w:szCs w:val="24"/>
        </w:rPr>
        <w:t xml:space="preserve">rose both in number and liabilities during the Panic of 1907 and into 1908. </w:t>
      </w:r>
      <w:r w:rsidR="00405911">
        <w:rPr>
          <w:rFonts w:ascii="Times New Roman" w:eastAsiaTheme="minorEastAsia" w:hAnsi="Times New Roman" w:cs="Times New Roman"/>
          <w:sz w:val="24"/>
          <w:szCs w:val="24"/>
        </w:rPr>
        <w:t xml:space="preserve">The </w:t>
      </w:r>
      <w:r w:rsidRPr="00D04107">
        <w:rPr>
          <w:rFonts w:ascii="Times New Roman" w:eastAsiaTheme="minorEastAsia" w:hAnsi="Times New Roman" w:cs="Times New Roman"/>
          <w:sz w:val="24"/>
          <w:szCs w:val="24"/>
        </w:rPr>
        <w:t xml:space="preserve">coefficients on </w:t>
      </w:r>
      <m:oMath>
        <m:sSub>
          <m:sSubPr>
            <m:ctrlPr>
              <w:rPr>
                <w:rFonts w:ascii="Cambria Math" w:hAnsi="Cambria Math" w:cs="Times New Roman"/>
                <w:i/>
                <w:sz w:val="24"/>
                <w:szCs w:val="24"/>
              </w:rPr>
            </m:ctrlPr>
          </m:sSubPr>
          <m:e>
            <m:r>
              <w:rPr>
                <w:rFonts w:ascii="Cambria Math" w:hAnsi="Cambria Math" w:cs="Times New Roman"/>
                <w:sz w:val="24"/>
                <w:szCs w:val="24"/>
              </w:rPr>
              <m:t>%NYCCorr</m:t>
            </m:r>
          </m:e>
          <m:sub>
            <m:r>
              <w:rPr>
                <w:rFonts w:ascii="Cambria Math" w:hAnsi="Cambria Math" w:cs="Times New Roman"/>
                <w:sz w:val="24"/>
                <w:szCs w:val="24"/>
              </w:rPr>
              <m:t>s</m:t>
            </m:r>
          </m:sub>
        </m:sSub>
      </m:oMath>
      <w:r w:rsidRPr="00D04107">
        <w:rPr>
          <w:rFonts w:ascii="Times New Roman" w:eastAsiaTheme="minorEastAsia" w:hAnsi="Times New Roman" w:cs="Times New Roman"/>
          <w:sz w:val="24"/>
          <w:szCs w:val="24"/>
        </w:rPr>
        <w:t xml:space="preserve"> fall short of statistical significance at the 10 percent level for the number of commercial failures, </w:t>
      </w:r>
      <w:r w:rsidR="00405911">
        <w:rPr>
          <w:rFonts w:ascii="Times New Roman" w:eastAsiaTheme="minorEastAsia" w:hAnsi="Times New Roman" w:cs="Times New Roman"/>
          <w:sz w:val="24"/>
          <w:szCs w:val="24"/>
        </w:rPr>
        <w:t>but are</w:t>
      </w:r>
      <w:r w:rsidRPr="00D04107">
        <w:rPr>
          <w:rFonts w:ascii="Times New Roman" w:eastAsiaTheme="minorEastAsia" w:hAnsi="Times New Roman" w:cs="Times New Roman"/>
          <w:sz w:val="24"/>
          <w:szCs w:val="24"/>
        </w:rPr>
        <w:t xml:space="preserve"> positive and </w:t>
      </w:r>
      <w:r w:rsidR="00405911">
        <w:rPr>
          <w:rFonts w:ascii="Times New Roman" w:eastAsiaTheme="minorEastAsia" w:hAnsi="Times New Roman" w:cs="Times New Roman"/>
          <w:sz w:val="24"/>
          <w:szCs w:val="24"/>
        </w:rPr>
        <w:t xml:space="preserve">statistically </w:t>
      </w:r>
      <w:r w:rsidRPr="00D04107">
        <w:rPr>
          <w:rFonts w:ascii="Times New Roman" w:eastAsiaTheme="minorEastAsia" w:hAnsi="Times New Roman" w:cs="Times New Roman"/>
          <w:sz w:val="24"/>
          <w:szCs w:val="24"/>
        </w:rPr>
        <w:t xml:space="preserve">for the fourth quarter of 1907 as well as for the first, second, and fourth quarters of 1908 for the failure liabilities. </w:t>
      </w:r>
      <w:r w:rsidR="009D0526">
        <w:rPr>
          <w:rFonts w:ascii="Times New Roman" w:eastAsiaTheme="minorEastAsia" w:hAnsi="Times New Roman" w:cs="Times New Roman"/>
          <w:sz w:val="24"/>
          <w:szCs w:val="24"/>
        </w:rPr>
        <w:t>The result that</w:t>
      </w:r>
      <w:r w:rsidRPr="00D04107">
        <w:rPr>
          <w:rFonts w:ascii="Times New Roman" w:eastAsiaTheme="minorEastAsia" w:hAnsi="Times New Roman" w:cs="Times New Roman"/>
          <w:sz w:val="24"/>
          <w:szCs w:val="24"/>
        </w:rPr>
        <w:t xml:space="preserve"> bank connections to New York City boosted commercial failures </w:t>
      </w:r>
      <w:r w:rsidRPr="00D04107">
        <w:rPr>
          <w:rFonts w:ascii="Times New Roman" w:eastAsiaTheme="minorEastAsia" w:hAnsi="Times New Roman" w:cs="Times New Roman"/>
          <w:sz w:val="24"/>
          <w:szCs w:val="24"/>
        </w:rPr>
        <w:lastRenderedPageBreak/>
        <w:t>during the panic and subsequent recession</w:t>
      </w:r>
      <w:r w:rsidR="009D0526">
        <w:rPr>
          <w:rFonts w:ascii="Times New Roman" w:eastAsiaTheme="minorEastAsia" w:hAnsi="Times New Roman" w:cs="Times New Roman"/>
          <w:sz w:val="24"/>
          <w:szCs w:val="24"/>
        </w:rPr>
        <w:t xml:space="preserve"> is</w:t>
      </w:r>
      <w:r w:rsidRPr="00D04107">
        <w:rPr>
          <w:rFonts w:ascii="Times New Roman" w:eastAsiaTheme="minorEastAsia" w:hAnsi="Times New Roman" w:cs="Times New Roman"/>
          <w:sz w:val="24"/>
          <w:szCs w:val="24"/>
        </w:rPr>
        <w:t xml:space="preserve"> consistent with transmission of the panic to real economic activity. However, the state-level data are lacking in some ways. Most importantly, because commercial failures are aggregated at the state level, we are unable to test whether</w:t>
      </w:r>
      <w:r w:rsidRPr="00D04107">
        <w:rPr>
          <w:rFonts w:ascii="Times New Roman" w:hAnsi="Times New Roman" w:cs="Times New Roman"/>
          <w:sz w:val="24"/>
          <w:szCs w:val="24"/>
        </w:rPr>
        <w:t xml:space="preserve"> the locations of commercial failures coincided with the locations of banks with New York City connections. </w:t>
      </w:r>
    </w:p>
    <w:p w14:paraId="2437DA63" w14:textId="4DB94FA3" w:rsidR="00F93D34" w:rsidRPr="00D04107" w:rsidRDefault="00F93D34" w:rsidP="009D56FF">
      <w:pPr>
        <w:spacing w:after="0" w:line="480" w:lineRule="auto"/>
        <w:contextualSpacing/>
        <w:rPr>
          <w:rFonts w:ascii="Times New Roman" w:hAnsi="Times New Roman" w:cs="Times New Roman"/>
          <w:sz w:val="24"/>
          <w:szCs w:val="24"/>
        </w:rPr>
      </w:pPr>
      <w:r w:rsidRPr="00D04107">
        <w:rPr>
          <w:rFonts w:ascii="Times New Roman" w:hAnsi="Times New Roman" w:cs="Times New Roman"/>
          <w:i/>
          <w:iCs/>
          <w:sz w:val="24"/>
          <w:szCs w:val="24"/>
        </w:rPr>
        <w:tab/>
      </w:r>
      <w:r w:rsidRPr="00D04107">
        <w:rPr>
          <w:rFonts w:ascii="Times New Roman" w:hAnsi="Times New Roman" w:cs="Times New Roman"/>
          <w:sz w:val="24"/>
          <w:szCs w:val="24"/>
        </w:rPr>
        <w:t>Stock market data provide another potential measure of real economic activity as prices reflect market conditions and expected profits and dividends of firms. We obtained monthly observations on stock price indices that exclude banks for eight U.S. cities (other than New York City) from Global Financial Data. The sample is reduced to seven cities because data for Los Angeles</w:t>
      </w:r>
      <w:r w:rsidR="00405911">
        <w:rPr>
          <w:rFonts w:ascii="Times New Roman" w:hAnsi="Times New Roman" w:cs="Times New Roman"/>
          <w:sz w:val="24"/>
          <w:szCs w:val="24"/>
        </w:rPr>
        <w:t xml:space="preserve"> are</w:t>
      </w:r>
      <w:r w:rsidRPr="00D04107">
        <w:rPr>
          <w:rFonts w:ascii="Times New Roman" w:hAnsi="Times New Roman" w:cs="Times New Roman"/>
          <w:sz w:val="24"/>
          <w:szCs w:val="24"/>
        </w:rPr>
        <w:t xml:space="preserve"> missing for January 1908. With so few cross-sectional observations, we use a </w:t>
      </w:r>
      <w:r w:rsidR="00405911">
        <w:rPr>
          <w:rFonts w:ascii="Times New Roman" w:hAnsi="Times New Roman" w:cs="Times New Roman"/>
          <w:sz w:val="24"/>
          <w:szCs w:val="24"/>
        </w:rPr>
        <w:t xml:space="preserve">mean </w:t>
      </w:r>
      <w:r w:rsidRPr="00D04107">
        <w:rPr>
          <w:rFonts w:ascii="Times New Roman" w:hAnsi="Times New Roman" w:cs="Times New Roman"/>
          <w:sz w:val="24"/>
          <w:szCs w:val="24"/>
        </w:rPr>
        <w:t xml:space="preserve">comparison </w:t>
      </w:r>
      <w:r w:rsidR="00405911">
        <w:rPr>
          <w:rFonts w:ascii="Times New Roman" w:hAnsi="Times New Roman" w:cs="Times New Roman"/>
          <w:sz w:val="24"/>
          <w:szCs w:val="24"/>
        </w:rPr>
        <w:t>of</w:t>
      </w:r>
      <w:r w:rsidRPr="00D04107">
        <w:rPr>
          <w:rFonts w:ascii="Times New Roman" w:hAnsi="Times New Roman" w:cs="Times New Roman"/>
          <w:sz w:val="24"/>
          <w:szCs w:val="24"/>
        </w:rPr>
        <w:t xml:space="preserve"> the performance of non-bank stock market indices in cities with the highest concentrations of interbank connections to New York City with those with</w:t>
      </w:r>
      <w:r w:rsidR="00405911">
        <w:rPr>
          <w:rFonts w:ascii="Times New Roman" w:hAnsi="Times New Roman" w:cs="Times New Roman"/>
          <w:sz w:val="24"/>
          <w:szCs w:val="24"/>
        </w:rPr>
        <w:t xml:space="preserve"> the</w:t>
      </w:r>
      <w:r w:rsidRPr="00D04107">
        <w:rPr>
          <w:rFonts w:ascii="Times New Roman" w:hAnsi="Times New Roman" w:cs="Times New Roman"/>
          <w:sz w:val="24"/>
          <w:szCs w:val="24"/>
        </w:rPr>
        <w:t xml:space="preserve"> lowe</w:t>
      </w:r>
      <w:r w:rsidR="00405911">
        <w:rPr>
          <w:rFonts w:ascii="Times New Roman" w:hAnsi="Times New Roman" w:cs="Times New Roman"/>
          <w:sz w:val="24"/>
          <w:szCs w:val="24"/>
        </w:rPr>
        <w:t>st</w:t>
      </w:r>
      <w:r w:rsidRPr="00D04107">
        <w:rPr>
          <w:rFonts w:ascii="Times New Roman" w:hAnsi="Times New Roman" w:cs="Times New Roman"/>
          <w:sz w:val="24"/>
          <w:szCs w:val="24"/>
        </w:rPr>
        <w:t xml:space="preserve">. </w:t>
      </w:r>
    </w:p>
    <w:p w14:paraId="5C51EEF2" w14:textId="12915DB8" w:rsidR="00F93D34" w:rsidRDefault="00F93D34" w:rsidP="0049153A">
      <w:pPr>
        <w:spacing w:after="0" w:line="480" w:lineRule="auto"/>
        <w:ind w:firstLine="720"/>
        <w:contextualSpacing/>
        <w:rPr>
          <w:rFonts w:ascii="Times New Roman" w:hAnsi="Times New Roman" w:cs="Times New Roman"/>
          <w:sz w:val="24"/>
          <w:szCs w:val="24"/>
        </w:rPr>
      </w:pPr>
      <w:r w:rsidRPr="00D04107">
        <w:rPr>
          <w:rFonts w:ascii="Times New Roman" w:hAnsi="Times New Roman" w:cs="Times New Roman"/>
          <w:sz w:val="24"/>
          <w:szCs w:val="24"/>
        </w:rPr>
        <w:t xml:space="preserve">First, we identified the three most highly connected cities (Boston, Cleveland, and Philadelphia) and the four least connected cities (Baltimore, Chicago, San Francisco, and St Louis) based on a natural breakpoint in the distribution. Second, we calculated the average level of stock market indices for each group in each month. Finally, we took the difference in averages between the two groups in each month and normalized </w:t>
      </w:r>
      <w:r w:rsidR="00405911">
        <w:rPr>
          <w:rFonts w:ascii="Times New Roman" w:hAnsi="Times New Roman" w:cs="Times New Roman"/>
          <w:sz w:val="24"/>
          <w:szCs w:val="24"/>
        </w:rPr>
        <w:t>it</w:t>
      </w:r>
      <w:r w:rsidRPr="00D04107">
        <w:rPr>
          <w:rFonts w:ascii="Times New Roman" w:hAnsi="Times New Roman" w:cs="Times New Roman"/>
          <w:sz w:val="24"/>
          <w:szCs w:val="24"/>
        </w:rPr>
        <w:t xml:space="preserve"> to zero in September 1907. Figure A2 provides the resulting normalized mean differences by month. The data show that the difference between the two averages is negative during the panic months (October-December 1907), implying that the stock market indices of the cities with more New York City connectivity underperformed in those months. However, the difference is positive in all other months, indicating that the indices of the most connected cities typically outperformed.  As with our findings for commercial failures, we caution against making causal interpretation because the stock market indices are highly selected and only available for a few large cities. </w:t>
      </w:r>
    </w:p>
    <w:p w14:paraId="6DC51DA1" w14:textId="77777777" w:rsidR="0069618E" w:rsidRPr="00D04107" w:rsidRDefault="0069618E" w:rsidP="0049153A">
      <w:pPr>
        <w:spacing w:after="0" w:line="480" w:lineRule="auto"/>
        <w:ind w:firstLine="720"/>
        <w:contextualSpacing/>
        <w:rPr>
          <w:rFonts w:ascii="Times New Roman" w:hAnsi="Times New Roman" w:cs="Times New Roman"/>
          <w:sz w:val="24"/>
          <w:szCs w:val="24"/>
        </w:rPr>
      </w:pPr>
      <w:bookmarkStart w:id="0" w:name="_GoBack"/>
      <w:bookmarkEnd w:id="0"/>
    </w:p>
    <w:p w14:paraId="53530E06" w14:textId="77777777" w:rsidR="00F93D34" w:rsidRPr="0049153A" w:rsidRDefault="00F93D34" w:rsidP="009D56FF">
      <w:pPr>
        <w:spacing w:after="0" w:line="240" w:lineRule="auto"/>
        <w:contextualSpacing/>
        <w:jc w:val="center"/>
        <w:rPr>
          <w:rFonts w:ascii="Times New Roman" w:hAnsi="Times New Roman" w:cs="Times New Roman"/>
          <w:bCs/>
        </w:rPr>
      </w:pPr>
      <w:r w:rsidRPr="0049153A">
        <w:rPr>
          <w:rFonts w:ascii="Times New Roman" w:hAnsi="Times New Roman" w:cs="Times New Roman"/>
          <w:bCs/>
        </w:rPr>
        <w:t>Figure A1: Effect of Interbank Connections to New York City on State Commercial Failures</w:t>
      </w:r>
    </w:p>
    <w:p w14:paraId="344DD92B" w14:textId="77777777" w:rsidR="00F93D34" w:rsidRPr="0049153A" w:rsidRDefault="00F93D34" w:rsidP="009D56FF">
      <w:pPr>
        <w:spacing w:after="0" w:line="240" w:lineRule="auto"/>
        <w:contextualSpacing/>
        <w:jc w:val="center"/>
        <w:rPr>
          <w:rFonts w:ascii="Times New Roman" w:hAnsi="Times New Roman" w:cs="Times New Roman"/>
          <w:bCs/>
        </w:rPr>
      </w:pPr>
      <w:r w:rsidRPr="0049153A">
        <w:rPr>
          <w:rFonts w:ascii="Times New Roman" w:hAnsi="Times New Roman" w:cs="Times New Roman"/>
          <w:bCs/>
        </w:rPr>
        <w:t xml:space="preserve">Panel A: </w:t>
      </w:r>
      <w:r w:rsidRPr="0049153A">
        <w:rPr>
          <w:rFonts w:ascii="Times New Roman" w:hAnsi="Times New Roman" w:cs="Times New Roman"/>
          <w:bCs/>
          <w:i/>
          <w:iCs/>
        </w:rPr>
        <w:t>ln</w:t>
      </w:r>
      <w:r w:rsidRPr="0049153A">
        <w:rPr>
          <w:rFonts w:ascii="Times New Roman" w:hAnsi="Times New Roman" w:cs="Times New Roman"/>
          <w:bCs/>
        </w:rPr>
        <w:t>(Number of Commercial Failures)</w:t>
      </w:r>
    </w:p>
    <w:p w14:paraId="29910A0F" w14:textId="77777777" w:rsidR="00F93D34" w:rsidRDefault="00F93D34" w:rsidP="009D56FF">
      <w:pPr>
        <w:spacing w:after="0" w:line="240" w:lineRule="auto"/>
        <w:contextualSpacing/>
        <w:rPr>
          <w:rFonts w:ascii="Times New Roman" w:hAnsi="Times New Roman" w:cs="Times New Roman"/>
        </w:rPr>
      </w:pPr>
      <w:r>
        <w:rPr>
          <w:noProof/>
        </w:rPr>
        <w:drawing>
          <wp:inline distT="0" distB="0" distL="0" distR="0" wp14:anchorId="24395916" wp14:editId="471B6C25">
            <wp:extent cx="5600700" cy="2828926"/>
            <wp:effectExtent l="0" t="0" r="19050" b="9525"/>
            <wp:docPr id="5" name="Chart 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3BA735" w14:textId="77777777" w:rsidR="00F93D34" w:rsidRPr="0049153A" w:rsidRDefault="00F93D34" w:rsidP="009D56FF">
      <w:pPr>
        <w:spacing w:after="0" w:line="240" w:lineRule="auto"/>
        <w:contextualSpacing/>
        <w:jc w:val="center"/>
        <w:rPr>
          <w:rFonts w:ascii="Times New Roman" w:hAnsi="Times New Roman" w:cs="Times New Roman"/>
          <w:bCs/>
        </w:rPr>
      </w:pPr>
      <w:r w:rsidRPr="0049153A">
        <w:rPr>
          <w:rFonts w:ascii="Times New Roman" w:hAnsi="Times New Roman" w:cs="Times New Roman"/>
          <w:bCs/>
        </w:rPr>
        <w:t xml:space="preserve">Panel B: </w:t>
      </w:r>
      <w:r w:rsidRPr="0049153A">
        <w:rPr>
          <w:rFonts w:ascii="Times New Roman" w:hAnsi="Times New Roman" w:cs="Times New Roman"/>
          <w:bCs/>
          <w:i/>
          <w:iCs/>
        </w:rPr>
        <w:t>ln</w:t>
      </w:r>
      <w:r w:rsidRPr="0049153A">
        <w:rPr>
          <w:rFonts w:ascii="Times New Roman" w:hAnsi="Times New Roman" w:cs="Times New Roman"/>
          <w:bCs/>
        </w:rPr>
        <w:t>(Liabilities of Commercial Failures)</w:t>
      </w:r>
    </w:p>
    <w:p w14:paraId="578A7A36" w14:textId="77777777" w:rsidR="00F93D34" w:rsidRDefault="00F93D34" w:rsidP="009D56FF">
      <w:pPr>
        <w:spacing w:after="0" w:line="240" w:lineRule="auto"/>
        <w:contextualSpacing/>
        <w:rPr>
          <w:rFonts w:ascii="Times New Roman" w:hAnsi="Times New Roman" w:cs="Times New Roman"/>
        </w:rPr>
      </w:pPr>
      <w:r>
        <w:rPr>
          <w:noProof/>
        </w:rPr>
        <w:drawing>
          <wp:inline distT="0" distB="0" distL="0" distR="0" wp14:anchorId="0210B3E7" wp14:editId="55D268A7">
            <wp:extent cx="5619750" cy="2809875"/>
            <wp:effectExtent l="0" t="0" r="19050" b="9525"/>
            <wp:docPr id="6" name="Chart 6">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7F6146" w14:textId="6B296FCC" w:rsidR="00F93D34" w:rsidRPr="00DD53EF" w:rsidRDefault="00F93D34" w:rsidP="009D56FF">
      <w:pPr>
        <w:spacing w:after="0" w:line="240" w:lineRule="auto"/>
        <w:contextualSpacing/>
        <w:rPr>
          <w:rFonts w:ascii="Times New Roman" w:eastAsiaTheme="minorEastAsia" w:hAnsi="Times New Roman" w:cs="Times New Roman"/>
          <w:sz w:val="20"/>
          <w:szCs w:val="20"/>
        </w:rPr>
      </w:pPr>
      <w:r w:rsidRPr="00DD53EF">
        <w:rPr>
          <w:rFonts w:ascii="Times New Roman" w:hAnsi="Times New Roman" w:cs="Times New Roman"/>
          <w:sz w:val="20"/>
          <w:szCs w:val="20"/>
        </w:rPr>
        <w:t>Notes: The figures report the vector of coefficients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t</m:t>
            </m:r>
          </m:sub>
        </m:sSub>
      </m:oMath>
      <w:r w:rsidRPr="00DD53EF">
        <w:rPr>
          <w:rFonts w:ascii="Times New Roman" w:eastAsiaTheme="minorEastAsia" w:hAnsi="Times New Roman" w:cs="Times New Roman"/>
          <w:sz w:val="20"/>
          <w:szCs w:val="20"/>
        </w:rPr>
        <w:t>) on the interaction between the fraction of banks connected to New York City and the quarter fixed effects in equation (A1).</w:t>
      </w:r>
    </w:p>
    <w:p w14:paraId="0FC3BDB5" w14:textId="77777777" w:rsidR="00F93D34" w:rsidRPr="00DD53EF" w:rsidRDefault="00F93D34" w:rsidP="009D56FF">
      <w:pPr>
        <w:spacing w:after="0"/>
        <w:contextualSpacing/>
        <w:rPr>
          <w:rFonts w:ascii="Times New Roman" w:eastAsiaTheme="minorEastAsia" w:hAnsi="Times New Roman" w:cs="Times New Roman"/>
          <w:sz w:val="20"/>
          <w:szCs w:val="20"/>
        </w:rPr>
      </w:pPr>
      <w:r w:rsidRPr="00DD53EF">
        <w:rPr>
          <w:rFonts w:ascii="Times New Roman" w:eastAsiaTheme="minorEastAsia" w:hAnsi="Times New Roman" w:cs="Times New Roman"/>
          <w:sz w:val="20"/>
          <w:szCs w:val="20"/>
        </w:rPr>
        <w:br w:type="page"/>
      </w:r>
    </w:p>
    <w:p w14:paraId="63518538" w14:textId="77777777" w:rsidR="00F93D34" w:rsidRPr="0049153A" w:rsidRDefault="00F93D34" w:rsidP="009D56FF">
      <w:pPr>
        <w:spacing w:after="0" w:line="240" w:lineRule="auto"/>
        <w:contextualSpacing/>
        <w:jc w:val="center"/>
        <w:rPr>
          <w:rFonts w:ascii="Times New Roman" w:hAnsi="Times New Roman" w:cs="Times New Roman"/>
          <w:bCs/>
        </w:rPr>
      </w:pPr>
      <w:r w:rsidRPr="0049153A">
        <w:rPr>
          <w:rFonts w:ascii="Times New Roman" w:hAnsi="Times New Roman" w:cs="Times New Roman"/>
          <w:bCs/>
        </w:rPr>
        <w:lastRenderedPageBreak/>
        <w:t>Figure A2: Effect of Interbank Connections to New York City on Regional Stock Prices</w:t>
      </w:r>
    </w:p>
    <w:p w14:paraId="4970A596" w14:textId="77777777" w:rsidR="00F93D34" w:rsidRDefault="00F93D34" w:rsidP="009D56FF">
      <w:pPr>
        <w:spacing w:after="0" w:line="240" w:lineRule="auto"/>
        <w:contextualSpacing/>
        <w:jc w:val="center"/>
        <w:rPr>
          <w:rFonts w:ascii="Times New Roman" w:hAnsi="Times New Roman" w:cs="Times New Roman"/>
          <w:b/>
        </w:rPr>
      </w:pPr>
      <w:r>
        <w:rPr>
          <w:noProof/>
        </w:rPr>
        <w:drawing>
          <wp:inline distT="0" distB="0" distL="0" distR="0" wp14:anchorId="0405B04E" wp14:editId="69495E73">
            <wp:extent cx="5749018" cy="3857624"/>
            <wp:effectExtent l="0" t="0" r="4445" b="10160"/>
            <wp:docPr id="1723738731"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8D4915" w14:textId="2FB2CF36" w:rsidR="00F93D34" w:rsidRPr="00DD53EF" w:rsidRDefault="00F93D34" w:rsidP="009D56FF">
      <w:pPr>
        <w:spacing w:after="0" w:line="240" w:lineRule="auto"/>
        <w:contextualSpacing/>
        <w:rPr>
          <w:rFonts w:ascii="Times New Roman" w:hAnsi="Times New Roman" w:cs="Times New Roman"/>
          <w:sz w:val="20"/>
          <w:szCs w:val="20"/>
        </w:rPr>
      </w:pPr>
      <w:r w:rsidRPr="00DD53EF">
        <w:rPr>
          <w:rFonts w:ascii="Times New Roman" w:hAnsi="Times New Roman" w:cs="Times New Roman"/>
          <w:sz w:val="20"/>
          <w:szCs w:val="20"/>
        </w:rPr>
        <w:t xml:space="preserve">Notes: </w:t>
      </w:r>
      <w:r w:rsidR="0006208C">
        <w:rPr>
          <w:rFonts w:ascii="Times New Roman" w:hAnsi="Times New Roman" w:cs="Times New Roman"/>
          <w:sz w:val="20"/>
          <w:szCs w:val="20"/>
        </w:rPr>
        <w:t>The f</w:t>
      </w:r>
      <w:r w:rsidRPr="00DD53EF">
        <w:rPr>
          <w:rFonts w:ascii="Times New Roman" w:hAnsi="Times New Roman" w:cs="Times New Roman"/>
          <w:sz w:val="20"/>
          <w:szCs w:val="20"/>
        </w:rPr>
        <w:t>igure presents the mean differences between the non-bank stock market indices of cities with a high concentration of connections to New York City and that of cities with a relatively low concentration. The difference is normalized to zero in September 1907.</w:t>
      </w:r>
    </w:p>
    <w:p w14:paraId="6DD91446" w14:textId="77777777" w:rsidR="00001F9B" w:rsidRPr="00BE1286" w:rsidRDefault="00001F9B" w:rsidP="009D56FF">
      <w:pPr>
        <w:spacing w:after="0"/>
        <w:ind w:left="720" w:hanging="720"/>
        <w:contextualSpacing/>
        <w:jc w:val="center"/>
        <w:rPr>
          <w:rFonts w:ascii="Times New Roman" w:hAnsi="Times New Roman" w:cs="Times New Roman"/>
          <w:sz w:val="24"/>
          <w:szCs w:val="24"/>
        </w:rPr>
      </w:pPr>
    </w:p>
    <w:sectPr w:rsidR="00001F9B" w:rsidRPr="00BE1286" w:rsidSect="006961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40FA4" w14:textId="77777777" w:rsidR="005E293A" w:rsidRDefault="005E293A" w:rsidP="00D502E1">
      <w:pPr>
        <w:spacing w:after="0" w:line="240" w:lineRule="auto"/>
      </w:pPr>
      <w:r>
        <w:separator/>
      </w:r>
    </w:p>
  </w:endnote>
  <w:endnote w:type="continuationSeparator" w:id="0">
    <w:p w14:paraId="2DE2DD88" w14:textId="77777777" w:rsidR="005E293A" w:rsidRDefault="005E293A" w:rsidP="00D5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6E5B" w14:textId="77777777" w:rsidR="00C404E1" w:rsidRDefault="00C40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9853" w14:textId="77777777" w:rsidR="00C404E1" w:rsidRDefault="00C40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988C" w14:textId="77777777" w:rsidR="00C404E1" w:rsidRDefault="00C4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046D" w14:textId="77777777" w:rsidR="005E293A" w:rsidRDefault="005E293A" w:rsidP="00D502E1">
      <w:pPr>
        <w:spacing w:after="0" w:line="240" w:lineRule="auto"/>
      </w:pPr>
      <w:r>
        <w:separator/>
      </w:r>
    </w:p>
  </w:footnote>
  <w:footnote w:type="continuationSeparator" w:id="0">
    <w:p w14:paraId="2AC92555" w14:textId="77777777" w:rsidR="005E293A" w:rsidRDefault="005E293A" w:rsidP="00D5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710932"/>
      <w:docPartObj>
        <w:docPartGallery w:val="Page Numbers (Top of Page)"/>
        <w:docPartUnique/>
      </w:docPartObj>
    </w:sdtPr>
    <w:sdtEndPr>
      <w:rPr>
        <w:rStyle w:val="PageNumber"/>
      </w:rPr>
    </w:sdtEndPr>
    <w:sdtContent>
      <w:p w14:paraId="545E053E" w14:textId="21E63595" w:rsidR="00227F58" w:rsidRDefault="00227F58" w:rsidP="002A35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98DCA" w14:textId="77777777" w:rsidR="00C404E1" w:rsidRDefault="00C404E1" w:rsidP="00227F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016973"/>
      <w:docPartObj>
        <w:docPartGallery w:val="Page Numbers (Top of Page)"/>
        <w:docPartUnique/>
      </w:docPartObj>
    </w:sdtPr>
    <w:sdtEndPr>
      <w:rPr>
        <w:rStyle w:val="PageNumber"/>
      </w:rPr>
    </w:sdtEndPr>
    <w:sdtContent>
      <w:p w14:paraId="05D9738A" w14:textId="29166349" w:rsidR="00227F58" w:rsidRDefault="00227F58" w:rsidP="002A35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969D13" w14:textId="1906D907" w:rsidR="00C404E1" w:rsidRPr="004B6B05" w:rsidRDefault="00C404E1" w:rsidP="00227F58">
    <w:pPr>
      <w:pStyle w:val="Header"/>
      <w:ind w:right="360"/>
      <w:jc w:val="right"/>
      <w:rPr>
        <w:rFonts w:ascii="Times New Roman" w:hAnsi="Times New Roman" w:cs="Times New Roman"/>
      </w:rPr>
    </w:pPr>
  </w:p>
  <w:p w14:paraId="37D79F99" w14:textId="77777777" w:rsidR="00C404E1" w:rsidRDefault="00C40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5444" w14:textId="77777777" w:rsidR="00C404E1" w:rsidRDefault="00C4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CA3"/>
    <w:multiLevelType w:val="hybridMultilevel"/>
    <w:tmpl w:val="E6B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30ACC"/>
    <w:multiLevelType w:val="hybridMultilevel"/>
    <w:tmpl w:val="D574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B7C2D"/>
    <w:multiLevelType w:val="hybridMultilevel"/>
    <w:tmpl w:val="23C0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5EE"/>
    <w:multiLevelType w:val="hybridMultilevel"/>
    <w:tmpl w:val="612E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1"/>
    <w:rsid w:val="00001F9B"/>
    <w:rsid w:val="00002313"/>
    <w:rsid w:val="0000376C"/>
    <w:rsid w:val="0000634D"/>
    <w:rsid w:val="00007AC7"/>
    <w:rsid w:val="00007C44"/>
    <w:rsid w:val="0001030D"/>
    <w:rsid w:val="000138E8"/>
    <w:rsid w:val="00013E5D"/>
    <w:rsid w:val="000215AF"/>
    <w:rsid w:val="0002162A"/>
    <w:rsid w:val="00024C5D"/>
    <w:rsid w:val="00025F12"/>
    <w:rsid w:val="000272E1"/>
    <w:rsid w:val="000321FD"/>
    <w:rsid w:val="0003643E"/>
    <w:rsid w:val="00036452"/>
    <w:rsid w:val="00036834"/>
    <w:rsid w:val="00036E11"/>
    <w:rsid w:val="000374F3"/>
    <w:rsid w:val="00037BF5"/>
    <w:rsid w:val="000412EA"/>
    <w:rsid w:val="00043CE6"/>
    <w:rsid w:val="00044084"/>
    <w:rsid w:val="0004417E"/>
    <w:rsid w:val="00046CD2"/>
    <w:rsid w:val="0005040E"/>
    <w:rsid w:val="0005245D"/>
    <w:rsid w:val="0005472F"/>
    <w:rsid w:val="00054754"/>
    <w:rsid w:val="00057E2E"/>
    <w:rsid w:val="0006208C"/>
    <w:rsid w:val="00063423"/>
    <w:rsid w:val="000656E2"/>
    <w:rsid w:val="00066C72"/>
    <w:rsid w:val="000700BE"/>
    <w:rsid w:val="00072C07"/>
    <w:rsid w:val="0007359F"/>
    <w:rsid w:val="00073FCD"/>
    <w:rsid w:val="00074373"/>
    <w:rsid w:val="000773CF"/>
    <w:rsid w:val="0007759B"/>
    <w:rsid w:val="000835FF"/>
    <w:rsid w:val="000839E1"/>
    <w:rsid w:val="00083A19"/>
    <w:rsid w:val="00084B88"/>
    <w:rsid w:val="0008555A"/>
    <w:rsid w:val="000865EB"/>
    <w:rsid w:val="00086935"/>
    <w:rsid w:val="00091027"/>
    <w:rsid w:val="00091EEC"/>
    <w:rsid w:val="00095EE2"/>
    <w:rsid w:val="000970A8"/>
    <w:rsid w:val="000976F0"/>
    <w:rsid w:val="000A0795"/>
    <w:rsid w:val="000A162F"/>
    <w:rsid w:val="000A2EA5"/>
    <w:rsid w:val="000A502A"/>
    <w:rsid w:val="000A74FB"/>
    <w:rsid w:val="000B0C8A"/>
    <w:rsid w:val="000B0FAC"/>
    <w:rsid w:val="000B1C5F"/>
    <w:rsid w:val="000B2CB5"/>
    <w:rsid w:val="000B7154"/>
    <w:rsid w:val="000B738C"/>
    <w:rsid w:val="000C183C"/>
    <w:rsid w:val="000C1DA2"/>
    <w:rsid w:val="000C2F09"/>
    <w:rsid w:val="000C5EEE"/>
    <w:rsid w:val="000C6454"/>
    <w:rsid w:val="000D10E1"/>
    <w:rsid w:val="000D12AA"/>
    <w:rsid w:val="000D3A35"/>
    <w:rsid w:val="000D4C51"/>
    <w:rsid w:val="000E0E26"/>
    <w:rsid w:val="000E3AEA"/>
    <w:rsid w:val="000E4A07"/>
    <w:rsid w:val="000E7C5E"/>
    <w:rsid w:val="000F4B87"/>
    <w:rsid w:val="000F5DAD"/>
    <w:rsid w:val="000F65AE"/>
    <w:rsid w:val="000F7EB4"/>
    <w:rsid w:val="00103463"/>
    <w:rsid w:val="00104690"/>
    <w:rsid w:val="00106CA4"/>
    <w:rsid w:val="00111100"/>
    <w:rsid w:val="001113F2"/>
    <w:rsid w:val="00111C39"/>
    <w:rsid w:val="0011235B"/>
    <w:rsid w:val="00116993"/>
    <w:rsid w:val="00117D90"/>
    <w:rsid w:val="0012385C"/>
    <w:rsid w:val="00124148"/>
    <w:rsid w:val="001242BC"/>
    <w:rsid w:val="00124AFD"/>
    <w:rsid w:val="00124FFD"/>
    <w:rsid w:val="001272BD"/>
    <w:rsid w:val="0012771C"/>
    <w:rsid w:val="00136E29"/>
    <w:rsid w:val="00145521"/>
    <w:rsid w:val="00146FB8"/>
    <w:rsid w:val="0015137D"/>
    <w:rsid w:val="001529C3"/>
    <w:rsid w:val="001530C4"/>
    <w:rsid w:val="0015566E"/>
    <w:rsid w:val="00156832"/>
    <w:rsid w:val="00156CDB"/>
    <w:rsid w:val="0015771D"/>
    <w:rsid w:val="00162930"/>
    <w:rsid w:val="001644C9"/>
    <w:rsid w:val="00165FD1"/>
    <w:rsid w:val="0017062F"/>
    <w:rsid w:val="00170EC7"/>
    <w:rsid w:val="00174381"/>
    <w:rsid w:val="00180228"/>
    <w:rsid w:val="00182AD4"/>
    <w:rsid w:val="00185385"/>
    <w:rsid w:val="0018638E"/>
    <w:rsid w:val="00187215"/>
    <w:rsid w:val="0018728E"/>
    <w:rsid w:val="00190227"/>
    <w:rsid w:val="00194190"/>
    <w:rsid w:val="0019535F"/>
    <w:rsid w:val="001964F8"/>
    <w:rsid w:val="001A121F"/>
    <w:rsid w:val="001A689B"/>
    <w:rsid w:val="001A7920"/>
    <w:rsid w:val="001B1E36"/>
    <w:rsid w:val="001B20F5"/>
    <w:rsid w:val="001B56E6"/>
    <w:rsid w:val="001B653A"/>
    <w:rsid w:val="001B7BCD"/>
    <w:rsid w:val="001C11E7"/>
    <w:rsid w:val="001C4463"/>
    <w:rsid w:val="001C5794"/>
    <w:rsid w:val="001C7F81"/>
    <w:rsid w:val="001D05BE"/>
    <w:rsid w:val="001D21E3"/>
    <w:rsid w:val="001D3501"/>
    <w:rsid w:val="001D38D0"/>
    <w:rsid w:val="001D4428"/>
    <w:rsid w:val="001D4924"/>
    <w:rsid w:val="001D5C3B"/>
    <w:rsid w:val="001D60A1"/>
    <w:rsid w:val="001D6455"/>
    <w:rsid w:val="001D6FEF"/>
    <w:rsid w:val="001E1AD0"/>
    <w:rsid w:val="001E3DB1"/>
    <w:rsid w:val="001E519B"/>
    <w:rsid w:val="001E6D12"/>
    <w:rsid w:val="001E75F6"/>
    <w:rsid w:val="001F011F"/>
    <w:rsid w:val="001F08E1"/>
    <w:rsid w:val="001F1684"/>
    <w:rsid w:val="001F1CE9"/>
    <w:rsid w:val="001F6064"/>
    <w:rsid w:val="001F7268"/>
    <w:rsid w:val="002000F0"/>
    <w:rsid w:val="00200EC5"/>
    <w:rsid w:val="00201FF4"/>
    <w:rsid w:val="00207C55"/>
    <w:rsid w:val="002103AE"/>
    <w:rsid w:val="00211AEA"/>
    <w:rsid w:val="00212AD8"/>
    <w:rsid w:val="002154ED"/>
    <w:rsid w:val="00216499"/>
    <w:rsid w:val="00216CED"/>
    <w:rsid w:val="0022043B"/>
    <w:rsid w:val="00220603"/>
    <w:rsid w:val="00221297"/>
    <w:rsid w:val="00226A27"/>
    <w:rsid w:val="00227F58"/>
    <w:rsid w:val="00230AF7"/>
    <w:rsid w:val="00231BAA"/>
    <w:rsid w:val="002324CF"/>
    <w:rsid w:val="00232E7C"/>
    <w:rsid w:val="00236473"/>
    <w:rsid w:val="0023795D"/>
    <w:rsid w:val="002404C1"/>
    <w:rsid w:val="00240525"/>
    <w:rsid w:val="00240731"/>
    <w:rsid w:val="0024092C"/>
    <w:rsid w:val="00242591"/>
    <w:rsid w:val="0024637D"/>
    <w:rsid w:val="00246899"/>
    <w:rsid w:val="00247E24"/>
    <w:rsid w:val="002502D7"/>
    <w:rsid w:val="00250DB2"/>
    <w:rsid w:val="002533E1"/>
    <w:rsid w:val="00255F51"/>
    <w:rsid w:val="00255F6A"/>
    <w:rsid w:val="00262070"/>
    <w:rsid w:val="002636BC"/>
    <w:rsid w:val="00263A94"/>
    <w:rsid w:val="002649F5"/>
    <w:rsid w:val="00267301"/>
    <w:rsid w:val="00267544"/>
    <w:rsid w:val="00270D5F"/>
    <w:rsid w:val="00271217"/>
    <w:rsid w:val="00272FB1"/>
    <w:rsid w:val="00273649"/>
    <w:rsid w:val="00273E26"/>
    <w:rsid w:val="00275F14"/>
    <w:rsid w:val="002807E2"/>
    <w:rsid w:val="00282BB4"/>
    <w:rsid w:val="0028395C"/>
    <w:rsid w:val="00286788"/>
    <w:rsid w:val="00286F7A"/>
    <w:rsid w:val="00290024"/>
    <w:rsid w:val="00291CE7"/>
    <w:rsid w:val="00292737"/>
    <w:rsid w:val="00292F99"/>
    <w:rsid w:val="0029595B"/>
    <w:rsid w:val="00296B05"/>
    <w:rsid w:val="00296E07"/>
    <w:rsid w:val="0029765E"/>
    <w:rsid w:val="002A0288"/>
    <w:rsid w:val="002A0EEE"/>
    <w:rsid w:val="002A2240"/>
    <w:rsid w:val="002A39CB"/>
    <w:rsid w:val="002A6191"/>
    <w:rsid w:val="002A62D9"/>
    <w:rsid w:val="002A6F86"/>
    <w:rsid w:val="002B2131"/>
    <w:rsid w:val="002B43DD"/>
    <w:rsid w:val="002B57B9"/>
    <w:rsid w:val="002B62EC"/>
    <w:rsid w:val="002B697F"/>
    <w:rsid w:val="002B706B"/>
    <w:rsid w:val="002C01FF"/>
    <w:rsid w:val="002C0E3D"/>
    <w:rsid w:val="002C0FC3"/>
    <w:rsid w:val="002C68F0"/>
    <w:rsid w:val="002C763B"/>
    <w:rsid w:val="002C7EEA"/>
    <w:rsid w:val="002D1606"/>
    <w:rsid w:val="002D1A95"/>
    <w:rsid w:val="002D2C5A"/>
    <w:rsid w:val="002D4C11"/>
    <w:rsid w:val="002D6D6F"/>
    <w:rsid w:val="002D6E1E"/>
    <w:rsid w:val="002D7B15"/>
    <w:rsid w:val="002E1505"/>
    <w:rsid w:val="002E3197"/>
    <w:rsid w:val="002E3720"/>
    <w:rsid w:val="002E5B09"/>
    <w:rsid w:val="002E6899"/>
    <w:rsid w:val="002F0FDA"/>
    <w:rsid w:val="002F1222"/>
    <w:rsid w:val="002F2369"/>
    <w:rsid w:val="002F2F96"/>
    <w:rsid w:val="002F7675"/>
    <w:rsid w:val="003008D8"/>
    <w:rsid w:val="0030130F"/>
    <w:rsid w:val="003021B1"/>
    <w:rsid w:val="003024EF"/>
    <w:rsid w:val="00302C23"/>
    <w:rsid w:val="00303D81"/>
    <w:rsid w:val="00311073"/>
    <w:rsid w:val="0031120D"/>
    <w:rsid w:val="0031497B"/>
    <w:rsid w:val="003162A5"/>
    <w:rsid w:val="00317019"/>
    <w:rsid w:val="003171CA"/>
    <w:rsid w:val="00323013"/>
    <w:rsid w:val="00323ABE"/>
    <w:rsid w:val="00323D4B"/>
    <w:rsid w:val="00325032"/>
    <w:rsid w:val="00333358"/>
    <w:rsid w:val="00333F51"/>
    <w:rsid w:val="00335BEC"/>
    <w:rsid w:val="00337F41"/>
    <w:rsid w:val="003400B2"/>
    <w:rsid w:val="003444E9"/>
    <w:rsid w:val="00344741"/>
    <w:rsid w:val="0034562B"/>
    <w:rsid w:val="00345730"/>
    <w:rsid w:val="003467EC"/>
    <w:rsid w:val="003473BD"/>
    <w:rsid w:val="00351728"/>
    <w:rsid w:val="00351C23"/>
    <w:rsid w:val="0035220B"/>
    <w:rsid w:val="0035360E"/>
    <w:rsid w:val="00354F00"/>
    <w:rsid w:val="00357349"/>
    <w:rsid w:val="0035745A"/>
    <w:rsid w:val="00361BD7"/>
    <w:rsid w:val="00361EE8"/>
    <w:rsid w:val="0036391B"/>
    <w:rsid w:val="00363DB3"/>
    <w:rsid w:val="0036489B"/>
    <w:rsid w:val="00364D4C"/>
    <w:rsid w:val="00366AE2"/>
    <w:rsid w:val="00370B68"/>
    <w:rsid w:val="00371EDE"/>
    <w:rsid w:val="00375EA1"/>
    <w:rsid w:val="00377A4B"/>
    <w:rsid w:val="0038014B"/>
    <w:rsid w:val="00383E00"/>
    <w:rsid w:val="00385222"/>
    <w:rsid w:val="003879E5"/>
    <w:rsid w:val="00391221"/>
    <w:rsid w:val="003929F5"/>
    <w:rsid w:val="003945C6"/>
    <w:rsid w:val="00395AA8"/>
    <w:rsid w:val="0039685F"/>
    <w:rsid w:val="003A0AFA"/>
    <w:rsid w:val="003A1355"/>
    <w:rsid w:val="003A227D"/>
    <w:rsid w:val="003A2681"/>
    <w:rsid w:val="003A3F90"/>
    <w:rsid w:val="003A4292"/>
    <w:rsid w:val="003A5BAA"/>
    <w:rsid w:val="003A5F4D"/>
    <w:rsid w:val="003B0010"/>
    <w:rsid w:val="003B2343"/>
    <w:rsid w:val="003B303C"/>
    <w:rsid w:val="003B444B"/>
    <w:rsid w:val="003B5F31"/>
    <w:rsid w:val="003B6A9D"/>
    <w:rsid w:val="003B77E6"/>
    <w:rsid w:val="003B78BD"/>
    <w:rsid w:val="003C156D"/>
    <w:rsid w:val="003C16FD"/>
    <w:rsid w:val="003C17B6"/>
    <w:rsid w:val="003D0C36"/>
    <w:rsid w:val="003D3A13"/>
    <w:rsid w:val="003D3F14"/>
    <w:rsid w:val="003D5835"/>
    <w:rsid w:val="003E09BB"/>
    <w:rsid w:val="003E1E6E"/>
    <w:rsid w:val="003E2FB2"/>
    <w:rsid w:val="003E7042"/>
    <w:rsid w:val="003E7857"/>
    <w:rsid w:val="003F2BE5"/>
    <w:rsid w:val="003F3BAD"/>
    <w:rsid w:val="003F5D55"/>
    <w:rsid w:val="003F7D92"/>
    <w:rsid w:val="004050D7"/>
    <w:rsid w:val="00405911"/>
    <w:rsid w:val="004059EC"/>
    <w:rsid w:val="00410565"/>
    <w:rsid w:val="00411D75"/>
    <w:rsid w:val="00412434"/>
    <w:rsid w:val="00414D09"/>
    <w:rsid w:val="00416D1C"/>
    <w:rsid w:val="00421CBF"/>
    <w:rsid w:val="00425AF4"/>
    <w:rsid w:val="004264E2"/>
    <w:rsid w:val="0042714E"/>
    <w:rsid w:val="00427F88"/>
    <w:rsid w:val="004310C1"/>
    <w:rsid w:val="00432562"/>
    <w:rsid w:val="00432B82"/>
    <w:rsid w:val="0043365C"/>
    <w:rsid w:val="00434333"/>
    <w:rsid w:val="00434C09"/>
    <w:rsid w:val="0044020E"/>
    <w:rsid w:val="00440CF6"/>
    <w:rsid w:val="004420B4"/>
    <w:rsid w:val="00442310"/>
    <w:rsid w:val="004507C3"/>
    <w:rsid w:val="00452740"/>
    <w:rsid w:val="00455279"/>
    <w:rsid w:val="00455E1C"/>
    <w:rsid w:val="00456EF3"/>
    <w:rsid w:val="00456F33"/>
    <w:rsid w:val="00460427"/>
    <w:rsid w:val="00460DE4"/>
    <w:rsid w:val="004619AC"/>
    <w:rsid w:val="004651D6"/>
    <w:rsid w:val="00471519"/>
    <w:rsid w:val="00473B81"/>
    <w:rsid w:val="00473CB8"/>
    <w:rsid w:val="00476615"/>
    <w:rsid w:val="004818E7"/>
    <w:rsid w:val="004837D1"/>
    <w:rsid w:val="00484D3F"/>
    <w:rsid w:val="00487978"/>
    <w:rsid w:val="0049153A"/>
    <w:rsid w:val="00492DFE"/>
    <w:rsid w:val="00494E51"/>
    <w:rsid w:val="00495EEE"/>
    <w:rsid w:val="004A060F"/>
    <w:rsid w:val="004A1062"/>
    <w:rsid w:val="004A1D82"/>
    <w:rsid w:val="004A21AE"/>
    <w:rsid w:val="004A38F1"/>
    <w:rsid w:val="004A3E58"/>
    <w:rsid w:val="004A4BE4"/>
    <w:rsid w:val="004A5144"/>
    <w:rsid w:val="004A5D00"/>
    <w:rsid w:val="004A66CC"/>
    <w:rsid w:val="004A6834"/>
    <w:rsid w:val="004A6899"/>
    <w:rsid w:val="004A73CA"/>
    <w:rsid w:val="004A7600"/>
    <w:rsid w:val="004B588C"/>
    <w:rsid w:val="004B6B05"/>
    <w:rsid w:val="004C00DE"/>
    <w:rsid w:val="004C016C"/>
    <w:rsid w:val="004C0320"/>
    <w:rsid w:val="004C3A72"/>
    <w:rsid w:val="004C410E"/>
    <w:rsid w:val="004C5A04"/>
    <w:rsid w:val="004C73F5"/>
    <w:rsid w:val="004C7404"/>
    <w:rsid w:val="004D138F"/>
    <w:rsid w:val="004D2E3E"/>
    <w:rsid w:val="004D7B48"/>
    <w:rsid w:val="004E2AD7"/>
    <w:rsid w:val="004E2C93"/>
    <w:rsid w:val="004E4466"/>
    <w:rsid w:val="004F2440"/>
    <w:rsid w:val="004F3DBF"/>
    <w:rsid w:val="004F433A"/>
    <w:rsid w:val="004F45E8"/>
    <w:rsid w:val="004F4B59"/>
    <w:rsid w:val="004F57A5"/>
    <w:rsid w:val="004F5AAB"/>
    <w:rsid w:val="004F6B28"/>
    <w:rsid w:val="004F77B3"/>
    <w:rsid w:val="004F7BAA"/>
    <w:rsid w:val="00502492"/>
    <w:rsid w:val="005026FC"/>
    <w:rsid w:val="005032A1"/>
    <w:rsid w:val="005037A3"/>
    <w:rsid w:val="005038DE"/>
    <w:rsid w:val="00503DBC"/>
    <w:rsid w:val="00506E09"/>
    <w:rsid w:val="00510571"/>
    <w:rsid w:val="005124BE"/>
    <w:rsid w:val="00516495"/>
    <w:rsid w:val="00520CE5"/>
    <w:rsid w:val="005214ED"/>
    <w:rsid w:val="005279D1"/>
    <w:rsid w:val="005300FB"/>
    <w:rsid w:val="005319F4"/>
    <w:rsid w:val="00533810"/>
    <w:rsid w:val="00534AA9"/>
    <w:rsid w:val="0054087D"/>
    <w:rsid w:val="00542112"/>
    <w:rsid w:val="00543736"/>
    <w:rsid w:val="00544524"/>
    <w:rsid w:val="0054522A"/>
    <w:rsid w:val="005504B6"/>
    <w:rsid w:val="0055586D"/>
    <w:rsid w:val="00557FE6"/>
    <w:rsid w:val="005603E2"/>
    <w:rsid w:val="00560B98"/>
    <w:rsid w:val="00562849"/>
    <w:rsid w:val="00564D64"/>
    <w:rsid w:val="005657F3"/>
    <w:rsid w:val="005706C0"/>
    <w:rsid w:val="00570B48"/>
    <w:rsid w:val="005743E5"/>
    <w:rsid w:val="0057469D"/>
    <w:rsid w:val="005749D6"/>
    <w:rsid w:val="00575983"/>
    <w:rsid w:val="00575C8D"/>
    <w:rsid w:val="00580638"/>
    <w:rsid w:val="0058083E"/>
    <w:rsid w:val="005815A6"/>
    <w:rsid w:val="00581C5F"/>
    <w:rsid w:val="00581EE5"/>
    <w:rsid w:val="00582239"/>
    <w:rsid w:val="005843F4"/>
    <w:rsid w:val="00587623"/>
    <w:rsid w:val="00587A61"/>
    <w:rsid w:val="00591175"/>
    <w:rsid w:val="005936C7"/>
    <w:rsid w:val="00593BAF"/>
    <w:rsid w:val="00596AA2"/>
    <w:rsid w:val="00596DF7"/>
    <w:rsid w:val="005A1FD8"/>
    <w:rsid w:val="005A7BE9"/>
    <w:rsid w:val="005A7D46"/>
    <w:rsid w:val="005B352D"/>
    <w:rsid w:val="005B3635"/>
    <w:rsid w:val="005B586C"/>
    <w:rsid w:val="005B73E3"/>
    <w:rsid w:val="005C0414"/>
    <w:rsid w:val="005C51C3"/>
    <w:rsid w:val="005C60DC"/>
    <w:rsid w:val="005C662F"/>
    <w:rsid w:val="005C6D42"/>
    <w:rsid w:val="005D0341"/>
    <w:rsid w:val="005D1168"/>
    <w:rsid w:val="005D1590"/>
    <w:rsid w:val="005D1AA0"/>
    <w:rsid w:val="005D3CFB"/>
    <w:rsid w:val="005D3E30"/>
    <w:rsid w:val="005D650F"/>
    <w:rsid w:val="005E1D41"/>
    <w:rsid w:val="005E293A"/>
    <w:rsid w:val="005E3FE8"/>
    <w:rsid w:val="005E48EB"/>
    <w:rsid w:val="005E5065"/>
    <w:rsid w:val="005F0825"/>
    <w:rsid w:val="005F0D86"/>
    <w:rsid w:val="005F1E90"/>
    <w:rsid w:val="005F1EEA"/>
    <w:rsid w:val="005F4AB5"/>
    <w:rsid w:val="005F5534"/>
    <w:rsid w:val="005F569A"/>
    <w:rsid w:val="005F6769"/>
    <w:rsid w:val="00602377"/>
    <w:rsid w:val="00602512"/>
    <w:rsid w:val="00602573"/>
    <w:rsid w:val="00602974"/>
    <w:rsid w:val="00603D6C"/>
    <w:rsid w:val="00605AD8"/>
    <w:rsid w:val="00610AFA"/>
    <w:rsid w:val="006113F4"/>
    <w:rsid w:val="006123F1"/>
    <w:rsid w:val="00612BFE"/>
    <w:rsid w:val="00615698"/>
    <w:rsid w:val="006164DD"/>
    <w:rsid w:val="00616591"/>
    <w:rsid w:val="00617CA9"/>
    <w:rsid w:val="00620B0B"/>
    <w:rsid w:val="006273AE"/>
    <w:rsid w:val="00630EE4"/>
    <w:rsid w:val="0063176D"/>
    <w:rsid w:val="00632AB0"/>
    <w:rsid w:val="00632CB4"/>
    <w:rsid w:val="006335C4"/>
    <w:rsid w:val="006365AC"/>
    <w:rsid w:val="006376C8"/>
    <w:rsid w:val="00637A59"/>
    <w:rsid w:val="006403DE"/>
    <w:rsid w:val="00640D09"/>
    <w:rsid w:val="00641995"/>
    <w:rsid w:val="006506CA"/>
    <w:rsid w:val="00651BD7"/>
    <w:rsid w:val="006523E2"/>
    <w:rsid w:val="0065276A"/>
    <w:rsid w:val="006528CF"/>
    <w:rsid w:val="00652B53"/>
    <w:rsid w:val="006539C6"/>
    <w:rsid w:val="00654A12"/>
    <w:rsid w:val="00654C0F"/>
    <w:rsid w:val="00655CB9"/>
    <w:rsid w:val="006569BF"/>
    <w:rsid w:val="00656A98"/>
    <w:rsid w:val="00656E04"/>
    <w:rsid w:val="00660CAB"/>
    <w:rsid w:val="00661856"/>
    <w:rsid w:val="0066191A"/>
    <w:rsid w:val="006624AE"/>
    <w:rsid w:val="00662683"/>
    <w:rsid w:val="0066296B"/>
    <w:rsid w:val="00663F75"/>
    <w:rsid w:val="00665756"/>
    <w:rsid w:val="006667DB"/>
    <w:rsid w:val="00670041"/>
    <w:rsid w:val="00671DEA"/>
    <w:rsid w:val="00673288"/>
    <w:rsid w:val="00674164"/>
    <w:rsid w:val="006764B0"/>
    <w:rsid w:val="00677746"/>
    <w:rsid w:val="00680166"/>
    <w:rsid w:val="00680452"/>
    <w:rsid w:val="006821F6"/>
    <w:rsid w:val="00682A69"/>
    <w:rsid w:val="00682E54"/>
    <w:rsid w:val="006837F2"/>
    <w:rsid w:val="00683A90"/>
    <w:rsid w:val="00683C85"/>
    <w:rsid w:val="00684539"/>
    <w:rsid w:val="006852FD"/>
    <w:rsid w:val="00685731"/>
    <w:rsid w:val="00687AD3"/>
    <w:rsid w:val="00690172"/>
    <w:rsid w:val="0069262D"/>
    <w:rsid w:val="00692B26"/>
    <w:rsid w:val="00693FF2"/>
    <w:rsid w:val="00695FA1"/>
    <w:rsid w:val="0069618E"/>
    <w:rsid w:val="006A09CE"/>
    <w:rsid w:val="006A13C9"/>
    <w:rsid w:val="006A63EB"/>
    <w:rsid w:val="006A7AEF"/>
    <w:rsid w:val="006A7AF0"/>
    <w:rsid w:val="006B3CA3"/>
    <w:rsid w:val="006B411F"/>
    <w:rsid w:val="006B51B8"/>
    <w:rsid w:val="006B619F"/>
    <w:rsid w:val="006B71D7"/>
    <w:rsid w:val="006B7C12"/>
    <w:rsid w:val="006C19DC"/>
    <w:rsid w:val="006C4B52"/>
    <w:rsid w:val="006C653F"/>
    <w:rsid w:val="006C7086"/>
    <w:rsid w:val="006D0CD0"/>
    <w:rsid w:val="006D2642"/>
    <w:rsid w:val="006D4FF9"/>
    <w:rsid w:val="006D55B9"/>
    <w:rsid w:val="006D5CBB"/>
    <w:rsid w:val="006D74A9"/>
    <w:rsid w:val="006E0ADD"/>
    <w:rsid w:val="006E52D1"/>
    <w:rsid w:val="006E6CD0"/>
    <w:rsid w:val="006E75B1"/>
    <w:rsid w:val="006F0283"/>
    <w:rsid w:val="006F0509"/>
    <w:rsid w:val="006F080C"/>
    <w:rsid w:val="006F0F06"/>
    <w:rsid w:val="006F11A2"/>
    <w:rsid w:val="006F3A8D"/>
    <w:rsid w:val="006F5D8C"/>
    <w:rsid w:val="006F685A"/>
    <w:rsid w:val="007029C8"/>
    <w:rsid w:val="00702EA8"/>
    <w:rsid w:val="007038B3"/>
    <w:rsid w:val="00704131"/>
    <w:rsid w:val="00704796"/>
    <w:rsid w:val="00707AC2"/>
    <w:rsid w:val="0071306B"/>
    <w:rsid w:val="00713DFD"/>
    <w:rsid w:val="00715E90"/>
    <w:rsid w:val="00717AB8"/>
    <w:rsid w:val="00722665"/>
    <w:rsid w:val="00722A57"/>
    <w:rsid w:val="00723105"/>
    <w:rsid w:val="00723603"/>
    <w:rsid w:val="00724801"/>
    <w:rsid w:val="007254CB"/>
    <w:rsid w:val="00727506"/>
    <w:rsid w:val="00732105"/>
    <w:rsid w:val="00733263"/>
    <w:rsid w:val="007339E3"/>
    <w:rsid w:val="007351EA"/>
    <w:rsid w:val="0073585B"/>
    <w:rsid w:val="007378C1"/>
    <w:rsid w:val="00742D36"/>
    <w:rsid w:val="00743DD1"/>
    <w:rsid w:val="00746E5F"/>
    <w:rsid w:val="0075062B"/>
    <w:rsid w:val="00750A0F"/>
    <w:rsid w:val="00750FFD"/>
    <w:rsid w:val="007548F7"/>
    <w:rsid w:val="00757CDF"/>
    <w:rsid w:val="007601AD"/>
    <w:rsid w:val="007609F1"/>
    <w:rsid w:val="00762164"/>
    <w:rsid w:val="00763A92"/>
    <w:rsid w:val="00764462"/>
    <w:rsid w:val="007668A1"/>
    <w:rsid w:val="00766B2C"/>
    <w:rsid w:val="00770367"/>
    <w:rsid w:val="00771125"/>
    <w:rsid w:val="0077225C"/>
    <w:rsid w:val="00772CB5"/>
    <w:rsid w:val="007739D1"/>
    <w:rsid w:val="00774C1F"/>
    <w:rsid w:val="007757E2"/>
    <w:rsid w:val="007758D6"/>
    <w:rsid w:val="0077697D"/>
    <w:rsid w:val="0077778E"/>
    <w:rsid w:val="007804C8"/>
    <w:rsid w:val="00780A97"/>
    <w:rsid w:val="007852A8"/>
    <w:rsid w:val="00786864"/>
    <w:rsid w:val="00793BAA"/>
    <w:rsid w:val="00793D7F"/>
    <w:rsid w:val="00794ADE"/>
    <w:rsid w:val="007A121D"/>
    <w:rsid w:val="007A2781"/>
    <w:rsid w:val="007A335F"/>
    <w:rsid w:val="007A3CAD"/>
    <w:rsid w:val="007A50D2"/>
    <w:rsid w:val="007A7107"/>
    <w:rsid w:val="007B00C0"/>
    <w:rsid w:val="007B0B65"/>
    <w:rsid w:val="007B20CD"/>
    <w:rsid w:val="007B3212"/>
    <w:rsid w:val="007B3B21"/>
    <w:rsid w:val="007B4103"/>
    <w:rsid w:val="007B44CB"/>
    <w:rsid w:val="007B59DE"/>
    <w:rsid w:val="007B5B68"/>
    <w:rsid w:val="007B6EB8"/>
    <w:rsid w:val="007B7173"/>
    <w:rsid w:val="007B7D00"/>
    <w:rsid w:val="007C16FE"/>
    <w:rsid w:val="007C2C43"/>
    <w:rsid w:val="007C4991"/>
    <w:rsid w:val="007C5F34"/>
    <w:rsid w:val="007C65B7"/>
    <w:rsid w:val="007C6A88"/>
    <w:rsid w:val="007C70C0"/>
    <w:rsid w:val="007D060E"/>
    <w:rsid w:val="007D1549"/>
    <w:rsid w:val="007D1681"/>
    <w:rsid w:val="007D34D9"/>
    <w:rsid w:val="007D3E96"/>
    <w:rsid w:val="007D4734"/>
    <w:rsid w:val="007E437A"/>
    <w:rsid w:val="007E4F9E"/>
    <w:rsid w:val="007E61A8"/>
    <w:rsid w:val="007E651E"/>
    <w:rsid w:val="007E669F"/>
    <w:rsid w:val="007E7840"/>
    <w:rsid w:val="007F028A"/>
    <w:rsid w:val="007F0467"/>
    <w:rsid w:val="007F53FB"/>
    <w:rsid w:val="007F5C10"/>
    <w:rsid w:val="007F7689"/>
    <w:rsid w:val="00801459"/>
    <w:rsid w:val="00801B49"/>
    <w:rsid w:val="00801EF4"/>
    <w:rsid w:val="008057D0"/>
    <w:rsid w:val="00806339"/>
    <w:rsid w:val="00806498"/>
    <w:rsid w:val="00806F6C"/>
    <w:rsid w:val="008101F4"/>
    <w:rsid w:val="008157F0"/>
    <w:rsid w:val="0081581F"/>
    <w:rsid w:val="0081599E"/>
    <w:rsid w:val="0081744E"/>
    <w:rsid w:val="0082058A"/>
    <w:rsid w:val="008205EE"/>
    <w:rsid w:val="00822EDB"/>
    <w:rsid w:val="00824047"/>
    <w:rsid w:val="00824DA9"/>
    <w:rsid w:val="008258F9"/>
    <w:rsid w:val="00825ECA"/>
    <w:rsid w:val="00830E93"/>
    <w:rsid w:val="00835461"/>
    <w:rsid w:val="00835628"/>
    <w:rsid w:val="00835A11"/>
    <w:rsid w:val="00840EBC"/>
    <w:rsid w:val="00841043"/>
    <w:rsid w:val="0084529C"/>
    <w:rsid w:val="0084589D"/>
    <w:rsid w:val="0084648A"/>
    <w:rsid w:val="008504AE"/>
    <w:rsid w:val="0085170A"/>
    <w:rsid w:val="0085787E"/>
    <w:rsid w:val="00857C56"/>
    <w:rsid w:val="008613F2"/>
    <w:rsid w:val="0086253D"/>
    <w:rsid w:val="0086619D"/>
    <w:rsid w:val="00871E76"/>
    <w:rsid w:val="008736B2"/>
    <w:rsid w:val="00876BF4"/>
    <w:rsid w:val="008774E0"/>
    <w:rsid w:val="0088106E"/>
    <w:rsid w:val="00882311"/>
    <w:rsid w:val="00885140"/>
    <w:rsid w:val="008875FC"/>
    <w:rsid w:val="008878C8"/>
    <w:rsid w:val="0089209C"/>
    <w:rsid w:val="0089507A"/>
    <w:rsid w:val="008A22B9"/>
    <w:rsid w:val="008A2EE7"/>
    <w:rsid w:val="008A3182"/>
    <w:rsid w:val="008A757B"/>
    <w:rsid w:val="008B180B"/>
    <w:rsid w:val="008B5864"/>
    <w:rsid w:val="008B7A98"/>
    <w:rsid w:val="008C2879"/>
    <w:rsid w:val="008C329F"/>
    <w:rsid w:val="008C34B6"/>
    <w:rsid w:val="008C452D"/>
    <w:rsid w:val="008C5E15"/>
    <w:rsid w:val="008D0A08"/>
    <w:rsid w:val="008D0E8C"/>
    <w:rsid w:val="008D1005"/>
    <w:rsid w:val="008D15C5"/>
    <w:rsid w:val="008D403D"/>
    <w:rsid w:val="008D6A0B"/>
    <w:rsid w:val="008D758A"/>
    <w:rsid w:val="008E0222"/>
    <w:rsid w:val="008E0789"/>
    <w:rsid w:val="008E3AE6"/>
    <w:rsid w:val="008E6439"/>
    <w:rsid w:val="008E6F36"/>
    <w:rsid w:val="008F1877"/>
    <w:rsid w:val="008F27FA"/>
    <w:rsid w:val="008F4749"/>
    <w:rsid w:val="008F59A3"/>
    <w:rsid w:val="0090168A"/>
    <w:rsid w:val="00901847"/>
    <w:rsid w:val="00901AFF"/>
    <w:rsid w:val="009025AF"/>
    <w:rsid w:val="00903F15"/>
    <w:rsid w:val="009047A7"/>
    <w:rsid w:val="00906C50"/>
    <w:rsid w:val="0091055E"/>
    <w:rsid w:val="009121D1"/>
    <w:rsid w:val="00912804"/>
    <w:rsid w:val="0091468E"/>
    <w:rsid w:val="00917669"/>
    <w:rsid w:val="00920AFF"/>
    <w:rsid w:val="00923719"/>
    <w:rsid w:val="00923B10"/>
    <w:rsid w:val="00924A4B"/>
    <w:rsid w:val="00925621"/>
    <w:rsid w:val="00926ABD"/>
    <w:rsid w:val="0092777C"/>
    <w:rsid w:val="00927809"/>
    <w:rsid w:val="009312BE"/>
    <w:rsid w:val="009365D1"/>
    <w:rsid w:val="009367B2"/>
    <w:rsid w:val="00941EAB"/>
    <w:rsid w:val="0094306B"/>
    <w:rsid w:val="00944EED"/>
    <w:rsid w:val="00945379"/>
    <w:rsid w:val="00946DF4"/>
    <w:rsid w:val="00946F02"/>
    <w:rsid w:val="0094712C"/>
    <w:rsid w:val="00950108"/>
    <w:rsid w:val="00951C9C"/>
    <w:rsid w:val="00952360"/>
    <w:rsid w:val="0095776C"/>
    <w:rsid w:val="00962A21"/>
    <w:rsid w:val="009670A5"/>
    <w:rsid w:val="0097336B"/>
    <w:rsid w:val="009743DE"/>
    <w:rsid w:val="009766F0"/>
    <w:rsid w:val="0097737F"/>
    <w:rsid w:val="00977746"/>
    <w:rsid w:val="0098031C"/>
    <w:rsid w:val="00980826"/>
    <w:rsid w:val="00980F5E"/>
    <w:rsid w:val="009811E2"/>
    <w:rsid w:val="00981411"/>
    <w:rsid w:val="009824C0"/>
    <w:rsid w:val="009825F3"/>
    <w:rsid w:val="00982AAC"/>
    <w:rsid w:val="0098460A"/>
    <w:rsid w:val="0098537C"/>
    <w:rsid w:val="00986B09"/>
    <w:rsid w:val="00987ABC"/>
    <w:rsid w:val="0099070D"/>
    <w:rsid w:val="00992DC0"/>
    <w:rsid w:val="00993D86"/>
    <w:rsid w:val="009940BA"/>
    <w:rsid w:val="009A0326"/>
    <w:rsid w:val="009A2427"/>
    <w:rsid w:val="009A24AE"/>
    <w:rsid w:val="009A29A7"/>
    <w:rsid w:val="009A2B17"/>
    <w:rsid w:val="009A2DB1"/>
    <w:rsid w:val="009A5096"/>
    <w:rsid w:val="009A5403"/>
    <w:rsid w:val="009A5444"/>
    <w:rsid w:val="009B07AE"/>
    <w:rsid w:val="009B455D"/>
    <w:rsid w:val="009B476E"/>
    <w:rsid w:val="009B67A9"/>
    <w:rsid w:val="009B7CEC"/>
    <w:rsid w:val="009C03B7"/>
    <w:rsid w:val="009C08B1"/>
    <w:rsid w:val="009C1D74"/>
    <w:rsid w:val="009C374D"/>
    <w:rsid w:val="009C7FA7"/>
    <w:rsid w:val="009D0178"/>
    <w:rsid w:val="009D0208"/>
    <w:rsid w:val="009D0526"/>
    <w:rsid w:val="009D212D"/>
    <w:rsid w:val="009D44CC"/>
    <w:rsid w:val="009D4717"/>
    <w:rsid w:val="009D52CA"/>
    <w:rsid w:val="009D56FF"/>
    <w:rsid w:val="009E0EAE"/>
    <w:rsid w:val="009E199F"/>
    <w:rsid w:val="009E3BAF"/>
    <w:rsid w:val="009E53CC"/>
    <w:rsid w:val="009E625D"/>
    <w:rsid w:val="009E658F"/>
    <w:rsid w:val="009F3B0B"/>
    <w:rsid w:val="009F4514"/>
    <w:rsid w:val="009F52E2"/>
    <w:rsid w:val="009F5ADB"/>
    <w:rsid w:val="009F6674"/>
    <w:rsid w:val="009F7D36"/>
    <w:rsid w:val="00A00307"/>
    <w:rsid w:val="00A00817"/>
    <w:rsid w:val="00A0361E"/>
    <w:rsid w:val="00A038B1"/>
    <w:rsid w:val="00A03BB1"/>
    <w:rsid w:val="00A0679C"/>
    <w:rsid w:val="00A074F7"/>
    <w:rsid w:val="00A07892"/>
    <w:rsid w:val="00A11E9B"/>
    <w:rsid w:val="00A179B1"/>
    <w:rsid w:val="00A17E19"/>
    <w:rsid w:val="00A20FD5"/>
    <w:rsid w:val="00A24AAF"/>
    <w:rsid w:val="00A2620A"/>
    <w:rsid w:val="00A27D9B"/>
    <w:rsid w:val="00A32331"/>
    <w:rsid w:val="00A334D0"/>
    <w:rsid w:val="00A34D04"/>
    <w:rsid w:val="00A408C3"/>
    <w:rsid w:val="00A418BF"/>
    <w:rsid w:val="00A422B9"/>
    <w:rsid w:val="00A433B0"/>
    <w:rsid w:val="00A43B63"/>
    <w:rsid w:val="00A43C62"/>
    <w:rsid w:val="00A45F60"/>
    <w:rsid w:val="00A50BC1"/>
    <w:rsid w:val="00A524A1"/>
    <w:rsid w:val="00A52CEA"/>
    <w:rsid w:val="00A55070"/>
    <w:rsid w:val="00A60216"/>
    <w:rsid w:val="00A60570"/>
    <w:rsid w:val="00A60EB4"/>
    <w:rsid w:val="00A61516"/>
    <w:rsid w:val="00A63D70"/>
    <w:rsid w:val="00A65DB5"/>
    <w:rsid w:val="00A66F2C"/>
    <w:rsid w:val="00A74569"/>
    <w:rsid w:val="00A76FD9"/>
    <w:rsid w:val="00A77071"/>
    <w:rsid w:val="00A80420"/>
    <w:rsid w:val="00A80889"/>
    <w:rsid w:val="00A81782"/>
    <w:rsid w:val="00A8258F"/>
    <w:rsid w:val="00A83710"/>
    <w:rsid w:val="00A8657B"/>
    <w:rsid w:val="00A87003"/>
    <w:rsid w:val="00A9089C"/>
    <w:rsid w:val="00A91312"/>
    <w:rsid w:val="00A92657"/>
    <w:rsid w:val="00A92DCA"/>
    <w:rsid w:val="00A92F73"/>
    <w:rsid w:val="00A9606D"/>
    <w:rsid w:val="00A962D9"/>
    <w:rsid w:val="00A96363"/>
    <w:rsid w:val="00AA0D26"/>
    <w:rsid w:val="00AA1182"/>
    <w:rsid w:val="00AA16E3"/>
    <w:rsid w:val="00AA2439"/>
    <w:rsid w:val="00AA4FB1"/>
    <w:rsid w:val="00AA5A53"/>
    <w:rsid w:val="00AA6682"/>
    <w:rsid w:val="00AA67E8"/>
    <w:rsid w:val="00AA69A6"/>
    <w:rsid w:val="00AA7E5D"/>
    <w:rsid w:val="00AB1206"/>
    <w:rsid w:val="00AB2E44"/>
    <w:rsid w:val="00AC26B4"/>
    <w:rsid w:val="00AC2D2A"/>
    <w:rsid w:val="00AC5E64"/>
    <w:rsid w:val="00AC5EBB"/>
    <w:rsid w:val="00AC65A5"/>
    <w:rsid w:val="00AC68A3"/>
    <w:rsid w:val="00AC721B"/>
    <w:rsid w:val="00AD035B"/>
    <w:rsid w:val="00AD0D6A"/>
    <w:rsid w:val="00AD17EB"/>
    <w:rsid w:val="00AD23C6"/>
    <w:rsid w:val="00AD2B37"/>
    <w:rsid w:val="00AD5A9B"/>
    <w:rsid w:val="00AD5DD2"/>
    <w:rsid w:val="00AD63BB"/>
    <w:rsid w:val="00AD6AC4"/>
    <w:rsid w:val="00AE3945"/>
    <w:rsid w:val="00AE4095"/>
    <w:rsid w:val="00AE52F9"/>
    <w:rsid w:val="00AE53BC"/>
    <w:rsid w:val="00AE563D"/>
    <w:rsid w:val="00AE5FEF"/>
    <w:rsid w:val="00AE60C2"/>
    <w:rsid w:val="00AE7242"/>
    <w:rsid w:val="00AF00D0"/>
    <w:rsid w:val="00AF0D13"/>
    <w:rsid w:val="00AF179D"/>
    <w:rsid w:val="00AF1E9E"/>
    <w:rsid w:val="00AF2C64"/>
    <w:rsid w:val="00AF349F"/>
    <w:rsid w:val="00AF505F"/>
    <w:rsid w:val="00AF7F64"/>
    <w:rsid w:val="00B00330"/>
    <w:rsid w:val="00B00CFA"/>
    <w:rsid w:val="00B016C7"/>
    <w:rsid w:val="00B0173A"/>
    <w:rsid w:val="00B02FA9"/>
    <w:rsid w:val="00B047DA"/>
    <w:rsid w:val="00B04863"/>
    <w:rsid w:val="00B04B0F"/>
    <w:rsid w:val="00B05CC9"/>
    <w:rsid w:val="00B05DC9"/>
    <w:rsid w:val="00B1084F"/>
    <w:rsid w:val="00B11828"/>
    <w:rsid w:val="00B11F72"/>
    <w:rsid w:val="00B122BE"/>
    <w:rsid w:val="00B16B7F"/>
    <w:rsid w:val="00B16F9A"/>
    <w:rsid w:val="00B17A23"/>
    <w:rsid w:val="00B2034B"/>
    <w:rsid w:val="00B21CA7"/>
    <w:rsid w:val="00B21FA5"/>
    <w:rsid w:val="00B232DF"/>
    <w:rsid w:val="00B24160"/>
    <w:rsid w:val="00B256B3"/>
    <w:rsid w:val="00B26BCC"/>
    <w:rsid w:val="00B27D72"/>
    <w:rsid w:val="00B27DD1"/>
    <w:rsid w:val="00B32125"/>
    <w:rsid w:val="00B32386"/>
    <w:rsid w:val="00B32979"/>
    <w:rsid w:val="00B339AE"/>
    <w:rsid w:val="00B340AF"/>
    <w:rsid w:val="00B34ADE"/>
    <w:rsid w:val="00B355D5"/>
    <w:rsid w:val="00B359F4"/>
    <w:rsid w:val="00B3684B"/>
    <w:rsid w:val="00B4151F"/>
    <w:rsid w:val="00B434D8"/>
    <w:rsid w:val="00B45169"/>
    <w:rsid w:val="00B45D5D"/>
    <w:rsid w:val="00B46C00"/>
    <w:rsid w:val="00B47587"/>
    <w:rsid w:val="00B50505"/>
    <w:rsid w:val="00B54291"/>
    <w:rsid w:val="00B5555C"/>
    <w:rsid w:val="00B5698C"/>
    <w:rsid w:val="00B579C3"/>
    <w:rsid w:val="00B609C0"/>
    <w:rsid w:val="00B61433"/>
    <w:rsid w:val="00B6500F"/>
    <w:rsid w:val="00B6604D"/>
    <w:rsid w:val="00B66514"/>
    <w:rsid w:val="00B67ECE"/>
    <w:rsid w:val="00B70004"/>
    <w:rsid w:val="00B70027"/>
    <w:rsid w:val="00B71833"/>
    <w:rsid w:val="00B746DD"/>
    <w:rsid w:val="00B8069B"/>
    <w:rsid w:val="00B81463"/>
    <w:rsid w:val="00B81A01"/>
    <w:rsid w:val="00B82C76"/>
    <w:rsid w:val="00B831E1"/>
    <w:rsid w:val="00B85852"/>
    <w:rsid w:val="00B86440"/>
    <w:rsid w:val="00B87BFB"/>
    <w:rsid w:val="00B92F83"/>
    <w:rsid w:val="00B93224"/>
    <w:rsid w:val="00B93701"/>
    <w:rsid w:val="00BA10DB"/>
    <w:rsid w:val="00BA1378"/>
    <w:rsid w:val="00BA1981"/>
    <w:rsid w:val="00BA525A"/>
    <w:rsid w:val="00BA6665"/>
    <w:rsid w:val="00BA6819"/>
    <w:rsid w:val="00BA73CD"/>
    <w:rsid w:val="00BB221C"/>
    <w:rsid w:val="00BB3917"/>
    <w:rsid w:val="00BB700D"/>
    <w:rsid w:val="00BC25FD"/>
    <w:rsid w:val="00BC3613"/>
    <w:rsid w:val="00BC49AE"/>
    <w:rsid w:val="00BC5089"/>
    <w:rsid w:val="00BD1888"/>
    <w:rsid w:val="00BD26E6"/>
    <w:rsid w:val="00BD43A2"/>
    <w:rsid w:val="00BD449D"/>
    <w:rsid w:val="00BD6616"/>
    <w:rsid w:val="00BD72A0"/>
    <w:rsid w:val="00BD7E0B"/>
    <w:rsid w:val="00BE047B"/>
    <w:rsid w:val="00BE0F21"/>
    <w:rsid w:val="00BE1286"/>
    <w:rsid w:val="00BE12A7"/>
    <w:rsid w:val="00BE15BD"/>
    <w:rsid w:val="00BE21E3"/>
    <w:rsid w:val="00BE55C2"/>
    <w:rsid w:val="00BE65FF"/>
    <w:rsid w:val="00BE6D84"/>
    <w:rsid w:val="00BE6EC0"/>
    <w:rsid w:val="00BE74DC"/>
    <w:rsid w:val="00BE7631"/>
    <w:rsid w:val="00BF0835"/>
    <w:rsid w:val="00BF5400"/>
    <w:rsid w:val="00BF620E"/>
    <w:rsid w:val="00BF6CD4"/>
    <w:rsid w:val="00BF71E7"/>
    <w:rsid w:val="00C000C1"/>
    <w:rsid w:val="00C015B7"/>
    <w:rsid w:val="00C03B5A"/>
    <w:rsid w:val="00C03FD9"/>
    <w:rsid w:val="00C06F6C"/>
    <w:rsid w:val="00C07B43"/>
    <w:rsid w:val="00C11843"/>
    <w:rsid w:val="00C14753"/>
    <w:rsid w:val="00C17E63"/>
    <w:rsid w:val="00C20749"/>
    <w:rsid w:val="00C211E8"/>
    <w:rsid w:val="00C22E98"/>
    <w:rsid w:val="00C23C5F"/>
    <w:rsid w:val="00C26594"/>
    <w:rsid w:val="00C267B6"/>
    <w:rsid w:val="00C26F7B"/>
    <w:rsid w:val="00C272A1"/>
    <w:rsid w:val="00C27C48"/>
    <w:rsid w:val="00C27F92"/>
    <w:rsid w:val="00C34A1F"/>
    <w:rsid w:val="00C371D0"/>
    <w:rsid w:val="00C404E1"/>
    <w:rsid w:val="00C41071"/>
    <w:rsid w:val="00C4497B"/>
    <w:rsid w:val="00C44DC2"/>
    <w:rsid w:val="00C459D2"/>
    <w:rsid w:val="00C45D73"/>
    <w:rsid w:val="00C50F4A"/>
    <w:rsid w:val="00C53C3F"/>
    <w:rsid w:val="00C54A09"/>
    <w:rsid w:val="00C54A52"/>
    <w:rsid w:val="00C54B19"/>
    <w:rsid w:val="00C561C3"/>
    <w:rsid w:val="00C608A2"/>
    <w:rsid w:val="00C60CC1"/>
    <w:rsid w:val="00C60F84"/>
    <w:rsid w:val="00C6104E"/>
    <w:rsid w:val="00C613DE"/>
    <w:rsid w:val="00C61FA2"/>
    <w:rsid w:val="00C62006"/>
    <w:rsid w:val="00C627A1"/>
    <w:rsid w:val="00C656F7"/>
    <w:rsid w:val="00C65CE3"/>
    <w:rsid w:val="00C72CEF"/>
    <w:rsid w:val="00C748E2"/>
    <w:rsid w:val="00C754B5"/>
    <w:rsid w:val="00C756A4"/>
    <w:rsid w:val="00C773A8"/>
    <w:rsid w:val="00C83386"/>
    <w:rsid w:val="00C83D41"/>
    <w:rsid w:val="00C83E22"/>
    <w:rsid w:val="00C84692"/>
    <w:rsid w:val="00C903F3"/>
    <w:rsid w:val="00C9176A"/>
    <w:rsid w:val="00C919EB"/>
    <w:rsid w:val="00C92F6B"/>
    <w:rsid w:val="00C95D5F"/>
    <w:rsid w:val="00C96596"/>
    <w:rsid w:val="00CA3128"/>
    <w:rsid w:val="00CA47E3"/>
    <w:rsid w:val="00CA5DC8"/>
    <w:rsid w:val="00CA6160"/>
    <w:rsid w:val="00CA6963"/>
    <w:rsid w:val="00CA6AB4"/>
    <w:rsid w:val="00CA72FB"/>
    <w:rsid w:val="00CA7AE0"/>
    <w:rsid w:val="00CB0437"/>
    <w:rsid w:val="00CB10F0"/>
    <w:rsid w:val="00CB1B70"/>
    <w:rsid w:val="00CB23A6"/>
    <w:rsid w:val="00CB2A41"/>
    <w:rsid w:val="00CB5F7D"/>
    <w:rsid w:val="00CC1A6F"/>
    <w:rsid w:val="00CC3BB6"/>
    <w:rsid w:val="00CC49BC"/>
    <w:rsid w:val="00CC6E66"/>
    <w:rsid w:val="00CD10C6"/>
    <w:rsid w:val="00CD3FB4"/>
    <w:rsid w:val="00CD4CE0"/>
    <w:rsid w:val="00CD758D"/>
    <w:rsid w:val="00CE05E5"/>
    <w:rsid w:val="00CE4A1E"/>
    <w:rsid w:val="00CE6D89"/>
    <w:rsid w:val="00CF3C07"/>
    <w:rsid w:val="00CF461A"/>
    <w:rsid w:val="00CF7FBC"/>
    <w:rsid w:val="00D0208A"/>
    <w:rsid w:val="00D0313B"/>
    <w:rsid w:val="00D06793"/>
    <w:rsid w:val="00D149D5"/>
    <w:rsid w:val="00D159E3"/>
    <w:rsid w:val="00D15E68"/>
    <w:rsid w:val="00D17577"/>
    <w:rsid w:val="00D2101E"/>
    <w:rsid w:val="00D21F20"/>
    <w:rsid w:val="00D228BD"/>
    <w:rsid w:val="00D22A90"/>
    <w:rsid w:val="00D23551"/>
    <w:rsid w:val="00D23966"/>
    <w:rsid w:val="00D24779"/>
    <w:rsid w:val="00D262D0"/>
    <w:rsid w:val="00D31601"/>
    <w:rsid w:val="00D31B1B"/>
    <w:rsid w:val="00D3335F"/>
    <w:rsid w:val="00D36EF9"/>
    <w:rsid w:val="00D375CA"/>
    <w:rsid w:val="00D37B16"/>
    <w:rsid w:val="00D4047C"/>
    <w:rsid w:val="00D41B6E"/>
    <w:rsid w:val="00D43E1E"/>
    <w:rsid w:val="00D46762"/>
    <w:rsid w:val="00D502E1"/>
    <w:rsid w:val="00D526EB"/>
    <w:rsid w:val="00D5289E"/>
    <w:rsid w:val="00D60F84"/>
    <w:rsid w:val="00D6115B"/>
    <w:rsid w:val="00D64ED9"/>
    <w:rsid w:val="00D652F8"/>
    <w:rsid w:val="00D77A51"/>
    <w:rsid w:val="00D80CC1"/>
    <w:rsid w:val="00D8223C"/>
    <w:rsid w:val="00D84F75"/>
    <w:rsid w:val="00D90692"/>
    <w:rsid w:val="00D91F03"/>
    <w:rsid w:val="00D91F9E"/>
    <w:rsid w:val="00D93BDD"/>
    <w:rsid w:val="00D948AE"/>
    <w:rsid w:val="00D955FE"/>
    <w:rsid w:val="00DA34C2"/>
    <w:rsid w:val="00DA396B"/>
    <w:rsid w:val="00DA5B51"/>
    <w:rsid w:val="00DB0E64"/>
    <w:rsid w:val="00DB25CE"/>
    <w:rsid w:val="00DB4F09"/>
    <w:rsid w:val="00DB6442"/>
    <w:rsid w:val="00DB6DFA"/>
    <w:rsid w:val="00DB7C80"/>
    <w:rsid w:val="00DC0BF3"/>
    <w:rsid w:val="00DC13F8"/>
    <w:rsid w:val="00DC1CDE"/>
    <w:rsid w:val="00DC481D"/>
    <w:rsid w:val="00DC5C0A"/>
    <w:rsid w:val="00DC7119"/>
    <w:rsid w:val="00DD05AC"/>
    <w:rsid w:val="00DD078B"/>
    <w:rsid w:val="00DD1B59"/>
    <w:rsid w:val="00DD2462"/>
    <w:rsid w:val="00DD39FD"/>
    <w:rsid w:val="00DD4684"/>
    <w:rsid w:val="00DD53EF"/>
    <w:rsid w:val="00DD5D6E"/>
    <w:rsid w:val="00DE0841"/>
    <w:rsid w:val="00DE11C4"/>
    <w:rsid w:val="00DE2CD3"/>
    <w:rsid w:val="00DE2F1E"/>
    <w:rsid w:val="00DE5181"/>
    <w:rsid w:val="00DE73C9"/>
    <w:rsid w:val="00DF0BF7"/>
    <w:rsid w:val="00DF2BD3"/>
    <w:rsid w:val="00DF55D8"/>
    <w:rsid w:val="00DF59AD"/>
    <w:rsid w:val="00DF5FE1"/>
    <w:rsid w:val="00E0041C"/>
    <w:rsid w:val="00E0082B"/>
    <w:rsid w:val="00E00FEE"/>
    <w:rsid w:val="00E01A79"/>
    <w:rsid w:val="00E01AA2"/>
    <w:rsid w:val="00E023E6"/>
    <w:rsid w:val="00E03B42"/>
    <w:rsid w:val="00E04E13"/>
    <w:rsid w:val="00E0514D"/>
    <w:rsid w:val="00E06D5B"/>
    <w:rsid w:val="00E07EFD"/>
    <w:rsid w:val="00E11FC5"/>
    <w:rsid w:val="00E134AB"/>
    <w:rsid w:val="00E13CDF"/>
    <w:rsid w:val="00E13EEE"/>
    <w:rsid w:val="00E15F77"/>
    <w:rsid w:val="00E16ED2"/>
    <w:rsid w:val="00E17095"/>
    <w:rsid w:val="00E203BE"/>
    <w:rsid w:val="00E21E7B"/>
    <w:rsid w:val="00E22E81"/>
    <w:rsid w:val="00E2403F"/>
    <w:rsid w:val="00E261FE"/>
    <w:rsid w:val="00E27CD3"/>
    <w:rsid w:val="00E32404"/>
    <w:rsid w:val="00E33116"/>
    <w:rsid w:val="00E337B2"/>
    <w:rsid w:val="00E339DF"/>
    <w:rsid w:val="00E33F86"/>
    <w:rsid w:val="00E34DCD"/>
    <w:rsid w:val="00E3529E"/>
    <w:rsid w:val="00E362CD"/>
    <w:rsid w:val="00E379D1"/>
    <w:rsid w:val="00E4061B"/>
    <w:rsid w:val="00E406EC"/>
    <w:rsid w:val="00E40B0B"/>
    <w:rsid w:val="00E41202"/>
    <w:rsid w:val="00E43ABA"/>
    <w:rsid w:val="00E45538"/>
    <w:rsid w:val="00E458BF"/>
    <w:rsid w:val="00E45BE5"/>
    <w:rsid w:val="00E4667A"/>
    <w:rsid w:val="00E52B6A"/>
    <w:rsid w:val="00E55109"/>
    <w:rsid w:val="00E647D3"/>
    <w:rsid w:val="00E669C5"/>
    <w:rsid w:val="00E67487"/>
    <w:rsid w:val="00E7086D"/>
    <w:rsid w:val="00E70BF5"/>
    <w:rsid w:val="00E70F59"/>
    <w:rsid w:val="00E71175"/>
    <w:rsid w:val="00E76D53"/>
    <w:rsid w:val="00E77629"/>
    <w:rsid w:val="00E81A6B"/>
    <w:rsid w:val="00E81AC5"/>
    <w:rsid w:val="00E846DE"/>
    <w:rsid w:val="00E851E8"/>
    <w:rsid w:val="00E87631"/>
    <w:rsid w:val="00E87DB7"/>
    <w:rsid w:val="00E92008"/>
    <w:rsid w:val="00E94268"/>
    <w:rsid w:val="00E9618A"/>
    <w:rsid w:val="00E96AEC"/>
    <w:rsid w:val="00EA10F2"/>
    <w:rsid w:val="00EA130B"/>
    <w:rsid w:val="00EA52A7"/>
    <w:rsid w:val="00EA7AD2"/>
    <w:rsid w:val="00EB0765"/>
    <w:rsid w:val="00EB285E"/>
    <w:rsid w:val="00EB3A95"/>
    <w:rsid w:val="00EB5A96"/>
    <w:rsid w:val="00EB5F22"/>
    <w:rsid w:val="00EB66D9"/>
    <w:rsid w:val="00EC0903"/>
    <w:rsid w:val="00EC28A1"/>
    <w:rsid w:val="00EC4284"/>
    <w:rsid w:val="00EC55E7"/>
    <w:rsid w:val="00EC63BC"/>
    <w:rsid w:val="00ED24C7"/>
    <w:rsid w:val="00ED35B9"/>
    <w:rsid w:val="00ED3C4C"/>
    <w:rsid w:val="00ED4E1F"/>
    <w:rsid w:val="00ED4E31"/>
    <w:rsid w:val="00ED5574"/>
    <w:rsid w:val="00ED595F"/>
    <w:rsid w:val="00ED746E"/>
    <w:rsid w:val="00EE1826"/>
    <w:rsid w:val="00EE1CC1"/>
    <w:rsid w:val="00EE213C"/>
    <w:rsid w:val="00EE2913"/>
    <w:rsid w:val="00EE3472"/>
    <w:rsid w:val="00EE4092"/>
    <w:rsid w:val="00EE4A08"/>
    <w:rsid w:val="00EE6DE6"/>
    <w:rsid w:val="00EE72A1"/>
    <w:rsid w:val="00EF12C7"/>
    <w:rsid w:val="00EF1472"/>
    <w:rsid w:val="00EF438A"/>
    <w:rsid w:val="00EF760E"/>
    <w:rsid w:val="00EF7988"/>
    <w:rsid w:val="00F011F6"/>
    <w:rsid w:val="00F068EE"/>
    <w:rsid w:val="00F103D4"/>
    <w:rsid w:val="00F1259C"/>
    <w:rsid w:val="00F16C48"/>
    <w:rsid w:val="00F16F33"/>
    <w:rsid w:val="00F241F1"/>
    <w:rsid w:val="00F24744"/>
    <w:rsid w:val="00F2691E"/>
    <w:rsid w:val="00F271C8"/>
    <w:rsid w:val="00F30ACE"/>
    <w:rsid w:val="00F3202B"/>
    <w:rsid w:val="00F32A0A"/>
    <w:rsid w:val="00F32C59"/>
    <w:rsid w:val="00F36743"/>
    <w:rsid w:val="00F36E8E"/>
    <w:rsid w:val="00F377DD"/>
    <w:rsid w:val="00F40743"/>
    <w:rsid w:val="00F422CA"/>
    <w:rsid w:val="00F42984"/>
    <w:rsid w:val="00F43529"/>
    <w:rsid w:val="00F43C04"/>
    <w:rsid w:val="00F44964"/>
    <w:rsid w:val="00F44C84"/>
    <w:rsid w:val="00F52CE4"/>
    <w:rsid w:val="00F533D3"/>
    <w:rsid w:val="00F53AD0"/>
    <w:rsid w:val="00F5588E"/>
    <w:rsid w:val="00F558F2"/>
    <w:rsid w:val="00F55BA5"/>
    <w:rsid w:val="00F56379"/>
    <w:rsid w:val="00F61F13"/>
    <w:rsid w:val="00F636D8"/>
    <w:rsid w:val="00F63B62"/>
    <w:rsid w:val="00F667B8"/>
    <w:rsid w:val="00F66B07"/>
    <w:rsid w:val="00F70A90"/>
    <w:rsid w:val="00F70AC9"/>
    <w:rsid w:val="00F713EB"/>
    <w:rsid w:val="00F71FCA"/>
    <w:rsid w:val="00F73234"/>
    <w:rsid w:val="00F732A1"/>
    <w:rsid w:val="00F77A5C"/>
    <w:rsid w:val="00F808CF"/>
    <w:rsid w:val="00F83E2C"/>
    <w:rsid w:val="00F86EEC"/>
    <w:rsid w:val="00F87A58"/>
    <w:rsid w:val="00F90A22"/>
    <w:rsid w:val="00F90A40"/>
    <w:rsid w:val="00F91BE0"/>
    <w:rsid w:val="00F92A99"/>
    <w:rsid w:val="00F93D34"/>
    <w:rsid w:val="00F943A6"/>
    <w:rsid w:val="00F94548"/>
    <w:rsid w:val="00F9479D"/>
    <w:rsid w:val="00F96DE9"/>
    <w:rsid w:val="00F96F44"/>
    <w:rsid w:val="00F977AD"/>
    <w:rsid w:val="00FA3D03"/>
    <w:rsid w:val="00FA50ED"/>
    <w:rsid w:val="00FB2995"/>
    <w:rsid w:val="00FB48BD"/>
    <w:rsid w:val="00FB4AC0"/>
    <w:rsid w:val="00FB4C03"/>
    <w:rsid w:val="00FB6CEC"/>
    <w:rsid w:val="00FB757D"/>
    <w:rsid w:val="00FB7C28"/>
    <w:rsid w:val="00FC0C1B"/>
    <w:rsid w:val="00FC2DD3"/>
    <w:rsid w:val="00FC2ED4"/>
    <w:rsid w:val="00FC7E7D"/>
    <w:rsid w:val="00FD0BE1"/>
    <w:rsid w:val="00FD0E42"/>
    <w:rsid w:val="00FD42A4"/>
    <w:rsid w:val="00FD6775"/>
    <w:rsid w:val="00FD7057"/>
    <w:rsid w:val="00FE18DD"/>
    <w:rsid w:val="00FE22F2"/>
    <w:rsid w:val="00FE2627"/>
    <w:rsid w:val="00FE2ABB"/>
    <w:rsid w:val="00FE7897"/>
    <w:rsid w:val="00FF01DF"/>
    <w:rsid w:val="00FF05FB"/>
    <w:rsid w:val="00FF1C61"/>
    <w:rsid w:val="00FF20DE"/>
    <w:rsid w:val="00FF2313"/>
    <w:rsid w:val="00FF2478"/>
    <w:rsid w:val="00FF2802"/>
    <w:rsid w:val="00FF564C"/>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FA60F"/>
  <w15:docId w15:val="{864D9C93-9640-4C40-900F-9470C628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E1"/>
    <w:pPr>
      <w:ind w:left="720"/>
      <w:contextualSpacing/>
    </w:pPr>
  </w:style>
  <w:style w:type="character" w:styleId="CommentReference">
    <w:name w:val="annotation reference"/>
    <w:basedOn w:val="DefaultParagraphFont"/>
    <w:uiPriority w:val="99"/>
    <w:semiHidden/>
    <w:unhideWhenUsed/>
    <w:rsid w:val="00927809"/>
    <w:rPr>
      <w:sz w:val="16"/>
      <w:szCs w:val="16"/>
    </w:rPr>
  </w:style>
  <w:style w:type="paragraph" w:styleId="CommentText">
    <w:name w:val="annotation text"/>
    <w:basedOn w:val="Normal"/>
    <w:link w:val="CommentTextChar"/>
    <w:uiPriority w:val="99"/>
    <w:unhideWhenUsed/>
    <w:rsid w:val="00927809"/>
    <w:pPr>
      <w:spacing w:line="240" w:lineRule="auto"/>
    </w:pPr>
    <w:rPr>
      <w:sz w:val="20"/>
      <w:szCs w:val="20"/>
    </w:rPr>
  </w:style>
  <w:style w:type="character" w:customStyle="1" w:styleId="CommentTextChar">
    <w:name w:val="Comment Text Char"/>
    <w:basedOn w:val="DefaultParagraphFont"/>
    <w:link w:val="CommentText"/>
    <w:uiPriority w:val="99"/>
    <w:rsid w:val="00927809"/>
    <w:rPr>
      <w:sz w:val="20"/>
      <w:szCs w:val="20"/>
    </w:rPr>
  </w:style>
  <w:style w:type="paragraph" w:styleId="CommentSubject">
    <w:name w:val="annotation subject"/>
    <w:basedOn w:val="CommentText"/>
    <w:next w:val="CommentText"/>
    <w:link w:val="CommentSubjectChar"/>
    <w:uiPriority w:val="99"/>
    <w:semiHidden/>
    <w:unhideWhenUsed/>
    <w:rsid w:val="00927809"/>
    <w:rPr>
      <w:b/>
      <w:bCs/>
    </w:rPr>
  </w:style>
  <w:style w:type="character" w:customStyle="1" w:styleId="CommentSubjectChar">
    <w:name w:val="Comment Subject Char"/>
    <w:basedOn w:val="CommentTextChar"/>
    <w:link w:val="CommentSubject"/>
    <w:uiPriority w:val="99"/>
    <w:semiHidden/>
    <w:rsid w:val="00927809"/>
    <w:rPr>
      <w:b/>
      <w:bCs/>
      <w:sz w:val="20"/>
      <w:szCs w:val="20"/>
    </w:rPr>
  </w:style>
  <w:style w:type="paragraph" w:styleId="BalloonText">
    <w:name w:val="Balloon Text"/>
    <w:basedOn w:val="Normal"/>
    <w:link w:val="BalloonTextChar"/>
    <w:uiPriority w:val="99"/>
    <w:semiHidden/>
    <w:unhideWhenUsed/>
    <w:rsid w:val="0092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809"/>
    <w:rPr>
      <w:rFonts w:ascii="Tahoma" w:hAnsi="Tahoma" w:cs="Tahoma"/>
      <w:sz w:val="16"/>
      <w:szCs w:val="16"/>
    </w:rPr>
  </w:style>
  <w:style w:type="paragraph" w:styleId="FootnoteText">
    <w:name w:val="footnote text"/>
    <w:basedOn w:val="Normal"/>
    <w:link w:val="FootnoteTextChar"/>
    <w:uiPriority w:val="99"/>
    <w:unhideWhenUsed/>
    <w:rsid w:val="00806498"/>
    <w:pPr>
      <w:spacing w:after="0" w:line="240" w:lineRule="auto"/>
    </w:pPr>
    <w:rPr>
      <w:sz w:val="20"/>
      <w:szCs w:val="20"/>
    </w:rPr>
  </w:style>
  <w:style w:type="character" w:customStyle="1" w:styleId="FootnoteTextChar">
    <w:name w:val="Footnote Text Char"/>
    <w:basedOn w:val="DefaultParagraphFont"/>
    <w:link w:val="FootnoteText"/>
    <w:uiPriority w:val="99"/>
    <w:rsid w:val="00806498"/>
    <w:rPr>
      <w:sz w:val="20"/>
      <w:szCs w:val="20"/>
    </w:rPr>
  </w:style>
  <w:style w:type="character" w:styleId="FootnoteReference">
    <w:name w:val="footnote reference"/>
    <w:basedOn w:val="DefaultParagraphFont"/>
    <w:uiPriority w:val="99"/>
    <w:unhideWhenUsed/>
    <w:rsid w:val="00806498"/>
    <w:rPr>
      <w:vertAlign w:val="superscript"/>
    </w:rPr>
  </w:style>
  <w:style w:type="paragraph" w:styleId="Revision">
    <w:name w:val="Revision"/>
    <w:hidden/>
    <w:uiPriority w:val="99"/>
    <w:semiHidden/>
    <w:rsid w:val="006A09CE"/>
    <w:pPr>
      <w:spacing w:after="0" w:line="240" w:lineRule="auto"/>
    </w:pPr>
  </w:style>
  <w:style w:type="paragraph" w:styleId="Header">
    <w:name w:val="header"/>
    <w:basedOn w:val="Normal"/>
    <w:link w:val="HeaderChar"/>
    <w:uiPriority w:val="99"/>
    <w:unhideWhenUsed/>
    <w:rsid w:val="004B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B05"/>
  </w:style>
  <w:style w:type="paragraph" w:styleId="Footer">
    <w:name w:val="footer"/>
    <w:basedOn w:val="Normal"/>
    <w:link w:val="FooterChar"/>
    <w:uiPriority w:val="99"/>
    <w:unhideWhenUsed/>
    <w:rsid w:val="004B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B05"/>
  </w:style>
  <w:style w:type="character" w:styleId="Hyperlink">
    <w:name w:val="Hyperlink"/>
    <w:basedOn w:val="DefaultParagraphFont"/>
    <w:uiPriority w:val="99"/>
    <w:unhideWhenUsed/>
    <w:rsid w:val="000374F3"/>
    <w:rPr>
      <w:color w:val="0563C1" w:themeColor="hyperlink"/>
      <w:u w:val="single"/>
    </w:rPr>
  </w:style>
  <w:style w:type="character" w:customStyle="1" w:styleId="UnresolvedMention1">
    <w:name w:val="Unresolved Mention1"/>
    <w:basedOn w:val="DefaultParagraphFont"/>
    <w:uiPriority w:val="99"/>
    <w:semiHidden/>
    <w:unhideWhenUsed/>
    <w:rsid w:val="000374F3"/>
    <w:rPr>
      <w:color w:val="605E5C"/>
      <w:shd w:val="clear" w:color="auto" w:fill="E1DFDD"/>
    </w:rPr>
  </w:style>
  <w:style w:type="character" w:customStyle="1" w:styleId="UnresolvedMention2">
    <w:name w:val="Unresolved Mention2"/>
    <w:basedOn w:val="DefaultParagraphFont"/>
    <w:uiPriority w:val="99"/>
    <w:semiHidden/>
    <w:unhideWhenUsed/>
    <w:rsid w:val="004A060F"/>
    <w:rPr>
      <w:color w:val="605E5C"/>
      <w:shd w:val="clear" w:color="auto" w:fill="E1DFDD"/>
    </w:rPr>
  </w:style>
  <w:style w:type="character" w:styleId="SubtleEmphasis">
    <w:name w:val="Subtle Emphasis"/>
    <w:basedOn w:val="DefaultParagraphFont"/>
    <w:uiPriority w:val="19"/>
    <w:qFormat/>
    <w:rsid w:val="0035745A"/>
    <w:rPr>
      <w:i/>
      <w:iCs/>
      <w:color w:val="404040" w:themeColor="text1" w:themeTint="BF"/>
    </w:rPr>
  </w:style>
  <w:style w:type="character" w:customStyle="1" w:styleId="UnresolvedMention3">
    <w:name w:val="Unresolved Mention3"/>
    <w:basedOn w:val="DefaultParagraphFont"/>
    <w:uiPriority w:val="99"/>
    <w:semiHidden/>
    <w:unhideWhenUsed/>
    <w:rsid w:val="005D3E30"/>
    <w:rPr>
      <w:color w:val="605E5C"/>
      <w:shd w:val="clear" w:color="auto" w:fill="E1DFDD"/>
    </w:rPr>
  </w:style>
  <w:style w:type="character" w:styleId="Emphasis">
    <w:name w:val="Emphasis"/>
    <w:basedOn w:val="DefaultParagraphFont"/>
    <w:uiPriority w:val="20"/>
    <w:qFormat/>
    <w:rsid w:val="0002162A"/>
    <w:rPr>
      <w:i/>
      <w:iCs/>
    </w:rPr>
  </w:style>
  <w:style w:type="character" w:customStyle="1" w:styleId="UnresolvedMention4">
    <w:name w:val="Unresolved Mention4"/>
    <w:basedOn w:val="DefaultParagraphFont"/>
    <w:uiPriority w:val="99"/>
    <w:semiHidden/>
    <w:unhideWhenUsed/>
    <w:rsid w:val="008E6439"/>
    <w:rPr>
      <w:color w:val="605E5C"/>
      <w:shd w:val="clear" w:color="auto" w:fill="E1DFDD"/>
    </w:rPr>
  </w:style>
  <w:style w:type="character" w:customStyle="1" w:styleId="cf01">
    <w:name w:val="cf01"/>
    <w:basedOn w:val="DefaultParagraphFont"/>
    <w:rsid w:val="00C17E63"/>
    <w:rPr>
      <w:rFonts w:ascii="Segoe UI" w:hAnsi="Segoe UI" w:cs="Segoe UI" w:hint="default"/>
      <w:sz w:val="18"/>
      <w:szCs w:val="18"/>
    </w:rPr>
  </w:style>
  <w:style w:type="character" w:styleId="UnresolvedMention">
    <w:name w:val="Unresolved Mention"/>
    <w:basedOn w:val="DefaultParagraphFont"/>
    <w:uiPriority w:val="99"/>
    <w:semiHidden/>
    <w:unhideWhenUsed/>
    <w:rsid w:val="005F1E90"/>
    <w:rPr>
      <w:color w:val="605E5C"/>
      <w:shd w:val="clear" w:color="auto" w:fill="E1DFDD"/>
    </w:rPr>
  </w:style>
  <w:style w:type="character" w:styleId="PageNumber">
    <w:name w:val="page number"/>
    <w:basedOn w:val="DefaultParagraphFont"/>
    <w:uiPriority w:val="99"/>
    <w:semiHidden/>
    <w:unhideWhenUsed/>
    <w:rsid w:val="0022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4090">
      <w:bodyDiv w:val="1"/>
      <w:marLeft w:val="0"/>
      <w:marRight w:val="0"/>
      <w:marTop w:val="0"/>
      <w:marBottom w:val="0"/>
      <w:divBdr>
        <w:top w:val="none" w:sz="0" w:space="0" w:color="auto"/>
        <w:left w:val="none" w:sz="0" w:space="0" w:color="auto"/>
        <w:bottom w:val="none" w:sz="0" w:space="0" w:color="auto"/>
        <w:right w:val="none" w:sz="0" w:space="0" w:color="auto"/>
      </w:divBdr>
    </w:div>
    <w:div w:id="270433065">
      <w:bodyDiv w:val="1"/>
      <w:marLeft w:val="0"/>
      <w:marRight w:val="0"/>
      <w:marTop w:val="0"/>
      <w:marBottom w:val="0"/>
      <w:divBdr>
        <w:top w:val="none" w:sz="0" w:space="0" w:color="auto"/>
        <w:left w:val="none" w:sz="0" w:space="0" w:color="auto"/>
        <w:bottom w:val="none" w:sz="0" w:space="0" w:color="auto"/>
        <w:right w:val="none" w:sz="0" w:space="0" w:color="auto"/>
      </w:divBdr>
    </w:div>
    <w:div w:id="484320625">
      <w:bodyDiv w:val="1"/>
      <w:marLeft w:val="0"/>
      <w:marRight w:val="0"/>
      <w:marTop w:val="0"/>
      <w:marBottom w:val="0"/>
      <w:divBdr>
        <w:top w:val="none" w:sz="0" w:space="0" w:color="auto"/>
        <w:left w:val="none" w:sz="0" w:space="0" w:color="auto"/>
        <w:bottom w:val="none" w:sz="0" w:space="0" w:color="auto"/>
        <w:right w:val="none" w:sz="0" w:space="0" w:color="auto"/>
      </w:divBdr>
    </w:div>
    <w:div w:id="496501620">
      <w:bodyDiv w:val="1"/>
      <w:marLeft w:val="0"/>
      <w:marRight w:val="0"/>
      <w:marTop w:val="0"/>
      <w:marBottom w:val="0"/>
      <w:divBdr>
        <w:top w:val="none" w:sz="0" w:space="0" w:color="auto"/>
        <w:left w:val="none" w:sz="0" w:space="0" w:color="auto"/>
        <w:bottom w:val="none" w:sz="0" w:space="0" w:color="auto"/>
        <w:right w:val="none" w:sz="0" w:space="0" w:color="auto"/>
      </w:divBdr>
    </w:div>
    <w:div w:id="773784666">
      <w:bodyDiv w:val="1"/>
      <w:marLeft w:val="0"/>
      <w:marRight w:val="0"/>
      <w:marTop w:val="0"/>
      <w:marBottom w:val="0"/>
      <w:divBdr>
        <w:top w:val="none" w:sz="0" w:space="0" w:color="auto"/>
        <w:left w:val="none" w:sz="0" w:space="0" w:color="auto"/>
        <w:bottom w:val="none" w:sz="0" w:space="0" w:color="auto"/>
        <w:right w:val="none" w:sz="0" w:space="0" w:color="auto"/>
      </w:divBdr>
    </w:div>
    <w:div w:id="814906138">
      <w:bodyDiv w:val="1"/>
      <w:marLeft w:val="0"/>
      <w:marRight w:val="0"/>
      <w:marTop w:val="0"/>
      <w:marBottom w:val="0"/>
      <w:divBdr>
        <w:top w:val="none" w:sz="0" w:space="0" w:color="auto"/>
        <w:left w:val="none" w:sz="0" w:space="0" w:color="auto"/>
        <w:bottom w:val="none" w:sz="0" w:space="0" w:color="auto"/>
        <w:right w:val="none" w:sz="0" w:space="0" w:color="auto"/>
      </w:divBdr>
    </w:div>
    <w:div w:id="903688208">
      <w:bodyDiv w:val="1"/>
      <w:marLeft w:val="0"/>
      <w:marRight w:val="0"/>
      <w:marTop w:val="0"/>
      <w:marBottom w:val="0"/>
      <w:divBdr>
        <w:top w:val="none" w:sz="0" w:space="0" w:color="auto"/>
        <w:left w:val="none" w:sz="0" w:space="0" w:color="auto"/>
        <w:bottom w:val="none" w:sz="0" w:space="0" w:color="auto"/>
        <w:right w:val="none" w:sz="0" w:space="0" w:color="auto"/>
      </w:divBdr>
    </w:div>
    <w:div w:id="1260915112">
      <w:bodyDiv w:val="1"/>
      <w:marLeft w:val="0"/>
      <w:marRight w:val="0"/>
      <w:marTop w:val="0"/>
      <w:marBottom w:val="0"/>
      <w:divBdr>
        <w:top w:val="none" w:sz="0" w:space="0" w:color="auto"/>
        <w:left w:val="none" w:sz="0" w:space="0" w:color="auto"/>
        <w:bottom w:val="none" w:sz="0" w:space="0" w:color="auto"/>
        <w:right w:val="none" w:sz="0" w:space="0" w:color="auto"/>
      </w:divBdr>
    </w:div>
    <w:div w:id="1269003693">
      <w:bodyDiv w:val="1"/>
      <w:marLeft w:val="0"/>
      <w:marRight w:val="0"/>
      <w:marTop w:val="0"/>
      <w:marBottom w:val="0"/>
      <w:divBdr>
        <w:top w:val="none" w:sz="0" w:space="0" w:color="auto"/>
        <w:left w:val="none" w:sz="0" w:space="0" w:color="auto"/>
        <w:bottom w:val="none" w:sz="0" w:space="0" w:color="auto"/>
        <w:right w:val="none" w:sz="0" w:space="0" w:color="auto"/>
      </w:divBdr>
    </w:div>
    <w:div w:id="1298074868">
      <w:bodyDiv w:val="1"/>
      <w:marLeft w:val="0"/>
      <w:marRight w:val="0"/>
      <w:marTop w:val="0"/>
      <w:marBottom w:val="0"/>
      <w:divBdr>
        <w:top w:val="none" w:sz="0" w:space="0" w:color="auto"/>
        <w:left w:val="none" w:sz="0" w:space="0" w:color="auto"/>
        <w:bottom w:val="none" w:sz="0" w:space="0" w:color="auto"/>
        <w:right w:val="none" w:sz="0" w:space="0" w:color="auto"/>
      </w:divBdr>
    </w:div>
    <w:div w:id="1380007880">
      <w:bodyDiv w:val="1"/>
      <w:marLeft w:val="0"/>
      <w:marRight w:val="0"/>
      <w:marTop w:val="0"/>
      <w:marBottom w:val="0"/>
      <w:divBdr>
        <w:top w:val="none" w:sz="0" w:space="0" w:color="auto"/>
        <w:left w:val="none" w:sz="0" w:space="0" w:color="auto"/>
        <w:bottom w:val="none" w:sz="0" w:space="0" w:color="auto"/>
        <w:right w:val="none" w:sz="0" w:space="0" w:color="auto"/>
      </w:divBdr>
    </w:div>
    <w:div w:id="1422750686">
      <w:bodyDiv w:val="1"/>
      <w:marLeft w:val="0"/>
      <w:marRight w:val="0"/>
      <w:marTop w:val="0"/>
      <w:marBottom w:val="0"/>
      <w:divBdr>
        <w:top w:val="none" w:sz="0" w:space="0" w:color="auto"/>
        <w:left w:val="none" w:sz="0" w:space="0" w:color="auto"/>
        <w:bottom w:val="none" w:sz="0" w:space="0" w:color="auto"/>
        <w:right w:val="none" w:sz="0" w:space="0" w:color="auto"/>
      </w:divBdr>
    </w:div>
    <w:div w:id="1482039236">
      <w:bodyDiv w:val="1"/>
      <w:marLeft w:val="0"/>
      <w:marRight w:val="0"/>
      <w:marTop w:val="0"/>
      <w:marBottom w:val="0"/>
      <w:divBdr>
        <w:top w:val="none" w:sz="0" w:space="0" w:color="auto"/>
        <w:left w:val="none" w:sz="0" w:space="0" w:color="auto"/>
        <w:bottom w:val="none" w:sz="0" w:space="0" w:color="auto"/>
        <w:right w:val="none" w:sz="0" w:space="0" w:color="auto"/>
      </w:divBdr>
    </w:div>
    <w:div w:id="1516311197">
      <w:bodyDiv w:val="1"/>
      <w:marLeft w:val="0"/>
      <w:marRight w:val="0"/>
      <w:marTop w:val="0"/>
      <w:marBottom w:val="0"/>
      <w:divBdr>
        <w:top w:val="none" w:sz="0" w:space="0" w:color="auto"/>
        <w:left w:val="none" w:sz="0" w:space="0" w:color="auto"/>
        <w:bottom w:val="none" w:sz="0" w:space="0" w:color="auto"/>
        <w:right w:val="none" w:sz="0" w:space="0" w:color="auto"/>
      </w:divBdr>
    </w:div>
    <w:div w:id="1594774451">
      <w:bodyDiv w:val="1"/>
      <w:marLeft w:val="0"/>
      <w:marRight w:val="0"/>
      <w:marTop w:val="0"/>
      <w:marBottom w:val="0"/>
      <w:divBdr>
        <w:top w:val="none" w:sz="0" w:space="0" w:color="auto"/>
        <w:left w:val="none" w:sz="0" w:space="0" w:color="auto"/>
        <w:bottom w:val="none" w:sz="0" w:space="0" w:color="auto"/>
        <w:right w:val="none" w:sz="0" w:space="0" w:color="auto"/>
      </w:divBdr>
    </w:div>
    <w:div w:id="1651401334">
      <w:bodyDiv w:val="1"/>
      <w:marLeft w:val="0"/>
      <w:marRight w:val="0"/>
      <w:marTop w:val="0"/>
      <w:marBottom w:val="0"/>
      <w:divBdr>
        <w:top w:val="none" w:sz="0" w:space="0" w:color="auto"/>
        <w:left w:val="none" w:sz="0" w:space="0" w:color="auto"/>
        <w:bottom w:val="none" w:sz="0" w:space="0" w:color="auto"/>
        <w:right w:val="none" w:sz="0" w:space="0" w:color="auto"/>
      </w:divBdr>
    </w:div>
    <w:div w:id="1658728280">
      <w:bodyDiv w:val="1"/>
      <w:marLeft w:val="0"/>
      <w:marRight w:val="0"/>
      <w:marTop w:val="0"/>
      <w:marBottom w:val="0"/>
      <w:divBdr>
        <w:top w:val="none" w:sz="0" w:space="0" w:color="auto"/>
        <w:left w:val="none" w:sz="0" w:space="0" w:color="auto"/>
        <w:bottom w:val="none" w:sz="0" w:space="0" w:color="auto"/>
        <w:right w:val="none" w:sz="0" w:space="0" w:color="auto"/>
      </w:divBdr>
    </w:div>
    <w:div w:id="1801682174">
      <w:bodyDiv w:val="1"/>
      <w:marLeft w:val="0"/>
      <w:marRight w:val="0"/>
      <w:marTop w:val="0"/>
      <w:marBottom w:val="0"/>
      <w:divBdr>
        <w:top w:val="none" w:sz="0" w:space="0" w:color="auto"/>
        <w:left w:val="none" w:sz="0" w:space="0" w:color="auto"/>
        <w:bottom w:val="none" w:sz="0" w:space="0" w:color="auto"/>
        <w:right w:val="none" w:sz="0" w:space="0" w:color="auto"/>
      </w:divBdr>
    </w:div>
    <w:div w:id="1909419001">
      <w:bodyDiv w:val="1"/>
      <w:marLeft w:val="0"/>
      <w:marRight w:val="0"/>
      <w:marTop w:val="0"/>
      <w:marBottom w:val="0"/>
      <w:divBdr>
        <w:top w:val="none" w:sz="0" w:space="0" w:color="auto"/>
        <w:left w:val="none" w:sz="0" w:space="0" w:color="auto"/>
        <w:bottom w:val="none" w:sz="0" w:space="0" w:color="auto"/>
        <w:right w:val="none" w:sz="0" w:space="0" w:color="auto"/>
      </w:divBdr>
    </w:div>
    <w:div w:id="1926920209">
      <w:bodyDiv w:val="1"/>
      <w:marLeft w:val="0"/>
      <w:marRight w:val="0"/>
      <w:marTop w:val="0"/>
      <w:marBottom w:val="0"/>
      <w:divBdr>
        <w:top w:val="none" w:sz="0" w:space="0" w:color="auto"/>
        <w:left w:val="none" w:sz="0" w:space="0" w:color="auto"/>
        <w:bottom w:val="none" w:sz="0" w:space="0" w:color="auto"/>
        <w:right w:val="none" w:sz="0" w:space="0" w:color="auto"/>
      </w:divBdr>
    </w:div>
    <w:div w:id="1951812277">
      <w:bodyDiv w:val="1"/>
      <w:marLeft w:val="0"/>
      <w:marRight w:val="0"/>
      <w:marTop w:val="0"/>
      <w:marBottom w:val="0"/>
      <w:divBdr>
        <w:top w:val="none" w:sz="0" w:space="0" w:color="auto"/>
        <w:left w:val="none" w:sz="0" w:space="0" w:color="auto"/>
        <w:bottom w:val="none" w:sz="0" w:space="0" w:color="auto"/>
        <w:right w:val="none" w:sz="0" w:space="0" w:color="auto"/>
      </w:divBdr>
    </w:div>
    <w:div w:id="19708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jaremski\Desktop\BankCensus\Panic%20of%201907\Panic%20of%201907-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jaremski\Desktop\BankCensus\Panic%20of%201907\Panic%20of%201907-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ropbox\Bank%20Census\Panic%20of%201907-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StateFailures!$J$3:$J$17</c:f>
              <c:strCache>
                <c:ptCount val="15"/>
                <c:pt idx="0">
                  <c:v>Q2_1906</c:v>
                </c:pt>
                <c:pt idx="1">
                  <c:v>Q3_1906</c:v>
                </c:pt>
                <c:pt idx="2">
                  <c:v>Q4_1906</c:v>
                </c:pt>
                <c:pt idx="3">
                  <c:v>Q1_1907</c:v>
                </c:pt>
                <c:pt idx="4">
                  <c:v>Q2_1907</c:v>
                </c:pt>
                <c:pt idx="5">
                  <c:v>Q3_1907</c:v>
                </c:pt>
                <c:pt idx="6">
                  <c:v>Q4_1907</c:v>
                </c:pt>
                <c:pt idx="7">
                  <c:v>Q1_1908</c:v>
                </c:pt>
                <c:pt idx="8">
                  <c:v>Q2_1908</c:v>
                </c:pt>
                <c:pt idx="9">
                  <c:v>Q3_1908</c:v>
                </c:pt>
                <c:pt idx="10">
                  <c:v>Q4_1908</c:v>
                </c:pt>
                <c:pt idx="11">
                  <c:v>Q1_1909</c:v>
                </c:pt>
                <c:pt idx="12">
                  <c:v>Q2_1909</c:v>
                </c:pt>
                <c:pt idx="13">
                  <c:v>Q3_1909</c:v>
                </c:pt>
                <c:pt idx="14">
                  <c:v>Q4_1909</c:v>
                </c:pt>
              </c:strCache>
            </c:strRef>
          </c:cat>
          <c:val>
            <c:numRef>
              <c:f>StateFailures!$K$3:$K$17</c:f>
              <c:numCache>
                <c:formatCode>General</c:formatCode>
                <c:ptCount val="15"/>
                <c:pt idx="0">
                  <c:v>-1.7301359999999999</c:v>
                </c:pt>
                <c:pt idx="1">
                  <c:v>-2.0845919999999998</c:v>
                </c:pt>
                <c:pt idx="2">
                  <c:v>-0.30100529999999998</c:v>
                </c:pt>
                <c:pt idx="3">
                  <c:v>0.4232205</c:v>
                </c:pt>
                <c:pt idx="4">
                  <c:v>-0.21158009999999999</c:v>
                </c:pt>
                <c:pt idx="5">
                  <c:v>-0.5906228</c:v>
                </c:pt>
                <c:pt idx="6">
                  <c:v>-0.161165</c:v>
                </c:pt>
                <c:pt idx="7">
                  <c:v>0.96989199999999998</c:v>
                </c:pt>
                <c:pt idx="8">
                  <c:v>0.69621259999999996</c:v>
                </c:pt>
                <c:pt idx="9">
                  <c:v>0.34247240000000001</c:v>
                </c:pt>
                <c:pt idx="10">
                  <c:v>0.31259589999999998</c:v>
                </c:pt>
                <c:pt idx="11">
                  <c:v>-0.23235339999999999</c:v>
                </c:pt>
                <c:pt idx="12">
                  <c:v>-0.30105680000000001</c:v>
                </c:pt>
                <c:pt idx="13">
                  <c:v>-0.3559773</c:v>
                </c:pt>
                <c:pt idx="14">
                  <c:v>-0.44381310000000002</c:v>
                </c:pt>
              </c:numCache>
            </c:numRef>
          </c:val>
          <c:extLst>
            <c:ext xmlns:c15="http://schemas.microsoft.com/office/drawing/2012/chart" uri="{02D57815-91ED-43cb-92C2-25804820EDAC}">
              <c15:filteredSeriesTitle>
                <c15:tx>
                  <c:strRef>
                    <c:extLst>
                      <c:ext uri="{02D57815-91ED-43cb-92C2-25804820EDAC}">
                        <c15:formulaRef>
                          <c15:sqref>StateFailures!#REF!</c15:sqref>
                        </c15:formulaRef>
                      </c:ext>
                    </c:extLst>
                    <c:strCache>
                      <c:ptCount val="1"/>
                      <c:pt idx="0">
                        <c:v>#REF!</c:v>
                      </c:pt>
                    </c:strCache>
                  </c:strRef>
                </c15:tx>
              </c15:filteredSeriesTitle>
            </c:ext>
            <c:ext xmlns:c16="http://schemas.microsoft.com/office/drawing/2014/chart" uri="{C3380CC4-5D6E-409C-BE32-E72D297353CC}">
              <c16:uniqueId val="{00000000-A67A-46CB-8DE7-7C33A1F3470E}"/>
            </c:ext>
          </c:extLst>
        </c:ser>
        <c:dLbls>
          <c:showLegendKey val="0"/>
          <c:showVal val="0"/>
          <c:showCatName val="0"/>
          <c:showSerName val="0"/>
          <c:showPercent val="0"/>
          <c:showBubbleSize val="0"/>
        </c:dLbls>
        <c:gapWidth val="25"/>
        <c:axId val="204976640"/>
        <c:axId val="203079680"/>
      </c:barChart>
      <c:catAx>
        <c:axId val="204976640"/>
        <c:scaling>
          <c:orientation val="minMax"/>
        </c:scaling>
        <c:delete val="0"/>
        <c:axPos val="b"/>
        <c:numFmt formatCode="General" sourceLinked="0"/>
        <c:majorTickMark val="out"/>
        <c:minorTickMark val="none"/>
        <c:tickLblPos val="nextTo"/>
        <c:txPr>
          <a:bodyPr rot="-5400000" vert="horz"/>
          <a:lstStyle/>
          <a:p>
            <a:pPr>
              <a:defRPr sz="1100" b="1"/>
            </a:pPr>
            <a:endParaRPr lang="en-US"/>
          </a:p>
        </c:txPr>
        <c:crossAx val="203079680"/>
        <c:crosses val="autoZero"/>
        <c:auto val="1"/>
        <c:lblAlgn val="ctr"/>
        <c:lblOffset val="100"/>
        <c:noMultiLvlLbl val="0"/>
      </c:catAx>
      <c:valAx>
        <c:axId val="203079680"/>
        <c:scaling>
          <c:orientation val="minMax"/>
        </c:scaling>
        <c:delete val="0"/>
        <c:axPos val="l"/>
        <c:majorGridlines/>
        <c:numFmt formatCode="General" sourceLinked="1"/>
        <c:majorTickMark val="out"/>
        <c:minorTickMark val="none"/>
        <c:tickLblPos val="nextTo"/>
        <c:crossAx val="2049766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StateFailures!$L$3:$L$17</c:f>
              <c:strCache>
                <c:ptCount val="15"/>
                <c:pt idx="0">
                  <c:v>Q2_1906</c:v>
                </c:pt>
                <c:pt idx="1">
                  <c:v>Q3_1906</c:v>
                </c:pt>
                <c:pt idx="2">
                  <c:v>Q4_1906</c:v>
                </c:pt>
                <c:pt idx="3">
                  <c:v>Q1_1907</c:v>
                </c:pt>
                <c:pt idx="4">
                  <c:v>Q2_1907</c:v>
                </c:pt>
                <c:pt idx="5">
                  <c:v>Q3_1907</c:v>
                </c:pt>
                <c:pt idx="6">
                  <c:v>Q4_1907</c:v>
                </c:pt>
                <c:pt idx="7">
                  <c:v>Q1_1908</c:v>
                </c:pt>
                <c:pt idx="8">
                  <c:v>Q2_1908</c:v>
                </c:pt>
                <c:pt idx="9">
                  <c:v>Q3_1908</c:v>
                </c:pt>
                <c:pt idx="10">
                  <c:v>Q4_1908</c:v>
                </c:pt>
                <c:pt idx="11">
                  <c:v>Q1_1909</c:v>
                </c:pt>
                <c:pt idx="12">
                  <c:v>Q2_1909</c:v>
                </c:pt>
                <c:pt idx="13">
                  <c:v>Q3_1909</c:v>
                </c:pt>
                <c:pt idx="14">
                  <c:v>Q4_1909</c:v>
                </c:pt>
              </c:strCache>
            </c:strRef>
          </c:cat>
          <c:val>
            <c:numRef>
              <c:f>StateFailures!$M$3:$M$17</c:f>
              <c:numCache>
                <c:formatCode>General</c:formatCode>
                <c:ptCount val="15"/>
                <c:pt idx="0">
                  <c:v>-2.024915</c:v>
                </c:pt>
                <c:pt idx="1">
                  <c:v>-4.051469</c:v>
                </c:pt>
                <c:pt idx="2">
                  <c:v>-1.3235809999999999</c:v>
                </c:pt>
                <c:pt idx="3">
                  <c:v>-0.27470650000000002</c:v>
                </c:pt>
                <c:pt idx="4">
                  <c:v>1.195751</c:v>
                </c:pt>
                <c:pt idx="5">
                  <c:v>1.8813899999999999</c:v>
                </c:pt>
                <c:pt idx="6">
                  <c:v>2.4994860000000001</c:v>
                </c:pt>
                <c:pt idx="7">
                  <c:v>2.965487</c:v>
                </c:pt>
                <c:pt idx="8">
                  <c:v>3.9945840000000001</c:v>
                </c:pt>
                <c:pt idx="9">
                  <c:v>-0.1039759</c:v>
                </c:pt>
                <c:pt idx="10">
                  <c:v>4.1346590000000001</c:v>
                </c:pt>
                <c:pt idx="11">
                  <c:v>-2.2235490000000002</c:v>
                </c:pt>
                <c:pt idx="12">
                  <c:v>-1.041344</c:v>
                </c:pt>
                <c:pt idx="13">
                  <c:v>-5.6184830000000003</c:v>
                </c:pt>
                <c:pt idx="14">
                  <c:v>0.99067240000000001</c:v>
                </c:pt>
              </c:numCache>
            </c:numRef>
          </c:val>
          <c:extLst>
            <c:ext xmlns:c15="http://schemas.microsoft.com/office/drawing/2012/chart" uri="{02D57815-91ED-43cb-92C2-25804820EDAC}">
              <c15:filteredSeriesTitle>
                <c15:tx>
                  <c:strRef>
                    <c:extLst>
                      <c:ext uri="{02D57815-91ED-43cb-92C2-25804820EDAC}">
                        <c15:formulaRef>
                          <c15:sqref>StateFailures!#REF!</c15:sqref>
                        </c15:formulaRef>
                      </c:ext>
                    </c:extLst>
                    <c:strCache>
                      <c:ptCount val="1"/>
                      <c:pt idx="0">
                        <c:v>#REF!</c:v>
                      </c:pt>
                    </c:strCache>
                  </c:strRef>
                </c15:tx>
              </c15:filteredSeriesTitle>
            </c:ext>
            <c:ext xmlns:c16="http://schemas.microsoft.com/office/drawing/2014/chart" uri="{C3380CC4-5D6E-409C-BE32-E72D297353CC}">
              <c16:uniqueId val="{00000000-C04E-4A7F-8D75-E09405873F6B}"/>
            </c:ext>
          </c:extLst>
        </c:ser>
        <c:dLbls>
          <c:showLegendKey val="0"/>
          <c:showVal val="0"/>
          <c:showCatName val="0"/>
          <c:showSerName val="0"/>
          <c:showPercent val="0"/>
          <c:showBubbleSize val="0"/>
        </c:dLbls>
        <c:gapWidth val="20"/>
        <c:axId val="204977664"/>
        <c:axId val="203081408"/>
      </c:barChart>
      <c:catAx>
        <c:axId val="204977664"/>
        <c:scaling>
          <c:orientation val="minMax"/>
        </c:scaling>
        <c:delete val="0"/>
        <c:axPos val="b"/>
        <c:numFmt formatCode="General" sourceLinked="0"/>
        <c:majorTickMark val="out"/>
        <c:minorTickMark val="none"/>
        <c:tickLblPos val="nextTo"/>
        <c:txPr>
          <a:bodyPr rot="-5400000" vert="horz"/>
          <a:lstStyle/>
          <a:p>
            <a:pPr>
              <a:defRPr sz="1100" b="1"/>
            </a:pPr>
            <a:endParaRPr lang="en-US"/>
          </a:p>
        </c:txPr>
        <c:crossAx val="203081408"/>
        <c:crosses val="autoZero"/>
        <c:auto val="1"/>
        <c:lblAlgn val="ctr"/>
        <c:lblOffset val="100"/>
        <c:noMultiLvlLbl val="0"/>
      </c:catAx>
      <c:valAx>
        <c:axId val="203081408"/>
        <c:scaling>
          <c:orientation val="minMax"/>
        </c:scaling>
        <c:delete val="0"/>
        <c:axPos val="l"/>
        <c:majorGridlines/>
        <c:numFmt formatCode="General" sourceLinked="1"/>
        <c:majorTickMark val="out"/>
        <c:minorTickMark val="none"/>
        <c:tickLblPos val="nextTo"/>
        <c:crossAx val="2049776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StockPrices!$R$1</c:f>
              <c:strCache>
                <c:ptCount val="1"/>
                <c:pt idx="0">
                  <c:v>Diff2</c:v>
                </c:pt>
              </c:strCache>
            </c:strRef>
          </c:tx>
          <c:invertIfNegative val="0"/>
          <c:cat>
            <c:strRef>
              <c:f>StockPrices!$Q$14:$Q$37</c:f>
              <c:strCache>
                <c:ptCount val="24"/>
                <c:pt idx="0">
                  <c:v>1_1907</c:v>
                </c:pt>
                <c:pt idx="1">
                  <c:v>2_1907</c:v>
                </c:pt>
                <c:pt idx="2">
                  <c:v>3_1907</c:v>
                </c:pt>
                <c:pt idx="3">
                  <c:v>4_1907</c:v>
                </c:pt>
                <c:pt idx="4">
                  <c:v>5_1907</c:v>
                </c:pt>
                <c:pt idx="5">
                  <c:v>6_1907</c:v>
                </c:pt>
                <c:pt idx="6">
                  <c:v>7_1907</c:v>
                </c:pt>
                <c:pt idx="7">
                  <c:v>8_1907</c:v>
                </c:pt>
                <c:pt idx="8">
                  <c:v>9_1907</c:v>
                </c:pt>
                <c:pt idx="9">
                  <c:v>10_1907</c:v>
                </c:pt>
                <c:pt idx="10">
                  <c:v>11_1907</c:v>
                </c:pt>
                <c:pt idx="11">
                  <c:v>12_1907</c:v>
                </c:pt>
                <c:pt idx="12">
                  <c:v>1_1908</c:v>
                </c:pt>
                <c:pt idx="13">
                  <c:v>2_1908</c:v>
                </c:pt>
                <c:pt idx="14">
                  <c:v>3_1908</c:v>
                </c:pt>
                <c:pt idx="15">
                  <c:v>4_1908</c:v>
                </c:pt>
                <c:pt idx="16">
                  <c:v>5_1908</c:v>
                </c:pt>
                <c:pt idx="17">
                  <c:v>6_1908</c:v>
                </c:pt>
                <c:pt idx="18">
                  <c:v>7_1908</c:v>
                </c:pt>
                <c:pt idx="19">
                  <c:v>8_1908</c:v>
                </c:pt>
                <c:pt idx="20">
                  <c:v>9_1908</c:v>
                </c:pt>
                <c:pt idx="21">
                  <c:v>10_1908</c:v>
                </c:pt>
                <c:pt idx="22">
                  <c:v>11_1908</c:v>
                </c:pt>
                <c:pt idx="23">
                  <c:v>12_1908</c:v>
                </c:pt>
              </c:strCache>
            </c:strRef>
          </c:cat>
          <c:val>
            <c:numRef>
              <c:f>StockPrices!$R$14:$R$37</c:f>
              <c:numCache>
                <c:formatCode>General</c:formatCode>
                <c:ptCount val="24"/>
                <c:pt idx="0">
                  <c:v>0.6572764000000002</c:v>
                </c:pt>
                <c:pt idx="1">
                  <c:v>0.6722201000000001</c:v>
                </c:pt>
                <c:pt idx="2">
                  <c:v>0.50549289999999969</c:v>
                </c:pt>
                <c:pt idx="3">
                  <c:v>0.42291589999999912</c:v>
                </c:pt>
                <c:pt idx="4">
                  <c:v>0.4743767000000001</c:v>
                </c:pt>
                <c:pt idx="5">
                  <c:v>0.34664340000000005</c:v>
                </c:pt>
                <c:pt idx="6">
                  <c:v>0.39239659999999921</c:v>
                </c:pt>
                <c:pt idx="7">
                  <c:v>0.20424389999999937</c:v>
                </c:pt>
                <c:pt idx="8">
                  <c:v>-1.9999999967268423E-7</c:v>
                </c:pt>
                <c:pt idx="9">
                  <c:v>-0.2432474</c:v>
                </c:pt>
                <c:pt idx="10">
                  <c:v>-0.3399757000000001</c:v>
                </c:pt>
                <c:pt idx="11">
                  <c:v>-0.31271730000000009</c:v>
                </c:pt>
                <c:pt idx="12">
                  <c:v>0.58515209999999973</c:v>
                </c:pt>
                <c:pt idx="13">
                  <c:v>0.63059299999999974</c:v>
                </c:pt>
                <c:pt idx="14">
                  <c:v>0.63194659999999958</c:v>
                </c:pt>
                <c:pt idx="15">
                  <c:v>0.74359049999999938</c:v>
                </c:pt>
                <c:pt idx="16">
                  <c:v>0.74387020000000037</c:v>
                </c:pt>
                <c:pt idx="17">
                  <c:v>0.67023050000000017</c:v>
                </c:pt>
                <c:pt idx="18">
                  <c:v>0.6545839</c:v>
                </c:pt>
                <c:pt idx="19">
                  <c:v>0.74687189999999992</c:v>
                </c:pt>
                <c:pt idx="20">
                  <c:v>0.69301940000000029</c:v>
                </c:pt>
                <c:pt idx="21">
                  <c:v>0.63872879999999954</c:v>
                </c:pt>
                <c:pt idx="22">
                  <c:v>1.1253766999999999</c:v>
                </c:pt>
                <c:pt idx="23">
                  <c:v>1.0783823000000008</c:v>
                </c:pt>
              </c:numCache>
            </c:numRef>
          </c:val>
          <c:extLst>
            <c:ext xmlns:c16="http://schemas.microsoft.com/office/drawing/2014/chart" uri="{C3380CC4-5D6E-409C-BE32-E72D297353CC}">
              <c16:uniqueId val="{00000000-C1B3-4DCC-8ADE-715F85914ED9}"/>
            </c:ext>
          </c:extLst>
        </c:ser>
        <c:dLbls>
          <c:showLegendKey val="0"/>
          <c:showVal val="0"/>
          <c:showCatName val="0"/>
          <c:showSerName val="0"/>
          <c:showPercent val="0"/>
          <c:showBubbleSize val="0"/>
        </c:dLbls>
        <c:gapWidth val="100"/>
        <c:axId val="206095872"/>
        <c:axId val="203083712"/>
      </c:barChart>
      <c:catAx>
        <c:axId val="206095872"/>
        <c:scaling>
          <c:orientation val="minMax"/>
        </c:scaling>
        <c:delete val="0"/>
        <c:axPos val="b"/>
        <c:numFmt formatCode="General" sourceLinked="1"/>
        <c:majorTickMark val="out"/>
        <c:minorTickMark val="none"/>
        <c:tickLblPos val="nextTo"/>
        <c:txPr>
          <a:bodyPr rot="-5400000" vert="horz"/>
          <a:lstStyle/>
          <a:p>
            <a:pPr>
              <a:defRPr sz="1050" b="1"/>
            </a:pPr>
            <a:endParaRPr lang="en-US"/>
          </a:p>
        </c:txPr>
        <c:crossAx val="203083712"/>
        <c:crosses val="autoZero"/>
        <c:auto val="1"/>
        <c:lblAlgn val="ctr"/>
        <c:lblOffset val="100"/>
        <c:noMultiLvlLbl val="0"/>
      </c:catAx>
      <c:valAx>
        <c:axId val="203083712"/>
        <c:scaling>
          <c:orientation val="minMax"/>
        </c:scaling>
        <c:delete val="0"/>
        <c:axPos val="l"/>
        <c:majorGridlines/>
        <c:numFmt formatCode="General" sourceLinked="1"/>
        <c:majorTickMark val="out"/>
        <c:minorTickMark val="none"/>
        <c:tickLblPos val="nextTo"/>
        <c:crossAx val="206095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4507-856C-1744-A563-06E82CD5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Wheelock, David C</dc:creator>
  <cp:lastModifiedBy>SS</cp:lastModifiedBy>
  <cp:revision>6</cp:revision>
  <cp:lastPrinted>2023-12-06T19:24:00Z</cp:lastPrinted>
  <dcterms:created xsi:type="dcterms:W3CDTF">2024-11-04T20:39:00Z</dcterms:created>
  <dcterms:modified xsi:type="dcterms:W3CDTF">2024-11-19T21:19:00Z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0e44314b-da1a-467a-946c-0f3fe7edba4d</vt:lpwstr>
  </property>
  <property fmtid="{D5CDD505-2E9C-101B-9397-08002B2CF9AE}" pid="3" name="MSIP_Label_65269c60-0483-4c57-9e8c-3779d6900235_Enabled">
    <vt:lpwstr>true</vt:lpwstr>
  </property>
  <property fmtid="{D5CDD505-2E9C-101B-9397-08002B2CF9AE}" pid="4" name="MSIP_Label_65269c60-0483-4c57-9e8c-3779d6900235_SetDate">
    <vt:lpwstr>2022-06-03T16:09:43Z</vt:lpwstr>
  </property>
  <property fmtid="{D5CDD505-2E9C-101B-9397-08002B2CF9AE}" pid="5" name="MSIP_Label_65269c60-0483-4c57-9e8c-3779d6900235_Method">
    <vt:lpwstr>Privileged</vt:lpwstr>
  </property>
  <property fmtid="{D5CDD505-2E9C-101B-9397-08002B2CF9AE}" pid="6" name="MSIP_Label_65269c60-0483-4c57-9e8c-3779d6900235_Name">
    <vt:lpwstr>65269c60-0483-4c57-9e8c-3779d6900235</vt:lpwstr>
  </property>
  <property fmtid="{D5CDD505-2E9C-101B-9397-08002B2CF9AE}" pid="7" name="MSIP_Label_65269c60-0483-4c57-9e8c-3779d6900235_SiteId">
    <vt:lpwstr>b397c653-5b19-463f-b9fc-af658ded9128</vt:lpwstr>
  </property>
  <property fmtid="{D5CDD505-2E9C-101B-9397-08002B2CF9AE}" pid="8" name="MSIP_Label_65269c60-0483-4c57-9e8c-3779d6900235_ActionId">
    <vt:lpwstr>c36d1588-3c79-46a2-92ba-99f64473c407</vt:lpwstr>
  </property>
  <property fmtid="{D5CDD505-2E9C-101B-9397-08002B2CF9AE}" pid="9" name="MSIP_Label_65269c60-0483-4c57-9e8c-3779d6900235_ContentBits">
    <vt:lpwstr>0</vt:lpwstr>
  </property>
</Properties>
</file>