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368B" w14:textId="1ABD8AFB" w:rsidR="00BD00A3" w:rsidRPr="00EE27FC" w:rsidRDefault="00BD00A3" w:rsidP="00BE38B5">
      <w:pPr>
        <w:pStyle w:val="Heading1"/>
        <w:spacing w:after="160" w:line="480" w:lineRule="auto"/>
        <w:jc w:val="both"/>
        <w:rPr>
          <w:b/>
          <w:bCs/>
        </w:rPr>
      </w:pPr>
      <w:r w:rsidRPr="00EE27FC">
        <w:rPr>
          <w:b/>
          <w:bCs/>
        </w:rPr>
        <w:t>Appendix</w:t>
      </w:r>
    </w:p>
    <w:p w14:paraId="4CF55A40" w14:textId="39A395A1" w:rsidR="00FA6BA1" w:rsidRPr="00585293" w:rsidRDefault="00FA6BA1" w:rsidP="00BE38B5">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t>A</w:t>
      </w:r>
      <w:r w:rsidR="00594DD8" w:rsidRPr="00585293">
        <w:rPr>
          <w:rFonts w:ascii="Times New Roman" w:hAnsi="Times New Roman" w:cs="Times New Roman"/>
          <w:b/>
          <w:bCs/>
          <w:color w:val="auto"/>
          <w:sz w:val="28"/>
          <w:szCs w:val="28"/>
        </w:rPr>
        <w:tab/>
      </w:r>
      <w:r w:rsidR="00584FF9" w:rsidRPr="00585293">
        <w:rPr>
          <w:rFonts w:ascii="Times New Roman" w:hAnsi="Times New Roman" w:cs="Times New Roman"/>
          <w:b/>
          <w:bCs/>
          <w:color w:val="auto"/>
          <w:sz w:val="28"/>
          <w:szCs w:val="28"/>
        </w:rPr>
        <w:t>England And Wales</w:t>
      </w:r>
      <w:r w:rsidRPr="00585293">
        <w:rPr>
          <w:rFonts w:ascii="Times New Roman" w:hAnsi="Times New Roman" w:cs="Times New Roman"/>
          <w:b/>
          <w:bCs/>
          <w:color w:val="auto"/>
          <w:sz w:val="28"/>
          <w:szCs w:val="28"/>
        </w:rPr>
        <w:t xml:space="preserve"> Decennial Census</w:t>
      </w:r>
    </w:p>
    <w:p w14:paraId="7B9428B5" w14:textId="54C9E323" w:rsidR="00FA6BA1" w:rsidRPr="00585293" w:rsidRDefault="00FA6BA1" w:rsidP="00BE38B5">
      <w:pPr>
        <w:spacing w:after="160" w:line="480" w:lineRule="auto"/>
        <w:jc w:val="both"/>
      </w:pPr>
      <w:r w:rsidRPr="00585293">
        <w:t>Nineteenth- and early-twentieth-century censuses are an invaluable source of quantitative information into the lives of people living in Victorian and Edwardian England, and an alternative primary resource for the study of occupational mobility in the past. The act of census taking began in 1801, although it was not until 1841 that names and details of individuals were collected, and information on birth places and occupations remained limited until the 1851 census</w:t>
      </w:r>
      <w:r w:rsidR="005B3EF4" w:rsidRPr="00585293">
        <w:t xml:space="preserve"> </w:t>
      </w:r>
      <w:sdt>
        <w:sdtPr>
          <w:rPr>
            <w:color w:val="000000"/>
          </w:rPr>
          <w:tag w:val="MENDELEY_CITATION_v3_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"/>
          <w:id w:val="-700550936"/>
          <w:placeholder>
            <w:docPart w:val="DefaultPlaceholder_-1854013440"/>
          </w:placeholder>
        </w:sdtPr>
        <w:sdtEndPr/>
        <w:sdtContent>
          <w:r w:rsidR="002C1967" w:rsidRPr="00585293">
            <w:rPr>
              <w:color w:val="000000"/>
            </w:rPr>
            <w:t>(Higgs</w:t>
          </w:r>
          <w:r w:rsidR="00A622AB" w:rsidRPr="00585293">
            <w:rPr>
              <w:color w:val="000000"/>
            </w:rPr>
            <w:t>,</w:t>
          </w:r>
          <w:r w:rsidR="002C1967" w:rsidRPr="00585293">
            <w:rPr>
              <w:color w:val="000000"/>
            </w:rPr>
            <w:t xml:space="preserve"> 1989)</w:t>
          </w:r>
        </w:sdtContent>
      </w:sdt>
      <w:r w:rsidRPr="00585293">
        <w:t>. An awareness of the procedures involved in census taking from 1851 onwards may be required to understand the limits and reliability of the information obtained from the census returns.</w:t>
      </w:r>
    </w:p>
    <w:p w14:paraId="7DEA9153" w14:textId="000568C3" w:rsidR="00FA6BA1" w:rsidRPr="00585293" w:rsidRDefault="00FA6BA1" w:rsidP="00BE38B5">
      <w:pPr>
        <w:spacing w:after="160" w:line="480" w:lineRule="auto"/>
        <w:ind w:firstLine="720"/>
        <w:jc w:val="both"/>
      </w:pPr>
      <w:r w:rsidRPr="00585293">
        <w:t xml:space="preserve">A simple explanation of how the census was taken is as follows. The country was first divided into enumeration districts, each containing roughly 200 households and one enumerator. The enumerators delivered a </w:t>
      </w:r>
      <w:r w:rsidR="00865AD8">
        <w:t>“</w:t>
      </w:r>
      <w:r w:rsidRPr="00585293">
        <w:t>household schedule</w:t>
      </w:r>
      <w:r w:rsidR="00865AD8">
        <w:t>”</w:t>
      </w:r>
      <w:r w:rsidRPr="00585293">
        <w:t xml:space="preserve"> and written instructions to each household on the night of the census – normally in March or April to avoid the distortions caused by seasonal movements in the summer by some sections of the population – which had to be filled out and returned by the household head. On collection day, the enumerators would collect and check the schedules, and help the household heads to complete the schedule if they could not do so. Up until 1911, the enumerators would then </w:t>
      </w:r>
      <w:r w:rsidR="00585293" w:rsidRPr="00585293">
        <w:t>standardize</w:t>
      </w:r>
      <w:r w:rsidRPr="00585293">
        <w:t xml:space="preserve"> and copy the information onto the Census Enumerator’s Book (CEB). Both the schedules and the books were submitted for checking to the district registrars before they were sent to the Census Office, where they were checked again by the clerks. The household returns were then destroyed. For the 1911 census, the original schedules were used for the tabulation of statistics, so there was no </w:t>
      </w:r>
      <w:r w:rsidR="00585293" w:rsidRPr="00585293">
        <w:t>standardization</w:t>
      </w:r>
      <w:r w:rsidRPr="00585293">
        <w:t xml:space="preserve"> of the raw data by the enumerators</w:t>
      </w:r>
      <w:r w:rsidR="005B3EF4" w:rsidRPr="00585293">
        <w:t xml:space="preserve"> </w:t>
      </w:r>
      <w:sdt>
        <w:sdtPr>
          <w:rPr>
            <w:color w:val="000000"/>
          </w:rPr>
          <w:tag w:val="MENDELEY_CITATION_v3_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"/>
          <w:id w:val="-45530185"/>
          <w:placeholder>
            <w:docPart w:val="DefaultPlaceholder_-1854013440"/>
          </w:placeholder>
        </w:sdtPr>
        <w:sdtEndPr/>
        <w:sdtContent>
          <w:r w:rsidR="002C1967" w:rsidRPr="00585293">
            <w:rPr>
              <w:color w:val="000000"/>
            </w:rPr>
            <w:t>(Higgs, 2005)</w:t>
          </w:r>
        </w:sdtContent>
      </w:sdt>
      <w:r w:rsidRPr="00585293">
        <w:t>.</w:t>
      </w:r>
    </w:p>
    <w:p w14:paraId="2AD61ACF" w14:textId="7089E6CD" w:rsidR="00FA6BA1" w:rsidRPr="00585293" w:rsidRDefault="00FA6BA1" w:rsidP="00BE38B5">
      <w:pPr>
        <w:spacing w:after="160" w:line="480" w:lineRule="auto"/>
        <w:ind w:firstLine="720"/>
        <w:jc w:val="both"/>
      </w:pPr>
      <w:r w:rsidRPr="00585293">
        <w:lastRenderedPageBreak/>
        <w:t>One concern that scholars may have with the use of nineteenth-century censuses for historical research is the quality of census enumerators. Enumerators were hired on a temporary basis by local registrars, and anyone can be hired as long as they satisfied the basic requirements</w:t>
      </w:r>
      <w:r w:rsidR="005B3EF4" w:rsidRPr="00585293">
        <w:t xml:space="preserve"> </w:t>
      </w:r>
      <w:sdt>
        <w:sdtPr>
          <w:rPr>
            <w:color w:val="000000"/>
          </w:rPr>
          <w:tag w:val="MENDELEY_CITATION_v3_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"/>
          <w:id w:val="-1807767700"/>
          <w:placeholder>
            <w:docPart w:val="DefaultPlaceholder_-1854013440"/>
          </w:placeholder>
        </w:sdtPr>
        <w:sdtEndPr/>
        <w:sdtContent>
          <w:r w:rsidR="002C1967" w:rsidRPr="00585293">
            <w:rPr>
              <w:color w:val="000000"/>
            </w:rPr>
            <w:t>(Higgs et al., 2013)</w:t>
          </w:r>
        </w:sdtContent>
      </w:sdt>
      <w:r w:rsidRPr="00585293">
        <w:t>.</w:t>
      </w:r>
      <w:r w:rsidRPr="00585293">
        <w:rPr>
          <w:rStyle w:val="FootnoteReference"/>
        </w:rPr>
        <w:footnoteReference w:id="2"/>
      </w:r>
      <w:r w:rsidRPr="00585293">
        <w:t xml:space="preserve"> In urban areas, the enumerators were often local government officers and schoolteachers, but in the countryside the registrars may have had to depend on the farmers and their kin</w:t>
      </w:r>
      <w:r w:rsidR="000C1192" w:rsidRPr="00585293">
        <w:t xml:space="preserve"> </w:t>
      </w:r>
      <w:sdt>
        <w:sdtPr>
          <w:rPr>
            <w:color w:val="000000"/>
          </w:rPr>
          <w:tag w:val="MENDELEY_CITATION_v3_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"/>
          <w:id w:val="1680623763"/>
          <w:placeholder>
            <w:docPart w:val="DefaultPlaceholder_-1854013440"/>
          </w:placeholder>
        </w:sdtPr>
        <w:sdtEndPr/>
        <w:sdtContent>
          <w:r w:rsidR="002C1967" w:rsidRPr="00585293">
            <w:rPr>
              <w:color w:val="000000"/>
            </w:rPr>
            <w:t>(Arkell, 1994)</w:t>
          </w:r>
        </w:sdtContent>
      </w:sdt>
      <w:r w:rsidRPr="00585293">
        <w:t>. Unsurprisingly, there is a lot of variation in the abilities of enumerators – they differed in their ability to read and write, and in their ability to comprehend lengthy instructions given to them by the registrars</w:t>
      </w:r>
      <w:r w:rsidR="007E733F" w:rsidRPr="00585293">
        <w:t xml:space="preserve"> </w:t>
      </w:r>
      <w:sdt>
        <w:sdtPr>
          <w:rPr>
            <w:color w:val="000000"/>
          </w:rPr>
          <w:tag w:val="MENDELEY_CITATION_v3_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"/>
          <w:id w:val="-2127688182"/>
          <w:placeholder>
            <w:docPart w:val="DefaultPlaceholder_-1854013440"/>
          </w:placeholder>
        </w:sdtPr>
        <w:sdtEndPr/>
        <w:sdtContent>
          <w:r w:rsidR="002C1967" w:rsidRPr="00585293">
            <w:rPr>
              <w:color w:val="000000"/>
            </w:rPr>
            <w:t>(Tillott, 1968)</w:t>
          </w:r>
        </w:sdtContent>
      </w:sdt>
      <w:r w:rsidRPr="00585293">
        <w:t xml:space="preserve">. Fortunately, the enumerators generally appear to be of a satisfactory standard. In an area sampled by </w:t>
      </w:r>
      <w:sdt>
        <w:sdtPr>
          <w:rPr>
            <w:color w:val="000000"/>
          </w:rPr>
          <w:tag w:val="MENDELEY_CITATION_v3_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"/>
          <w:id w:val="965077041"/>
          <w:placeholder>
            <w:docPart w:val="DefaultPlaceholder_-1854013440"/>
          </w:placeholder>
        </w:sdtPr>
        <w:sdtEndPr/>
        <w:sdtContent>
          <w:r w:rsidR="002C1967" w:rsidRPr="00585293">
            <w:rPr>
              <w:color w:val="000000"/>
            </w:rPr>
            <w:t>Tillott (1972)</w:t>
          </w:r>
        </w:sdtContent>
      </w:sdt>
      <w:r w:rsidRPr="00585293">
        <w:t>, only six of the ninety enumerators showed evidence of unsuitability for their task. This may be especially true for the towns, where enumerators were more likely to be men of clerkly habits employed in occupations that require a certain degree of literacy.</w:t>
      </w:r>
    </w:p>
    <w:p w14:paraId="72CF4233" w14:textId="5EB9F916" w:rsidR="00FA6BA1" w:rsidRPr="00585293" w:rsidRDefault="00FA6BA1" w:rsidP="00BE38B5">
      <w:pPr>
        <w:spacing w:after="160" w:line="480" w:lineRule="auto"/>
        <w:ind w:firstLine="720"/>
        <w:jc w:val="both"/>
      </w:pPr>
      <w:r w:rsidRPr="00585293">
        <w:t>Another source of inaccuracies may come from the householders who inadvertently give out the wrong information, mostly due to ignorance or ambiguity in the instructions. Insofar as people’s intentions to answer the questions truthfully were concerned, there is little evidence to suggest that this is a huge issue</w:t>
      </w:r>
      <w:r w:rsidR="007B7EE3" w:rsidRPr="00585293">
        <w:t xml:space="preserve"> </w:t>
      </w:r>
      <w:sdt>
        <w:sdtPr>
          <w:rPr>
            <w:color w:val="000000"/>
          </w:rPr>
          <w:tag w:val="MENDELEY_CITATION_v3_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"/>
          <w:id w:val="2010712389"/>
          <w:placeholder>
            <w:docPart w:val="DefaultPlaceholder_-1854013440"/>
          </w:placeholder>
        </w:sdtPr>
        <w:sdtEndPr/>
        <w:sdtContent>
          <w:r w:rsidR="002C1967" w:rsidRPr="00585293">
            <w:rPr>
              <w:color w:val="000000"/>
            </w:rPr>
            <w:t>(Tillott, 1972)</w:t>
          </w:r>
        </w:sdtContent>
      </w:sdt>
      <w:r w:rsidRPr="00585293">
        <w:t>. With information on name, sex, occupation, and birthplace, there is generally little room for falsification, though inconsistencies may occur as a result of spelling variants with names, ambiguous definitions and instructions given to the recording of occupations, and geographical ignorance</w:t>
      </w:r>
      <w:r w:rsidR="007B7EE3" w:rsidRPr="00585293">
        <w:t xml:space="preserve"> </w:t>
      </w:r>
      <w:sdt>
        <w:sdtPr>
          <w:rPr>
            <w:color w:val="000000"/>
          </w:rPr>
          <w:tag w:val="MENDELEY_CITATION_v3_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"/>
          <w:id w:val="920992634"/>
          <w:placeholder>
            <w:docPart w:val="DefaultPlaceholder_-1854013440"/>
          </w:placeholder>
        </w:sdtPr>
        <w:sdtEndPr/>
        <w:sdtContent>
          <w:r w:rsidR="002C1967" w:rsidRPr="00585293">
            <w:rPr>
              <w:color w:val="000000"/>
            </w:rPr>
            <w:t>(Tillott, 1972; Higgs, 2005)</w:t>
          </w:r>
        </w:sdtContent>
      </w:sdt>
      <w:r w:rsidRPr="00585293">
        <w:t xml:space="preserve">. In cases where the householder was illiterate, the enumerators were responsible for filling the schedules. The proportion of schedules filled out by enumerators varied widely across regions – for example, in the six enumeration districts of Great Missenden </w:t>
      </w:r>
      <w:r w:rsidRPr="00585293">
        <w:lastRenderedPageBreak/>
        <w:t>in Buckinghamshire, this proportion ranged from 5.3 to 64.7 per cent</w:t>
      </w:r>
      <w:r w:rsidR="0012094F" w:rsidRPr="00585293">
        <w:t xml:space="preserve"> </w:t>
      </w:r>
      <w:sdt>
        <w:sdtPr>
          <w:rPr>
            <w:color w:val="000000"/>
          </w:rPr>
          <w:tag w:val="MENDELEY_CITATION_v3_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"/>
          <w:id w:val="-432273360"/>
          <w:placeholder>
            <w:docPart w:val="DefaultPlaceholder_-1854013440"/>
          </w:placeholder>
        </w:sdtPr>
        <w:sdtEndPr/>
        <w:sdtContent>
          <w:r w:rsidR="002C1967" w:rsidRPr="00585293">
            <w:rPr>
              <w:color w:val="000000"/>
            </w:rPr>
            <w:t>(Higgs et al., 2013)</w:t>
          </w:r>
        </w:sdtContent>
      </w:sdt>
      <w:r w:rsidRPr="00585293">
        <w:t>. Thus, there may be cases where the wrong information was recorded due to miscommunications between the enumerator and the household. With the introduction of compulsory education after 1870, one would expect the ability to read and fill the schedules improved for both the householder and the enumerator.</w:t>
      </w:r>
    </w:p>
    <w:p w14:paraId="350830A8" w14:textId="4981B586" w:rsidR="00BD00A3" w:rsidRPr="00585293" w:rsidRDefault="00BD00A3" w:rsidP="00BE38B5">
      <w:pPr>
        <w:spacing w:after="160" w:line="480" w:lineRule="auto"/>
        <w:jc w:val="both"/>
      </w:pPr>
    </w:p>
    <w:p w14:paraId="6EABFF1A" w14:textId="77777777" w:rsidR="00647E1A" w:rsidRPr="00585293" w:rsidRDefault="00647E1A">
      <w:pPr>
        <w:spacing w:after="160" w:line="259" w:lineRule="auto"/>
        <w:rPr>
          <w:rFonts w:eastAsiaTheme="majorEastAsia"/>
          <w:b/>
          <w:bCs/>
          <w:sz w:val="28"/>
          <w:szCs w:val="28"/>
        </w:rPr>
      </w:pPr>
      <w:r w:rsidRPr="00585293">
        <w:rPr>
          <w:b/>
          <w:bCs/>
          <w:sz w:val="28"/>
          <w:szCs w:val="28"/>
        </w:rPr>
        <w:br w:type="page"/>
      </w:r>
    </w:p>
    <w:p w14:paraId="551BD3C0" w14:textId="145A7E4D" w:rsidR="0097732A" w:rsidRPr="00585293" w:rsidRDefault="00A67088" w:rsidP="00BE38B5">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B</w:t>
      </w:r>
      <w:r w:rsidR="004D6DD0" w:rsidRPr="00585293">
        <w:rPr>
          <w:rFonts w:ascii="Times New Roman" w:hAnsi="Times New Roman" w:cs="Times New Roman"/>
          <w:b/>
          <w:bCs/>
          <w:color w:val="auto"/>
          <w:sz w:val="28"/>
          <w:szCs w:val="28"/>
        </w:rPr>
        <w:tab/>
      </w:r>
      <w:r w:rsidR="0097732A" w:rsidRPr="00585293">
        <w:rPr>
          <w:rFonts w:ascii="Times New Roman" w:hAnsi="Times New Roman" w:cs="Times New Roman"/>
          <w:b/>
          <w:bCs/>
          <w:color w:val="auto"/>
          <w:sz w:val="28"/>
          <w:szCs w:val="28"/>
        </w:rPr>
        <w:t xml:space="preserve">ABE </w:t>
      </w:r>
      <w:r w:rsidR="00FA0514" w:rsidRPr="00585293">
        <w:rPr>
          <w:rFonts w:ascii="Times New Roman" w:hAnsi="Times New Roman" w:cs="Times New Roman"/>
          <w:b/>
          <w:bCs/>
          <w:color w:val="auto"/>
          <w:sz w:val="28"/>
          <w:szCs w:val="28"/>
        </w:rPr>
        <w:t>Matching Algorithm</w:t>
      </w:r>
    </w:p>
    <w:p w14:paraId="68B21A60" w14:textId="6A714146" w:rsidR="00164A54" w:rsidRPr="00585293" w:rsidRDefault="00D66F00" w:rsidP="00BE38B5">
      <w:pPr>
        <w:spacing w:after="160" w:line="480" w:lineRule="auto"/>
        <w:jc w:val="both"/>
      </w:pPr>
      <w:r w:rsidRPr="00585293">
        <w:t>The ABE algorithm matches individuals over time by names (string distances or phonetic names), places of birth (in this case parish), and inferred birth year from age</w:t>
      </w:r>
      <w:r w:rsidR="00B73C75" w:rsidRPr="00585293">
        <w:t xml:space="preserve"> </w:t>
      </w:r>
      <w:sdt>
        <w:sdtPr>
          <w:rPr>
            <w:color w:val="000000"/>
          </w:rPr>
          <w:tag w:val="MENDELEY_CITATION_v3_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"/>
          <w:id w:val="-650984656"/>
          <w:placeholder>
            <w:docPart w:val="DefaultPlaceholder_-1854013440"/>
          </w:placeholder>
        </w:sdtPr>
        <w:sdtEndPr/>
        <w:sdtContent>
          <w:r w:rsidR="002C1967" w:rsidRPr="00585293">
            <w:rPr>
              <w:color w:val="000000"/>
            </w:rPr>
            <w:t>(Abramitzky et al., 2020)</w:t>
          </w:r>
        </w:sdtContent>
      </w:sdt>
      <w:r w:rsidR="00E827DD" w:rsidRPr="00585293">
        <w:t>.</w:t>
      </w:r>
      <w:r w:rsidR="0010320E" w:rsidRPr="00585293">
        <w:rPr>
          <w:rStyle w:val="FootnoteReference"/>
        </w:rPr>
        <w:footnoteReference w:id="3"/>
      </w:r>
      <w:r w:rsidR="00E827DD" w:rsidRPr="00585293">
        <w:t xml:space="preserve"> </w:t>
      </w:r>
      <w:r w:rsidR="0007481E" w:rsidRPr="00585293">
        <w:t>Matching via string distances is the preferred method in this paper.</w:t>
      </w:r>
      <w:r w:rsidR="00B15460" w:rsidRPr="00585293">
        <w:t xml:space="preserve"> The procedure for both</w:t>
      </w:r>
      <w:r w:rsidR="00C73592" w:rsidRPr="00585293">
        <w:t xml:space="preserve"> string distances and phonetic names versions are</w:t>
      </w:r>
      <w:r w:rsidR="00B15460" w:rsidRPr="00585293">
        <w:t xml:space="preserve"> as follows.</w:t>
      </w:r>
    </w:p>
    <w:p w14:paraId="24C10D43" w14:textId="27C71BD4" w:rsidR="00561347" w:rsidRPr="00585293" w:rsidRDefault="00561347" w:rsidP="00BE38B5">
      <w:pPr>
        <w:spacing w:after="160" w:line="480" w:lineRule="auto"/>
        <w:jc w:val="both"/>
        <w:rPr>
          <w:b/>
          <w:bCs/>
        </w:rPr>
      </w:pPr>
      <w:r w:rsidRPr="00585293">
        <w:rPr>
          <w:b/>
          <w:bCs/>
        </w:rPr>
        <w:t xml:space="preserve">Using Jaro-Winkler </w:t>
      </w:r>
      <w:r w:rsidR="006965CD" w:rsidRPr="00585293">
        <w:rPr>
          <w:b/>
          <w:bCs/>
        </w:rPr>
        <w:t>String Distances – Preferred Linkage Method</w:t>
      </w:r>
    </w:p>
    <w:p w14:paraId="09EDA74E" w14:textId="765CDBC8" w:rsidR="009662E3" w:rsidRPr="00585293" w:rsidRDefault="009662E3" w:rsidP="00BE38B5">
      <w:pPr>
        <w:pStyle w:val="ListParagraph"/>
        <w:numPr>
          <w:ilvl w:val="0"/>
          <w:numId w:val="2"/>
        </w:numPr>
        <w:spacing w:after="160" w:line="480" w:lineRule="auto"/>
        <w:jc w:val="both"/>
      </w:pPr>
      <w:r w:rsidRPr="00585293">
        <w:t>T</w:t>
      </w:r>
      <w:r w:rsidR="00D66F00" w:rsidRPr="00585293">
        <w:t xml:space="preserve">he raw strings for first and last names in dataset A (i.e., all men in 1851) and dataset B (i.e., all men in 1881) are cleaned, which removes non-alphabetic characters and accounts for shortened names such as </w:t>
      </w:r>
      <w:r w:rsidR="00865AD8">
        <w:t>“</w:t>
      </w:r>
      <w:r w:rsidR="00D66F00" w:rsidRPr="00585293">
        <w:t>Ben</w:t>
      </w:r>
      <w:r w:rsidR="00865AD8">
        <w:t>”</w:t>
      </w:r>
      <w:r w:rsidR="00D66F00" w:rsidRPr="00585293">
        <w:t xml:space="preserve"> for Benjamin and spelling variants.</w:t>
      </w:r>
    </w:p>
    <w:p w14:paraId="151E7E97" w14:textId="77777777" w:rsidR="009662E3" w:rsidRPr="00585293" w:rsidRDefault="00D66F00" w:rsidP="00BE38B5">
      <w:pPr>
        <w:pStyle w:val="ListParagraph"/>
        <w:numPr>
          <w:ilvl w:val="0"/>
          <w:numId w:val="2"/>
        </w:numPr>
        <w:spacing w:after="160" w:line="480" w:lineRule="auto"/>
        <w:jc w:val="both"/>
      </w:pPr>
      <w:r w:rsidRPr="00585293">
        <w:t>The data is then split into smaller blocks by initial letters of first and last names, age, and birthplace. The string distances of all names within plus and minus 5 years of reported age between dataset A and B are calculated, and only pairs of individuals in A and B with string distances of less than 0.1 in both first and last names are kept.</w:t>
      </w:r>
    </w:p>
    <w:p w14:paraId="3D4CAE1C" w14:textId="77777777" w:rsidR="009662E3" w:rsidRPr="00585293" w:rsidRDefault="00D66F00" w:rsidP="00BE38B5">
      <w:pPr>
        <w:pStyle w:val="ListParagraph"/>
        <w:numPr>
          <w:ilvl w:val="0"/>
          <w:numId w:val="2"/>
        </w:numPr>
        <w:spacing w:after="160" w:line="480" w:lineRule="auto"/>
        <w:jc w:val="both"/>
      </w:pPr>
      <w:r w:rsidRPr="00585293">
        <w:t>There are three potential outcomes in the matching procedure</w:t>
      </w:r>
      <w:r w:rsidR="009662E3" w:rsidRPr="00585293">
        <w:t>:</w:t>
      </w:r>
    </w:p>
    <w:p w14:paraId="3D69C96E" w14:textId="77777777" w:rsidR="009662E3" w:rsidRPr="00585293" w:rsidRDefault="009662E3" w:rsidP="00BE38B5">
      <w:pPr>
        <w:pStyle w:val="ListParagraph"/>
        <w:numPr>
          <w:ilvl w:val="1"/>
          <w:numId w:val="2"/>
        </w:numPr>
        <w:spacing w:after="160" w:line="480" w:lineRule="auto"/>
        <w:jc w:val="both"/>
      </w:pPr>
      <w:r w:rsidRPr="00585293">
        <w:t>N</w:t>
      </w:r>
      <w:r w:rsidR="00D66F00" w:rsidRPr="00585293">
        <w:t>o potential match could be found for a given individual in dataset A, so this observation is dropped from the data.</w:t>
      </w:r>
    </w:p>
    <w:p w14:paraId="2D32D172" w14:textId="77777777" w:rsidR="009662E3" w:rsidRPr="00585293" w:rsidRDefault="009662E3" w:rsidP="00BE38B5">
      <w:pPr>
        <w:pStyle w:val="ListParagraph"/>
        <w:numPr>
          <w:ilvl w:val="1"/>
          <w:numId w:val="2"/>
        </w:numPr>
        <w:spacing w:after="160" w:line="480" w:lineRule="auto"/>
        <w:jc w:val="both"/>
      </w:pPr>
      <w:r w:rsidRPr="00585293">
        <w:t>T</w:t>
      </w:r>
      <w:r w:rsidR="00D66F00" w:rsidRPr="00585293">
        <w:t>here may be only one potential match for an individual in dataset A, and the corresponding match in dataset B has no other potential matches in dataset A. This is determined to be a successful match.</w:t>
      </w:r>
    </w:p>
    <w:p w14:paraId="26458346" w14:textId="77777777" w:rsidR="009662E3" w:rsidRPr="00585293" w:rsidRDefault="009662E3" w:rsidP="00BE38B5">
      <w:pPr>
        <w:pStyle w:val="ListParagraph"/>
        <w:numPr>
          <w:ilvl w:val="1"/>
          <w:numId w:val="2"/>
        </w:numPr>
        <w:spacing w:after="160" w:line="480" w:lineRule="auto"/>
        <w:jc w:val="both"/>
      </w:pPr>
      <w:r w:rsidRPr="00585293">
        <w:t>I</w:t>
      </w:r>
      <w:r w:rsidR="00D66F00" w:rsidRPr="00585293">
        <w:t>n cases where they are more than one potential match by name in dataset B, the individual (let us call him B1) closest in inferred birth year to the observation in dataset A is matched only if the second closest observation in B is more than 2 years apart in reported age to B1.</w:t>
      </w:r>
    </w:p>
    <w:p w14:paraId="700A6B0E" w14:textId="63688F80" w:rsidR="003263B9" w:rsidRPr="00585293" w:rsidRDefault="00D66F00" w:rsidP="00BE38B5">
      <w:pPr>
        <w:pStyle w:val="ListParagraph"/>
        <w:numPr>
          <w:ilvl w:val="0"/>
          <w:numId w:val="2"/>
        </w:numPr>
        <w:spacing w:after="160" w:line="480" w:lineRule="auto"/>
        <w:jc w:val="both"/>
      </w:pPr>
      <w:r w:rsidRPr="00585293">
        <w:lastRenderedPageBreak/>
        <w:t xml:space="preserve">To </w:t>
      </w:r>
      <w:r w:rsidR="00D37655" w:rsidRPr="00585293">
        <w:t>minimize</w:t>
      </w:r>
      <w:r w:rsidRPr="00585293">
        <w:t xml:space="preserve"> Type I errors, this paper adopts the conservative approach where matches are also required to be unique within a 5-year band (plus or minus 2 years in age) and to differ in reported age by no more than 2 years.</w:t>
      </w:r>
    </w:p>
    <w:p w14:paraId="73A3A695" w14:textId="22D76A95" w:rsidR="009662E3" w:rsidRPr="00585293" w:rsidRDefault="009662E3" w:rsidP="00BE38B5">
      <w:pPr>
        <w:spacing w:after="160" w:line="480" w:lineRule="auto"/>
        <w:jc w:val="both"/>
        <w:rPr>
          <w:b/>
          <w:bCs/>
        </w:rPr>
      </w:pPr>
      <w:r w:rsidRPr="00585293">
        <w:rPr>
          <w:b/>
          <w:bCs/>
        </w:rPr>
        <w:t>Using NYSIIS Phonetic Names</w:t>
      </w:r>
      <w:r w:rsidR="00623216" w:rsidRPr="00585293">
        <w:rPr>
          <w:b/>
          <w:bCs/>
        </w:rPr>
        <w:t xml:space="preserve"> </w:t>
      </w:r>
      <w:r w:rsidR="006965CD" w:rsidRPr="00585293">
        <w:rPr>
          <w:b/>
          <w:bCs/>
        </w:rPr>
        <w:t>–</w:t>
      </w:r>
      <w:r w:rsidR="00623216" w:rsidRPr="00585293">
        <w:rPr>
          <w:b/>
          <w:bCs/>
        </w:rPr>
        <w:t xml:space="preserve"> </w:t>
      </w:r>
      <w:r w:rsidR="006965CD" w:rsidRPr="00585293">
        <w:rPr>
          <w:b/>
          <w:bCs/>
        </w:rPr>
        <w:t>Alternative Linkage Strategy for Additional Results</w:t>
      </w:r>
    </w:p>
    <w:p w14:paraId="714C0A79" w14:textId="77777777" w:rsidR="009662E3" w:rsidRPr="00585293" w:rsidRDefault="009662E3" w:rsidP="00BE38B5">
      <w:pPr>
        <w:pStyle w:val="ListParagraph"/>
        <w:numPr>
          <w:ilvl w:val="0"/>
          <w:numId w:val="3"/>
        </w:numPr>
        <w:spacing w:after="160" w:line="480" w:lineRule="auto"/>
        <w:jc w:val="both"/>
      </w:pPr>
      <w:r w:rsidRPr="00585293">
        <w:t>T</w:t>
      </w:r>
      <w:r w:rsidR="00736570" w:rsidRPr="00585293">
        <w:t>he raw strings for first and last names are cleaned</w:t>
      </w:r>
      <w:r w:rsidRPr="00585293">
        <w:t>.</w:t>
      </w:r>
    </w:p>
    <w:p w14:paraId="2DFF4BBF" w14:textId="77777777" w:rsidR="009662E3" w:rsidRPr="00585293" w:rsidRDefault="009662E3" w:rsidP="00BE38B5">
      <w:pPr>
        <w:pStyle w:val="ListParagraph"/>
        <w:numPr>
          <w:ilvl w:val="0"/>
          <w:numId w:val="3"/>
        </w:numPr>
        <w:spacing w:after="160" w:line="480" w:lineRule="auto"/>
        <w:jc w:val="both"/>
      </w:pPr>
      <w:r w:rsidRPr="00585293">
        <w:t>Names</w:t>
      </w:r>
      <w:r w:rsidR="00736570" w:rsidRPr="00585293">
        <w:t xml:space="preserve"> are then converted into their phonetic names using the New York State</w:t>
      </w:r>
      <w:r w:rsidR="000B6AC4" w:rsidRPr="00585293">
        <w:t xml:space="preserve"> Identification and Intelligence System (NYSIIS) Code</w:t>
      </w:r>
      <w:r w:rsidR="00736570" w:rsidRPr="00585293">
        <w:t>.</w:t>
      </w:r>
    </w:p>
    <w:p w14:paraId="5B527B12" w14:textId="77777777" w:rsidR="002E55D5" w:rsidRPr="00585293" w:rsidRDefault="00736570" w:rsidP="00BE38B5">
      <w:pPr>
        <w:pStyle w:val="ListParagraph"/>
        <w:numPr>
          <w:ilvl w:val="0"/>
          <w:numId w:val="3"/>
        </w:numPr>
        <w:spacing w:after="160" w:line="480" w:lineRule="auto"/>
        <w:jc w:val="both"/>
      </w:pPr>
      <w:r w:rsidRPr="00585293">
        <w:t>The sample from the initial year is restricted to those who are unique by first and last name, age, and parish of birth, since it is impossible to distinguish between which non-unique individuals should be linked to the potential match.</w:t>
      </w:r>
    </w:p>
    <w:p w14:paraId="2BA9CD23" w14:textId="77777777" w:rsidR="002E55D5" w:rsidRPr="00585293" w:rsidRDefault="00736570" w:rsidP="00BE38B5">
      <w:pPr>
        <w:pStyle w:val="ListParagraph"/>
        <w:numPr>
          <w:ilvl w:val="0"/>
          <w:numId w:val="3"/>
        </w:numPr>
        <w:spacing w:after="160" w:line="480" w:lineRule="auto"/>
        <w:jc w:val="both"/>
      </w:pPr>
      <w:r w:rsidRPr="00585293">
        <w:t>Following from this, matches can be identified based on their vital information through an iterative procedure</w:t>
      </w:r>
      <w:r w:rsidR="002E55D5" w:rsidRPr="00585293">
        <w:t>:</w:t>
      </w:r>
    </w:p>
    <w:p w14:paraId="502397AE" w14:textId="2869B554" w:rsidR="002E55D5" w:rsidRPr="00585293" w:rsidRDefault="00736570" w:rsidP="00BE38B5">
      <w:pPr>
        <w:pStyle w:val="ListParagraph"/>
        <w:numPr>
          <w:ilvl w:val="1"/>
          <w:numId w:val="3"/>
        </w:numPr>
        <w:spacing w:after="160" w:line="480" w:lineRule="auto"/>
        <w:jc w:val="both"/>
      </w:pPr>
      <w:r w:rsidRPr="00585293">
        <w:t xml:space="preserve">If a unique match – same name, birth year, and birth parish – is found, the individual is </w:t>
      </w:r>
      <w:r w:rsidR="00865AD8">
        <w:t>“</w:t>
      </w:r>
      <w:r w:rsidRPr="00585293">
        <w:t>matched</w:t>
      </w:r>
      <w:r w:rsidR="00865AD8">
        <w:t>.”</w:t>
      </w:r>
    </w:p>
    <w:p w14:paraId="3E36D8AD" w14:textId="77777777" w:rsidR="002E55D5" w:rsidRPr="00585293" w:rsidRDefault="00736570" w:rsidP="00BE38B5">
      <w:pPr>
        <w:pStyle w:val="ListParagraph"/>
        <w:numPr>
          <w:ilvl w:val="1"/>
          <w:numId w:val="3"/>
        </w:numPr>
        <w:spacing w:after="160" w:line="480" w:lineRule="auto"/>
        <w:jc w:val="both"/>
      </w:pPr>
      <w:r w:rsidRPr="00585293">
        <w:t>If there are multiple matches for the same birth year, the observation is discarded.</w:t>
      </w:r>
    </w:p>
    <w:p w14:paraId="4B34A98F" w14:textId="2ECF3BBF" w:rsidR="00736570" w:rsidRPr="00585293" w:rsidRDefault="00736570" w:rsidP="00BE38B5">
      <w:pPr>
        <w:pStyle w:val="ListParagraph"/>
        <w:numPr>
          <w:ilvl w:val="1"/>
          <w:numId w:val="3"/>
        </w:numPr>
        <w:spacing w:after="160" w:line="480" w:lineRule="auto"/>
        <w:jc w:val="both"/>
      </w:pPr>
      <w:r w:rsidRPr="00585293">
        <w:t>If no matches are found for the same birth year, the process is expanded to matching within a one-year band (older or younger), and then within a two-year band around the inferred birth year. Again, only unique matches are accepted.</w:t>
      </w:r>
    </w:p>
    <w:p w14:paraId="35C8C2ED" w14:textId="0B8D109D" w:rsidR="002E55D5" w:rsidRPr="00585293" w:rsidRDefault="002E55D5" w:rsidP="00BE38B5">
      <w:pPr>
        <w:pStyle w:val="ListParagraph"/>
        <w:numPr>
          <w:ilvl w:val="0"/>
          <w:numId w:val="3"/>
        </w:numPr>
        <w:spacing w:after="160" w:line="480" w:lineRule="auto"/>
        <w:jc w:val="both"/>
      </w:pPr>
      <w:r w:rsidRPr="00585293">
        <w:t>To reduce the likelihood of false positives, matches are required to have unique names within a five-year band (plus or minus two years) around the birth year.</w:t>
      </w:r>
    </w:p>
    <w:p w14:paraId="04FD2827" w14:textId="2E030264" w:rsidR="00EB6BDC" w:rsidRPr="00585293" w:rsidRDefault="0097732A" w:rsidP="00BE38B5">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t>C</w:t>
      </w:r>
      <w:r w:rsidR="004D6DD0" w:rsidRPr="00585293">
        <w:rPr>
          <w:rFonts w:ascii="Times New Roman" w:hAnsi="Times New Roman" w:cs="Times New Roman"/>
          <w:b/>
          <w:bCs/>
          <w:color w:val="auto"/>
          <w:sz w:val="28"/>
          <w:szCs w:val="28"/>
        </w:rPr>
        <w:tab/>
      </w:r>
      <w:r w:rsidR="00EB6BDC" w:rsidRPr="00585293">
        <w:rPr>
          <w:rFonts w:ascii="Times New Roman" w:hAnsi="Times New Roman" w:cs="Times New Roman"/>
          <w:b/>
          <w:bCs/>
          <w:color w:val="auto"/>
          <w:sz w:val="28"/>
          <w:szCs w:val="28"/>
        </w:rPr>
        <w:t>Estimating False Positive Rate</w:t>
      </w:r>
    </w:p>
    <w:p w14:paraId="344DD586" w14:textId="7A5E2177" w:rsidR="00C21572" w:rsidRPr="00585293" w:rsidRDefault="0003029D" w:rsidP="00BE38B5">
      <w:pPr>
        <w:spacing w:after="160" w:line="480" w:lineRule="auto"/>
        <w:jc w:val="both"/>
      </w:pPr>
      <w:r w:rsidRPr="00585293">
        <w:t>When estimating the rates of intergenerational mobility from linked census data</w:t>
      </w:r>
      <w:r w:rsidR="00596E97" w:rsidRPr="00585293">
        <w:t xml:space="preserve">, it has </w:t>
      </w:r>
      <w:r w:rsidR="000C51AC" w:rsidRPr="00585293">
        <w:t xml:space="preserve">now become commonplace to </w:t>
      </w:r>
      <w:r w:rsidR="00D37655" w:rsidRPr="00585293">
        <w:t>emphasize</w:t>
      </w:r>
      <w:r w:rsidR="000C51AC" w:rsidRPr="00585293">
        <w:t xml:space="preserve"> the importance of reducing </w:t>
      </w:r>
      <w:r w:rsidRPr="00585293">
        <w:t xml:space="preserve">Type </w:t>
      </w:r>
      <w:r w:rsidR="004216AE" w:rsidRPr="00585293">
        <w:t xml:space="preserve">I errors (false positives) </w:t>
      </w:r>
      <w:r w:rsidR="005603F3" w:rsidRPr="00585293">
        <w:lastRenderedPageBreak/>
        <w:t xml:space="preserve">since a sample with a high share of false positives may </w:t>
      </w:r>
      <w:r w:rsidR="004D4B83" w:rsidRPr="00585293">
        <w:t xml:space="preserve">attenuate the IGE estimated and therefore overstate the extent of social mobility. </w:t>
      </w:r>
    </w:p>
    <w:p w14:paraId="74354650" w14:textId="07679F23" w:rsidR="009D0174" w:rsidRPr="00585293" w:rsidRDefault="00884356" w:rsidP="00C21572">
      <w:pPr>
        <w:spacing w:after="160" w:line="480" w:lineRule="auto"/>
        <w:ind w:firstLine="720"/>
        <w:jc w:val="both"/>
      </w:pPr>
      <w:r w:rsidRPr="00585293">
        <w:t xml:space="preserve">The standard procedure for calculating the rate of false positives associated with a census linking process in the literature is to benchmark the linked dataset with a high-quality reference dataset. </w:t>
      </w:r>
      <w:r w:rsidR="00C21572" w:rsidRPr="00585293">
        <w:t>For instance, Bailey et al. (</w:t>
      </w:r>
      <w:r w:rsidR="00865AD8">
        <w:t>2020</w:t>
      </w:r>
      <w:r w:rsidR="00C21572" w:rsidRPr="00585293">
        <w:t>)</w:t>
      </w:r>
      <w:r w:rsidR="0081666A" w:rsidRPr="00585293">
        <w:t xml:space="preserve">’s extensive review of </w:t>
      </w:r>
      <w:r w:rsidR="00975A1F" w:rsidRPr="00585293">
        <w:t>some of the most widely</w:t>
      </w:r>
      <w:r w:rsidR="00F30472" w:rsidRPr="00585293">
        <w:t xml:space="preserve"> known census linkage algorithms used three different reference datasets</w:t>
      </w:r>
      <w:r w:rsidR="002D6515" w:rsidRPr="00585293">
        <w:t xml:space="preserve">, two of which are hand-linked samples and one is a </w:t>
      </w:r>
      <w:r w:rsidR="00865AD8">
        <w:t>“</w:t>
      </w:r>
      <w:r w:rsidR="002D6515" w:rsidRPr="00585293">
        <w:t>ground truth</w:t>
      </w:r>
      <w:r w:rsidR="00865AD8">
        <w:t>”</w:t>
      </w:r>
      <w:r w:rsidR="002D6515" w:rsidRPr="00585293">
        <w:t xml:space="preserve"> sample with </w:t>
      </w:r>
      <w:r w:rsidR="00AA0A58" w:rsidRPr="00585293">
        <w:t xml:space="preserve">some noise added in to mimic errors in historical data. </w:t>
      </w:r>
      <w:r w:rsidR="007770A7" w:rsidRPr="00585293">
        <w:t>Abramitzky et al. (2020)</w:t>
      </w:r>
      <w:r w:rsidR="000D037A" w:rsidRPr="00585293">
        <w:t xml:space="preserve"> also reviewed their own </w:t>
      </w:r>
      <w:r w:rsidR="00903BC3" w:rsidRPr="00585293">
        <w:t xml:space="preserve">linkage methods, where they compared their linkages to </w:t>
      </w:r>
      <w:r w:rsidR="00EF272D" w:rsidRPr="00585293">
        <w:t xml:space="preserve">hand-linked family tree data. </w:t>
      </w:r>
      <w:r w:rsidR="009D0174" w:rsidRPr="00585293">
        <w:t>Such hand-linked samples</w:t>
      </w:r>
      <w:r w:rsidR="001C2344" w:rsidRPr="00585293">
        <w:t xml:space="preserve"> are rare to find, and one can only make assumptions about their</w:t>
      </w:r>
      <w:r w:rsidR="00A324C9" w:rsidRPr="00585293">
        <w:t xml:space="preserve"> reliability.</w:t>
      </w:r>
    </w:p>
    <w:p w14:paraId="5DBCE2C4" w14:textId="2D50B08C" w:rsidR="00596E97" w:rsidRPr="00585293" w:rsidRDefault="00A324C9" w:rsidP="00490967">
      <w:pPr>
        <w:spacing w:after="160" w:line="480" w:lineRule="auto"/>
        <w:ind w:firstLine="720"/>
        <w:jc w:val="both"/>
      </w:pPr>
      <w:r w:rsidRPr="00585293">
        <w:t xml:space="preserve">Though </w:t>
      </w:r>
      <w:r w:rsidR="00A93E8D" w:rsidRPr="00585293">
        <w:t>there are</w:t>
      </w:r>
      <w:r w:rsidR="007C32C6" w:rsidRPr="00585293">
        <w:t xml:space="preserve"> reference sample</w:t>
      </w:r>
      <w:r w:rsidR="00387C4D" w:rsidRPr="00585293">
        <w:t>s</w:t>
      </w:r>
      <w:r w:rsidR="007C32C6" w:rsidRPr="00585293">
        <w:t xml:space="preserve"> </w:t>
      </w:r>
      <w:r w:rsidR="00387C4D" w:rsidRPr="00585293">
        <w:t xml:space="preserve">that are not hand-linked, those are equally difficult to </w:t>
      </w:r>
      <w:r w:rsidR="00A93E8D" w:rsidRPr="00585293">
        <w:t>obtain</w:t>
      </w:r>
      <w:r w:rsidR="002E4159" w:rsidRPr="00585293">
        <w:t xml:space="preserve">. </w:t>
      </w:r>
      <w:r w:rsidR="00EF272D" w:rsidRPr="00585293">
        <w:t xml:space="preserve">Anbinder et al. (2021)’s </w:t>
      </w:r>
      <w:r w:rsidR="00220835" w:rsidRPr="00585293">
        <w:t xml:space="preserve">survey on matching Irish </w:t>
      </w:r>
      <w:r w:rsidR="00E513FF" w:rsidRPr="00585293">
        <w:t>immigrants in the US</w:t>
      </w:r>
      <w:r w:rsidR="002E4159" w:rsidRPr="00585293">
        <w:t xml:space="preserve"> </w:t>
      </w:r>
      <w:r w:rsidR="009D5C74" w:rsidRPr="00585293">
        <w:t>used the Emigrant Industrial Savings Bank records, which contai</w:t>
      </w:r>
      <w:r w:rsidR="00462C64" w:rsidRPr="00585293">
        <w:t xml:space="preserve">n information about customers that are much more detailed than </w:t>
      </w:r>
      <w:r w:rsidR="005E7245" w:rsidRPr="00585293">
        <w:t xml:space="preserve">those found in a census. </w:t>
      </w:r>
      <w:r w:rsidR="00F9664F" w:rsidRPr="00585293">
        <w:t xml:space="preserve">Massey (2017) </w:t>
      </w:r>
      <w:r w:rsidR="00696ED4" w:rsidRPr="00585293">
        <w:t xml:space="preserve">circumvents </w:t>
      </w:r>
      <w:r w:rsidR="00C46728" w:rsidRPr="00585293">
        <w:t xml:space="preserve">the issue of finding high-quality historical datasets by using modern </w:t>
      </w:r>
      <w:r w:rsidR="00E951BD" w:rsidRPr="00585293">
        <w:t xml:space="preserve">data instead, where she can guarantee the reliability of </w:t>
      </w:r>
      <w:r w:rsidR="00A4325B" w:rsidRPr="00585293">
        <w:t xml:space="preserve">her reference sample through </w:t>
      </w:r>
      <w:r w:rsidR="003756FA" w:rsidRPr="00585293">
        <w:t>unique identifiers (</w:t>
      </w:r>
      <w:r w:rsidR="00D37655">
        <w:t>such as</w:t>
      </w:r>
      <w:r w:rsidR="003756FA" w:rsidRPr="00585293">
        <w:t xml:space="preserve"> Social Security Number). She then </w:t>
      </w:r>
      <w:r w:rsidR="00C55D21" w:rsidRPr="00585293">
        <w:t xml:space="preserve">conducts record linkage on the same datasets </w:t>
      </w:r>
      <w:r w:rsidR="00EC292F" w:rsidRPr="00585293">
        <w:t xml:space="preserve">and compares the linkage results with the </w:t>
      </w:r>
      <w:r w:rsidR="00C93953" w:rsidRPr="00585293">
        <w:t>true links.</w:t>
      </w:r>
      <w:r w:rsidR="00702DD4" w:rsidRPr="00585293">
        <w:t xml:space="preserve"> These exercises are incredibly useful for </w:t>
      </w:r>
      <w:r w:rsidR="0052529C" w:rsidRPr="00585293">
        <w:t xml:space="preserve">showing us the potential pitfalls of automated census linkage, but they </w:t>
      </w:r>
      <w:r w:rsidR="009255A0" w:rsidRPr="00585293">
        <w:t xml:space="preserve">cannot be replicated </w:t>
      </w:r>
      <w:r w:rsidR="001C492C" w:rsidRPr="00585293">
        <w:t>in a different historical context (such as for the purpose of estimating false positives in this paper).</w:t>
      </w:r>
    </w:p>
    <w:p w14:paraId="4C58BF64" w14:textId="6F79581F" w:rsidR="00BD00A3" w:rsidRPr="00585293" w:rsidRDefault="001C492C" w:rsidP="00490967">
      <w:pPr>
        <w:spacing w:after="160" w:line="480" w:lineRule="auto"/>
        <w:ind w:firstLine="720"/>
        <w:jc w:val="both"/>
      </w:pPr>
      <w:r w:rsidRPr="00585293">
        <w:t xml:space="preserve">In the absence </w:t>
      </w:r>
      <w:r w:rsidR="00CC2A88" w:rsidRPr="00585293">
        <w:t xml:space="preserve">of a high-quality reference dataset, I have devised a method of checking the rate of Type I errors associated with the census linkage process </w:t>
      </w:r>
      <w:r w:rsidR="00616DE8" w:rsidRPr="00585293">
        <w:t>using double-linked samples instead.</w:t>
      </w:r>
      <w:r w:rsidR="00616DE8" w:rsidRPr="00585293">
        <w:rPr>
          <w:rStyle w:val="FootnoteReference"/>
        </w:rPr>
        <w:footnoteReference w:id="4"/>
      </w:r>
      <w:r w:rsidR="00616DE8" w:rsidRPr="00585293">
        <w:t xml:space="preserve"> </w:t>
      </w:r>
      <w:r w:rsidR="00EB6BDC" w:rsidRPr="00585293">
        <w:t>The procedure for estimating the rate of false positives</w:t>
      </w:r>
      <w:r w:rsidR="00330ED0" w:rsidRPr="00585293">
        <w:t xml:space="preserve"> </w:t>
      </w:r>
      <w:r w:rsidR="00EB6BDC" w:rsidRPr="00585293">
        <w:t xml:space="preserve">is as follows. </w:t>
      </w:r>
      <w:r w:rsidR="00650075" w:rsidRPr="00585293">
        <w:t>Taking the 18</w:t>
      </w:r>
      <w:r w:rsidR="00DC501F" w:rsidRPr="00585293">
        <w:t>8</w:t>
      </w:r>
      <w:r w:rsidR="00650075" w:rsidRPr="00585293">
        <w:t>1-</w:t>
      </w:r>
      <w:r w:rsidR="00650075" w:rsidRPr="00585293">
        <w:lastRenderedPageBreak/>
        <w:t>1</w:t>
      </w:r>
      <w:r w:rsidR="00DC501F" w:rsidRPr="00585293">
        <w:t>91</w:t>
      </w:r>
      <w:r w:rsidR="00650075" w:rsidRPr="00585293">
        <w:t xml:space="preserve">1 sample as an example, I </w:t>
      </w:r>
      <w:r w:rsidR="00C7216C" w:rsidRPr="00585293">
        <w:t>first select sons wh</w:t>
      </w:r>
      <w:r w:rsidR="00CA7326" w:rsidRPr="00585293">
        <w:t xml:space="preserve">ose relationship status as reported in the census is </w:t>
      </w:r>
      <w:r w:rsidR="00865AD8">
        <w:t>“</w:t>
      </w:r>
      <w:r w:rsidR="00CA7326" w:rsidRPr="00585293">
        <w:t>son</w:t>
      </w:r>
      <w:r w:rsidR="00865AD8">
        <w:t>”</w:t>
      </w:r>
      <w:r w:rsidR="00CA7326" w:rsidRPr="00585293">
        <w:t xml:space="preserve"> in both 18</w:t>
      </w:r>
      <w:r w:rsidR="00DC501F" w:rsidRPr="00585293">
        <w:t>8</w:t>
      </w:r>
      <w:r w:rsidR="00CA7326" w:rsidRPr="00585293">
        <w:t>1 and 18</w:t>
      </w:r>
      <w:r w:rsidR="00DC501F" w:rsidRPr="00585293">
        <w:t>9</w:t>
      </w:r>
      <w:r w:rsidR="00CA7326" w:rsidRPr="00585293">
        <w:t>1, indicating that they are</w:t>
      </w:r>
      <w:r w:rsidR="006C316F" w:rsidRPr="00585293">
        <w:t xml:space="preserve"> living with their families in both years. </w:t>
      </w:r>
      <w:r w:rsidR="008270E0" w:rsidRPr="00585293">
        <w:t xml:space="preserve">I then check if the fathers they are living </w:t>
      </w:r>
      <w:r w:rsidR="00A87C53" w:rsidRPr="00585293">
        <w:t xml:space="preserve">with </w:t>
      </w:r>
      <w:r w:rsidR="008270E0" w:rsidRPr="00585293">
        <w:t>in 18</w:t>
      </w:r>
      <w:r w:rsidR="00DC501F" w:rsidRPr="00585293">
        <w:t>9</w:t>
      </w:r>
      <w:r w:rsidR="008270E0" w:rsidRPr="00585293">
        <w:t xml:space="preserve">1 are the same </w:t>
      </w:r>
      <w:r w:rsidR="00A87C53" w:rsidRPr="00585293">
        <w:t>individuals</w:t>
      </w:r>
      <w:r w:rsidR="008270E0" w:rsidRPr="00585293">
        <w:t xml:space="preserve"> that I </w:t>
      </w:r>
      <w:r w:rsidR="00141E6A" w:rsidRPr="00585293">
        <w:t>identified when I linked their fat</w:t>
      </w:r>
      <w:r w:rsidR="00B42D27" w:rsidRPr="00585293">
        <w:t>hers from the 18</w:t>
      </w:r>
      <w:r w:rsidR="00DC501F" w:rsidRPr="00585293">
        <w:t>8</w:t>
      </w:r>
      <w:r w:rsidR="00B42D27" w:rsidRPr="00585293">
        <w:t>1 to the 18</w:t>
      </w:r>
      <w:r w:rsidR="00DC501F" w:rsidRPr="00585293">
        <w:t>9</w:t>
      </w:r>
      <w:r w:rsidR="00B42D27" w:rsidRPr="00585293">
        <w:t xml:space="preserve">1 census. </w:t>
      </w:r>
      <w:r w:rsidR="00FD5C13" w:rsidRPr="00585293">
        <w:t xml:space="preserve">This is a valid test because </w:t>
      </w:r>
      <w:r w:rsidR="0009713A" w:rsidRPr="00585293">
        <w:t>fathers and sons are linked across census years independently</w:t>
      </w:r>
      <w:r w:rsidR="00614955" w:rsidRPr="00585293">
        <w:t>.</w:t>
      </w:r>
      <w:r w:rsidR="00EB1985" w:rsidRPr="00585293">
        <w:t xml:space="preserve"> I can then calculate the percentage</w:t>
      </w:r>
      <w:r w:rsidR="00C428E2" w:rsidRPr="00585293">
        <w:t xml:space="preserve"> (</w:t>
      </w:r>
      <w:r w:rsidR="00DC25C8" w:rsidRPr="00585293">
        <w:rPr>
          <w:i/>
          <w:iCs/>
        </w:rPr>
        <w:t>γ</w:t>
      </w:r>
      <w:r w:rsidR="00DC25C8" w:rsidRPr="00585293">
        <w:t>)</w:t>
      </w:r>
      <w:r w:rsidR="00A75906" w:rsidRPr="00585293">
        <w:t xml:space="preserve"> </w:t>
      </w:r>
      <w:r w:rsidR="00EB1985" w:rsidRPr="00585293">
        <w:t xml:space="preserve">of </w:t>
      </w:r>
      <w:r w:rsidR="001D494A" w:rsidRPr="00585293">
        <w:t xml:space="preserve">sons whose </w:t>
      </w:r>
      <w:r w:rsidR="00B74197" w:rsidRPr="00585293">
        <w:t>actual fathers they are living with in 1861 are different to the fathers that I linked.</w:t>
      </w:r>
    </w:p>
    <w:p w14:paraId="5C2CE10C" w14:textId="6467980B" w:rsidR="00A75906" w:rsidRPr="00585293" w:rsidRDefault="00A75906" w:rsidP="00BE38B5">
      <w:pPr>
        <w:spacing w:after="160" w:line="480" w:lineRule="auto"/>
        <w:jc w:val="both"/>
      </w:pPr>
      <w:r w:rsidRPr="00585293">
        <w:tab/>
        <w:t xml:space="preserve">It is important to note here that </w:t>
      </w:r>
      <w:r w:rsidR="00B2245F" w:rsidRPr="00585293">
        <w:t>this</w:t>
      </w:r>
      <w:r w:rsidRPr="00585293">
        <w:t xml:space="preserve"> is only an upper-bound estimate of the false positive rate </w:t>
      </w:r>
      <w:r w:rsidR="00330ED0" w:rsidRPr="00585293">
        <w:t>(</w:t>
      </w:r>
      <w:r w:rsidR="00330ED0" w:rsidRPr="00585293">
        <w:rPr>
          <w:i/>
          <w:iCs/>
        </w:rPr>
        <w:t>α</w:t>
      </w:r>
      <w:r w:rsidR="00330ED0" w:rsidRPr="00585293">
        <w:t xml:space="preserve">) </w:t>
      </w:r>
      <w:r w:rsidRPr="00585293">
        <w:t xml:space="preserve">associated with the </w:t>
      </w:r>
      <w:r w:rsidR="00A42779" w:rsidRPr="00585293">
        <w:t xml:space="preserve">linking algorithm. This is because the linkage process entails </w:t>
      </w:r>
      <w:r w:rsidR="00CD3FD6" w:rsidRPr="00585293">
        <w:t>running the algorithm twice – once for matching sons from 18</w:t>
      </w:r>
      <w:r w:rsidR="00DC501F" w:rsidRPr="00585293">
        <w:t>8</w:t>
      </w:r>
      <w:r w:rsidR="00CD3FD6" w:rsidRPr="00585293">
        <w:t>1 to 18</w:t>
      </w:r>
      <w:r w:rsidR="00DC501F" w:rsidRPr="00585293">
        <w:t>9</w:t>
      </w:r>
      <w:r w:rsidR="00CD3FD6" w:rsidRPr="00585293">
        <w:t>1, and once for matching fathers from 18</w:t>
      </w:r>
      <w:r w:rsidR="00DC501F" w:rsidRPr="00585293">
        <w:t>8</w:t>
      </w:r>
      <w:r w:rsidR="00CD3FD6" w:rsidRPr="00585293">
        <w:t>1 to 18</w:t>
      </w:r>
      <w:r w:rsidR="00DC501F" w:rsidRPr="00585293">
        <w:t>9</w:t>
      </w:r>
      <w:r w:rsidR="00CD3FD6" w:rsidRPr="00585293">
        <w:t>1.</w:t>
      </w:r>
      <w:r w:rsidR="00AA6B70" w:rsidRPr="00585293">
        <w:t xml:space="preserve"> Thus, </w:t>
      </w:r>
      <w:r w:rsidR="00334265" w:rsidRPr="00585293">
        <w:t xml:space="preserve">γ is an outcome of these </w:t>
      </w:r>
      <w:r w:rsidR="00F44D5C" w:rsidRPr="00585293">
        <w:t>four scenarios:</w:t>
      </w:r>
    </w:p>
    <w:p w14:paraId="7E97DC04" w14:textId="7EE41BB0" w:rsidR="0089111A" w:rsidRPr="00585293" w:rsidRDefault="003523E0" w:rsidP="00BE38B5">
      <w:pPr>
        <w:pStyle w:val="ListParagraph"/>
        <w:numPr>
          <w:ilvl w:val="0"/>
          <w:numId w:val="1"/>
        </w:numPr>
        <w:spacing w:after="160" w:line="480" w:lineRule="auto"/>
        <w:jc w:val="both"/>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=1</m:t>
            </m:r>
          </m:e>
          <m:e>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=1</m:t>
            </m:r>
          </m:e>
        </m:d>
        <m:r>
          <w:rPr>
            <w:rFonts w:ascii="Cambria Math" w:hAnsi="Cambria Math"/>
          </w:rPr>
          <m:t>=α*α</m:t>
        </m:r>
      </m:oMath>
      <w:r w:rsidR="006903FA" w:rsidRPr="00585293">
        <w:t>,</w:t>
      </w:r>
      <w:r w:rsidR="000568F7" w:rsidRPr="00585293">
        <w:t xml:space="preserve"> where E</w:t>
      </w:r>
      <w:r w:rsidR="000568F7" w:rsidRPr="00585293">
        <w:rPr>
          <w:vertAlign w:val="subscript"/>
        </w:rPr>
        <w:t>S</w:t>
      </w:r>
      <w:r w:rsidR="000568F7" w:rsidRPr="00585293">
        <w:t xml:space="preserve"> </w:t>
      </w:r>
      <w:r w:rsidR="0081067E" w:rsidRPr="00585293">
        <w:t>= 1 denotes a Type I error in the linkage of sons and E</w:t>
      </w:r>
      <w:r w:rsidR="0081067E" w:rsidRPr="00585293">
        <w:rPr>
          <w:vertAlign w:val="subscript"/>
        </w:rPr>
        <w:t>F</w:t>
      </w:r>
      <w:r w:rsidR="0081067E" w:rsidRPr="00585293">
        <w:t xml:space="preserve"> = </w:t>
      </w:r>
      <w:r w:rsidR="00F737F1" w:rsidRPr="00585293">
        <w:t>1</w:t>
      </w:r>
      <w:r w:rsidR="0081067E" w:rsidRPr="00585293">
        <w:t xml:space="preserve"> denotes </w:t>
      </w:r>
      <w:r w:rsidR="00F737F1" w:rsidRPr="00585293">
        <w:t>a type I error in the linkage of fathers</w:t>
      </w:r>
      <w:r w:rsidR="00996B27" w:rsidRPr="00585293">
        <w:t>.</w:t>
      </w:r>
    </w:p>
    <w:p w14:paraId="56034EEB" w14:textId="42A1280F" w:rsidR="00BD00A3" w:rsidRPr="00585293" w:rsidRDefault="003523E0" w:rsidP="00BE38B5">
      <w:pPr>
        <w:pStyle w:val="ListParagraph"/>
        <w:numPr>
          <w:ilvl w:val="0"/>
          <w:numId w:val="1"/>
        </w:numPr>
        <w:spacing w:after="160" w:line="480" w:lineRule="auto"/>
        <w:jc w:val="both"/>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=1</m:t>
            </m:r>
          </m:e>
          <m:e>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=0</m:t>
            </m:r>
          </m:e>
        </m:d>
        <m:r>
          <w:rPr>
            <w:rFonts w:ascii="Cambria Math" w:hAnsi="Cambria Math"/>
          </w:rPr>
          <m:t>=α*(1-α)</m:t>
        </m:r>
      </m:oMath>
      <w:r w:rsidR="00EF312C" w:rsidRPr="00585293">
        <w:t xml:space="preserve">, meaning </w:t>
      </w:r>
      <w:r w:rsidR="00917B82" w:rsidRPr="00585293">
        <w:t>fathers are correctly matched between 18</w:t>
      </w:r>
      <w:r w:rsidR="00DC501F" w:rsidRPr="00585293">
        <w:t>8</w:t>
      </w:r>
      <w:r w:rsidR="00917B82" w:rsidRPr="00585293">
        <w:t>1 and 18</w:t>
      </w:r>
      <w:r w:rsidR="00DC501F" w:rsidRPr="00585293">
        <w:t>9</w:t>
      </w:r>
      <w:r w:rsidR="00917B82" w:rsidRPr="00585293">
        <w:t>1</w:t>
      </w:r>
      <w:r w:rsidR="00830EE9" w:rsidRPr="00585293">
        <w:t xml:space="preserve"> but sons are false matches</w:t>
      </w:r>
      <w:r w:rsidR="00996B27" w:rsidRPr="00585293">
        <w:t>.</w:t>
      </w:r>
    </w:p>
    <w:p w14:paraId="12A1213D" w14:textId="3C599157" w:rsidR="003B0A15" w:rsidRPr="00585293" w:rsidRDefault="001459B7" w:rsidP="00BE38B5">
      <w:pPr>
        <w:pStyle w:val="ListParagraph"/>
        <w:numPr>
          <w:ilvl w:val="0"/>
          <w:numId w:val="1"/>
        </w:numPr>
        <w:spacing w:after="160" w:line="480" w:lineRule="auto"/>
        <w:jc w:val="both"/>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=0</m:t>
            </m:r>
          </m:e>
          <m:e>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=1</m:t>
            </m:r>
          </m:e>
        </m:d>
        <m:r>
          <w:rPr>
            <w:rFonts w:ascii="Cambria Math" w:hAnsi="Cambria Math"/>
          </w:rPr>
          <m:t>=(1-α)*α</m:t>
        </m:r>
      </m:oMath>
      <w:r w:rsidR="003B0A15" w:rsidRPr="00585293">
        <w:t>, meaning that sons are matched correctly between 18</w:t>
      </w:r>
      <w:r w:rsidR="00DC501F" w:rsidRPr="00585293">
        <w:t>8</w:t>
      </w:r>
      <w:r w:rsidR="003B0A15" w:rsidRPr="00585293">
        <w:t>1 and 18</w:t>
      </w:r>
      <w:r w:rsidR="00DC501F" w:rsidRPr="00585293">
        <w:t>9</w:t>
      </w:r>
      <w:r w:rsidR="003B0A15" w:rsidRPr="00585293">
        <w:t>1 but fathers are false matches</w:t>
      </w:r>
      <w:r w:rsidR="00996B27" w:rsidRPr="00585293">
        <w:t>.</w:t>
      </w:r>
    </w:p>
    <w:p w14:paraId="6C62DC8C" w14:textId="2EF39B52" w:rsidR="003B0A15" w:rsidRPr="00585293" w:rsidRDefault="00D3110B" w:rsidP="00BE38B5">
      <w:pPr>
        <w:pStyle w:val="ListParagraph"/>
        <w:numPr>
          <w:ilvl w:val="0"/>
          <w:numId w:val="1"/>
        </w:numPr>
        <w:spacing w:after="160" w:line="480" w:lineRule="auto"/>
        <w:jc w:val="both"/>
      </w:pPr>
      <w:r w:rsidRPr="00585293">
        <w:t xml:space="preserve">An unknown percentage </w:t>
      </w:r>
      <w:r w:rsidRPr="00585293">
        <w:rPr>
          <w:i/>
          <w:iCs/>
        </w:rPr>
        <w:t>β</w:t>
      </w:r>
      <w:r w:rsidRPr="00585293">
        <w:t xml:space="preserve"> that represents the share of false positives </w:t>
      </w:r>
      <w:r w:rsidR="00DC6A87" w:rsidRPr="00585293">
        <w:t xml:space="preserve">eliminated by the requirement for sons to have a match in every census year within the 30-year interval. In other words, sons </w:t>
      </w:r>
      <w:r w:rsidR="006D08AB" w:rsidRPr="00585293">
        <w:t>who can be falsely matched between 18</w:t>
      </w:r>
      <w:r w:rsidR="00DC501F" w:rsidRPr="00585293">
        <w:t>8</w:t>
      </w:r>
      <w:r w:rsidR="006D08AB" w:rsidRPr="00585293">
        <w:t>1 and 1</w:t>
      </w:r>
      <w:r w:rsidR="00DC501F" w:rsidRPr="00585293">
        <w:t>91</w:t>
      </w:r>
      <w:r w:rsidR="006D08AB" w:rsidRPr="00585293">
        <w:t>1 but not between 18</w:t>
      </w:r>
      <w:r w:rsidR="00DC501F" w:rsidRPr="00585293">
        <w:t>8</w:t>
      </w:r>
      <w:r w:rsidR="006D08AB" w:rsidRPr="00585293">
        <w:t>1 and 18</w:t>
      </w:r>
      <w:r w:rsidR="00DC501F" w:rsidRPr="00585293">
        <w:t>9</w:t>
      </w:r>
      <w:r w:rsidR="006D08AB" w:rsidRPr="00585293">
        <w:t>1</w:t>
      </w:r>
      <w:r w:rsidR="00DC501F" w:rsidRPr="00585293">
        <w:t xml:space="preserve"> or between 1881 and 1901</w:t>
      </w:r>
      <w:r w:rsidR="006D08AB" w:rsidRPr="00585293">
        <w:t>.</w:t>
      </w:r>
    </w:p>
    <w:p w14:paraId="529A6F8E" w14:textId="720AA943" w:rsidR="00996B27" w:rsidRPr="00585293" w:rsidRDefault="00996B27" w:rsidP="00BE38B5">
      <w:pPr>
        <w:spacing w:after="160" w:line="480" w:lineRule="auto"/>
        <w:jc w:val="both"/>
      </w:pPr>
      <w:r w:rsidRPr="00585293">
        <w:t>Combining these scenarios produce the following equation</w:t>
      </w:r>
      <w:r w:rsidR="00DF3B0F" w:rsidRPr="00585293">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7"/>
        <w:gridCol w:w="659"/>
      </w:tblGrid>
      <w:tr w:rsidR="00585E11" w:rsidRPr="00585293" w14:paraId="5C9A0404" w14:textId="77777777" w:rsidTr="0083361F">
        <w:trPr>
          <w:trHeight w:val="567"/>
        </w:trPr>
        <w:tc>
          <w:tcPr>
            <w:tcW w:w="4635" w:type="pct"/>
            <w:vAlign w:val="center"/>
          </w:tcPr>
          <w:p w14:paraId="7BD0D7BB" w14:textId="77F5BF38" w:rsidR="00585E11" w:rsidRPr="00585293" w:rsidRDefault="00585E11" w:rsidP="00BE38B5">
            <w:pPr>
              <w:spacing w:after="160" w:line="480" w:lineRule="auto"/>
              <w:jc w:val="center"/>
              <w:rPr>
                <w:i/>
                <w:iCs/>
              </w:rPr>
            </w:pPr>
            <m:oMathPara>
              <m:oMath>
                <m:r>
                  <w:rPr>
                    <w:rFonts w:ascii="Cambria Math" w:hAnsi="Cambria Math"/>
                  </w:rPr>
                  <m:t>γ</m:t>
                </m:r>
                <m:r>
                  <w:rPr>
                    <w:rFonts w:ascii="Cambria Math"/>
                  </w:rPr>
                  <m:t xml:space="preserve"> </m:t>
                </m:r>
                <m:r>
                  <w:rPr>
                    <w:rFonts w:ascii="Cambria Math" w:hAnsi="Cambria Math"/>
                  </w:rPr>
                  <m:t>= 2α-</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-β</m:t>
                </m:r>
              </m:oMath>
            </m:oMathPara>
          </w:p>
        </w:tc>
        <w:tc>
          <w:tcPr>
            <w:tcW w:w="365" w:type="pct"/>
            <w:vAlign w:val="center"/>
          </w:tcPr>
          <w:p w14:paraId="15F11407" w14:textId="2D8004DC" w:rsidR="00585E11" w:rsidRPr="00585293" w:rsidRDefault="00585E11" w:rsidP="00BE38B5">
            <w:pPr>
              <w:spacing w:after="160" w:line="480" w:lineRule="auto"/>
              <w:jc w:val="right"/>
            </w:pPr>
            <w:r w:rsidRPr="00585293">
              <w:t>(C1)</w:t>
            </w:r>
          </w:p>
        </w:tc>
      </w:tr>
    </w:tbl>
    <w:p w14:paraId="42DFC977" w14:textId="6B604B62" w:rsidR="00836F01" w:rsidRPr="00585293" w:rsidRDefault="008E5DC6" w:rsidP="00BE38B5">
      <w:pPr>
        <w:spacing w:after="160" w:line="480" w:lineRule="auto"/>
        <w:jc w:val="both"/>
      </w:pPr>
      <w:r w:rsidRPr="00585293">
        <w:lastRenderedPageBreak/>
        <w:t>Solving the quadratic would reveal the true rate of false positive rate associated with the linkage algorithm:</w:t>
      </w:r>
    </w:p>
    <w:tbl>
      <w:tblPr>
        <w:tblStyle w:val="TableGrid"/>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8"/>
        <w:gridCol w:w="680"/>
      </w:tblGrid>
      <w:tr w:rsidR="00585E11" w:rsidRPr="00585293" w14:paraId="790B1ECD" w14:textId="77777777" w:rsidTr="0083361F">
        <w:trPr>
          <w:trHeight w:val="567"/>
        </w:trPr>
        <w:tc>
          <w:tcPr>
            <w:tcW w:w="4624" w:type="pct"/>
            <w:vAlign w:val="center"/>
          </w:tcPr>
          <w:p w14:paraId="67EF6C08" w14:textId="50AA1555" w:rsidR="00585E11" w:rsidRPr="00585293" w:rsidRDefault="00585E11" w:rsidP="00BE38B5">
            <w:pPr>
              <w:spacing w:after="160" w:line="480" w:lineRule="auto"/>
              <w:jc w:val="center"/>
              <w:rPr>
                <w:i/>
                <w:iCs/>
              </w:rPr>
            </w:pPr>
            <m:oMathPara>
              <m:oMath>
                <m:r>
                  <w:rPr>
                    <w:rFonts w:ascii="Cambria Math" w:hAnsi="Cambria Math"/>
                  </w:rPr>
                  <m:t>2α-</m:t>
                </m:r>
                <m:sSup>
                  <m:sSupPr>
                    <m:ctrlPr>
                      <w:rPr>
                        <w:rFonts w:ascii="Cambria Math" w:hAnsi="Cambria Math"/>
                      </w:rPr>
                    </m:ctrlPr>
                  </m:sSupPr>
                  <m:e>
                    <m:r>
                      <w:rPr>
                        <w:rFonts w:ascii="Cambria Math" w:hAnsi="Cambria Math"/>
                      </w:rPr>
                      <m:t>α</m:t>
                    </m:r>
                  </m:e>
                  <m:sup>
                    <m:r>
                      <w:rPr>
                        <w:rFonts w:ascii="Cambria Math" w:hAnsi="Cambria Math"/>
                      </w:rPr>
                      <m:t>2</m:t>
                    </m:r>
                  </m:sup>
                </m:sSup>
                <m:r>
                  <w:rPr>
                    <w:rFonts w:ascii="Cambria Math" w:hAnsi="Cambria Math"/>
                  </w:rPr>
                  <m:t>-β-γ</m:t>
                </m:r>
                <m:r>
                  <w:rPr>
                    <w:rFonts w:ascii="Cambria Math"/>
                  </w:rPr>
                  <m:t xml:space="preserve"> = </m:t>
                </m:r>
                <m:r>
                  <w:rPr>
                    <w:rFonts w:ascii="Cambria Math" w:hAnsi="Cambria Math"/>
                  </w:rPr>
                  <m:t>0</m:t>
                </m:r>
              </m:oMath>
            </m:oMathPara>
          </w:p>
        </w:tc>
        <w:tc>
          <w:tcPr>
            <w:tcW w:w="376" w:type="pct"/>
            <w:vAlign w:val="center"/>
          </w:tcPr>
          <w:p w14:paraId="671057F4" w14:textId="7D94FB32" w:rsidR="00585E11" w:rsidRPr="00585293" w:rsidRDefault="00585E11" w:rsidP="00BE38B5">
            <w:pPr>
              <w:spacing w:after="160" w:line="480" w:lineRule="auto"/>
              <w:jc w:val="right"/>
            </w:pPr>
            <w:r w:rsidRPr="00585293">
              <w:t>(C2)</w:t>
            </w:r>
          </w:p>
        </w:tc>
      </w:tr>
    </w:tbl>
    <w:p w14:paraId="20309CD2" w14:textId="02777962" w:rsidR="00836F01" w:rsidRPr="00585293" w:rsidRDefault="00974FD2" w:rsidP="00BE38B5">
      <w:pPr>
        <w:spacing w:after="160" w:line="480" w:lineRule="auto"/>
        <w:jc w:val="both"/>
      </w:pPr>
      <w:r w:rsidRPr="00585293">
        <w:t xml:space="preserve">However, since we do not know the exact value of </w:t>
      </w:r>
      <w:r w:rsidRPr="00585293">
        <w:rPr>
          <w:i/>
          <w:iCs/>
        </w:rPr>
        <w:t>β</w:t>
      </w:r>
      <w:r w:rsidR="00A8154F" w:rsidRPr="00585293">
        <w:t xml:space="preserve">, we can only derive a lower-bound estimate of the false positive rate by assuming </w:t>
      </w:r>
      <w:r w:rsidR="0000251D" w:rsidRPr="00585293">
        <w:rPr>
          <w:i/>
          <w:iCs/>
        </w:rPr>
        <w:t xml:space="preserve">β </w:t>
      </w:r>
      <w:r w:rsidR="0000251D" w:rsidRPr="00585293">
        <w:t>= 0.</w:t>
      </w:r>
    </w:p>
    <w:p w14:paraId="34DD48D1" w14:textId="238214F1" w:rsidR="00B329C7" w:rsidRPr="00585293" w:rsidRDefault="00B329C7" w:rsidP="00B329C7">
      <w:pPr>
        <w:pStyle w:val="Caption"/>
        <w:keepNext/>
        <w:spacing w:after="160"/>
        <w:jc w:val="center"/>
        <w:rPr>
          <w:i w:val="0"/>
          <w:iCs w:val="0"/>
          <w:color w:val="auto"/>
          <w:sz w:val="24"/>
          <w:szCs w:val="24"/>
        </w:rPr>
      </w:pPr>
      <w:r w:rsidRPr="003653CA">
        <w:rPr>
          <w:i w:val="0"/>
          <w:iCs w:val="0"/>
          <w:color w:val="auto"/>
          <w:sz w:val="24"/>
          <w:szCs w:val="24"/>
        </w:rPr>
        <w:t>Table C</w:t>
      </w:r>
      <w:r w:rsidRPr="003653CA">
        <w:rPr>
          <w:i w:val="0"/>
          <w:iCs w:val="0"/>
          <w:color w:val="auto"/>
          <w:sz w:val="24"/>
          <w:szCs w:val="24"/>
        </w:rPr>
        <w:fldChar w:fldCharType="begin"/>
      </w:r>
      <w:r w:rsidRPr="003653CA">
        <w:rPr>
          <w:i w:val="0"/>
          <w:iCs w:val="0"/>
          <w:color w:val="auto"/>
          <w:sz w:val="24"/>
          <w:szCs w:val="24"/>
        </w:rPr>
        <w:instrText xml:space="preserve"> SEQ Table_B \* ARABIC </w:instrText>
      </w:r>
      <w:r w:rsidRPr="003653CA">
        <w:rPr>
          <w:i w:val="0"/>
          <w:iCs w:val="0"/>
          <w:color w:val="auto"/>
          <w:sz w:val="24"/>
          <w:szCs w:val="24"/>
        </w:rPr>
        <w:fldChar w:fldCharType="separate"/>
      </w:r>
      <w:r w:rsidR="00E7210D" w:rsidRPr="003653CA">
        <w:rPr>
          <w:i w:val="0"/>
          <w:iCs w:val="0"/>
          <w:color w:val="auto"/>
          <w:sz w:val="24"/>
          <w:szCs w:val="24"/>
        </w:rPr>
        <w:t>1</w:t>
      </w:r>
      <w:r w:rsidRPr="003653CA">
        <w:rPr>
          <w:i w:val="0"/>
          <w:iCs w:val="0"/>
          <w:color w:val="auto"/>
          <w:sz w:val="24"/>
          <w:szCs w:val="24"/>
        </w:rPr>
        <w:fldChar w:fldCharType="end"/>
      </w:r>
      <w:r w:rsidRPr="00585293">
        <w:rPr>
          <w:i w:val="0"/>
          <w:iCs w:val="0"/>
          <w:color w:val="auto"/>
          <w:sz w:val="24"/>
          <w:szCs w:val="24"/>
        </w:rPr>
        <w:t>: False Positive Rate of Linkage</w:t>
      </w:r>
    </w:p>
    <w:tbl>
      <w:tblPr>
        <w:tblW w:w="5000" w:type="pct"/>
        <w:tblCellMar>
          <w:left w:w="0" w:type="dxa"/>
          <w:right w:w="0" w:type="dxa"/>
        </w:tblCellMar>
        <w:tblLook w:val="0600" w:firstRow="0" w:lastRow="0" w:firstColumn="0" w:lastColumn="0" w:noHBand="1" w:noVBand="1"/>
      </w:tblPr>
      <w:tblGrid>
        <w:gridCol w:w="2997"/>
        <w:gridCol w:w="1507"/>
        <w:gridCol w:w="1509"/>
        <w:gridCol w:w="1507"/>
        <w:gridCol w:w="1506"/>
      </w:tblGrid>
      <w:tr w:rsidR="00B329C7" w:rsidRPr="00585293" w14:paraId="53BD6FC1" w14:textId="77777777" w:rsidTr="00BB27AD">
        <w:trPr>
          <w:trHeight w:hRule="exact" w:val="397"/>
        </w:trPr>
        <w:tc>
          <w:tcPr>
            <w:tcW w:w="1660"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283F36B2" w14:textId="77777777" w:rsidR="00B329C7" w:rsidRPr="00585293" w:rsidRDefault="00B329C7" w:rsidP="00BB27AD">
            <w:pPr>
              <w:spacing w:after="160" w:line="480" w:lineRule="auto"/>
              <w:jc w:val="both"/>
            </w:pPr>
          </w:p>
        </w:tc>
        <w:tc>
          <w:tcPr>
            <w:tcW w:w="1671" w:type="pct"/>
            <w:gridSpan w:val="2"/>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1C220A0E" w14:textId="77777777" w:rsidR="00B329C7" w:rsidRPr="00585293" w:rsidRDefault="00B329C7" w:rsidP="00BB27AD">
            <w:pPr>
              <w:spacing w:after="160" w:line="480" w:lineRule="auto"/>
              <w:jc w:val="both"/>
            </w:pPr>
            <w:r w:rsidRPr="00585293">
              <w:t>1851-1881</w:t>
            </w:r>
          </w:p>
        </w:tc>
        <w:tc>
          <w:tcPr>
            <w:tcW w:w="1670" w:type="pct"/>
            <w:gridSpan w:val="2"/>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60E8882F" w14:textId="77777777" w:rsidR="00B329C7" w:rsidRPr="00585293" w:rsidRDefault="00B329C7" w:rsidP="00BB27AD">
            <w:pPr>
              <w:spacing w:after="160" w:line="480" w:lineRule="auto"/>
              <w:jc w:val="both"/>
            </w:pPr>
            <w:r w:rsidRPr="00585293">
              <w:t>1881-1911</w:t>
            </w:r>
          </w:p>
        </w:tc>
      </w:tr>
      <w:tr w:rsidR="00B329C7" w:rsidRPr="00585293" w14:paraId="2610B2EC" w14:textId="77777777" w:rsidTr="00BB27AD">
        <w:trPr>
          <w:trHeight w:hRule="exact" w:val="397"/>
        </w:trPr>
        <w:tc>
          <w:tcPr>
            <w:tcW w:w="1660"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2575228C" w14:textId="77777777" w:rsidR="00B329C7" w:rsidRPr="00585293" w:rsidRDefault="00B329C7" w:rsidP="00BB27AD">
            <w:pPr>
              <w:spacing w:after="160" w:line="480" w:lineRule="auto"/>
              <w:jc w:val="both"/>
            </w:pPr>
          </w:p>
        </w:tc>
        <w:tc>
          <w:tcPr>
            <w:tcW w:w="83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19BB09C3" w14:textId="77777777" w:rsidR="00B329C7" w:rsidRPr="00585293" w:rsidRDefault="00B329C7" w:rsidP="00BB27AD">
            <w:pPr>
              <w:spacing w:after="160" w:line="480" w:lineRule="auto"/>
              <w:jc w:val="both"/>
            </w:pPr>
            <w:r w:rsidRPr="00585293">
              <w:t>Numbers</w:t>
            </w:r>
          </w:p>
        </w:tc>
        <w:tc>
          <w:tcPr>
            <w:tcW w:w="836"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37723A75" w14:textId="77777777" w:rsidR="00B329C7" w:rsidRPr="00585293" w:rsidRDefault="00B329C7" w:rsidP="00BB27AD">
            <w:pPr>
              <w:spacing w:after="160" w:line="480" w:lineRule="auto"/>
              <w:jc w:val="both"/>
            </w:pPr>
            <w:r w:rsidRPr="00585293">
              <w:t>Percentage</w:t>
            </w:r>
          </w:p>
        </w:tc>
        <w:tc>
          <w:tcPr>
            <w:tcW w:w="83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34397252" w14:textId="77777777" w:rsidR="00B329C7" w:rsidRPr="00585293" w:rsidRDefault="00B329C7" w:rsidP="00BB27AD">
            <w:pPr>
              <w:spacing w:after="160" w:line="480" w:lineRule="auto"/>
              <w:jc w:val="both"/>
            </w:pPr>
            <w:r w:rsidRPr="00585293">
              <w:t>Numbers</w:t>
            </w:r>
          </w:p>
        </w:tc>
        <w:tc>
          <w:tcPr>
            <w:tcW w:w="83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1AE38923" w14:textId="77777777" w:rsidR="00B329C7" w:rsidRPr="00585293" w:rsidRDefault="00B329C7" w:rsidP="00BB27AD">
            <w:pPr>
              <w:spacing w:after="160" w:line="480" w:lineRule="auto"/>
              <w:jc w:val="both"/>
            </w:pPr>
            <w:r w:rsidRPr="00585293">
              <w:t>Percentage</w:t>
            </w:r>
          </w:p>
        </w:tc>
      </w:tr>
      <w:tr w:rsidR="00B329C7" w:rsidRPr="00585293" w14:paraId="4922F33A" w14:textId="77777777" w:rsidTr="00BB27AD">
        <w:trPr>
          <w:trHeight w:hRule="exact" w:val="397"/>
        </w:trPr>
        <w:tc>
          <w:tcPr>
            <w:tcW w:w="1660" w:type="pct"/>
            <w:tcBorders>
              <w:top w:val="single" w:sz="8" w:space="0" w:color="000000"/>
              <w:left w:val="nil"/>
              <w:bottom w:val="nil"/>
              <w:right w:val="nil"/>
            </w:tcBorders>
            <w:shd w:val="clear" w:color="auto" w:fill="auto"/>
            <w:tcMar>
              <w:top w:w="10" w:type="dxa"/>
              <w:left w:w="10" w:type="dxa"/>
              <w:bottom w:w="0" w:type="dxa"/>
              <w:right w:w="10" w:type="dxa"/>
            </w:tcMar>
            <w:vAlign w:val="bottom"/>
            <w:hideMark/>
          </w:tcPr>
          <w:p w14:paraId="69ACCBD8" w14:textId="77777777" w:rsidR="00B329C7" w:rsidRPr="00585293" w:rsidRDefault="00B329C7" w:rsidP="00BB27AD">
            <w:pPr>
              <w:spacing w:after="160" w:line="480" w:lineRule="auto"/>
              <w:jc w:val="both"/>
            </w:pPr>
            <w:r w:rsidRPr="00585293">
              <w:t>Correct Match</w:t>
            </w:r>
          </w:p>
        </w:tc>
        <w:tc>
          <w:tcPr>
            <w:tcW w:w="835"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2514FB95" w14:textId="77777777" w:rsidR="00B329C7" w:rsidRPr="00585293" w:rsidRDefault="00B329C7" w:rsidP="00BB27AD">
            <w:pPr>
              <w:spacing w:after="160" w:line="480" w:lineRule="auto"/>
              <w:jc w:val="both"/>
            </w:pPr>
            <w:r w:rsidRPr="00585293">
              <w:t>37,965</w:t>
            </w:r>
          </w:p>
        </w:tc>
        <w:tc>
          <w:tcPr>
            <w:tcW w:w="836"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31043C00" w14:textId="77777777" w:rsidR="00B329C7" w:rsidRPr="00585293" w:rsidRDefault="00B329C7" w:rsidP="00BB27AD">
            <w:pPr>
              <w:spacing w:after="160" w:line="480" w:lineRule="auto"/>
              <w:jc w:val="both"/>
            </w:pPr>
            <w:r w:rsidRPr="00585293">
              <w:t>82.84</w:t>
            </w:r>
          </w:p>
        </w:tc>
        <w:tc>
          <w:tcPr>
            <w:tcW w:w="835"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0A7EA0AC" w14:textId="77777777" w:rsidR="00B329C7" w:rsidRPr="00585293" w:rsidRDefault="00B329C7" w:rsidP="00BB27AD">
            <w:pPr>
              <w:spacing w:after="160" w:line="480" w:lineRule="auto"/>
              <w:jc w:val="both"/>
            </w:pPr>
            <w:r w:rsidRPr="00585293">
              <w:t>99,641</w:t>
            </w:r>
          </w:p>
        </w:tc>
        <w:tc>
          <w:tcPr>
            <w:tcW w:w="835"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36E6A3B4" w14:textId="77777777" w:rsidR="00B329C7" w:rsidRPr="00585293" w:rsidRDefault="00B329C7" w:rsidP="00BB27AD">
            <w:pPr>
              <w:spacing w:after="160" w:line="480" w:lineRule="auto"/>
              <w:jc w:val="both"/>
            </w:pPr>
            <w:r w:rsidRPr="00585293">
              <w:t>83.37</w:t>
            </w:r>
          </w:p>
        </w:tc>
      </w:tr>
      <w:tr w:rsidR="00B329C7" w:rsidRPr="00585293" w14:paraId="03538898" w14:textId="77777777" w:rsidTr="00BB27AD">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bottom"/>
            <w:hideMark/>
          </w:tcPr>
          <w:p w14:paraId="5CD9D2CF" w14:textId="77777777" w:rsidR="00B329C7" w:rsidRPr="00585293" w:rsidRDefault="00B329C7" w:rsidP="00BB27AD">
            <w:pPr>
              <w:spacing w:after="160" w:line="480" w:lineRule="auto"/>
              <w:jc w:val="both"/>
            </w:pPr>
            <w:r w:rsidRPr="00585293">
              <w:t>Wrong Match</w:t>
            </w: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2B7927C4" w14:textId="77777777" w:rsidR="00B329C7" w:rsidRPr="00585293" w:rsidRDefault="00B329C7" w:rsidP="00BB27AD">
            <w:pPr>
              <w:spacing w:after="160" w:line="480" w:lineRule="auto"/>
              <w:jc w:val="both"/>
            </w:pPr>
            <w:r w:rsidRPr="00585293">
              <w:t>7,865</w:t>
            </w:r>
          </w:p>
        </w:tc>
        <w:tc>
          <w:tcPr>
            <w:tcW w:w="836" w:type="pct"/>
            <w:tcBorders>
              <w:top w:val="nil"/>
              <w:left w:val="nil"/>
              <w:bottom w:val="nil"/>
              <w:right w:val="nil"/>
            </w:tcBorders>
            <w:shd w:val="clear" w:color="auto" w:fill="auto"/>
            <w:tcMar>
              <w:top w:w="10" w:type="dxa"/>
              <w:left w:w="10" w:type="dxa"/>
              <w:bottom w:w="0" w:type="dxa"/>
              <w:right w:w="10" w:type="dxa"/>
            </w:tcMar>
            <w:vAlign w:val="center"/>
            <w:hideMark/>
          </w:tcPr>
          <w:p w14:paraId="61F75880" w14:textId="77777777" w:rsidR="00B329C7" w:rsidRPr="00585293" w:rsidRDefault="00B329C7" w:rsidP="00BB27AD">
            <w:pPr>
              <w:spacing w:after="160" w:line="480" w:lineRule="auto"/>
              <w:jc w:val="both"/>
            </w:pPr>
            <w:r w:rsidRPr="00585293">
              <w:t>17.16</w:t>
            </w: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690B1F95" w14:textId="77777777" w:rsidR="00B329C7" w:rsidRPr="00585293" w:rsidRDefault="00B329C7" w:rsidP="00BB27AD">
            <w:pPr>
              <w:spacing w:after="160" w:line="480" w:lineRule="auto"/>
              <w:jc w:val="both"/>
            </w:pPr>
            <w:r w:rsidRPr="00585293">
              <w:t>19,869</w:t>
            </w: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6AC78559" w14:textId="77777777" w:rsidR="00B329C7" w:rsidRPr="00585293" w:rsidRDefault="00B329C7" w:rsidP="00BB27AD">
            <w:pPr>
              <w:spacing w:after="160" w:line="480" w:lineRule="auto"/>
              <w:jc w:val="both"/>
            </w:pPr>
            <w:r w:rsidRPr="00585293">
              <w:t>16.63</w:t>
            </w:r>
          </w:p>
        </w:tc>
      </w:tr>
      <w:tr w:rsidR="00B329C7" w:rsidRPr="00585293" w14:paraId="222168E6" w14:textId="77777777" w:rsidTr="00BB27AD">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bottom"/>
          </w:tcPr>
          <w:p w14:paraId="36ABDA01" w14:textId="77777777" w:rsidR="00B329C7" w:rsidRPr="00585293" w:rsidRDefault="00B329C7" w:rsidP="00BB27AD">
            <w:pPr>
              <w:spacing w:after="160" w:line="480" w:lineRule="auto"/>
              <w:jc w:val="both"/>
            </w:pPr>
            <w:r w:rsidRPr="00585293">
              <w:t>UB False Positive Rate</w:t>
            </w:r>
          </w:p>
        </w:tc>
        <w:tc>
          <w:tcPr>
            <w:tcW w:w="835" w:type="pct"/>
            <w:tcBorders>
              <w:top w:val="nil"/>
              <w:left w:val="nil"/>
              <w:bottom w:val="nil"/>
              <w:right w:val="nil"/>
            </w:tcBorders>
            <w:shd w:val="clear" w:color="auto" w:fill="auto"/>
            <w:tcMar>
              <w:top w:w="10" w:type="dxa"/>
              <w:left w:w="10" w:type="dxa"/>
              <w:bottom w:w="0" w:type="dxa"/>
              <w:right w:w="10" w:type="dxa"/>
            </w:tcMar>
            <w:vAlign w:val="center"/>
          </w:tcPr>
          <w:p w14:paraId="79D72756" w14:textId="77777777" w:rsidR="00B329C7" w:rsidRPr="00585293" w:rsidRDefault="00B329C7" w:rsidP="00BB27AD">
            <w:pPr>
              <w:spacing w:after="160" w:line="480" w:lineRule="auto"/>
              <w:jc w:val="both"/>
            </w:pPr>
          </w:p>
        </w:tc>
        <w:tc>
          <w:tcPr>
            <w:tcW w:w="836" w:type="pct"/>
            <w:tcBorders>
              <w:top w:val="nil"/>
              <w:left w:val="nil"/>
              <w:bottom w:val="nil"/>
              <w:right w:val="nil"/>
            </w:tcBorders>
            <w:shd w:val="clear" w:color="auto" w:fill="auto"/>
            <w:tcMar>
              <w:top w:w="10" w:type="dxa"/>
              <w:left w:w="10" w:type="dxa"/>
              <w:bottom w:w="0" w:type="dxa"/>
              <w:right w:w="10" w:type="dxa"/>
            </w:tcMar>
            <w:vAlign w:val="center"/>
          </w:tcPr>
          <w:p w14:paraId="4E0D1051" w14:textId="77777777" w:rsidR="00B329C7" w:rsidRPr="00585293" w:rsidRDefault="00B329C7" w:rsidP="00BB27AD">
            <w:pPr>
              <w:spacing w:after="160" w:line="480" w:lineRule="auto"/>
              <w:jc w:val="both"/>
            </w:pPr>
            <w:r w:rsidRPr="00585293">
              <w:t>17.16</w:t>
            </w:r>
          </w:p>
        </w:tc>
        <w:tc>
          <w:tcPr>
            <w:tcW w:w="835" w:type="pct"/>
            <w:tcBorders>
              <w:top w:val="nil"/>
              <w:left w:val="nil"/>
              <w:bottom w:val="nil"/>
              <w:right w:val="nil"/>
            </w:tcBorders>
            <w:shd w:val="clear" w:color="auto" w:fill="auto"/>
            <w:tcMar>
              <w:top w:w="10" w:type="dxa"/>
              <w:left w:w="10" w:type="dxa"/>
              <w:bottom w:w="0" w:type="dxa"/>
              <w:right w:w="10" w:type="dxa"/>
            </w:tcMar>
            <w:vAlign w:val="center"/>
          </w:tcPr>
          <w:p w14:paraId="6637D9DA" w14:textId="77777777" w:rsidR="00B329C7" w:rsidRPr="00585293" w:rsidRDefault="00B329C7" w:rsidP="00BB27AD">
            <w:pPr>
              <w:spacing w:after="160" w:line="480" w:lineRule="auto"/>
              <w:jc w:val="both"/>
            </w:pPr>
          </w:p>
        </w:tc>
        <w:tc>
          <w:tcPr>
            <w:tcW w:w="835" w:type="pct"/>
            <w:tcBorders>
              <w:top w:val="nil"/>
              <w:left w:val="nil"/>
              <w:bottom w:val="nil"/>
              <w:right w:val="nil"/>
            </w:tcBorders>
            <w:shd w:val="clear" w:color="auto" w:fill="auto"/>
            <w:tcMar>
              <w:top w:w="10" w:type="dxa"/>
              <w:left w:w="10" w:type="dxa"/>
              <w:bottom w:w="0" w:type="dxa"/>
              <w:right w:w="10" w:type="dxa"/>
            </w:tcMar>
            <w:vAlign w:val="center"/>
          </w:tcPr>
          <w:p w14:paraId="07AD65A7" w14:textId="77777777" w:rsidR="00B329C7" w:rsidRPr="00585293" w:rsidRDefault="00B329C7" w:rsidP="00BB27AD">
            <w:pPr>
              <w:spacing w:after="160" w:line="480" w:lineRule="auto"/>
              <w:jc w:val="both"/>
            </w:pPr>
            <w:r w:rsidRPr="00585293">
              <w:t>16.63</w:t>
            </w:r>
          </w:p>
        </w:tc>
      </w:tr>
      <w:tr w:rsidR="00B329C7" w:rsidRPr="00585293" w14:paraId="653B5A6D" w14:textId="77777777" w:rsidTr="00BB27AD">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bottom"/>
            <w:hideMark/>
          </w:tcPr>
          <w:p w14:paraId="76C1FFFD" w14:textId="77777777" w:rsidR="00B329C7" w:rsidRPr="00585293" w:rsidRDefault="00B329C7" w:rsidP="00BB27AD">
            <w:pPr>
              <w:spacing w:after="160" w:line="480" w:lineRule="auto"/>
              <w:jc w:val="both"/>
            </w:pPr>
            <w:r w:rsidRPr="00585293">
              <w:t>LB False Positive Rate</w:t>
            </w: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0B869535" w14:textId="77777777" w:rsidR="00B329C7" w:rsidRPr="00585293" w:rsidRDefault="00B329C7" w:rsidP="00BB27AD">
            <w:pPr>
              <w:spacing w:after="160" w:line="480" w:lineRule="auto"/>
              <w:jc w:val="both"/>
            </w:pPr>
          </w:p>
        </w:tc>
        <w:tc>
          <w:tcPr>
            <w:tcW w:w="836" w:type="pct"/>
            <w:tcBorders>
              <w:top w:val="nil"/>
              <w:left w:val="nil"/>
              <w:bottom w:val="nil"/>
              <w:right w:val="nil"/>
            </w:tcBorders>
            <w:shd w:val="clear" w:color="auto" w:fill="auto"/>
            <w:tcMar>
              <w:top w:w="10" w:type="dxa"/>
              <w:left w:w="10" w:type="dxa"/>
              <w:bottom w:w="0" w:type="dxa"/>
              <w:right w:w="10" w:type="dxa"/>
            </w:tcMar>
            <w:vAlign w:val="center"/>
            <w:hideMark/>
          </w:tcPr>
          <w:p w14:paraId="4516D551" w14:textId="77777777" w:rsidR="00B329C7" w:rsidRPr="00585293" w:rsidRDefault="00B329C7" w:rsidP="00BB27AD">
            <w:pPr>
              <w:spacing w:after="160" w:line="480" w:lineRule="auto"/>
              <w:jc w:val="both"/>
            </w:pPr>
            <w:r w:rsidRPr="00585293">
              <w:t>8.98</w:t>
            </w: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18024DB5" w14:textId="77777777" w:rsidR="00B329C7" w:rsidRPr="00585293" w:rsidRDefault="00B329C7" w:rsidP="00BB27AD">
            <w:pPr>
              <w:spacing w:after="160" w:line="480" w:lineRule="auto"/>
              <w:jc w:val="both"/>
            </w:pP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2B6BE4F5" w14:textId="77777777" w:rsidR="00B329C7" w:rsidRPr="00585293" w:rsidRDefault="00B329C7" w:rsidP="00BB27AD">
            <w:pPr>
              <w:spacing w:after="160" w:line="480" w:lineRule="auto"/>
              <w:jc w:val="both"/>
            </w:pPr>
            <w:r w:rsidRPr="00585293">
              <w:t>8.69</w:t>
            </w:r>
          </w:p>
        </w:tc>
      </w:tr>
      <w:tr w:rsidR="00B329C7" w:rsidRPr="00585293" w14:paraId="00830BE0" w14:textId="77777777" w:rsidTr="00BB27AD">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center"/>
            <w:hideMark/>
          </w:tcPr>
          <w:p w14:paraId="3108F61E" w14:textId="77777777" w:rsidR="00B329C7" w:rsidRPr="00585293" w:rsidRDefault="00B329C7" w:rsidP="00BB27AD">
            <w:pPr>
              <w:spacing w:after="160" w:line="480" w:lineRule="auto"/>
              <w:jc w:val="both"/>
            </w:pP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3FD6B3AA" w14:textId="77777777" w:rsidR="00B329C7" w:rsidRPr="00585293" w:rsidRDefault="00B329C7" w:rsidP="00BB27AD">
            <w:pPr>
              <w:spacing w:after="160" w:line="480" w:lineRule="auto"/>
              <w:jc w:val="both"/>
            </w:pPr>
          </w:p>
        </w:tc>
        <w:tc>
          <w:tcPr>
            <w:tcW w:w="836" w:type="pct"/>
            <w:tcBorders>
              <w:top w:val="nil"/>
              <w:left w:val="nil"/>
              <w:bottom w:val="nil"/>
              <w:right w:val="nil"/>
            </w:tcBorders>
            <w:shd w:val="clear" w:color="auto" w:fill="auto"/>
            <w:tcMar>
              <w:top w:w="10" w:type="dxa"/>
              <w:left w:w="10" w:type="dxa"/>
              <w:bottom w:w="0" w:type="dxa"/>
              <w:right w:w="10" w:type="dxa"/>
            </w:tcMar>
            <w:vAlign w:val="center"/>
            <w:hideMark/>
          </w:tcPr>
          <w:p w14:paraId="2AB767A3" w14:textId="77777777" w:rsidR="00B329C7" w:rsidRPr="00585293" w:rsidRDefault="00B329C7" w:rsidP="00BB27AD">
            <w:pPr>
              <w:spacing w:after="160" w:line="480" w:lineRule="auto"/>
              <w:jc w:val="both"/>
            </w:pP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590F9AC0" w14:textId="77777777" w:rsidR="00B329C7" w:rsidRPr="00585293" w:rsidRDefault="00B329C7" w:rsidP="00BB27AD">
            <w:pPr>
              <w:spacing w:after="160" w:line="480" w:lineRule="auto"/>
              <w:jc w:val="both"/>
            </w:pPr>
          </w:p>
        </w:tc>
        <w:tc>
          <w:tcPr>
            <w:tcW w:w="835" w:type="pct"/>
            <w:tcBorders>
              <w:top w:val="nil"/>
              <w:left w:val="nil"/>
              <w:bottom w:val="nil"/>
              <w:right w:val="nil"/>
            </w:tcBorders>
            <w:shd w:val="clear" w:color="auto" w:fill="auto"/>
            <w:tcMar>
              <w:top w:w="10" w:type="dxa"/>
              <w:left w:w="10" w:type="dxa"/>
              <w:bottom w:w="0" w:type="dxa"/>
              <w:right w:w="10" w:type="dxa"/>
            </w:tcMar>
            <w:vAlign w:val="center"/>
            <w:hideMark/>
          </w:tcPr>
          <w:p w14:paraId="46B09CFA" w14:textId="77777777" w:rsidR="00B329C7" w:rsidRPr="00585293" w:rsidRDefault="00B329C7" w:rsidP="00BB27AD">
            <w:pPr>
              <w:spacing w:after="160" w:line="480" w:lineRule="auto"/>
              <w:jc w:val="both"/>
            </w:pPr>
          </w:p>
        </w:tc>
      </w:tr>
      <w:tr w:rsidR="00B329C7" w:rsidRPr="00585293" w14:paraId="27C73300" w14:textId="77777777" w:rsidTr="00BB27AD">
        <w:trPr>
          <w:trHeight w:hRule="exact" w:val="397"/>
        </w:trPr>
        <w:tc>
          <w:tcPr>
            <w:tcW w:w="1660"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3E6B36D0" w14:textId="77777777" w:rsidR="00B329C7" w:rsidRPr="00585293" w:rsidRDefault="00B329C7" w:rsidP="00BB27AD">
            <w:pPr>
              <w:spacing w:after="160" w:line="480" w:lineRule="auto"/>
              <w:jc w:val="both"/>
            </w:pPr>
            <w:r w:rsidRPr="00585293">
              <w:t>Total</w:t>
            </w:r>
          </w:p>
        </w:tc>
        <w:tc>
          <w:tcPr>
            <w:tcW w:w="835"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3222AA5F" w14:textId="77777777" w:rsidR="00B329C7" w:rsidRPr="00585293" w:rsidRDefault="00B329C7" w:rsidP="00BB27AD">
            <w:pPr>
              <w:spacing w:after="160" w:line="480" w:lineRule="auto"/>
              <w:jc w:val="both"/>
            </w:pPr>
            <w:r w:rsidRPr="00585293">
              <w:t>45,830</w:t>
            </w:r>
          </w:p>
        </w:tc>
        <w:tc>
          <w:tcPr>
            <w:tcW w:w="836"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6EED786" w14:textId="77777777" w:rsidR="00B329C7" w:rsidRPr="00585293" w:rsidRDefault="00B329C7" w:rsidP="00BB27AD">
            <w:pPr>
              <w:spacing w:after="160" w:line="480" w:lineRule="auto"/>
              <w:jc w:val="both"/>
            </w:pPr>
          </w:p>
        </w:tc>
        <w:tc>
          <w:tcPr>
            <w:tcW w:w="835"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43CF27CA" w14:textId="77777777" w:rsidR="00B329C7" w:rsidRPr="00585293" w:rsidRDefault="00B329C7" w:rsidP="00BB27AD">
            <w:pPr>
              <w:spacing w:after="160" w:line="480" w:lineRule="auto"/>
              <w:jc w:val="both"/>
            </w:pPr>
            <w:r w:rsidRPr="00585293">
              <w:t>119,510</w:t>
            </w:r>
          </w:p>
        </w:tc>
        <w:tc>
          <w:tcPr>
            <w:tcW w:w="835"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D3650D0" w14:textId="77777777" w:rsidR="00B329C7" w:rsidRPr="00585293" w:rsidRDefault="00B329C7" w:rsidP="00BB27AD">
            <w:pPr>
              <w:spacing w:after="160" w:line="480" w:lineRule="auto"/>
              <w:jc w:val="both"/>
            </w:pPr>
          </w:p>
        </w:tc>
      </w:tr>
    </w:tbl>
    <w:p w14:paraId="6FDAAAC6" w14:textId="09B8E3E6" w:rsidR="00D37655" w:rsidRDefault="00D37655" w:rsidP="003653CA">
      <w:pPr>
        <w:jc w:val="both"/>
        <w:rPr>
          <w:sz w:val="20"/>
          <w:szCs w:val="20"/>
        </w:rPr>
      </w:pPr>
      <w:r w:rsidRPr="003653CA">
        <w:rPr>
          <w:i/>
          <w:iCs/>
          <w:sz w:val="20"/>
          <w:szCs w:val="20"/>
        </w:rPr>
        <w:t>Notes</w:t>
      </w:r>
      <w:r>
        <w:rPr>
          <w:sz w:val="20"/>
          <w:szCs w:val="20"/>
        </w:rPr>
        <w:t>: “UB” = Upper Bound; “LB”</w:t>
      </w:r>
      <w:r w:rsidR="00B647CE">
        <w:rPr>
          <w:sz w:val="20"/>
          <w:szCs w:val="20"/>
        </w:rPr>
        <w:t xml:space="preserve"> = Lower Bound</w:t>
      </w:r>
      <w:r>
        <w:rPr>
          <w:sz w:val="20"/>
          <w:szCs w:val="20"/>
        </w:rPr>
        <w:t>.</w:t>
      </w:r>
    </w:p>
    <w:p w14:paraId="117BC4A6" w14:textId="5A22C783" w:rsidR="00B329C7" w:rsidRPr="00585293" w:rsidRDefault="00B329C7" w:rsidP="00977555">
      <w:pPr>
        <w:spacing w:after="160" w:line="480" w:lineRule="auto"/>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w:t>
      </w:r>
    </w:p>
    <w:p w14:paraId="446EE9A1" w14:textId="77777777" w:rsidR="00D37655" w:rsidRDefault="00693204" w:rsidP="00977555">
      <w:pPr>
        <w:spacing w:after="160" w:line="480" w:lineRule="auto"/>
        <w:jc w:val="both"/>
      </w:pPr>
      <w:r w:rsidRPr="00585293">
        <w:tab/>
      </w:r>
    </w:p>
    <w:p w14:paraId="03E06DAD" w14:textId="67E7D43C" w:rsidR="00977555" w:rsidRPr="00585293" w:rsidRDefault="00693204" w:rsidP="003653CA">
      <w:pPr>
        <w:spacing w:after="160" w:line="480" w:lineRule="auto"/>
        <w:ind w:firstLine="720"/>
        <w:jc w:val="both"/>
      </w:pPr>
      <w:r w:rsidRPr="00585293">
        <w:t xml:space="preserve">Table </w:t>
      </w:r>
      <w:r w:rsidR="00491405" w:rsidRPr="00585293">
        <w:t>C</w:t>
      </w:r>
      <w:r w:rsidR="0066685A" w:rsidRPr="00585293">
        <w:t xml:space="preserve">1 shows the </w:t>
      </w:r>
      <w:r w:rsidR="00785421" w:rsidRPr="00585293">
        <w:t xml:space="preserve">upper and lower bound estimates for the rate of false positives. For both 1851-1881 and 1881-1911, the </w:t>
      </w:r>
      <w:r w:rsidR="007550C2" w:rsidRPr="00585293">
        <w:t xml:space="preserve">false positive rate lies between </w:t>
      </w:r>
      <w:r w:rsidR="00E028D6" w:rsidRPr="00585293">
        <w:t xml:space="preserve">8 and 17 per cent. This compares quite </w:t>
      </w:r>
      <w:r w:rsidR="00D37655" w:rsidRPr="00585293">
        <w:t>favorably</w:t>
      </w:r>
      <w:r w:rsidR="00E028D6" w:rsidRPr="00585293">
        <w:t xml:space="preserve"> to</w:t>
      </w:r>
      <w:r w:rsidR="001147DA" w:rsidRPr="00585293">
        <w:t xml:space="preserve"> </w:t>
      </w:r>
      <w:r w:rsidR="004B4CA9" w:rsidRPr="00585293">
        <w:t xml:space="preserve">the </w:t>
      </w:r>
      <w:r w:rsidR="00E0780D" w:rsidRPr="00585293">
        <w:t xml:space="preserve">performance of various prominent linkage algorithms </w:t>
      </w:r>
      <w:r w:rsidR="00635AD2" w:rsidRPr="00585293">
        <w:t xml:space="preserve">when linking US censuses. For instance, </w:t>
      </w:r>
      <w:sdt>
        <w:sdtPr>
          <w:rPr>
            <w:color w:val="000000"/>
          </w:rPr>
          <w:tag w:val="MENDELEY_CITATION_v3_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"/>
          <w:id w:val="-1695532347"/>
          <w:placeholder>
            <w:docPart w:val="DefaultPlaceholder_-1854013440"/>
          </w:placeholder>
        </w:sdtPr>
        <w:sdtEndPr/>
        <w:sdtContent>
          <w:r w:rsidR="002C1967" w:rsidRPr="00585293">
            <w:rPr>
              <w:color w:val="000000"/>
            </w:rPr>
            <w:t>Bailey et al. (</w:t>
          </w:r>
          <w:r w:rsidR="00865AD8">
            <w:rPr>
              <w:color w:val="000000"/>
            </w:rPr>
            <w:t>2020</w:t>
          </w:r>
          <w:r w:rsidR="002C1967" w:rsidRPr="00585293">
            <w:rPr>
              <w:color w:val="000000"/>
            </w:rPr>
            <w:t>)</w:t>
          </w:r>
        </w:sdtContent>
      </w:sdt>
      <w:r w:rsidR="0026271A" w:rsidRPr="00585293">
        <w:t xml:space="preserve"> found that </w:t>
      </w:r>
      <w:r w:rsidR="00635AD2" w:rsidRPr="00585293">
        <w:t xml:space="preserve">the most conservative version of ABE-NYSIIS </w:t>
      </w:r>
      <w:r w:rsidR="002543D5" w:rsidRPr="00585293">
        <w:t>produces a false positive rate of 17 to 23 per cent</w:t>
      </w:r>
      <w:r w:rsidR="00A76E89" w:rsidRPr="00585293">
        <w:t xml:space="preserve">; </w:t>
      </w:r>
      <w:sdt>
        <w:sdtPr>
          <w:rPr>
            <w:color w:val="000000"/>
          </w:rPr>
          <w:tag w:val="MENDELEY_CITATION_v3_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"/>
          <w:id w:val="-611972400"/>
          <w:placeholder>
            <w:docPart w:val="DefaultPlaceholder_-1854013440"/>
          </w:placeholder>
        </w:sdtPr>
        <w:sdtEndPr/>
        <w:sdtContent>
          <w:r w:rsidR="002C1967" w:rsidRPr="00585293">
            <w:rPr>
              <w:color w:val="000000"/>
            </w:rPr>
            <w:t>Ferrie (1996)</w:t>
          </w:r>
        </w:sdtContent>
      </w:sdt>
      <w:r w:rsidR="004917D2" w:rsidRPr="00585293">
        <w:t xml:space="preserve">, when using exact names, produces a false positive rate of 20 to 23 per cent; </w:t>
      </w:r>
      <w:sdt>
        <w:sdtPr>
          <w:rPr>
            <w:color w:val="000000"/>
          </w:rPr>
          <w:tag w:val="MENDELEY_CITATION_v3_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"/>
          <w:id w:val="-2001418242"/>
          <w:placeholder>
            <w:docPart w:val="DefaultPlaceholder_-1854013440"/>
          </w:placeholder>
        </w:sdtPr>
        <w:sdtEndPr/>
        <w:sdtContent>
          <w:r w:rsidR="002C1967" w:rsidRPr="00585293">
            <w:rPr>
              <w:color w:val="000000"/>
            </w:rPr>
            <w:t>Feigenbaum (2018)</w:t>
          </w:r>
        </w:sdtContent>
      </w:sdt>
      <w:r w:rsidR="00A26DF3" w:rsidRPr="00585293">
        <w:t xml:space="preserve"> produces a false positive rate of </w:t>
      </w:r>
      <w:r w:rsidR="00DD3266" w:rsidRPr="00585293">
        <w:t>16 to 29 per cent.</w:t>
      </w:r>
      <w:r w:rsidR="00FE0E9D" w:rsidRPr="00585293">
        <w:t xml:space="preserve"> Only the Expectation-Maximisation (EM) algorithm constructed by </w:t>
      </w:r>
      <w:sdt>
        <w:sdtPr>
          <w:rPr>
            <w:color w:val="000000"/>
          </w:rPr>
          <w:tag w:val="MENDELEY_CITATION_v3_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"/>
          <w:id w:val="1223565142"/>
          <w:placeholder>
            <w:docPart w:val="DefaultPlaceholder_-1854013440"/>
          </w:placeholder>
        </w:sdtPr>
        <w:sdtEndPr/>
        <w:sdtContent>
          <w:r w:rsidR="002C1967" w:rsidRPr="00585293">
            <w:rPr>
              <w:color w:val="000000"/>
            </w:rPr>
            <w:t>Abramitzky, Mill, and Pérez (2020)</w:t>
          </w:r>
        </w:sdtContent>
      </w:sdt>
      <w:r w:rsidR="00FE0E9D" w:rsidRPr="00585293">
        <w:t xml:space="preserve"> </w:t>
      </w:r>
      <w:r w:rsidR="0026271A" w:rsidRPr="00585293">
        <w:t>performs to a similar or better standard (false positive rate of 10 to 15 per cent).</w:t>
      </w:r>
      <w:r w:rsidR="008360CA" w:rsidRPr="00585293">
        <w:t xml:space="preserve"> Evidently, the availability of more precise birthplace information makes a huge difference to </w:t>
      </w:r>
      <w:r w:rsidR="00F2726D" w:rsidRPr="00585293">
        <w:t>how well automated census linking performs.</w:t>
      </w:r>
    </w:p>
    <w:p w14:paraId="760ACCE1" w14:textId="6B2DFA92" w:rsidR="00B329C7" w:rsidRPr="00585293" w:rsidRDefault="00020383" w:rsidP="00977555">
      <w:pPr>
        <w:spacing w:after="160" w:line="480" w:lineRule="auto"/>
        <w:jc w:val="both"/>
      </w:pPr>
      <w:r w:rsidRPr="00585293">
        <w:lastRenderedPageBreak/>
        <w:tab/>
        <w:t>We can also check the validity of this test for false positives by running thi</w:t>
      </w:r>
      <w:r w:rsidR="004748E0" w:rsidRPr="00585293">
        <w:t>s process on a linked sample with less conservative matches. For example,</w:t>
      </w:r>
      <w:r w:rsidR="006A39ED" w:rsidRPr="00585293">
        <w:t xml:space="preserve"> the less conservative version of</w:t>
      </w:r>
      <w:r w:rsidR="004748E0" w:rsidRPr="00585293">
        <w:t xml:space="preserve"> Abramitzky et al. (201</w:t>
      </w:r>
      <w:r w:rsidR="006A39ED" w:rsidRPr="00585293">
        <w:t xml:space="preserve">9)’s linkage algorithm </w:t>
      </w:r>
      <w:r w:rsidR="003C5ADD" w:rsidRPr="00585293">
        <w:t xml:space="preserve">only requires matches to be unique by their exact birth years, rather than within a five-year band. Table C2 shows </w:t>
      </w:r>
      <w:r w:rsidR="00540D1F" w:rsidRPr="00585293">
        <w:t xml:space="preserve">the rates of false positives for this </w:t>
      </w:r>
      <w:r w:rsidR="00D97A90" w:rsidRPr="00585293">
        <w:t>version</w:t>
      </w:r>
      <w:r w:rsidR="008627B2" w:rsidRPr="00585293">
        <w:t xml:space="preserve"> of the matching algorithm. As the results show, using a less conservative matching algorithm does produce a higher match rate, but also higher incidence of false positives.</w:t>
      </w:r>
      <w:r w:rsidR="001C341A" w:rsidRPr="00585293">
        <w:t xml:space="preserve"> Nonetheless, because the restriction on similarity of string distances have not been relaxed, we should not expect the false positive rate to be significantly higher, and that is the case here.</w:t>
      </w:r>
    </w:p>
    <w:p w14:paraId="0D3D2638" w14:textId="3445F372" w:rsidR="003C5ADD" w:rsidRPr="00585293" w:rsidRDefault="003C5ADD" w:rsidP="003C5ADD">
      <w:pPr>
        <w:pStyle w:val="Caption"/>
        <w:keepNext/>
        <w:spacing w:after="160"/>
        <w:jc w:val="center"/>
        <w:rPr>
          <w:i w:val="0"/>
          <w:iCs w:val="0"/>
          <w:color w:val="auto"/>
          <w:sz w:val="24"/>
          <w:szCs w:val="24"/>
        </w:rPr>
      </w:pPr>
      <w:r w:rsidRPr="003653CA">
        <w:rPr>
          <w:i w:val="0"/>
          <w:iCs w:val="0"/>
          <w:color w:val="auto"/>
          <w:sz w:val="24"/>
          <w:szCs w:val="24"/>
        </w:rPr>
        <w:t>Table C2</w:t>
      </w:r>
      <w:r w:rsidRPr="00585293">
        <w:rPr>
          <w:i w:val="0"/>
          <w:iCs w:val="0"/>
          <w:color w:val="auto"/>
          <w:sz w:val="24"/>
          <w:szCs w:val="24"/>
        </w:rPr>
        <w:t>: False Positive Rate of Linkage, Less Conservative Matches</w:t>
      </w:r>
    </w:p>
    <w:tbl>
      <w:tblPr>
        <w:tblW w:w="5000" w:type="pct"/>
        <w:tblCellMar>
          <w:left w:w="0" w:type="dxa"/>
          <w:right w:w="0" w:type="dxa"/>
        </w:tblCellMar>
        <w:tblLook w:val="0600" w:firstRow="0" w:lastRow="0" w:firstColumn="0" w:lastColumn="0" w:noHBand="1" w:noVBand="1"/>
      </w:tblPr>
      <w:tblGrid>
        <w:gridCol w:w="2997"/>
        <w:gridCol w:w="1507"/>
        <w:gridCol w:w="1509"/>
        <w:gridCol w:w="1507"/>
        <w:gridCol w:w="1506"/>
      </w:tblGrid>
      <w:tr w:rsidR="003C5ADD" w:rsidRPr="00585293" w14:paraId="2BB9EBE0" w14:textId="77777777" w:rsidTr="00854A55">
        <w:trPr>
          <w:trHeight w:hRule="exact" w:val="397"/>
        </w:trPr>
        <w:tc>
          <w:tcPr>
            <w:tcW w:w="1660"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7DEFE118" w14:textId="77777777" w:rsidR="003C5ADD" w:rsidRPr="00585293" w:rsidRDefault="003C5ADD" w:rsidP="00DA4D1A">
            <w:pPr>
              <w:spacing w:after="160" w:line="480" w:lineRule="auto"/>
              <w:jc w:val="both"/>
            </w:pPr>
          </w:p>
        </w:tc>
        <w:tc>
          <w:tcPr>
            <w:tcW w:w="1671" w:type="pct"/>
            <w:gridSpan w:val="2"/>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769B631B" w14:textId="77777777" w:rsidR="003C5ADD" w:rsidRPr="00585293" w:rsidRDefault="003C5ADD" w:rsidP="00DA4D1A">
            <w:pPr>
              <w:spacing w:after="160" w:line="480" w:lineRule="auto"/>
              <w:jc w:val="both"/>
            </w:pPr>
            <w:r w:rsidRPr="00585293">
              <w:t>1851-1881</w:t>
            </w:r>
          </w:p>
        </w:tc>
        <w:tc>
          <w:tcPr>
            <w:tcW w:w="1669" w:type="pct"/>
            <w:gridSpan w:val="2"/>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4235F9B8" w14:textId="77777777" w:rsidR="003C5ADD" w:rsidRPr="00585293" w:rsidRDefault="003C5ADD" w:rsidP="00DA4D1A">
            <w:pPr>
              <w:spacing w:after="160" w:line="480" w:lineRule="auto"/>
              <w:jc w:val="both"/>
            </w:pPr>
            <w:r w:rsidRPr="00585293">
              <w:t>1881-1911</w:t>
            </w:r>
          </w:p>
        </w:tc>
      </w:tr>
      <w:tr w:rsidR="003C5ADD" w:rsidRPr="00585293" w14:paraId="0F495758" w14:textId="77777777" w:rsidTr="00854A55">
        <w:trPr>
          <w:trHeight w:hRule="exact" w:val="397"/>
        </w:trPr>
        <w:tc>
          <w:tcPr>
            <w:tcW w:w="1660"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169AB6A9" w14:textId="77777777" w:rsidR="003C5ADD" w:rsidRPr="00585293" w:rsidRDefault="003C5ADD" w:rsidP="00DA4D1A">
            <w:pPr>
              <w:spacing w:after="160" w:line="480" w:lineRule="auto"/>
              <w:jc w:val="both"/>
            </w:pPr>
          </w:p>
        </w:tc>
        <w:tc>
          <w:tcPr>
            <w:tcW w:w="83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485E3368" w14:textId="77777777" w:rsidR="003C5ADD" w:rsidRPr="00585293" w:rsidRDefault="003C5ADD" w:rsidP="00DA4D1A">
            <w:pPr>
              <w:spacing w:after="160" w:line="480" w:lineRule="auto"/>
              <w:jc w:val="both"/>
            </w:pPr>
            <w:r w:rsidRPr="00585293">
              <w:t>Numbers</w:t>
            </w:r>
          </w:p>
        </w:tc>
        <w:tc>
          <w:tcPr>
            <w:tcW w:w="836"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60E6F798" w14:textId="77777777" w:rsidR="003C5ADD" w:rsidRPr="00585293" w:rsidRDefault="003C5ADD" w:rsidP="00DA4D1A">
            <w:pPr>
              <w:spacing w:after="160" w:line="480" w:lineRule="auto"/>
              <w:jc w:val="both"/>
            </w:pPr>
            <w:r w:rsidRPr="00585293">
              <w:t>Percentage</w:t>
            </w:r>
          </w:p>
        </w:tc>
        <w:tc>
          <w:tcPr>
            <w:tcW w:w="83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17B561C1" w14:textId="77777777" w:rsidR="003C5ADD" w:rsidRPr="00585293" w:rsidRDefault="003C5ADD" w:rsidP="00DA4D1A">
            <w:pPr>
              <w:spacing w:after="160" w:line="480" w:lineRule="auto"/>
              <w:jc w:val="both"/>
            </w:pPr>
            <w:r w:rsidRPr="00585293">
              <w:t>Numbers</w:t>
            </w:r>
          </w:p>
        </w:tc>
        <w:tc>
          <w:tcPr>
            <w:tcW w:w="83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2473F34B" w14:textId="77777777" w:rsidR="003C5ADD" w:rsidRPr="00585293" w:rsidRDefault="003C5ADD" w:rsidP="00DA4D1A">
            <w:pPr>
              <w:spacing w:after="160" w:line="480" w:lineRule="auto"/>
              <w:jc w:val="both"/>
            </w:pPr>
            <w:r w:rsidRPr="00585293">
              <w:t>Percentage</w:t>
            </w:r>
          </w:p>
        </w:tc>
      </w:tr>
      <w:tr w:rsidR="00854A55" w:rsidRPr="00585293" w14:paraId="6A918A7E" w14:textId="77777777" w:rsidTr="00490967">
        <w:trPr>
          <w:trHeight w:hRule="exact" w:val="397"/>
        </w:trPr>
        <w:tc>
          <w:tcPr>
            <w:tcW w:w="1660" w:type="pct"/>
            <w:tcBorders>
              <w:top w:val="single" w:sz="8" w:space="0" w:color="000000"/>
              <w:left w:val="nil"/>
              <w:bottom w:val="nil"/>
              <w:right w:val="nil"/>
            </w:tcBorders>
            <w:shd w:val="clear" w:color="auto" w:fill="auto"/>
            <w:tcMar>
              <w:top w:w="10" w:type="dxa"/>
              <w:left w:w="10" w:type="dxa"/>
              <w:bottom w:w="0" w:type="dxa"/>
              <w:right w:w="10" w:type="dxa"/>
            </w:tcMar>
            <w:vAlign w:val="bottom"/>
            <w:hideMark/>
          </w:tcPr>
          <w:p w14:paraId="0BA88F4F" w14:textId="77777777" w:rsidR="00854A55" w:rsidRPr="00585293" w:rsidRDefault="00854A55" w:rsidP="00854A55">
            <w:pPr>
              <w:spacing w:after="160" w:line="480" w:lineRule="auto"/>
              <w:jc w:val="both"/>
            </w:pPr>
            <w:r w:rsidRPr="00585293">
              <w:t>Correct Match</w:t>
            </w:r>
          </w:p>
        </w:tc>
        <w:tc>
          <w:tcPr>
            <w:tcW w:w="835" w:type="pct"/>
            <w:tcBorders>
              <w:top w:val="single" w:sz="8" w:space="0" w:color="000000"/>
              <w:left w:val="nil"/>
              <w:bottom w:val="nil"/>
              <w:right w:val="nil"/>
            </w:tcBorders>
            <w:shd w:val="clear" w:color="auto" w:fill="auto"/>
            <w:tcMar>
              <w:top w:w="10" w:type="dxa"/>
              <w:left w:w="10" w:type="dxa"/>
              <w:bottom w:w="0" w:type="dxa"/>
              <w:right w:w="10" w:type="dxa"/>
            </w:tcMar>
            <w:vAlign w:val="bottom"/>
            <w:hideMark/>
          </w:tcPr>
          <w:p w14:paraId="5C8E6FFC" w14:textId="51E3B089" w:rsidR="00854A55" w:rsidRPr="00585293" w:rsidRDefault="00854A55" w:rsidP="00854A55">
            <w:pPr>
              <w:spacing w:after="160" w:line="480" w:lineRule="auto"/>
              <w:jc w:val="both"/>
            </w:pPr>
            <w:r w:rsidRPr="00585293">
              <w:rPr>
                <w:color w:val="000000"/>
              </w:rPr>
              <w:t>49,300</w:t>
            </w:r>
          </w:p>
        </w:tc>
        <w:tc>
          <w:tcPr>
            <w:tcW w:w="836" w:type="pct"/>
            <w:tcBorders>
              <w:top w:val="single" w:sz="8" w:space="0" w:color="000000"/>
              <w:left w:val="nil"/>
              <w:bottom w:val="nil"/>
              <w:right w:val="nil"/>
            </w:tcBorders>
            <w:shd w:val="clear" w:color="auto" w:fill="auto"/>
            <w:tcMar>
              <w:top w:w="10" w:type="dxa"/>
              <w:left w:w="10" w:type="dxa"/>
              <w:bottom w:w="0" w:type="dxa"/>
              <w:right w:w="10" w:type="dxa"/>
            </w:tcMar>
            <w:vAlign w:val="bottom"/>
            <w:hideMark/>
          </w:tcPr>
          <w:p w14:paraId="5F6B0FC7" w14:textId="1F683EF5" w:rsidR="00854A55" w:rsidRPr="00585293" w:rsidRDefault="00854A55" w:rsidP="00854A55">
            <w:pPr>
              <w:spacing w:after="160" w:line="480" w:lineRule="auto"/>
              <w:jc w:val="both"/>
            </w:pPr>
            <w:r w:rsidRPr="00585293">
              <w:rPr>
                <w:color w:val="000000"/>
              </w:rPr>
              <w:t>81.10</w:t>
            </w:r>
          </w:p>
        </w:tc>
        <w:tc>
          <w:tcPr>
            <w:tcW w:w="835" w:type="pct"/>
            <w:tcBorders>
              <w:top w:val="single" w:sz="8" w:space="0" w:color="000000"/>
              <w:left w:val="nil"/>
              <w:bottom w:val="nil"/>
              <w:right w:val="nil"/>
            </w:tcBorders>
            <w:shd w:val="clear" w:color="auto" w:fill="auto"/>
            <w:tcMar>
              <w:top w:w="10" w:type="dxa"/>
              <w:left w:w="10" w:type="dxa"/>
              <w:bottom w:w="0" w:type="dxa"/>
              <w:right w:w="10" w:type="dxa"/>
            </w:tcMar>
            <w:vAlign w:val="bottom"/>
            <w:hideMark/>
          </w:tcPr>
          <w:p w14:paraId="29494173" w14:textId="3641A442" w:rsidR="00854A55" w:rsidRPr="00585293" w:rsidRDefault="00854A55" w:rsidP="00854A55">
            <w:pPr>
              <w:spacing w:after="160" w:line="480" w:lineRule="auto"/>
              <w:jc w:val="both"/>
            </w:pPr>
            <w:r w:rsidRPr="00585293">
              <w:rPr>
                <w:color w:val="000000"/>
              </w:rPr>
              <w:t>126,860</w:t>
            </w:r>
          </w:p>
        </w:tc>
        <w:tc>
          <w:tcPr>
            <w:tcW w:w="834" w:type="pct"/>
            <w:tcBorders>
              <w:top w:val="single" w:sz="8" w:space="0" w:color="000000"/>
              <w:left w:val="nil"/>
              <w:bottom w:val="nil"/>
              <w:right w:val="nil"/>
            </w:tcBorders>
            <w:shd w:val="clear" w:color="auto" w:fill="auto"/>
            <w:tcMar>
              <w:top w:w="10" w:type="dxa"/>
              <w:left w:w="10" w:type="dxa"/>
              <w:bottom w:w="0" w:type="dxa"/>
              <w:right w:w="10" w:type="dxa"/>
            </w:tcMar>
            <w:vAlign w:val="bottom"/>
            <w:hideMark/>
          </w:tcPr>
          <w:p w14:paraId="7A60B1CA" w14:textId="3A6BBB04" w:rsidR="00854A55" w:rsidRPr="00585293" w:rsidRDefault="00854A55" w:rsidP="00854A55">
            <w:pPr>
              <w:spacing w:after="160" w:line="480" w:lineRule="auto"/>
              <w:jc w:val="both"/>
            </w:pPr>
            <w:r w:rsidRPr="00585293">
              <w:rPr>
                <w:color w:val="000000"/>
              </w:rPr>
              <w:t>81.77</w:t>
            </w:r>
          </w:p>
        </w:tc>
      </w:tr>
      <w:tr w:rsidR="00854A55" w:rsidRPr="00585293" w14:paraId="6D500B86" w14:textId="77777777" w:rsidTr="00490967">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bottom"/>
            <w:hideMark/>
          </w:tcPr>
          <w:p w14:paraId="6C7AE434" w14:textId="77777777" w:rsidR="00854A55" w:rsidRPr="00585293" w:rsidRDefault="00854A55" w:rsidP="00854A55">
            <w:pPr>
              <w:spacing w:after="160" w:line="480" w:lineRule="auto"/>
              <w:jc w:val="both"/>
            </w:pPr>
            <w:r w:rsidRPr="00585293">
              <w:t>Wrong Match</w:t>
            </w:r>
          </w:p>
        </w:tc>
        <w:tc>
          <w:tcPr>
            <w:tcW w:w="835" w:type="pct"/>
            <w:tcBorders>
              <w:top w:val="nil"/>
              <w:left w:val="nil"/>
              <w:bottom w:val="nil"/>
              <w:right w:val="nil"/>
            </w:tcBorders>
            <w:shd w:val="clear" w:color="auto" w:fill="auto"/>
            <w:tcMar>
              <w:top w:w="10" w:type="dxa"/>
              <w:left w:w="10" w:type="dxa"/>
              <w:bottom w:w="0" w:type="dxa"/>
              <w:right w:w="10" w:type="dxa"/>
            </w:tcMar>
            <w:vAlign w:val="bottom"/>
            <w:hideMark/>
          </w:tcPr>
          <w:p w14:paraId="41919654" w14:textId="5BF95A2C" w:rsidR="00854A55" w:rsidRPr="00585293" w:rsidRDefault="00854A55" w:rsidP="00854A55">
            <w:pPr>
              <w:spacing w:after="160" w:line="480" w:lineRule="auto"/>
              <w:jc w:val="both"/>
            </w:pPr>
            <w:r w:rsidRPr="00585293">
              <w:rPr>
                <w:color w:val="000000"/>
              </w:rPr>
              <w:t>11,488</w:t>
            </w:r>
          </w:p>
        </w:tc>
        <w:tc>
          <w:tcPr>
            <w:tcW w:w="836" w:type="pct"/>
            <w:tcBorders>
              <w:top w:val="nil"/>
              <w:left w:val="nil"/>
              <w:bottom w:val="nil"/>
              <w:right w:val="nil"/>
            </w:tcBorders>
            <w:shd w:val="clear" w:color="auto" w:fill="auto"/>
            <w:tcMar>
              <w:top w:w="10" w:type="dxa"/>
              <w:left w:w="10" w:type="dxa"/>
              <w:bottom w:w="0" w:type="dxa"/>
              <w:right w:w="10" w:type="dxa"/>
            </w:tcMar>
            <w:vAlign w:val="bottom"/>
            <w:hideMark/>
          </w:tcPr>
          <w:p w14:paraId="0940DCAD" w14:textId="4C80762E" w:rsidR="00854A55" w:rsidRPr="00585293" w:rsidRDefault="00854A55" w:rsidP="00854A55">
            <w:pPr>
              <w:spacing w:after="160" w:line="480" w:lineRule="auto"/>
              <w:jc w:val="both"/>
            </w:pPr>
            <w:r w:rsidRPr="00585293">
              <w:rPr>
                <w:color w:val="000000"/>
              </w:rPr>
              <w:t>18.90</w:t>
            </w:r>
          </w:p>
        </w:tc>
        <w:tc>
          <w:tcPr>
            <w:tcW w:w="835" w:type="pct"/>
            <w:tcBorders>
              <w:top w:val="nil"/>
              <w:left w:val="nil"/>
              <w:bottom w:val="nil"/>
              <w:right w:val="nil"/>
            </w:tcBorders>
            <w:shd w:val="clear" w:color="auto" w:fill="auto"/>
            <w:tcMar>
              <w:top w:w="10" w:type="dxa"/>
              <w:left w:w="10" w:type="dxa"/>
              <w:bottom w:w="0" w:type="dxa"/>
              <w:right w:w="10" w:type="dxa"/>
            </w:tcMar>
            <w:vAlign w:val="bottom"/>
            <w:hideMark/>
          </w:tcPr>
          <w:p w14:paraId="185E8941" w14:textId="5273D3C6" w:rsidR="00854A55" w:rsidRPr="00585293" w:rsidRDefault="00854A55" w:rsidP="00854A55">
            <w:pPr>
              <w:spacing w:after="160" w:line="480" w:lineRule="auto"/>
              <w:jc w:val="both"/>
            </w:pPr>
            <w:r w:rsidRPr="00585293">
              <w:rPr>
                <w:color w:val="000000"/>
              </w:rPr>
              <w:t>28,277</w:t>
            </w:r>
          </w:p>
        </w:tc>
        <w:tc>
          <w:tcPr>
            <w:tcW w:w="834" w:type="pct"/>
            <w:tcBorders>
              <w:top w:val="nil"/>
              <w:left w:val="nil"/>
              <w:bottom w:val="nil"/>
              <w:right w:val="nil"/>
            </w:tcBorders>
            <w:shd w:val="clear" w:color="auto" w:fill="auto"/>
            <w:tcMar>
              <w:top w:w="10" w:type="dxa"/>
              <w:left w:w="10" w:type="dxa"/>
              <w:bottom w:w="0" w:type="dxa"/>
              <w:right w:w="10" w:type="dxa"/>
            </w:tcMar>
            <w:vAlign w:val="bottom"/>
            <w:hideMark/>
          </w:tcPr>
          <w:p w14:paraId="7DC44320" w14:textId="13201BDD" w:rsidR="00854A55" w:rsidRPr="00585293" w:rsidRDefault="00D97A90" w:rsidP="00854A55">
            <w:pPr>
              <w:spacing w:after="160" w:line="480" w:lineRule="auto"/>
              <w:jc w:val="both"/>
            </w:pPr>
            <w:r w:rsidRPr="00585293">
              <w:rPr>
                <w:color w:val="000000"/>
              </w:rPr>
              <w:t>18.23</w:t>
            </w:r>
          </w:p>
        </w:tc>
      </w:tr>
      <w:tr w:rsidR="00854A55" w:rsidRPr="00585293" w14:paraId="5A0EEA10" w14:textId="77777777" w:rsidTr="00490967">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bottom"/>
          </w:tcPr>
          <w:p w14:paraId="32D6F8E9" w14:textId="77777777" w:rsidR="00854A55" w:rsidRPr="00585293" w:rsidRDefault="00854A55" w:rsidP="00854A55">
            <w:pPr>
              <w:spacing w:after="160" w:line="480" w:lineRule="auto"/>
              <w:jc w:val="both"/>
            </w:pPr>
            <w:r w:rsidRPr="00585293">
              <w:t>UB False Positive Rate</w:t>
            </w:r>
          </w:p>
        </w:tc>
        <w:tc>
          <w:tcPr>
            <w:tcW w:w="835" w:type="pct"/>
            <w:tcBorders>
              <w:top w:val="nil"/>
              <w:left w:val="nil"/>
              <w:bottom w:val="nil"/>
              <w:right w:val="nil"/>
            </w:tcBorders>
            <w:shd w:val="clear" w:color="auto" w:fill="auto"/>
            <w:tcMar>
              <w:top w:w="10" w:type="dxa"/>
              <w:left w:w="10" w:type="dxa"/>
              <w:bottom w:w="0" w:type="dxa"/>
              <w:right w:w="10" w:type="dxa"/>
            </w:tcMar>
            <w:vAlign w:val="bottom"/>
          </w:tcPr>
          <w:p w14:paraId="7C17C567" w14:textId="77777777" w:rsidR="00854A55" w:rsidRPr="00585293" w:rsidRDefault="00854A55" w:rsidP="00854A55">
            <w:pPr>
              <w:spacing w:after="160" w:line="480" w:lineRule="auto"/>
              <w:jc w:val="both"/>
            </w:pPr>
          </w:p>
        </w:tc>
        <w:tc>
          <w:tcPr>
            <w:tcW w:w="836" w:type="pct"/>
            <w:tcBorders>
              <w:top w:val="nil"/>
              <w:left w:val="nil"/>
              <w:bottom w:val="nil"/>
              <w:right w:val="nil"/>
            </w:tcBorders>
            <w:shd w:val="clear" w:color="auto" w:fill="auto"/>
            <w:tcMar>
              <w:top w:w="10" w:type="dxa"/>
              <w:left w:w="10" w:type="dxa"/>
              <w:bottom w:w="0" w:type="dxa"/>
              <w:right w:w="10" w:type="dxa"/>
            </w:tcMar>
            <w:vAlign w:val="bottom"/>
          </w:tcPr>
          <w:p w14:paraId="36FCFA8D" w14:textId="08669114" w:rsidR="00854A55" w:rsidRPr="00585293" w:rsidRDefault="00D97A90" w:rsidP="00854A55">
            <w:pPr>
              <w:spacing w:after="160" w:line="480" w:lineRule="auto"/>
              <w:jc w:val="both"/>
            </w:pPr>
            <w:r w:rsidRPr="00585293">
              <w:rPr>
                <w:color w:val="000000"/>
              </w:rPr>
              <w:t>18.90</w:t>
            </w:r>
          </w:p>
        </w:tc>
        <w:tc>
          <w:tcPr>
            <w:tcW w:w="835" w:type="pct"/>
            <w:tcBorders>
              <w:top w:val="nil"/>
              <w:left w:val="nil"/>
              <w:bottom w:val="nil"/>
              <w:right w:val="nil"/>
            </w:tcBorders>
            <w:shd w:val="clear" w:color="auto" w:fill="auto"/>
            <w:tcMar>
              <w:top w:w="10" w:type="dxa"/>
              <w:left w:w="10" w:type="dxa"/>
              <w:bottom w:w="0" w:type="dxa"/>
              <w:right w:w="10" w:type="dxa"/>
            </w:tcMar>
            <w:vAlign w:val="bottom"/>
          </w:tcPr>
          <w:p w14:paraId="2224D010" w14:textId="77777777" w:rsidR="00854A55" w:rsidRPr="00585293" w:rsidRDefault="00854A55" w:rsidP="00854A55">
            <w:pPr>
              <w:spacing w:after="160" w:line="480" w:lineRule="auto"/>
              <w:jc w:val="both"/>
            </w:pPr>
          </w:p>
        </w:tc>
        <w:tc>
          <w:tcPr>
            <w:tcW w:w="834" w:type="pct"/>
            <w:tcBorders>
              <w:top w:val="nil"/>
              <w:left w:val="nil"/>
              <w:bottom w:val="nil"/>
              <w:right w:val="nil"/>
            </w:tcBorders>
            <w:shd w:val="clear" w:color="auto" w:fill="auto"/>
            <w:tcMar>
              <w:top w:w="10" w:type="dxa"/>
              <w:left w:w="10" w:type="dxa"/>
              <w:bottom w:w="0" w:type="dxa"/>
              <w:right w:w="10" w:type="dxa"/>
            </w:tcMar>
            <w:vAlign w:val="bottom"/>
          </w:tcPr>
          <w:p w14:paraId="794EAB4F" w14:textId="14E8C9B6" w:rsidR="00854A55" w:rsidRPr="00585293" w:rsidRDefault="00D97A90" w:rsidP="00854A55">
            <w:pPr>
              <w:spacing w:after="160" w:line="480" w:lineRule="auto"/>
              <w:jc w:val="both"/>
            </w:pPr>
            <w:r w:rsidRPr="00585293">
              <w:rPr>
                <w:color w:val="000000"/>
              </w:rPr>
              <w:t>18.23</w:t>
            </w:r>
          </w:p>
        </w:tc>
      </w:tr>
      <w:tr w:rsidR="00854A55" w:rsidRPr="00585293" w14:paraId="4921DE9A" w14:textId="77777777" w:rsidTr="00490967">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bottom"/>
            <w:hideMark/>
          </w:tcPr>
          <w:p w14:paraId="0936451A" w14:textId="77777777" w:rsidR="00854A55" w:rsidRPr="00585293" w:rsidRDefault="00854A55" w:rsidP="00854A55">
            <w:pPr>
              <w:spacing w:after="160" w:line="480" w:lineRule="auto"/>
              <w:jc w:val="both"/>
            </w:pPr>
            <w:r w:rsidRPr="00585293">
              <w:t>LB False Positive Rate</w:t>
            </w:r>
          </w:p>
        </w:tc>
        <w:tc>
          <w:tcPr>
            <w:tcW w:w="835" w:type="pct"/>
            <w:tcBorders>
              <w:top w:val="nil"/>
              <w:left w:val="nil"/>
              <w:bottom w:val="nil"/>
              <w:right w:val="nil"/>
            </w:tcBorders>
            <w:shd w:val="clear" w:color="auto" w:fill="auto"/>
            <w:tcMar>
              <w:top w:w="10" w:type="dxa"/>
              <w:left w:w="10" w:type="dxa"/>
              <w:bottom w:w="0" w:type="dxa"/>
              <w:right w:w="10" w:type="dxa"/>
            </w:tcMar>
            <w:vAlign w:val="bottom"/>
            <w:hideMark/>
          </w:tcPr>
          <w:p w14:paraId="0205AF65" w14:textId="77777777" w:rsidR="00854A55" w:rsidRPr="00585293" w:rsidRDefault="00854A55" w:rsidP="00854A55">
            <w:pPr>
              <w:spacing w:after="160" w:line="480" w:lineRule="auto"/>
              <w:jc w:val="both"/>
            </w:pPr>
          </w:p>
        </w:tc>
        <w:tc>
          <w:tcPr>
            <w:tcW w:w="836" w:type="pct"/>
            <w:tcBorders>
              <w:top w:val="nil"/>
              <w:left w:val="nil"/>
              <w:bottom w:val="nil"/>
              <w:right w:val="nil"/>
            </w:tcBorders>
            <w:shd w:val="clear" w:color="auto" w:fill="auto"/>
            <w:tcMar>
              <w:top w:w="10" w:type="dxa"/>
              <w:left w:w="10" w:type="dxa"/>
              <w:bottom w:w="0" w:type="dxa"/>
              <w:right w:w="10" w:type="dxa"/>
            </w:tcMar>
            <w:vAlign w:val="bottom"/>
            <w:hideMark/>
          </w:tcPr>
          <w:p w14:paraId="2F266AF7" w14:textId="2EAA3240" w:rsidR="00854A55" w:rsidRPr="00585293" w:rsidRDefault="00D97A90" w:rsidP="00854A55">
            <w:pPr>
              <w:spacing w:after="160" w:line="480" w:lineRule="auto"/>
              <w:jc w:val="both"/>
            </w:pPr>
            <w:r w:rsidRPr="00585293">
              <w:rPr>
                <w:color w:val="000000"/>
              </w:rPr>
              <w:t>9.94</w:t>
            </w:r>
          </w:p>
        </w:tc>
        <w:tc>
          <w:tcPr>
            <w:tcW w:w="835" w:type="pct"/>
            <w:tcBorders>
              <w:top w:val="nil"/>
              <w:left w:val="nil"/>
              <w:bottom w:val="nil"/>
              <w:right w:val="nil"/>
            </w:tcBorders>
            <w:shd w:val="clear" w:color="auto" w:fill="auto"/>
            <w:tcMar>
              <w:top w:w="10" w:type="dxa"/>
              <w:left w:w="10" w:type="dxa"/>
              <w:bottom w:w="0" w:type="dxa"/>
              <w:right w:w="10" w:type="dxa"/>
            </w:tcMar>
            <w:vAlign w:val="bottom"/>
            <w:hideMark/>
          </w:tcPr>
          <w:p w14:paraId="6FE26530" w14:textId="77777777" w:rsidR="00854A55" w:rsidRPr="00585293" w:rsidRDefault="00854A55" w:rsidP="00854A55">
            <w:pPr>
              <w:spacing w:after="160" w:line="480" w:lineRule="auto"/>
              <w:jc w:val="both"/>
            </w:pPr>
          </w:p>
        </w:tc>
        <w:tc>
          <w:tcPr>
            <w:tcW w:w="834" w:type="pct"/>
            <w:tcBorders>
              <w:top w:val="nil"/>
              <w:left w:val="nil"/>
              <w:bottom w:val="nil"/>
              <w:right w:val="nil"/>
            </w:tcBorders>
            <w:shd w:val="clear" w:color="auto" w:fill="auto"/>
            <w:tcMar>
              <w:top w:w="10" w:type="dxa"/>
              <w:left w:w="10" w:type="dxa"/>
              <w:bottom w:w="0" w:type="dxa"/>
              <w:right w:w="10" w:type="dxa"/>
            </w:tcMar>
            <w:vAlign w:val="bottom"/>
            <w:hideMark/>
          </w:tcPr>
          <w:p w14:paraId="5B50E303" w14:textId="5AB9DB6D" w:rsidR="00854A55" w:rsidRPr="00585293" w:rsidRDefault="00D97A90" w:rsidP="00854A55">
            <w:pPr>
              <w:spacing w:after="160" w:line="480" w:lineRule="auto"/>
              <w:jc w:val="both"/>
            </w:pPr>
            <w:r w:rsidRPr="00585293">
              <w:rPr>
                <w:color w:val="000000"/>
              </w:rPr>
              <w:t>9.57</w:t>
            </w:r>
          </w:p>
        </w:tc>
      </w:tr>
      <w:tr w:rsidR="00854A55" w:rsidRPr="00585293" w14:paraId="5AD1C179" w14:textId="77777777" w:rsidTr="00490967">
        <w:trPr>
          <w:trHeight w:hRule="exact" w:val="397"/>
        </w:trPr>
        <w:tc>
          <w:tcPr>
            <w:tcW w:w="1660" w:type="pct"/>
            <w:tcBorders>
              <w:top w:val="nil"/>
              <w:left w:val="nil"/>
              <w:bottom w:val="nil"/>
              <w:right w:val="nil"/>
            </w:tcBorders>
            <w:shd w:val="clear" w:color="auto" w:fill="auto"/>
            <w:tcMar>
              <w:top w:w="10" w:type="dxa"/>
              <w:left w:w="10" w:type="dxa"/>
              <w:bottom w:w="0" w:type="dxa"/>
              <w:right w:w="10" w:type="dxa"/>
            </w:tcMar>
            <w:vAlign w:val="center"/>
            <w:hideMark/>
          </w:tcPr>
          <w:p w14:paraId="3365A518" w14:textId="77777777" w:rsidR="00854A55" w:rsidRPr="00585293" w:rsidRDefault="00854A55" w:rsidP="00854A55">
            <w:pPr>
              <w:spacing w:after="160" w:line="480" w:lineRule="auto"/>
              <w:jc w:val="both"/>
            </w:pPr>
          </w:p>
        </w:tc>
        <w:tc>
          <w:tcPr>
            <w:tcW w:w="835" w:type="pct"/>
            <w:tcBorders>
              <w:top w:val="nil"/>
              <w:left w:val="nil"/>
              <w:bottom w:val="nil"/>
              <w:right w:val="nil"/>
            </w:tcBorders>
            <w:shd w:val="clear" w:color="auto" w:fill="auto"/>
            <w:tcMar>
              <w:top w:w="10" w:type="dxa"/>
              <w:left w:w="10" w:type="dxa"/>
              <w:bottom w:w="0" w:type="dxa"/>
              <w:right w:w="10" w:type="dxa"/>
            </w:tcMar>
            <w:vAlign w:val="bottom"/>
            <w:hideMark/>
          </w:tcPr>
          <w:p w14:paraId="5D7B59D1" w14:textId="38667839" w:rsidR="00854A55" w:rsidRPr="00585293" w:rsidRDefault="00854A55" w:rsidP="00854A55">
            <w:pPr>
              <w:spacing w:after="160" w:line="480" w:lineRule="auto"/>
              <w:jc w:val="both"/>
            </w:pPr>
          </w:p>
        </w:tc>
        <w:tc>
          <w:tcPr>
            <w:tcW w:w="836" w:type="pct"/>
            <w:tcBorders>
              <w:top w:val="nil"/>
              <w:left w:val="nil"/>
              <w:bottom w:val="nil"/>
              <w:right w:val="nil"/>
            </w:tcBorders>
            <w:shd w:val="clear" w:color="auto" w:fill="auto"/>
            <w:tcMar>
              <w:top w:w="10" w:type="dxa"/>
              <w:left w:w="10" w:type="dxa"/>
              <w:bottom w:w="0" w:type="dxa"/>
              <w:right w:w="10" w:type="dxa"/>
            </w:tcMar>
            <w:vAlign w:val="bottom"/>
            <w:hideMark/>
          </w:tcPr>
          <w:p w14:paraId="6031876F" w14:textId="77777777" w:rsidR="00854A55" w:rsidRPr="00585293" w:rsidRDefault="00854A55" w:rsidP="00854A55">
            <w:pPr>
              <w:spacing w:after="160" w:line="480" w:lineRule="auto"/>
              <w:jc w:val="both"/>
            </w:pPr>
          </w:p>
        </w:tc>
        <w:tc>
          <w:tcPr>
            <w:tcW w:w="835" w:type="pct"/>
            <w:tcBorders>
              <w:top w:val="nil"/>
              <w:left w:val="nil"/>
              <w:bottom w:val="nil"/>
              <w:right w:val="nil"/>
            </w:tcBorders>
            <w:shd w:val="clear" w:color="auto" w:fill="auto"/>
            <w:tcMar>
              <w:top w:w="10" w:type="dxa"/>
              <w:left w:w="10" w:type="dxa"/>
              <w:bottom w:w="0" w:type="dxa"/>
              <w:right w:w="10" w:type="dxa"/>
            </w:tcMar>
            <w:vAlign w:val="bottom"/>
            <w:hideMark/>
          </w:tcPr>
          <w:p w14:paraId="6725855D" w14:textId="5AFFF8EF" w:rsidR="00854A55" w:rsidRPr="00585293" w:rsidRDefault="00854A55" w:rsidP="00854A55">
            <w:pPr>
              <w:spacing w:after="160" w:line="480" w:lineRule="auto"/>
              <w:jc w:val="both"/>
            </w:pPr>
          </w:p>
        </w:tc>
        <w:tc>
          <w:tcPr>
            <w:tcW w:w="834" w:type="pct"/>
            <w:tcBorders>
              <w:top w:val="nil"/>
              <w:left w:val="nil"/>
              <w:bottom w:val="nil"/>
              <w:right w:val="nil"/>
            </w:tcBorders>
            <w:shd w:val="clear" w:color="auto" w:fill="auto"/>
            <w:tcMar>
              <w:top w:w="10" w:type="dxa"/>
              <w:left w:w="10" w:type="dxa"/>
              <w:bottom w:w="0" w:type="dxa"/>
              <w:right w:w="10" w:type="dxa"/>
            </w:tcMar>
            <w:vAlign w:val="bottom"/>
            <w:hideMark/>
          </w:tcPr>
          <w:p w14:paraId="257A2B09" w14:textId="77777777" w:rsidR="00854A55" w:rsidRPr="00585293" w:rsidRDefault="00854A55" w:rsidP="00854A55">
            <w:pPr>
              <w:spacing w:after="160" w:line="480" w:lineRule="auto"/>
              <w:jc w:val="both"/>
            </w:pPr>
          </w:p>
        </w:tc>
      </w:tr>
      <w:tr w:rsidR="00854A55" w:rsidRPr="00585293" w14:paraId="4194AAB1" w14:textId="77777777" w:rsidTr="00490967">
        <w:trPr>
          <w:trHeight w:hRule="exact" w:val="397"/>
        </w:trPr>
        <w:tc>
          <w:tcPr>
            <w:tcW w:w="1660"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3BF82A8E" w14:textId="77777777" w:rsidR="00854A55" w:rsidRPr="00585293" w:rsidRDefault="00854A55" w:rsidP="00854A55">
            <w:pPr>
              <w:spacing w:after="160" w:line="480" w:lineRule="auto"/>
              <w:jc w:val="both"/>
            </w:pPr>
            <w:r w:rsidRPr="00585293">
              <w:t>Total</w:t>
            </w:r>
          </w:p>
        </w:tc>
        <w:tc>
          <w:tcPr>
            <w:tcW w:w="835" w:type="pct"/>
            <w:tcBorders>
              <w:top w:val="nil"/>
              <w:left w:val="nil"/>
              <w:bottom w:val="double" w:sz="4" w:space="0" w:color="auto"/>
              <w:right w:val="nil"/>
            </w:tcBorders>
            <w:shd w:val="clear" w:color="auto" w:fill="auto"/>
            <w:tcMar>
              <w:top w:w="10" w:type="dxa"/>
              <w:left w:w="10" w:type="dxa"/>
              <w:bottom w:w="0" w:type="dxa"/>
              <w:right w:w="10" w:type="dxa"/>
            </w:tcMar>
            <w:vAlign w:val="bottom"/>
            <w:hideMark/>
          </w:tcPr>
          <w:p w14:paraId="3A855D22" w14:textId="4A1CADAD" w:rsidR="00854A55" w:rsidRPr="00585293" w:rsidRDefault="00D97A90" w:rsidP="00854A55">
            <w:pPr>
              <w:spacing w:after="160" w:line="480" w:lineRule="auto"/>
              <w:jc w:val="both"/>
            </w:pPr>
            <w:r w:rsidRPr="00585293">
              <w:rPr>
                <w:color w:val="000000"/>
              </w:rPr>
              <w:t>60,788</w:t>
            </w:r>
          </w:p>
        </w:tc>
        <w:tc>
          <w:tcPr>
            <w:tcW w:w="836" w:type="pct"/>
            <w:tcBorders>
              <w:top w:val="nil"/>
              <w:left w:val="nil"/>
              <w:bottom w:val="double" w:sz="4" w:space="0" w:color="auto"/>
              <w:right w:val="nil"/>
            </w:tcBorders>
            <w:shd w:val="clear" w:color="auto" w:fill="auto"/>
            <w:tcMar>
              <w:top w:w="10" w:type="dxa"/>
              <w:left w:w="10" w:type="dxa"/>
              <w:bottom w:w="0" w:type="dxa"/>
              <w:right w:w="10" w:type="dxa"/>
            </w:tcMar>
            <w:vAlign w:val="bottom"/>
            <w:hideMark/>
          </w:tcPr>
          <w:p w14:paraId="2952A922" w14:textId="16681F02" w:rsidR="00854A55" w:rsidRPr="00585293" w:rsidRDefault="00854A55" w:rsidP="00854A55">
            <w:pPr>
              <w:spacing w:after="160" w:line="480" w:lineRule="auto"/>
              <w:jc w:val="both"/>
            </w:pPr>
          </w:p>
        </w:tc>
        <w:tc>
          <w:tcPr>
            <w:tcW w:w="835" w:type="pct"/>
            <w:tcBorders>
              <w:top w:val="nil"/>
              <w:left w:val="nil"/>
              <w:bottom w:val="double" w:sz="4" w:space="0" w:color="auto"/>
              <w:right w:val="nil"/>
            </w:tcBorders>
            <w:shd w:val="clear" w:color="auto" w:fill="auto"/>
            <w:tcMar>
              <w:top w:w="10" w:type="dxa"/>
              <w:left w:w="10" w:type="dxa"/>
              <w:bottom w:w="0" w:type="dxa"/>
              <w:right w:w="10" w:type="dxa"/>
            </w:tcMar>
            <w:vAlign w:val="bottom"/>
            <w:hideMark/>
          </w:tcPr>
          <w:p w14:paraId="632F57A3" w14:textId="0830A333" w:rsidR="00854A55" w:rsidRPr="00585293" w:rsidRDefault="00D97A90" w:rsidP="00854A55">
            <w:pPr>
              <w:spacing w:after="160" w:line="480" w:lineRule="auto"/>
              <w:jc w:val="both"/>
            </w:pPr>
            <w:r w:rsidRPr="00585293">
              <w:rPr>
                <w:color w:val="000000"/>
              </w:rPr>
              <w:t>155,137</w:t>
            </w:r>
          </w:p>
        </w:tc>
        <w:tc>
          <w:tcPr>
            <w:tcW w:w="834" w:type="pct"/>
            <w:tcBorders>
              <w:top w:val="nil"/>
              <w:left w:val="nil"/>
              <w:bottom w:val="double" w:sz="4" w:space="0" w:color="auto"/>
              <w:right w:val="nil"/>
            </w:tcBorders>
            <w:shd w:val="clear" w:color="auto" w:fill="auto"/>
            <w:tcMar>
              <w:top w:w="10" w:type="dxa"/>
              <w:left w:w="10" w:type="dxa"/>
              <w:bottom w:w="0" w:type="dxa"/>
              <w:right w:w="10" w:type="dxa"/>
            </w:tcMar>
            <w:vAlign w:val="bottom"/>
            <w:hideMark/>
          </w:tcPr>
          <w:p w14:paraId="2A4203B3" w14:textId="31339521" w:rsidR="00854A55" w:rsidRPr="00585293" w:rsidRDefault="00854A55" w:rsidP="00854A55">
            <w:pPr>
              <w:spacing w:after="160" w:line="480" w:lineRule="auto"/>
              <w:jc w:val="both"/>
            </w:pPr>
          </w:p>
        </w:tc>
      </w:tr>
    </w:tbl>
    <w:p w14:paraId="70659A59" w14:textId="77777777" w:rsidR="00D37655" w:rsidRDefault="00D37655" w:rsidP="003653CA">
      <w:pPr>
        <w:jc w:val="both"/>
        <w:rPr>
          <w:sz w:val="20"/>
          <w:szCs w:val="20"/>
        </w:rPr>
      </w:pPr>
      <w:r w:rsidRPr="00942E8F">
        <w:rPr>
          <w:i/>
          <w:iCs/>
          <w:sz w:val="20"/>
          <w:szCs w:val="20"/>
        </w:rPr>
        <w:t>Notes</w:t>
      </w:r>
      <w:r>
        <w:rPr>
          <w:sz w:val="20"/>
          <w:szCs w:val="20"/>
        </w:rPr>
        <w:t>: “UB” = Upper Bound; “LB”.</w:t>
      </w:r>
    </w:p>
    <w:p w14:paraId="5A215729" w14:textId="33D276B8" w:rsidR="00B329C7" w:rsidRPr="00585293" w:rsidRDefault="003C5ADD" w:rsidP="00977555">
      <w:pPr>
        <w:spacing w:after="160" w:line="480" w:lineRule="auto"/>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w:t>
      </w:r>
    </w:p>
    <w:p w14:paraId="0CE6CA41" w14:textId="71B13EC3" w:rsidR="00977555" w:rsidRPr="00585293" w:rsidRDefault="00977555" w:rsidP="00977555">
      <w:pPr>
        <w:spacing w:after="160"/>
        <w:jc w:val="both"/>
        <w:rPr>
          <w:rFonts w:eastAsiaTheme="majorEastAsia"/>
          <w:b/>
          <w:bCs/>
          <w:sz w:val="28"/>
          <w:szCs w:val="28"/>
        </w:rPr>
      </w:pPr>
      <w:r w:rsidRPr="00585293">
        <w:rPr>
          <w:b/>
          <w:bCs/>
          <w:sz w:val="28"/>
          <w:szCs w:val="28"/>
        </w:rPr>
        <w:br w:type="page"/>
      </w:r>
    </w:p>
    <w:p w14:paraId="754240CF" w14:textId="1872F326" w:rsidR="0097732A" w:rsidRPr="00585293" w:rsidRDefault="0097732A" w:rsidP="00BE38B5">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D</w:t>
      </w:r>
      <w:r w:rsidR="00B85E79" w:rsidRPr="00585293">
        <w:rPr>
          <w:rFonts w:ascii="Times New Roman" w:hAnsi="Times New Roman" w:cs="Times New Roman"/>
          <w:b/>
          <w:bCs/>
          <w:color w:val="auto"/>
          <w:sz w:val="28"/>
          <w:szCs w:val="28"/>
        </w:rPr>
        <w:tab/>
      </w:r>
      <w:r w:rsidR="00516125" w:rsidRPr="00585293">
        <w:rPr>
          <w:rFonts w:ascii="Times New Roman" w:hAnsi="Times New Roman" w:cs="Times New Roman"/>
          <w:b/>
          <w:bCs/>
          <w:color w:val="auto"/>
          <w:sz w:val="28"/>
          <w:szCs w:val="28"/>
        </w:rPr>
        <w:t>Inverse Probability Weight</w:t>
      </w:r>
    </w:p>
    <w:p w14:paraId="2E9B135C" w14:textId="3287E5F1" w:rsidR="007C2212" w:rsidRPr="00585293" w:rsidRDefault="006D092D" w:rsidP="00BE38B5">
      <w:pPr>
        <w:spacing w:after="160" w:line="480" w:lineRule="auto"/>
        <w:jc w:val="both"/>
        <w:rPr>
          <w:iCs/>
        </w:rPr>
      </w:pPr>
      <w:r w:rsidRPr="00585293">
        <w:rPr>
          <w:iCs/>
        </w:rPr>
        <w:t xml:space="preserve">Table </w:t>
      </w:r>
      <w:r w:rsidR="00177D43" w:rsidRPr="00585293">
        <w:rPr>
          <w:iCs/>
        </w:rPr>
        <w:t xml:space="preserve">D1 shows the representativeness of the weighted sample </w:t>
      </w:r>
      <w:r w:rsidR="000C77B1" w:rsidRPr="00585293">
        <w:rPr>
          <w:iCs/>
        </w:rPr>
        <w:t>in comparison to the unweighted sample.</w:t>
      </w:r>
      <w:r w:rsidR="00301585" w:rsidRPr="00585293">
        <w:rPr>
          <w:iCs/>
        </w:rPr>
        <w:t xml:space="preserve"> </w:t>
      </w:r>
      <w:r w:rsidR="004712EA" w:rsidRPr="00585293">
        <w:rPr>
          <w:iCs/>
        </w:rPr>
        <w:t xml:space="preserve">The weighted sample is more representative in almost all </w:t>
      </w:r>
      <w:r w:rsidR="00B14109" w:rsidRPr="00585293">
        <w:rPr>
          <w:iCs/>
        </w:rPr>
        <w:t xml:space="preserve">variables except in </w:t>
      </w:r>
      <w:r w:rsidR="000C7D07" w:rsidRPr="00585293">
        <w:rPr>
          <w:iCs/>
        </w:rPr>
        <w:t xml:space="preserve">over-representing </w:t>
      </w:r>
      <w:r w:rsidR="00865AD8">
        <w:rPr>
          <w:iCs/>
        </w:rPr>
        <w:t>“</w:t>
      </w:r>
      <w:r w:rsidR="00A10A94" w:rsidRPr="00585293">
        <w:rPr>
          <w:iCs/>
        </w:rPr>
        <w:t>son</w:t>
      </w:r>
      <w:r w:rsidR="00865AD8">
        <w:rPr>
          <w:iCs/>
        </w:rPr>
        <w:t>”</w:t>
      </w:r>
      <w:r w:rsidR="00A10A94" w:rsidRPr="00585293">
        <w:rPr>
          <w:iCs/>
        </w:rPr>
        <w:t xml:space="preserve"> in relationship status and Yorkshire in birth and residence counties.</w:t>
      </w:r>
    </w:p>
    <w:p w14:paraId="6CDC29BD" w14:textId="77777777" w:rsidR="00977555" w:rsidRPr="00585293" w:rsidRDefault="00977555" w:rsidP="00977555">
      <w:pPr>
        <w:spacing w:after="160" w:line="480" w:lineRule="auto"/>
        <w:ind w:firstLine="720"/>
        <w:jc w:val="both"/>
      </w:pPr>
      <w:r w:rsidRPr="00585293">
        <w:t>To address the issue of non-representative sample, I ran probit regressions of linkage outcomes (a dummy variable with value of 1 if the observation has been successfully linked) for sons on first name length, last name length, combined name length, first name commonness, last name commonness, age and its quadratic term, total male population in the parish and county of residence in the final census year, and occupational sector defined by the HISCO major groups (0 to 9). Name commonness is defined as the share of people aged 5 to 15 with the same name living in the same parish in 1851 for the 1851-1881 sample, 1861 for the 1861-1891 sample, and 1881 for the 1881-1911 sample. I then assign inverse probability weights based on the following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gridCol w:w="681"/>
      </w:tblGrid>
      <w:tr w:rsidR="00977555" w:rsidRPr="00585293" w14:paraId="15566979" w14:textId="77777777" w:rsidTr="00805634">
        <w:trPr>
          <w:trHeight w:val="567"/>
        </w:trPr>
        <w:tc>
          <w:tcPr>
            <w:tcW w:w="4623" w:type="pct"/>
            <w:vAlign w:val="center"/>
          </w:tcPr>
          <w:p w14:paraId="553A214F" w14:textId="77777777" w:rsidR="00977555" w:rsidRPr="00585293" w:rsidRDefault="00977555" w:rsidP="00805634">
            <w:pPr>
              <w:spacing w:after="160" w:line="480" w:lineRule="auto"/>
              <w:jc w:val="center"/>
              <w:rPr>
                <w:i/>
                <w:iCs/>
              </w:rPr>
            </w:pPr>
            <m:oMathPara>
              <m:oMath>
                <m:r>
                  <w:rPr>
                    <w:rFonts w:ascii="Cambria Math" w:hAnsi="Cambria Math"/>
                  </w:rPr>
                  <m:t>Weight=</m:t>
                </m:r>
                <m:f>
                  <m:fPr>
                    <m:ctrlPr>
                      <w:rPr>
                        <w:rFonts w:ascii="Cambria Math" w:hAnsi="Cambria Math"/>
                        <w:i/>
                        <w:iCs/>
                      </w:rPr>
                    </m:ctrlPr>
                  </m:fPr>
                  <m:num>
                    <m:r>
                      <w:rPr>
                        <w:rFonts w:ascii="Cambria Math" w:hAnsi="Cambria Math"/>
                      </w:rPr>
                      <m:t>1-</m:t>
                    </m:r>
                    <m:sSub>
                      <m:sSubPr>
                        <m:ctrlPr>
                          <w:rPr>
                            <w:rFonts w:ascii="Cambria Math" w:hAnsi="Cambria Math"/>
                            <w:i/>
                            <w:iCs/>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L</m:t>
                        </m:r>
                      </m:e>
                      <m:sub>
                        <m:r>
                          <w:rPr>
                            <w:rFonts w:ascii="Cambria Math" w:hAnsi="Cambria Math"/>
                          </w:rPr>
                          <m:t>i</m:t>
                        </m:r>
                      </m:sub>
                    </m:sSub>
                    <m:r>
                      <w:rPr>
                        <w:rFonts w:ascii="Cambria Math" w:hAnsi="Cambria Math"/>
                      </w:rPr>
                      <m:t>=1|</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num>
                  <m:den>
                    <m:sSub>
                      <m:sSubPr>
                        <m:ctrlPr>
                          <w:rPr>
                            <w:rFonts w:ascii="Cambria Math" w:hAnsi="Cambria Math"/>
                            <w:i/>
                            <w:iCs/>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L</m:t>
                        </m:r>
                      </m:e>
                      <m:sub>
                        <m:r>
                          <w:rPr>
                            <w:rFonts w:ascii="Cambria Math" w:hAnsi="Cambria Math"/>
                          </w:rPr>
                          <m:t>i</m:t>
                        </m:r>
                      </m:sub>
                    </m:sSub>
                    <m:r>
                      <w:rPr>
                        <w:rFonts w:ascii="Cambria Math" w:hAnsi="Cambria Math"/>
                      </w:rPr>
                      <m:t>=1|</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)∙q(1-q)</m:t>
                    </m:r>
                  </m:den>
                </m:f>
              </m:oMath>
            </m:oMathPara>
          </w:p>
        </w:tc>
        <w:tc>
          <w:tcPr>
            <w:tcW w:w="377" w:type="pct"/>
            <w:vAlign w:val="center"/>
          </w:tcPr>
          <w:p w14:paraId="321CC8F7" w14:textId="77777777" w:rsidR="00977555" w:rsidRPr="00585293" w:rsidRDefault="00977555" w:rsidP="00805634">
            <w:pPr>
              <w:spacing w:after="160" w:line="480" w:lineRule="auto"/>
              <w:jc w:val="right"/>
            </w:pPr>
            <w:r w:rsidRPr="00585293">
              <w:t>(D1)</w:t>
            </w:r>
          </w:p>
        </w:tc>
      </w:tr>
    </w:tbl>
    <w:p w14:paraId="2F191436" w14:textId="77777777" w:rsidR="00977555" w:rsidRPr="00585293" w:rsidRDefault="00977555" w:rsidP="00977555">
      <w:pPr>
        <w:spacing w:after="160" w:line="480" w:lineRule="auto"/>
        <w:jc w:val="both"/>
        <w:rPr>
          <w:iCs/>
        </w:rPr>
      </w:pPr>
      <w:r w:rsidRPr="00585293">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L</m:t>
            </m:r>
          </m:e>
          <m:sub>
            <m:r>
              <w:rPr>
                <w:rFonts w:ascii="Cambria Math" w:hAnsi="Cambria Math"/>
              </w:rPr>
              <m:t>i</m:t>
            </m:r>
          </m:sub>
        </m:sSub>
        <m:r>
          <w:rPr>
            <w:rFonts w:ascii="Cambria Math" w:hAnsi="Cambria Math"/>
          </w:rPr>
          <m:t>=1|</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oMath>
      <w:r w:rsidRPr="00585293">
        <w:rPr>
          <w:iCs/>
        </w:rPr>
        <w:t xml:space="preserve"> denotes the probability of being linked, and </w:t>
      </w:r>
      <w:r w:rsidRPr="00585293">
        <w:rPr>
          <w:i/>
        </w:rPr>
        <w:t xml:space="preserve">q </w:t>
      </w:r>
      <w:r w:rsidRPr="00585293">
        <w:rPr>
          <w:iCs/>
        </w:rPr>
        <w:t>is the share of people linked.</w:t>
      </w:r>
    </w:p>
    <w:p w14:paraId="20BA5CFB" w14:textId="288DDDA1" w:rsidR="00BE06B0" w:rsidRPr="00585293" w:rsidRDefault="00BE06B0">
      <w:pPr>
        <w:spacing w:after="160" w:line="259" w:lineRule="auto"/>
        <w:rPr>
          <w:iCs/>
        </w:rPr>
      </w:pPr>
      <w:r w:rsidRPr="00585293">
        <w:rPr>
          <w:iCs/>
        </w:rPr>
        <w:br w:type="page"/>
      </w:r>
    </w:p>
    <w:p w14:paraId="69057E07" w14:textId="77777777" w:rsidR="00BE06B0" w:rsidRPr="00585293" w:rsidRDefault="00BE06B0" w:rsidP="00BE06B0">
      <w:pPr>
        <w:spacing w:after="160" w:line="480" w:lineRule="auto"/>
        <w:rPr>
          <w:iCs/>
        </w:rPr>
        <w:sectPr w:rsidR="00BE06B0" w:rsidRPr="00585293" w:rsidSect="0006158D">
          <w:footerReference w:type="default" r:id="rId8"/>
          <w:pgSz w:w="11906" w:h="16838"/>
          <w:pgMar w:top="1440" w:right="1440" w:bottom="1440" w:left="1440" w:header="709" w:footer="709" w:gutter="0"/>
          <w:pgNumType w:start="1"/>
          <w:cols w:space="708"/>
          <w:docGrid w:linePitch="360"/>
        </w:sectPr>
      </w:pPr>
    </w:p>
    <w:p w14:paraId="0629816B" w14:textId="0CA41068" w:rsidR="0007384C" w:rsidRPr="00585293" w:rsidRDefault="0007384C" w:rsidP="003653CA">
      <w:pPr>
        <w:spacing w:after="160" w:line="259" w:lineRule="auto"/>
        <w:jc w:val="center"/>
      </w:pPr>
      <w:r w:rsidRPr="003653CA">
        <w:lastRenderedPageBreak/>
        <w:t xml:space="preserve">Table </w:t>
      </w:r>
      <w:r w:rsidR="006D092D" w:rsidRPr="003653CA">
        <w:t>D1</w:t>
      </w:r>
      <w:r w:rsidRPr="00585293">
        <w:t>: Summary Statistics of Linkage Results (Weighted vs Unweighted), 1851-1911</w:t>
      </w:r>
    </w:p>
    <w:tbl>
      <w:tblPr>
        <w:tblW w:w="5000" w:type="pct"/>
        <w:tblLook w:val="04A0" w:firstRow="1" w:lastRow="0" w:firstColumn="1" w:lastColumn="0" w:noHBand="0" w:noVBand="1"/>
      </w:tblPr>
      <w:tblGrid>
        <w:gridCol w:w="2623"/>
        <w:gridCol w:w="1247"/>
        <w:gridCol w:w="1282"/>
        <w:gridCol w:w="1250"/>
        <w:gridCol w:w="1248"/>
        <w:gridCol w:w="1282"/>
        <w:gridCol w:w="1251"/>
        <w:gridCol w:w="1248"/>
        <w:gridCol w:w="1282"/>
        <w:gridCol w:w="1245"/>
      </w:tblGrid>
      <w:tr w:rsidR="0007384C" w:rsidRPr="00585293" w14:paraId="644370BA" w14:textId="77777777" w:rsidTr="003E6389">
        <w:trPr>
          <w:trHeight w:hRule="exact" w:val="369"/>
        </w:trPr>
        <w:tc>
          <w:tcPr>
            <w:tcW w:w="940" w:type="pct"/>
            <w:tcBorders>
              <w:top w:val="double" w:sz="4" w:space="0" w:color="auto"/>
              <w:left w:val="nil"/>
              <w:right w:val="nil"/>
            </w:tcBorders>
            <w:shd w:val="clear" w:color="auto" w:fill="auto"/>
            <w:tcMar>
              <w:top w:w="28" w:type="dxa"/>
              <w:right w:w="0" w:type="dxa"/>
            </w:tcMar>
            <w:vAlign w:val="center"/>
            <w:hideMark/>
          </w:tcPr>
          <w:p w14:paraId="3DCFA0CE" w14:textId="77777777" w:rsidR="0007384C" w:rsidRPr="00585293" w:rsidRDefault="0007384C" w:rsidP="00805634">
            <w:pPr>
              <w:spacing w:after="160"/>
            </w:pPr>
          </w:p>
        </w:tc>
        <w:tc>
          <w:tcPr>
            <w:tcW w:w="1354" w:type="pct"/>
            <w:gridSpan w:val="3"/>
            <w:tcBorders>
              <w:top w:val="double" w:sz="4" w:space="0" w:color="auto"/>
              <w:left w:val="nil"/>
              <w:bottom w:val="single" w:sz="12" w:space="0" w:color="auto"/>
              <w:right w:val="nil"/>
            </w:tcBorders>
            <w:shd w:val="clear" w:color="auto" w:fill="auto"/>
            <w:tcMar>
              <w:top w:w="28" w:type="dxa"/>
              <w:right w:w="0" w:type="dxa"/>
            </w:tcMar>
            <w:vAlign w:val="center"/>
            <w:hideMark/>
          </w:tcPr>
          <w:p w14:paraId="6158C1AC" w14:textId="77777777" w:rsidR="0007384C" w:rsidRPr="00585293" w:rsidRDefault="0007384C" w:rsidP="00805634">
            <w:pPr>
              <w:spacing w:after="160"/>
              <w:jc w:val="center"/>
              <w:rPr>
                <w:color w:val="000000"/>
              </w:rPr>
            </w:pPr>
            <w:r w:rsidRPr="00585293">
              <w:rPr>
                <w:color w:val="000000"/>
              </w:rPr>
              <w:t>1851-1881</w:t>
            </w:r>
          </w:p>
        </w:tc>
        <w:tc>
          <w:tcPr>
            <w:tcW w:w="1354" w:type="pct"/>
            <w:gridSpan w:val="3"/>
            <w:tcBorders>
              <w:top w:val="double" w:sz="4" w:space="0" w:color="auto"/>
              <w:left w:val="nil"/>
              <w:bottom w:val="single" w:sz="12" w:space="0" w:color="auto"/>
              <w:right w:val="nil"/>
            </w:tcBorders>
            <w:shd w:val="clear" w:color="auto" w:fill="auto"/>
            <w:tcMar>
              <w:top w:w="28" w:type="dxa"/>
              <w:right w:w="0" w:type="dxa"/>
            </w:tcMar>
            <w:vAlign w:val="center"/>
            <w:hideMark/>
          </w:tcPr>
          <w:p w14:paraId="250ABE39" w14:textId="77777777" w:rsidR="0007384C" w:rsidRPr="00585293" w:rsidRDefault="0007384C" w:rsidP="00805634">
            <w:pPr>
              <w:spacing w:after="160"/>
              <w:jc w:val="center"/>
              <w:rPr>
                <w:color w:val="000000"/>
              </w:rPr>
            </w:pPr>
            <w:r w:rsidRPr="00585293">
              <w:rPr>
                <w:color w:val="000000"/>
              </w:rPr>
              <w:t>1861-1891</w:t>
            </w:r>
          </w:p>
        </w:tc>
        <w:tc>
          <w:tcPr>
            <w:tcW w:w="1352" w:type="pct"/>
            <w:gridSpan w:val="3"/>
            <w:tcBorders>
              <w:top w:val="double" w:sz="4" w:space="0" w:color="auto"/>
              <w:left w:val="nil"/>
              <w:bottom w:val="single" w:sz="12" w:space="0" w:color="auto"/>
              <w:right w:val="nil"/>
            </w:tcBorders>
            <w:shd w:val="clear" w:color="auto" w:fill="auto"/>
            <w:tcMar>
              <w:top w:w="28" w:type="dxa"/>
              <w:right w:w="0" w:type="dxa"/>
            </w:tcMar>
            <w:vAlign w:val="center"/>
            <w:hideMark/>
          </w:tcPr>
          <w:p w14:paraId="28306946" w14:textId="77777777" w:rsidR="0007384C" w:rsidRPr="00585293" w:rsidRDefault="0007384C" w:rsidP="00805634">
            <w:pPr>
              <w:spacing w:after="160"/>
              <w:jc w:val="center"/>
              <w:rPr>
                <w:color w:val="000000"/>
              </w:rPr>
            </w:pPr>
            <w:r w:rsidRPr="00585293">
              <w:rPr>
                <w:color w:val="000000"/>
              </w:rPr>
              <w:t>1881-1911</w:t>
            </w:r>
          </w:p>
        </w:tc>
      </w:tr>
      <w:tr w:rsidR="002124B4" w:rsidRPr="00585293" w14:paraId="3EA7975B" w14:textId="77777777" w:rsidTr="003E6389">
        <w:trPr>
          <w:trHeight w:hRule="exact" w:val="369"/>
        </w:trPr>
        <w:tc>
          <w:tcPr>
            <w:tcW w:w="940" w:type="pct"/>
            <w:tcBorders>
              <w:top w:val="nil"/>
              <w:left w:val="nil"/>
              <w:bottom w:val="single" w:sz="4" w:space="0" w:color="auto"/>
              <w:right w:val="nil"/>
            </w:tcBorders>
            <w:shd w:val="clear" w:color="auto" w:fill="auto"/>
            <w:tcMar>
              <w:top w:w="28" w:type="dxa"/>
              <w:right w:w="0" w:type="dxa"/>
            </w:tcMar>
            <w:vAlign w:val="center"/>
            <w:hideMark/>
          </w:tcPr>
          <w:p w14:paraId="0A4888A8" w14:textId="77777777" w:rsidR="002124B4" w:rsidRPr="00585293" w:rsidRDefault="002124B4" w:rsidP="002124B4">
            <w:pPr>
              <w:spacing w:after="160"/>
              <w:jc w:val="center"/>
              <w:rPr>
                <w:color w:val="000000"/>
              </w:rPr>
            </w:pPr>
          </w:p>
        </w:tc>
        <w:tc>
          <w:tcPr>
            <w:tcW w:w="447"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1BAF5CE4" w14:textId="77777777" w:rsidR="002124B4" w:rsidRPr="00585293" w:rsidRDefault="002124B4" w:rsidP="002124B4">
            <w:pPr>
              <w:spacing w:after="160"/>
              <w:jc w:val="center"/>
              <w:rPr>
                <w:color w:val="000000"/>
              </w:rPr>
            </w:pPr>
            <w:r w:rsidRPr="00585293">
              <w:rPr>
                <w:color w:val="000000"/>
              </w:rPr>
              <w:t>Population</w:t>
            </w:r>
          </w:p>
        </w:tc>
        <w:tc>
          <w:tcPr>
            <w:tcW w:w="459"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318B51B9" w14:textId="7DBFE87A" w:rsidR="002124B4" w:rsidRPr="00585293" w:rsidRDefault="002124B4" w:rsidP="002124B4">
            <w:pPr>
              <w:spacing w:after="160"/>
              <w:jc w:val="center"/>
              <w:rPr>
                <w:color w:val="000000"/>
              </w:rPr>
            </w:pPr>
            <w:r w:rsidRPr="00585293">
              <w:rPr>
                <w:color w:val="000000"/>
              </w:rPr>
              <w:t>Unweighted</w:t>
            </w:r>
          </w:p>
        </w:tc>
        <w:tc>
          <w:tcPr>
            <w:tcW w:w="447"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48CAF734" w14:textId="13E40E2E" w:rsidR="002124B4" w:rsidRPr="00585293" w:rsidRDefault="002124B4" w:rsidP="002124B4">
            <w:pPr>
              <w:spacing w:after="160"/>
              <w:jc w:val="center"/>
              <w:rPr>
                <w:color w:val="000000"/>
              </w:rPr>
            </w:pPr>
            <w:r w:rsidRPr="00585293">
              <w:rPr>
                <w:color w:val="000000"/>
              </w:rPr>
              <w:t>Weighted</w:t>
            </w:r>
          </w:p>
        </w:tc>
        <w:tc>
          <w:tcPr>
            <w:tcW w:w="447"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2D7A6D4B" w14:textId="77777777" w:rsidR="002124B4" w:rsidRPr="00585293" w:rsidRDefault="002124B4" w:rsidP="002124B4">
            <w:pPr>
              <w:spacing w:after="160"/>
              <w:jc w:val="center"/>
              <w:rPr>
                <w:color w:val="000000"/>
              </w:rPr>
            </w:pPr>
            <w:r w:rsidRPr="00585293">
              <w:rPr>
                <w:color w:val="000000"/>
              </w:rPr>
              <w:t>Population</w:t>
            </w:r>
          </w:p>
        </w:tc>
        <w:tc>
          <w:tcPr>
            <w:tcW w:w="459"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4CBFA332" w14:textId="45B02D4B" w:rsidR="002124B4" w:rsidRPr="00585293" w:rsidRDefault="002124B4" w:rsidP="002124B4">
            <w:pPr>
              <w:spacing w:after="160"/>
              <w:jc w:val="center"/>
              <w:rPr>
                <w:color w:val="000000"/>
              </w:rPr>
            </w:pPr>
            <w:r w:rsidRPr="00585293">
              <w:rPr>
                <w:color w:val="000000"/>
              </w:rPr>
              <w:t>Unweighted</w:t>
            </w:r>
          </w:p>
        </w:tc>
        <w:tc>
          <w:tcPr>
            <w:tcW w:w="447"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6EE4A3E8" w14:textId="61C3EDCB" w:rsidR="002124B4" w:rsidRPr="00585293" w:rsidRDefault="002124B4" w:rsidP="002124B4">
            <w:pPr>
              <w:spacing w:after="160"/>
              <w:jc w:val="center"/>
              <w:rPr>
                <w:color w:val="000000"/>
              </w:rPr>
            </w:pPr>
            <w:r w:rsidRPr="00585293">
              <w:rPr>
                <w:color w:val="000000"/>
              </w:rPr>
              <w:t>Weighted</w:t>
            </w:r>
          </w:p>
        </w:tc>
        <w:tc>
          <w:tcPr>
            <w:tcW w:w="447"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5470E6F4" w14:textId="77777777" w:rsidR="002124B4" w:rsidRPr="00585293" w:rsidRDefault="002124B4" w:rsidP="002124B4">
            <w:pPr>
              <w:spacing w:after="160"/>
              <w:jc w:val="center"/>
              <w:rPr>
                <w:color w:val="000000"/>
              </w:rPr>
            </w:pPr>
            <w:r w:rsidRPr="00585293">
              <w:rPr>
                <w:color w:val="000000"/>
              </w:rPr>
              <w:t>Population</w:t>
            </w:r>
          </w:p>
        </w:tc>
        <w:tc>
          <w:tcPr>
            <w:tcW w:w="459"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0A58F93C" w14:textId="7CB5D199" w:rsidR="002124B4" w:rsidRPr="00585293" w:rsidRDefault="002124B4" w:rsidP="002124B4">
            <w:pPr>
              <w:spacing w:after="160"/>
              <w:jc w:val="center"/>
              <w:rPr>
                <w:color w:val="000000"/>
              </w:rPr>
            </w:pPr>
            <w:r w:rsidRPr="00585293">
              <w:rPr>
                <w:color w:val="000000"/>
              </w:rPr>
              <w:t>Unweighted</w:t>
            </w:r>
          </w:p>
        </w:tc>
        <w:tc>
          <w:tcPr>
            <w:tcW w:w="446" w:type="pct"/>
            <w:tcBorders>
              <w:top w:val="single" w:sz="12" w:space="0" w:color="auto"/>
              <w:left w:val="nil"/>
              <w:bottom w:val="single" w:sz="4" w:space="0" w:color="auto"/>
              <w:right w:val="nil"/>
            </w:tcBorders>
            <w:shd w:val="clear" w:color="auto" w:fill="auto"/>
            <w:tcMar>
              <w:top w:w="28" w:type="dxa"/>
              <w:right w:w="0" w:type="dxa"/>
            </w:tcMar>
            <w:vAlign w:val="center"/>
            <w:hideMark/>
          </w:tcPr>
          <w:p w14:paraId="125E1711" w14:textId="6151A451" w:rsidR="002124B4" w:rsidRPr="00585293" w:rsidRDefault="002124B4" w:rsidP="002124B4">
            <w:pPr>
              <w:spacing w:after="160"/>
              <w:jc w:val="center"/>
              <w:rPr>
                <w:color w:val="000000"/>
              </w:rPr>
            </w:pPr>
            <w:r w:rsidRPr="00585293">
              <w:rPr>
                <w:color w:val="000000"/>
              </w:rPr>
              <w:t>Weighted</w:t>
            </w:r>
          </w:p>
        </w:tc>
      </w:tr>
      <w:tr w:rsidR="0007384C" w:rsidRPr="00585293" w14:paraId="761911CE" w14:textId="77777777" w:rsidTr="00805634">
        <w:trPr>
          <w:trHeight w:hRule="exact" w:val="369"/>
        </w:trPr>
        <w:tc>
          <w:tcPr>
            <w:tcW w:w="5000" w:type="pct"/>
            <w:gridSpan w:val="10"/>
            <w:tcBorders>
              <w:top w:val="single" w:sz="4" w:space="0" w:color="auto"/>
              <w:left w:val="nil"/>
              <w:bottom w:val="nil"/>
              <w:right w:val="nil"/>
            </w:tcBorders>
            <w:shd w:val="clear" w:color="auto" w:fill="auto"/>
            <w:tcMar>
              <w:top w:w="28" w:type="dxa"/>
              <w:left w:w="0" w:type="dxa"/>
              <w:right w:w="0" w:type="dxa"/>
            </w:tcMar>
            <w:vAlign w:val="center"/>
          </w:tcPr>
          <w:p w14:paraId="3E665008" w14:textId="77777777" w:rsidR="0007384C" w:rsidRPr="00585293" w:rsidRDefault="0007384C" w:rsidP="00805634">
            <w:pPr>
              <w:spacing w:after="160"/>
              <w:rPr>
                <w:color w:val="000000"/>
              </w:rPr>
            </w:pPr>
            <w:r w:rsidRPr="00585293">
              <w:rPr>
                <w:b/>
                <w:bCs/>
                <w:color w:val="000000"/>
              </w:rPr>
              <w:t>Characteristics (Son) in 1881/1891/1911</w:t>
            </w:r>
          </w:p>
        </w:tc>
      </w:tr>
      <w:tr w:rsidR="004951DC" w:rsidRPr="00585293" w14:paraId="6B29C186"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3ACCEFF1" w14:textId="77777777" w:rsidR="004951DC" w:rsidRPr="00585293" w:rsidRDefault="004951DC" w:rsidP="004951DC">
            <w:pPr>
              <w:spacing w:after="160"/>
              <w:rPr>
                <w:color w:val="000000"/>
              </w:rPr>
            </w:pPr>
            <w:r w:rsidRPr="00585293">
              <w:rPr>
                <w:color w:val="000000"/>
              </w:rPr>
              <w:t>Final Age (mean)</w:t>
            </w:r>
          </w:p>
        </w:tc>
        <w:tc>
          <w:tcPr>
            <w:tcW w:w="447" w:type="pct"/>
            <w:tcBorders>
              <w:top w:val="nil"/>
              <w:left w:val="nil"/>
              <w:bottom w:val="nil"/>
              <w:right w:val="nil"/>
            </w:tcBorders>
            <w:shd w:val="clear" w:color="auto" w:fill="auto"/>
            <w:tcMar>
              <w:top w:w="28" w:type="dxa"/>
              <w:right w:w="0" w:type="dxa"/>
            </w:tcMar>
            <w:vAlign w:val="center"/>
            <w:hideMark/>
          </w:tcPr>
          <w:p w14:paraId="631DBDCD" w14:textId="4C8B338D" w:rsidR="004951DC" w:rsidRPr="00585293" w:rsidRDefault="004951DC" w:rsidP="004951DC">
            <w:pPr>
              <w:spacing w:after="160"/>
              <w:jc w:val="center"/>
              <w:rPr>
                <w:color w:val="000000"/>
              </w:rPr>
            </w:pPr>
            <w:r w:rsidRPr="00585293">
              <w:rPr>
                <w:color w:val="000000"/>
              </w:rPr>
              <w:t>39.68</w:t>
            </w:r>
          </w:p>
        </w:tc>
        <w:tc>
          <w:tcPr>
            <w:tcW w:w="459" w:type="pct"/>
            <w:tcBorders>
              <w:top w:val="nil"/>
              <w:left w:val="nil"/>
              <w:bottom w:val="nil"/>
              <w:right w:val="nil"/>
            </w:tcBorders>
            <w:shd w:val="clear" w:color="auto" w:fill="auto"/>
            <w:tcMar>
              <w:top w:w="28" w:type="dxa"/>
              <w:right w:w="0" w:type="dxa"/>
            </w:tcMar>
            <w:vAlign w:val="center"/>
            <w:hideMark/>
          </w:tcPr>
          <w:p w14:paraId="070745BB" w14:textId="6D36AA80" w:rsidR="004951DC" w:rsidRPr="00585293" w:rsidRDefault="004951DC" w:rsidP="004951DC">
            <w:pPr>
              <w:spacing w:after="160"/>
              <w:jc w:val="center"/>
              <w:rPr>
                <w:color w:val="000000"/>
              </w:rPr>
            </w:pPr>
            <w:r w:rsidRPr="00585293">
              <w:rPr>
                <w:color w:val="000000"/>
              </w:rPr>
              <w:t>39.12</w:t>
            </w:r>
          </w:p>
        </w:tc>
        <w:tc>
          <w:tcPr>
            <w:tcW w:w="447" w:type="pct"/>
            <w:tcBorders>
              <w:top w:val="nil"/>
              <w:left w:val="nil"/>
              <w:bottom w:val="nil"/>
              <w:right w:val="nil"/>
            </w:tcBorders>
            <w:shd w:val="clear" w:color="auto" w:fill="auto"/>
            <w:tcMar>
              <w:top w:w="28" w:type="dxa"/>
              <w:right w:w="0" w:type="dxa"/>
            </w:tcMar>
            <w:vAlign w:val="center"/>
            <w:hideMark/>
          </w:tcPr>
          <w:p w14:paraId="3D0ACBC2" w14:textId="296E30F0" w:rsidR="004951DC" w:rsidRPr="00585293" w:rsidRDefault="004951DC" w:rsidP="004951DC">
            <w:pPr>
              <w:spacing w:after="160"/>
              <w:jc w:val="center"/>
              <w:rPr>
                <w:color w:val="000000"/>
              </w:rPr>
            </w:pPr>
            <w:r w:rsidRPr="00585293">
              <w:rPr>
                <w:color w:val="000000"/>
              </w:rPr>
              <w:t>39.58</w:t>
            </w:r>
          </w:p>
        </w:tc>
        <w:tc>
          <w:tcPr>
            <w:tcW w:w="447" w:type="pct"/>
            <w:tcBorders>
              <w:top w:val="nil"/>
              <w:left w:val="nil"/>
              <w:bottom w:val="nil"/>
              <w:right w:val="nil"/>
            </w:tcBorders>
            <w:shd w:val="clear" w:color="auto" w:fill="auto"/>
            <w:tcMar>
              <w:top w:w="28" w:type="dxa"/>
              <w:right w:w="0" w:type="dxa"/>
            </w:tcMar>
            <w:vAlign w:val="center"/>
            <w:hideMark/>
          </w:tcPr>
          <w:p w14:paraId="6237AD7D" w14:textId="6AF1A4A7" w:rsidR="004951DC" w:rsidRPr="00585293" w:rsidRDefault="004951DC" w:rsidP="004951DC">
            <w:pPr>
              <w:spacing w:after="160"/>
              <w:jc w:val="center"/>
              <w:rPr>
                <w:color w:val="000000"/>
              </w:rPr>
            </w:pPr>
            <w:r w:rsidRPr="00585293">
              <w:rPr>
                <w:color w:val="000000"/>
              </w:rPr>
              <w:t>39.65</w:t>
            </w:r>
          </w:p>
        </w:tc>
        <w:tc>
          <w:tcPr>
            <w:tcW w:w="459" w:type="pct"/>
            <w:tcBorders>
              <w:top w:val="nil"/>
              <w:left w:val="nil"/>
              <w:bottom w:val="nil"/>
              <w:right w:val="nil"/>
            </w:tcBorders>
            <w:shd w:val="clear" w:color="auto" w:fill="auto"/>
            <w:tcMar>
              <w:top w:w="28" w:type="dxa"/>
              <w:right w:w="0" w:type="dxa"/>
            </w:tcMar>
            <w:vAlign w:val="center"/>
            <w:hideMark/>
          </w:tcPr>
          <w:p w14:paraId="0D07705A" w14:textId="55B619EF" w:rsidR="004951DC" w:rsidRPr="00585293" w:rsidRDefault="004951DC" w:rsidP="004951DC">
            <w:pPr>
              <w:spacing w:after="160"/>
              <w:jc w:val="center"/>
              <w:rPr>
                <w:color w:val="000000"/>
              </w:rPr>
            </w:pPr>
            <w:r w:rsidRPr="00585293">
              <w:rPr>
                <w:color w:val="000000"/>
              </w:rPr>
              <w:t>39.53</w:t>
            </w:r>
          </w:p>
        </w:tc>
        <w:tc>
          <w:tcPr>
            <w:tcW w:w="447" w:type="pct"/>
            <w:tcBorders>
              <w:top w:val="nil"/>
              <w:left w:val="nil"/>
              <w:bottom w:val="nil"/>
              <w:right w:val="nil"/>
            </w:tcBorders>
            <w:shd w:val="clear" w:color="auto" w:fill="auto"/>
            <w:tcMar>
              <w:top w:w="28" w:type="dxa"/>
              <w:right w:w="0" w:type="dxa"/>
            </w:tcMar>
            <w:vAlign w:val="center"/>
            <w:hideMark/>
          </w:tcPr>
          <w:p w14:paraId="716DDB4C" w14:textId="1A6A3851" w:rsidR="004951DC" w:rsidRPr="00585293" w:rsidRDefault="004951DC" w:rsidP="004951DC">
            <w:pPr>
              <w:spacing w:after="160"/>
              <w:jc w:val="center"/>
              <w:rPr>
                <w:color w:val="000000"/>
              </w:rPr>
            </w:pPr>
            <w:r w:rsidRPr="00585293">
              <w:rPr>
                <w:color w:val="000000"/>
              </w:rPr>
              <w:t>39.54</w:t>
            </w:r>
          </w:p>
        </w:tc>
        <w:tc>
          <w:tcPr>
            <w:tcW w:w="447" w:type="pct"/>
            <w:tcBorders>
              <w:top w:val="nil"/>
              <w:left w:val="nil"/>
              <w:bottom w:val="nil"/>
              <w:right w:val="nil"/>
            </w:tcBorders>
            <w:shd w:val="clear" w:color="auto" w:fill="auto"/>
            <w:tcMar>
              <w:top w:w="28" w:type="dxa"/>
              <w:right w:w="0" w:type="dxa"/>
            </w:tcMar>
            <w:vAlign w:val="center"/>
            <w:hideMark/>
          </w:tcPr>
          <w:p w14:paraId="1E82F211" w14:textId="17465C99" w:rsidR="004951DC" w:rsidRPr="00585293" w:rsidRDefault="004951DC" w:rsidP="004951DC">
            <w:pPr>
              <w:spacing w:after="160"/>
              <w:jc w:val="center"/>
              <w:rPr>
                <w:color w:val="000000"/>
              </w:rPr>
            </w:pPr>
            <w:r w:rsidRPr="00585293">
              <w:rPr>
                <w:color w:val="000000"/>
              </w:rPr>
              <w:t>39.67</w:t>
            </w:r>
          </w:p>
        </w:tc>
        <w:tc>
          <w:tcPr>
            <w:tcW w:w="459" w:type="pct"/>
            <w:tcBorders>
              <w:top w:val="nil"/>
              <w:left w:val="nil"/>
              <w:bottom w:val="nil"/>
              <w:right w:val="nil"/>
            </w:tcBorders>
            <w:shd w:val="clear" w:color="auto" w:fill="auto"/>
            <w:tcMar>
              <w:top w:w="28" w:type="dxa"/>
              <w:right w:w="0" w:type="dxa"/>
            </w:tcMar>
            <w:vAlign w:val="center"/>
            <w:hideMark/>
          </w:tcPr>
          <w:p w14:paraId="208D289B" w14:textId="1CB4CE43" w:rsidR="004951DC" w:rsidRPr="00585293" w:rsidRDefault="004951DC" w:rsidP="004951DC">
            <w:pPr>
              <w:spacing w:after="160"/>
              <w:jc w:val="center"/>
              <w:rPr>
                <w:color w:val="000000"/>
              </w:rPr>
            </w:pPr>
            <w:r w:rsidRPr="00585293">
              <w:rPr>
                <w:color w:val="000000"/>
              </w:rPr>
              <w:t>39.40</w:t>
            </w:r>
          </w:p>
        </w:tc>
        <w:tc>
          <w:tcPr>
            <w:tcW w:w="446" w:type="pct"/>
            <w:tcBorders>
              <w:top w:val="nil"/>
              <w:left w:val="nil"/>
              <w:bottom w:val="nil"/>
              <w:right w:val="nil"/>
            </w:tcBorders>
            <w:shd w:val="clear" w:color="auto" w:fill="auto"/>
            <w:tcMar>
              <w:top w:w="28" w:type="dxa"/>
              <w:right w:w="0" w:type="dxa"/>
            </w:tcMar>
            <w:vAlign w:val="center"/>
            <w:hideMark/>
          </w:tcPr>
          <w:p w14:paraId="625B7F26" w14:textId="0CFB39E9" w:rsidR="004951DC" w:rsidRPr="00585293" w:rsidRDefault="004951DC" w:rsidP="004951DC">
            <w:pPr>
              <w:spacing w:after="160"/>
              <w:jc w:val="center"/>
              <w:rPr>
                <w:color w:val="000000"/>
              </w:rPr>
            </w:pPr>
            <w:r w:rsidRPr="00585293">
              <w:rPr>
                <w:color w:val="000000"/>
              </w:rPr>
              <w:t>39.60</w:t>
            </w:r>
          </w:p>
        </w:tc>
      </w:tr>
      <w:tr w:rsidR="004951DC" w:rsidRPr="00585293" w14:paraId="567AB575"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3BF22106" w14:textId="77777777" w:rsidR="004951DC" w:rsidRPr="00585293" w:rsidRDefault="004951DC" w:rsidP="004951DC">
            <w:pPr>
              <w:spacing w:after="160"/>
              <w:rPr>
                <w:color w:val="000000"/>
              </w:rPr>
            </w:pPr>
            <w:r w:rsidRPr="00585293">
              <w:rPr>
                <w:color w:val="000000"/>
              </w:rPr>
              <w:t>HISCAM (mean)</w:t>
            </w:r>
          </w:p>
        </w:tc>
        <w:tc>
          <w:tcPr>
            <w:tcW w:w="447" w:type="pct"/>
            <w:tcBorders>
              <w:top w:val="nil"/>
              <w:left w:val="nil"/>
              <w:bottom w:val="nil"/>
              <w:right w:val="nil"/>
            </w:tcBorders>
            <w:shd w:val="clear" w:color="auto" w:fill="auto"/>
            <w:tcMar>
              <w:top w:w="28" w:type="dxa"/>
              <w:right w:w="0" w:type="dxa"/>
            </w:tcMar>
            <w:vAlign w:val="center"/>
            <w:hideMark/>
          </w:tcPr>
          <w:p w14:paraId="52E9BA05" w14:textId="3DDEC12B" w:rsidR="004951DC" w:rsidRPr="00585293" w:rsidRDefault="004951DC" w:rsidP="004951DC">
            <w:pPr>
              <w:spacing w:after="160"/>
              <w:jc w:val="center"/>
              <w:rPr>
                <w:color w:val="000000"/>
              </w:rPr>
            </w:pPr>
            <w:r w:rsidRPr="00585293">
              <w:rPr>
                <w:color w:val="000000"/>
              </w:rPr>
              <w:t>54.38</w:t>
            </w:r>
          </w:p>
        </w:tc>
        <w:tc>
          <w:tcPr>
            <w:tcW w:w="459" w:type="pct"/>
            <w:tcBorders>
              <w:top w:val="nil"/>
              <w:left w:val="nil"/>
              <w:bottom w:val="nil"/>
              <w:right w:val="nil"/>
            </w:tcBorders>
            <w:shd w:val="clear" w:color="auto" w:fill="auto"/>
            <w:tcMar>
              <w:top w:w="28" w:type="dxa"/>
              <w:right w:w="0" w:type="dxa"/>
            </w:tcMar>
            <w:vAlign w:val="center"/>
            <w:hideMark/>
          </w:tcPr>
          <w:p w14:paraId="6B923FA9" w14:textId="53C53E23" w:rsidR="004951DC" w:rsidRPr="00585293" w:rsidRDefault="004951DC" w:rsidP="004951DC">
            <w:pPr>
              <w:spacing w:after="160"/>
              <w:jc w:val="center"/>
              <w:rPr>
                <w:color w:val="000000"/>
              </w:rPr>
            </w:pPr>
            <w:r w:rsidRPr="00585293">
              <w:rPr>
                <w:color w:val="000000"/>
              </w:rPr>
              <w:t>53.95</w:t>
            </w:r>
          </w:p>
        </w:tc>
        <w:tc>
          <w:tcPr>
            <w:tcW w:w="447" w:type="pct"/>
            <w:tcBorders>
              <w:top w:val="nil"/>
              <w:left w:val="nil"/>
              <w:bottom w:val="nil"/>
              <w:right w:val="nil"/>
            </w:tcBorders>
            <w:shd w:val="clear" w:color="auto" w:fill="auto"/>
            <w:tcMar>
              <w:top w:w="28" w:type="dxa"/>
              <w:right w:w="0" w:type="dxa"/>
            </w:tcMar>
            <w:vAlign w:val="center"/>
            <w:hideMark/>
          </w:tcPr>
          <w:p w14:paraId="64A11B2C" w14:textId="467E240B" w:rsidR="004951DC" w:rsidRPr="00585293" w:rsidRDefault="004951DC" w:rsidP="004951DC">
            <w:pPr>
              <w:spacing w:after="160"/>
              <w:jc w:val="center"/>
              <w:rPr>
                <w:color w:val="000000"/>
              </w:rPr>
            </w:pPr>
            <w:r w:rsidRPr="00585293">
              <w:rPr>
                <w:color w:val="000000"/>
              </w:rPr>
              <w:t>54.81</w:t>
            </w:r>
          </w:p>
        </w:tc>
        <w:tc>
          <w:tcPr>
            <w:tcW w:w="447" w:type="pct"/>
            <w:tcBorders>
              <w:top w:val="nil"/>
              <w:left w:val="nil"/>
              <w:bottom w:val="nil"/>
              <w:right w:val="nil"/>
            </w:tcBorders>
            <w:shd w:val="clear" w:color="auto" w:fill="auto"/>
            <w:tcMar>
              <w:top w:w="28" w:type="dxa"/>
              <w:right w:w="0" w:type="dxa"/>
            </w:tcMar>
            <w:vAlign w:val="center"/>
            <w:hideMark/>
          </w:tcPr>
          <w:p w14:paraId="139C4CAA" w14:textId="6BB2ACDE" w:rsidR="004951DC" w:rsidRPr="00585293" w:rsidRDefault="004951DC" w:rsidP="004951DC">
            <w:pPr>
              <w:spacing w:after="160"/>
              <w:jc w:val="center"/>
              <w:rPr>
                <w:color w:val="000000"/>
              </w:rPr>
            </w:pPr>
            <w:r w:rsidRPr="00585293">
              <w:rPr>
                <w:color w:val="000000"/>
              </w:rPr>
              <w:t>54.42</w:t>
            </w:r>
          </w:p>
        </w:tc>
        <w:tc>
          <w:tcPr>
            <w:tcW w:w="459" w:type="pct"/>
            <w:tcBorders>
              <w:top w:val="nil"/>
              <w:left w:val="nil"/>
              <w:bottom w:val="nil"/>
              <w:right w:val="nil"/>
            </w:tcBorders>
            <w:shd w:val="clear" w:color="auto" w:fill="auto"/>
            <w:tcMar>
              <w:top w:w="28" w:type="dxa"/>
              <w:right w:w="0" w:type="dxa"/>
            </w:tcMar>
            <w:vAlign w:val="center"/>
            <w:hideMark/>
          </w:tcPr>
          <w:p w14:paraId="6E35DBE3" w14:textId="25873AE0" w:rsidR="004951DC" w:rsidRPr="00585293" w:rsidRDefault="004951DC" w:rsidP="004951DC">
            <w:pPr>
              <w:spacing w:after="160"/>
              <w:jc w:val="center"/>
              <w:rPr>
                <w:color w:val="000000"/>
              </w:rPr>
            </w:pPr>
            <w:r w:rsidRPr="00585293">
              <w:rPr>
                <w:color w:val="000000"/>
              </w:rPr>
              <w:t>54.40</w:t>
            </w:r>
          </w:p>
        </w:tc>
        <w:tc>
          <w:tcPr>
            <w:tcW w:w="447" w:type="pct"/>
            <w:tcBorders>
              <w:top w:val="nil"/>
              <w:left w:val="nil"/>
              <w:bottom w:val="nil"/>
              <w:right w:val="nil"/>
            </w:tcBorders>
            <w:shd w:val="clear" w:color="auto" w:fill="auto"/>
            <w:tcMar>
              <w:top w:w="28" w:type="dxa"/>
              <w:right w:w="0" w:type="dxa"/>
            </w:tcMar>
            <w:vAlign w:val="center"/>
            <w:hideMark/>
          </w:tcPr>
          <w:p w14:paraId="23419445" w14:textId="6EAABCFE" w:rsidR="004951DC" w:rsidRPr="00585293" w:rsidRDefault="004951DC" w:rsidP="004951DC">
            <w:pPr>
              <w:spacing w:after="160"/>
              <w:jc w:val="center"/>
              <w:rPr>
                <w:color w:val="000000"/>
              </w:rPr>
            </w:pPr>
            <w:r w:rsidRPr="00585293">
              <w:rPr>
                <w:color w:val="000000"/>
              </w:rPr>
              <w:t>55.02</w:t>
            </w:r>
          </w:p>
        </w:tc>
        <w:tc>
          <w:tcPr>
            <w:tcW w:w="447" w:type="pct"/>
            <w:tcBorders>
              <w:top w:val="nil"/>
              <w:left w:val="nil"/>
              <w:bottom w:val="nil"/>
              <w:right w:val="nil"/>
            </w:tcBorders>
            <w:shd w:val="clear" w:color="auto" w:fill="auto"/>
            <w:tcMar>
              <w:top w:w="28" w:type="dxa"/>
              <w:right w:w="0" w:type="dxa"/>
            </w:tcMar>
            <w:vAlign w:val="center"/>
            <w:hideMark/>
          </w:tcPr>
          <w:p w14:paraId="25E1D7D6" w14:textId="41259CB2" w:rsidR="004951DC" w:rsidRPr="00585293" w:rsidRDefault="004951DC" w:rsidP="004951DC">
            <w:pPr>
              <w:spacing w:after="160"/>
              <w:jc w:val="center"/>
              <w:rPr>
                <w:color w:val="000000"/>
              </w:rPr>
            </w:pPr>
            <w:r w:rsidRPr="00585293">
              <w:rPr>
                <w:color w:val="000000"/>
              </w:rPr>
              <w:t>55.29</w:t>
            </w:r>
          </w:p>
        </w:tc>
        <w:tc>
          <w:tcPr>
            <w:tcW w:w="459" w:type="pct"/>
            <w:tcBorders>
              <w:top w:val="nil"/>
              <w:left w:val="nil"/>
              <w:bottom w:val="nil"/>
              <w:right w:val="nil"/>
            </w:tcBorders>
            <w:shd w:val="clear" w:color="auto" w:fill="auto"/>
            <w:tcMar>
              <w:top w:w="28" w:type="dxa"/>
              <w:right w:w="0" w:type="dxa"/>
            </w:tcMar>
            <w:vAlign w:val="center"/>
            <w:hideMark/>
          </w:tcPr>
          <w:p w14:paraId="6421EC21" w14:textId="2788D437" w:rsidR="004951DC" w:rsidRPr="00585293" w:rsidRDefault="004951DC" w:rsidP="004951DC">
            <w:pPr>
              <w:spacing w:after="160"/>
              <w:jc w:val="center"/>
              <w:rPr>
                <w:color w:val="000000"/>
              </w:rPr>
            </w:pPr>
            <w:r w:rsidRPr="00585293">
              <w:rPr>
                <w:color w:val="000000"/>
              </w:rPr>
              <w:t>55.43</w:t>
            </w:r>
          </w:p>
        </w:tc>
        <w:tc>
          <w:tcPr>
            <w:tcW w:w="446" w:type="pct"/>
            <w:tcBorders>
              <w:top w:val="nil"/>
              <w:left w:val="nil"/>
              <w:bottom w:val="nil"/>
              <w:right w:val="nil"/>
            </w:tcBorders>
            <w:shd w:val="clear" w:color="auto" w:fill="auto"/>
            <w:tcMar>
              <w:top w:w="28" w:type="dxa"/>
              <w:right w:w="0" w:type="dxa"/>
            </w:tcMar>
            <w:vAlign w:val="center"/>
            <w:hideMark/>
          </w:tcPr>
          <w:p w14:paraId="046CA175" w14:textId="4B1B9C86" w:rsidR="004951DC" w:rsidRPr="00585293" w:rsidRDefault="004951DC" w:rsidP="004951DC">
            <w:pPr>
              <w:spacing w:after="160"/>
              <w:jc w:val="center"/>
              <w:rPr>
                <w:color w:val="000000"/>
              </w:rPr>
            </w:pPr>
            <w:r w:rsidRPr="00585293">
              <w:rPr>
                <w:color w:val="000000"/>
              </w:rPr>
              <w:t>55.74</w:t>
            </w:r>
          </w:p>
        </w:tc>
      </w:tr>
      <w:tr w:rsidR="004951DC" w:rsidRPr="00585293" w14:paraId="2E8EC50A"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3C902CEF" w14:textId="0D161657" w:rsidR="004951DC" w:rsidRPr="00585293" w:rsidRDefault="006D092D" w:rsidP="004951DC">
            <w:pPr>
              <w:spacing w:after="160"/>
              <w:rPr>
                <w:color w:val="000000"/>
              </w:rPr>
            </w:pPr>
            <w:r w:rsidRPr="00585293">
              <w:rPr>
                <w:color w:val="000000"/>
              </w:rPr>
              <w:t>CCC</w:t>
            </w:r>
            <w:r w:rsidR="004951DC" w:rsidRPr="00585293">
              <w:rPr>
                <w:color w:val="000000"/>
              </w:rPr>
              <w:t xml:space="preserve"> (mean)</w:t>
            </w:r>
          </w:p>
        </w:tc>
        <w:tc>
          <w:tcPr>
            <w:tcW w:w="447" w:type="pct"/>
            <w:tcBorders>
              <w:top w:val="nil"/>
              <w:left w:val="nil"/>
              <w:bottom w:val="nil"/>
              <w:right w:val="nil"/>
            </w:tcBorders>
            <w:shd w:val="clear" w:color="auto" w:fill="auto"/>
            <w:tcMar>
              <w:top w:w="28" w:type="dxa"/>
              <w:right w:w="0" w:type="dxa"/>
            </w:tcMar>
            <w:vAlign w:val="center"/>
            <w:hideMark/>
          </w:tcPr>
          <w:p w14:paraId="0218A817" w14:textId="1B4FAEF2" w:rsidR="004951DC" w:rsidRPr="00585293" w:rsidRDefault="004951DC" w:rsidP="004951DC">
            <w:pPr>
              <w:spacing w:after="160"/>
              <w:jc w:val="center"/>
              <w:rPr>
                <w:color w:val="000000"/>
              </w:rPr>
            </w:pPr>
            <w:r w:rsidRPr="00585293">
              <w:rPr>
                <w:color w:val="000000"/>
              </w:rPr>
              <w:t>53.13</w:t>
            </w:r>
          </w:p>
        </w:tc>
        <w:tc>
          <w:tcPr>
            <w:tcW w:w="459" w:type="pct"/>
            <w:tcBorders>
              <w:top w:val="nil"/>
              <w:left w:val="nil"/>
              <w:bottom w:val="nil"/>
              <w:right w:val="nil"/>
            </w:tcBorders>
            <w:shd w:val="clear" w:color="auto" w:fill="auto"/>
            <w:tcMar>
              <w:top w:w="28" w:type="dxa"/>
              <w:right w:w="0" w:type="dxa"/>
            </w:tcMar>
            <w:vAlign w:val="center"/>
            <w:hideMark/>
          </w:tcPr>
          <w:p w14:paraId="06F536FA" w14:textId="56E2EF04" w:rsidR="004951DC" w:rsidRPr="00585293" w:rsidRDefault="004951DC" w:rsidP="004951DC">
            <w:pPr>
              <w:spacing w:after="160"/>
              <w:jc w:val="center"/>
              <w:rPr>
                <w:color w:val="000000"/>
              </w:rPr>
            </w:pPr>
            <w:r w:rsidRPr="00585293">
              <w:rPr>
                <w:color w:val="000000"/>
              </w:rPr>
              <w:t>53.51</w:t>
            </w:r>
          </w:p>
        </w:tc>
        <w:tc>
          <w:tcPr>
            <w:tcW w:w="447" w:type="pct"/>
            <w:tcBorders>
              <w:top w:val="nil"/>
              <w:left w:val="nil"/>
              <w:bottom w:val="nil"/>
              <w:right w:val="nil"/>
            </w:tcBorders>
            <w:shd w:val="clear" w:color="auto" w:fill="auto"/>
            <w:tcMar>
              <w:top w:w="28" w:type="dxa"/>
              <w:right w:w="0" w:type="dxa"/>
            </w:tcMar>
            <w:vAlign w:val="center"/>
            <w:hideMark/>
          </w:tcPr>
          <w:p w14:paraId="084AC647" w14:textId="0567D1FC" w:rsidR="004951DC" w:rsidRPr="00585293" w:rsidRDefault="004951DC" w:rsidP="004951DC">
            <w:pPr>
              <w:spacing w:after="160"/>
              <w:jc w:val="center"/>
              <w:rPr>
                <w:color w:val="000000"/>
              </w:rPr>
            </w:pPr>
            <w:r w:rsidRPr="00585293">
              <w:rPr>
                <w:color w:val="000000"/>
              </w:rPr>
              <w:t>54.43</w:t>
            </w:r>
          </w:p>
        </w:tc>
        <w:tc>
          <w:tcPr>
            <w:tcW w:w="447" w:type="pct"/>
            <w:tcBorders>
              <w:top w:val="nil"/>
              <w:left w:val="nil"/>
              <w:bottom w:val="nil"/>
              <w:right w:val="nil"/>
            </w:tcBorders>
            <w:shd w:val="clear" w:color="auto" w:fill="auto"/>
            <w:tcMar>
              <w:top w:w="28" w:type="dxa"/>
              <w:right w:w="0" w:type="dxa"/>
            </w:tcMar>
            <w:vAlign w:val="center"/>
            <w:hideMark/>
          </w:tcPr>
          <w:p w14:paraId="37A557C4" w14:textId="4EBA3662" w:rsidR="004951DC" w:rsidRPr="00585293" w:rsidRDefault="004951DC" w:rsidP="004951DC">
            <w:pPr>
              <w:spacing w:after="160"/>
              <w:jc w:val="center"/>
              <w:rPr>
                <w:color w:val="000000"/>
              </w:rPr>
            </w:pPr>
            <w:r w:rsidRPr="00585293">
              <w:rPr>
                <w:color w:val="000000"/>
              </w:rPr>
              <w:t>52.72</w:t>
            </w:r>
          </w:p>
        </w:tc>
        <w:tc>
          <w:tcPr>
            <w:tcW w:w="459" w:type="pct"/>
            <w:tcBorders>
              <w:top w:val="nil"/>
              <w:left w:val="nil"/>
              <w:bottom w:val="nil"/>
              <w:right w:val="nil"/>
            </w:tcBorders>
            <w:shd w:val="clear" w:color="auto" w:fill="auto"/>
            <w:tcMar>
              <w:top w:w="28" w:type="dxa"/>
              <w:right w:w="0" w:type="dxa"/>
            </w:tcMar>
            <w:vAlign w:val="center"/>
            <w:hideMark/>
          </w:tcPr>
          <w:p w14:paraId="5D24DDCF" w14:textId="1F6CE161" w:rsidR="004951DC" w:rsidRPr="00585293" w:rsidRDefault="004951DC" w:rsidP="004951DC">
            <w:pPr>
              <w:spacing w:after="160"/>
              <w:jc w:val="center"/>
              <w:rPr>
                <w:color w:val="000000"/>
              </w:rPr>
            </w:pPr>
            <w:r w:rsidRPr="00585293">
              <w:rPr>
                <w:color w:val="000000"/>
              </w:rPr>
              <w:t>53.66</w:t>
            </w:r>
          </w:p>
        </w:tc>
        <w:tc>
          <w:tcPr>
            <w:tcW w:w="447" w:type="pct"/>
            <w:tcBorders>
              <w:top w:val="nil"/>
              <w:left w:val="nil"/>
              <w:bottom w:val="nil"/>
              <w:right w:val="nil"/>
            </w:tcBorders>
            <w:shd w:val="clear" w:color="auto" w:fill="auto"/>
            <w:tcMar>
              <w:top w:w="28" w:type="dxa"/>
              <w:right w:w="0" w:type="dxa"/>
            </w:tcMar>
            <w:vAlign w:val="center"/>
            <w:hideMark/>
          </w:tcPr>
          <w:p w14:paraId="6A5E3ED0" w14:textId="6ED35907" w:rsidR="004951DC" w:rsidRPr="00585293" w:rsidRDefault="004951DC" w:rsidP="004951DC">
            <w:pPr>
              <w:spacing w:after="160"/>
              <w:jc w:val="center"/>
              <w:rPr>
                <w:color w:val="000000"/>
              </w:rPr>
            </w:pPr>
            <w:r w:rsidRPr="00585293">
              <w:rPr>
                <w:color w:val="000000"/>
              </w:rPr>
              <w:t>54.18</w:t>
            </w:r>
          </w:p>
        </w:tc>
        <w:tc>
          <w:tcPr>
            <w:tcW w:w="447" w:type="pct"/>
            <w:tcBorders>
              <w:top w:val="nil"/>
              <w:left w:val="nil"/>
              <w:bottom w:val="nil"/>
              <w:right w:val="nil"/>
            </w:tcBorders>
            <w:shd w:val="clear" w:color="auto" w:fill="auto"/>
            <w:tcMar>
              <w:top w:w="28" w:type="dxa"/>
              <w:right w:w="0" w:type="dxa"/>
            </w:tcMar>
            <w:vAlign w:val="center"/>
            <w:hideMark/>
          </w:tcPr>
          <w:p w14:paraId="3C9CB1FD" w14:textId="749B5D35" w:rsidR="004951DC" w:rsidRPr="00585293" w:rsidRDefault="004951DC" w:rsidP="004951DC">
            <w:pPr>
              <w:spacing w:after="160"/>
              <w:jc w:val="center"/>
              <w:rPr>
                <w:color w:val="000000"/>
              </w:rPr>
            </w:pPr>
            <w:r w:rsidRPr="00585293">
              <w:rPr>
                <w:color w:val="000000"/>
              </w:rPr>
              <w:t>53.39</w:t>
            </w:r>
          </w:p>
        </w:tc>
        <w:tc>
          <w:tcPr>
            <w:tcW w:w="459" w:type="pct"/>
            <w:tcBorders>
              <w:top w:val="nil"/>
              <w:left w:val="nil"/>
              <w:bottom w:val="nil"/>
              <w:right w:val="nil"/>
            </w:tcBorders>
            <w:shd w:val="clear" w:color="auto" w:fill="auto"/>
            <w:tcMar>
              <w:top w:w="28" w:type="dxa"/>
              <w:right w:w="0" w:type="dxa"/>
            </w:tcMar>
            <w:vAlign w:val="center"/>
            <w:hideMark/>
          </w:tcPr>
          <w:p w14:paraId="62651D7C" w14:textId="2DF4BC91" w:rsidR="004951DC" w:rsidRPr="00585293" w:rsidRDefault="004951DC" w:rsidP="004951DC">
            <w:pPr>
              <w:spacing w:after="160"/>
              <w:jc w:val="center"/>
              <w:rPr>
                <w:color w:val="000000"/>
              </w:rPr>
            </w:pPr>
            <w:r w:rsidRPr="00585293">
              <w:rPr>
                <w:color w:val="000000"/>
              </w:rPr>
              <w:t>54.41</w:t>
            </w:r>
          </w:p>
        </w:tc>
        <w:tc>
          <w:tcPr>
            <w:tcW w:w="446" w:type="pct"/>
            <w:tcBorders>
              <w:top w:val="nil"/>
              <w:left w:val="nil"/>
              <w:bottom w:val="nil"/>
              <w:right w:val="nil"/>
            </w:tcBorders>
            <w:shd w:val="clear" w:color="auto" w:fill="auto"/>
            <w:tcMar>
              <w:top w:w="28" w:type="dxa"/>
              <w:right w:w="0" w:type="dxa"/>
            </w:tcMar>
            <w:vAlign w:val="center"/>
            <w:hideMark/>
          </w:tcPr>
          <w:p w14:paraId="5C29116F" w14:textId="1D46400A" w:rsidR="004951DC" w:rsidRPr="00585293" w:rsidRDefault="004951DC" w:rsidP="004951DC">
            <w:pPr>
              <w:spacing w:after="160"/>
              <w:jc w:val="center"/>
              <w:rPr>
                <w:color w:val="000000"/>
              </w:rPr>
            </w:pPr>
            <w:r w:rsidRPr="00585293">
              <w:rPr>
                <w:color w:val="000000"/>
              </w:rPr>
              <w:t>54.67</w:t>
            </w:r>
          </w:p>
        </w:tc>
      </w:tr>
      <w:tr w:rsidR="004951DC" w:rsidRPr="00585293" w14:paraId="333FEE72"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3629D1D2" w14:textId="77777777" w:rsidR="004951DC" w:rsidRPr="00585293" w:rsidRDefault="004951DC" w:rsidP="004951DC">
            <w:pPr>
              <w:spacing w:after="160"/>
              <w:rPr>
                <w:color w:val="000000"/>
              </w:rPr>
            </w:pPr>
            <w:r w:rsidRPr="00585293">
              <w:rPr>
                <w:color w:val="000000"/>
              </w:rPr>
              <w:t>First name length (mean)</w:t>
            </w:r>
          </w:p>
        </w:tc>
        <w:tc>
          <w:tcPr>
            <w:tcW w:w="447" w:type="pct"/>
            <w:tcBorders>
              <w:top w:val="nil"/>
              <w:left w:val="nil"/>
              <w:bottom w:val="nil"/>
              <w:right w:val="nil"/>
            </w:tcBorders>
            <w:shd w:val="clear" w:color="auto" w:fill="auto"/>
            <w:tcMar>
              <w:top w:w="28" w:type="dxa"/>
              <w:right w:w="0" w:type="dxa"/>
            </w:tcMar>
            <w:vAlign w:val="center"/>
            <w:hideMark/>
          </w:tcPr>
          <w:p w14:paraId="7D63402C" w14:textId="2395B1F5" w:rsidR="004951DC" w:rsidRPr="00585293" w:rsidRDefault="004951DC" w:rsidP="004951DC">
            <w:pPr>
              <w:spacing w:after="160"/>
              <w:jc w:val="center"/>
              <w:rPr>
                <w:color w:val="000000"/>
              </w:rPr>
            </w:pPr>
            <w:r w:rsidRPr="00585293">
              <w:rPr>
                <w:color w:val="000000"/>
              </w:rPr>
              <w:t>6.27</w:t>
            </w:r>
          </w:p>
        </w:tc>
        <w:tc>
          <w:tcPr>
            <w:tcW w:w="459" w:type="pct"/>
            <w:tcBorders>
              <w:top w:val="nil"/>
              <w:left w:val="nil"/>
              <w:bottom w:val="nil"/>
              <w:right w:val="nil"/>
            </w:tcBorders>
            <w:shd w:val="clear" w:color="auto" w:fill="auto"/>
            <w:tcMar>
              <w:top w:w="28" w:type="dxa"/>
              <w:right w:w="0" w:type="dxa"/>
            </w:tcMar>
            <w:vAlign w:val="center"/>
            <w:hideMark/>
          </w:tcPr>
          <w:p w14:paraId="63A1E4D9" w14:textId="5A2B1FFE" w:rsidR="004951DC" w:rsidRPr="00585293" w:rsidRDefault="004951DC" w:rsidP="004951DC">
            <w:pPr>
              <w:spacing w:after="160"/>
              <w:jc w:val="center"/>
              <w:rPr>
                <w:color w:val="000000"/>
              </w:rPr>
            </w:pPr>
            <w:r w:rsidRPr="00585293">
              <w:rPr>
                <w:color w:val="000000"/>
              </w:rPr>
              <w:t>6.30</w:t>
            </w:r>
          </w:p>
        </w:tc>
        <w:tc>
          <w:tcPr>
            <w:tcW w:w="447" w:type="pct"/>
            <w:tcBorders>
              <w:top w:val="nil"/>
              <w:left w:val="nil"/>
              <w:bottom w:val="nil"/>
              <w:right w:val="nil"/>
            </w:tcBorders>
            <w:shd w:val="clear" w:color="auto" w:fill="auto"/>
            <w:tcMar>
              <w:top w:w="28" w:type="dxa"/>
              <w:right w:w="0" w:type="dxa"/>
            </w:tcMar>
            <w:vAlign w:val="center"/>
            <w:hideMark/>
          </w:tcPr>
          <w:p w14:paraId="54D54541" w14:textId="51F5B612" w:rsidR="004951DC" w:rsidRPr="00585293" w:rsidRDefault="004951DC" w:rsidP="004951DC">
            <w:pPr>
              <w:spacing w:after="160"/>
              <w:jc w:val="center"/>
              <w:rPr>
                <w:color w:val="000000"/>
              </w:rPr>
            </w:pPr>
            <w:r w:rsidRPr="00585293">
              <w:rPr>
                <w:color w:val="000000"/>
              </w:rPr>
              <w:t>6.28</w:t>
            </w:r>
          </w:p>
        </w:tc>
        <w:tc>
          <w:tcPr>
            <w:tcW w:w="447" w:type="pct"/>
            <w:tcBorders>
              <w:top w:val="nil"/>
              <w:left w:val="nil"/>
              <w:bottom w:val="nil"/>
              <w:right w:val="nil"/>
            </w:tcBorders>
            <w:shd w:val="clear" w:color="auto" w:fill="auto"/>
            <w:tcMar>
              <w:top w:w="28" w:type="dxa"/>
              <w:right w:w="0" w:type="dxa"/>
            </w:tcMar>
            <w:vAlign w:val="center"/>
            <w:hideMark/>
          </w:tcPr>
          <w:p w14:paraId="14CEA216" w14:textId="4CB01BEE" w:rsidR="004951DC" w:rsidRPr="00585293" w:rsidRDefault="004951DC" w:rsidP="004951DC">
            <w:pPr>
              <w:spacing w:after="160"/>
              <w:jc w:val="center"/>
              <w:rPr>
                <w:color w:val="000000"/>
              </w:rPr>
            </w:pPr>
            <w:r w:rsidRPr="00585293">
              <w:rPr>
                <w:color w:val="000000"/>
              </w:rPr>
              <w:t>7.80</w:t>
            </w:r>
          </w:p>
        </w:tc>
        <w:tc>
          <w:tcPr>
            <w:tcW w:w="459" w:type="pct"/>
            <w:tcBorders>
              <w:top w:val="nil"/>
              <w:left w:val="nil"/>
              <w:bottom w:val="nil"/>
              <w:right w:val="nil"/>
            </w:tcBorders>
            <w:shd w:val="clear" w:color="auto" w:fill="auto"/>
            <w:tcMar>
              <w:top w:w="28" w:type="dxa"/>
              <w:right w:w="0" w:type="dxa"/>
            </w:tcMar>
            <w:vAlign w:val="center"/>
            <w:hideMark/>
          </w:tcPr>
          <w:p w14:paraId="562CE6CE" w14:textId="11F13B34" w:rsidR="004951DC" w:rsidRPr="00585293" w:rsidRDefault="004951DC" w:rsidP="004951DC">
            <w:pPr>
              <w:spacing w:after="160"/>
              <w:jc w:val="center"/>
              <w:rPr>
                <w:color w:val="000000"/>
              </w:rPr>
            </w:pPr>
            <w:r w:rsidRPr="00585293">
              <w:rPr>
                <w:color w:val="000000"/>
              </w:rPr>
              <w:t>7.84</w:t>
            </w:r>
          </w:p>
        </w:tc>
        <w:tc>
          <w:tcPr>
            <w:tcW w:w="447" w:type="pct"/>
            <w:tcBorders>
              <w:top w:val="nil"/>
              <w:left w:val="nil"/>
              <w:bottom w:val="nil"/>
              <w:right w:val="nil"/>
            </w:tcBorders>
            <w:shd w:val="clear" w:color="auto" w:fill="auto"/>
            <w:tcMar>
              <w:top w:w="28" w:type="dxa"/>
              <w:right w:w="0" w:type="dxa"/>
            </w:tcMar>
            <w:vAlign w:val="center"/>
            <w:hideMark/>
          </w:tcPr>
          <w:p w14:paraId="139F4B40" w14:textId="318191F3" w:rsidR="004951DC" w:rsidRPr="00585293" w:rsidRDefault="004951DC" w:rsidP="004951DC">
            <w:pPr>
              <w:spacing w:after="160"/>
              <w:jc w:val="center"/>
              <w:rPr>
                <w:color w:val="000000"/>
              </w:rPr>
            </w:pPr>
            <w:r w:rsidRPr="00585293">
              <w:rPr>
                <w:color w:val="000000"/>
              </w:rPr>
              <w:t>7.79</w:t>
            </w:r>
          </w:p>
        </w:tc>
        <w:tc>
          <w:tcPr>
            <w:tcW w:w="447" w:type="pct"/>
            <w:tcBorders>
              <w:top w:val="nil"/>
              <w:left w:val="nil"/>
              <w:bottom w:val="nil"/>
              <w:right w:val="nil"/>
            </w:tcBorders>
            <w:shd w:val="clear" w:color="auto" w:fill="auto"/>
            <w:tcMar>
              <w:top w:w="28" w:type="dxa"/>
              <w:right w:w="0" w:type="dxa"/>
            </w:tcMar>
            <w:vAlign w:val="center"/>
            <w:hideMark/>
          </w:tcPr>
          <w:p w14:paraId="611684A1" w14:textId="7FC0359F" w:rsidR="004951DC" w:rsidRPr="00585293" w:rsidRDefault="004951DC" w:rsidP="004951DC">
            <w:pPr>
              <w:spacing w:after="160"/>
              <w:jc w:val="center"/>
              <w:rPr>
                <w:color w:val="000000"/>
              </w:rPr>
            </w:pPr>
            <w:r w:rsidRPr="00585293">
              <w:rPr>
                <w:color w:val="000000"/>
              </w:rPr>
              <w:t>7.88</w:t>
            </w:r>
          </w:p>
        </w:tc>
        <w:tc>
          <w:tcPr>
            <w:tcW w:w="459" w:type="pct"/>
            <w:tcBorders>
              <w:top w:val="nil"/>
              <w:left w:val="nil"/>
              <w:bottom w:val="nil"/>
              <w:right w:val="nil"/>
            </w:tcBorders>
            <w:shd w:val="clear" w:color="auto" w:fill="auto"/>
            <w:tcMar>
              <w:top w:w="28" w:type="dxa"/>
              <w:right w:w="0" w:type="dxa"/>
            </w:tcMar>
            <w:vAlign w:val="center"/>
            <w:hideMark/>
          </w:tcPr>
          <w:p w14:paraId="37EAFF0A" w14:textId="2EC11B8C" w:rsidR="004951DC" w:rsidRPr="00585293" w:rsidRDefault="004951DC" w:rsidP="004951DC">
            <w:pPr>
              <w:spacing w:after="160"/>
              <w:jc w:val="center"/>
              <w:rPr>
                <w:color w:val="000000"/>
              </w:rPr>
            </w:pPr>
            <w:r w:rsidRPr="00585293">
              <w:rPr>
                <w:color w:val="000000"/>
              </w:rPr>
              <w:t>7.98</w:t>
            </w:r>
          </w:p>
        </w:tc>
        <w:tc>
          <w:tcPr>
            <w:tcW w:w="446" w:type="pct"/>
            <w:tcBorders>
              <w:top w:val="nil"/>
              <w:left w:val="nil"/>
              <w:bottom w:val="nil"/>
              <w:right w:val="nil"/>
            </w:tcBorders>
            <w:shd w:val="clear" w:color="auto" w:fill="auto"/>
            <w:tcMar>
              <w:top w:w="28" w:type="dxa"/>
              <w:right w:w="0" w:type="dxa"/>
            </w:tcMar>
            <w:vAlign w:val="center"/>
            <w:hideMark/>
          </w:tcPr>
          <w:p w14:paraId="4D46E159" w14:textId="66D30312" w:rsidR="004951DC" w:rsidRPr="00585293" w:rsidRDefault="004951DC" w:rsidP="004951DC">
            <w:pPr>
              <w:spacing w:after="160"/>
              <w:jc w:val="center"/>
              <w:rPr>
                <w:color w:val="000000"/>
              </w:rPr>
            </w:pPr>
            <w:r w:rsidRPr="00585293">
              <w:rPr>
                <w:color w:val="000000"/>
              </w:rPr>
              <w:t>7.86</w:t>
            </w:r>
          </w:p>
        </w:tc>
      </w:tr>
      <w:tr w:rsidR="004951DC" w:rsidRPr="00585293" w14:paraId="11D83F41"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36AB6075" w14:textId="77777777" w:rsidR="004951DC" w:rsidRPr="00585293" w:rsidRDefault="004951DC" w:rsidP="004951DC">
            <w:pPr>
              <w:spacing w:after="160"/>
              <w:rPr>
                <w:color w:val="000000"/>
              </w:rPr>
            </w:pPr>
            <w:r w:rsidRPr="00585293">
              <w:rPr>
                <w:color w:val="000000"/>
              </w:rPr>
              <w:t>Surname length (mean)</w:t>
            </w:r>
          </w:p>
        </w:tc>
        <w:tc>
          <w:tcPr>
            <w:tcW w:w="447" w:type="pct"/>
            <w:tcBorders>
              <w:top w:val="nil"/>
              <w:left w:val="nil"/>
              <w:bottom w:val="nil"/>
              <w:right w:val="nil"/>
            </w:tcBorders>
            <w:shd w:val="clear" w:color="auto" w:fill="auto"/>
            <w:tcMar>
              <w:top w:w="28" w:type="dxa"/>
              <w:right w:w="0" w:type="dxa"/>
            </w:tcMar>
            <w:vAlign w:val="center"/>
            <w:hideMark/>
          </w:tcPr>
          <w:p w14:paraId="67A0488F" w14:textId="01116A8B" w:rsidR="004951DC" w:rsidRPr="00585293" w:rsidRDefault="004951DC" w:rsidP="004951DC">
            <w:pPr>
              <w:spacing w:after="160"/>
              <w:jc w:val="center"/>
              <w:rPr>
                <w:color w:val="000000"/>
              </w:rPr>
            </w:pPr>
            <w:r w:rsidRPr="00585293">
              <w:rPr>
                <w:color w:val="000000"/>
              </w:rPr>
              <w:t>6.33</w:t>
            </w:r>
          </w:p>
        </w:tc>
        <w:tc>
          <w:tcPr>
            <w:tcW w:w="459" w:type="pct"/>
            <w:tcBorders>
              <w:top w:val="nil"/>
              <w:left w:val="nil"/>
              <w:bottom w:val="nil"/>
              <w:right w:val="nil"/>
            </w:tcBorders>
            <w:shd w:val="clear" w:color="auto" w:fill="auto"/>
            <w:tcMar>
              <w:top w:w="28" w:type="dxa"/>
              <w:right w:w="0" w:type="dxa"/>
            </w:tcMar>
            <w:vAlign w:val="center"/>
            <w:hideMark/>
          </w:tcPr>
          <w:p w14:paraId="0B0C90E9" w14:textId="3792100E" w:rsidR="004951DC" w:rsidRPr="00585293" w:rsidRDefault="004951DC" w:rsidP="004951DC">
            <w:pPr>
              <w:spacing w:after="160"/>
              <w:jc w:val="center"/>
              <w:rPr>
                <w:color w:val="000000"/>
              </w:rPr>
            </w:pPr>
            <w:r w:rsidRPr="00585293">
              <w:rPr>
                <w:color w:val="000000"/>
              </w:rPr>
              <w:t>6.40</w:t>
            </w:r>
          </w:p>
        </w:tc>
        <w:tc>
          <w:tcPr>
            <w:tcW w:w="447" w:type="pct"/>
            <w:tcBorders>
              <w:top w:val="nil"/>
              <w:left w:val="nil"/>
              <w:bottom w:val="nil"/>
              <w:right w:val="nil"/>
            </w:tcBorders>
            <w:shd w:val="clear" w:color="auto" w:fill="auto"/>
            <w:tcMar>
              <w:top w:w="28" w:type="dxa"/>
              <w:right w:w="0" w:type="dxa"/>
            </w:tcMar>
            <w:vAlign w:val="center"/>
            <w:hideMark/>
          </w:tcPr>
          <w:p w14:paraId="7C1FF0E4" w14:textId="0D4F9396" w:rsidR="004951DC" w:rsidRPr="00585293" w:rsidRDefault="004951DC" w:rsidP="004951DC">
            <w:pPr>
              <w:spacing w:after="160"/>
              <w:jc w:val="center"/>
              <w:rPr>
                <w:color w:val="000000"/>
              </w:rPr>
            </w:pPr>
            <w:r w:rsidRPr="00585293">
              <w:rPr>
                <w:color w:val="000000"/>
              </w:rPr>
              <w:t>6.35</w:t>
            </w:r>
          </w:p>
        </w:tc>
        <w:tc>
          <w:tcPr>
            <w:tcW w:w="447" w:type="pct"/>
            <w:tcBorders>
              <w:top w:val="nil"/>
              <w:left w:val="nil"/>
              <w:bottom w:val="nil"/>
              <w:right w:val="nil"/>
            </w:tcBorders>
            <w:shd w:val="clear" w:color="auto" w:fill="auto"/>
            <w:tcMar>
              <w:top w:w="28" w:type="dxa"/>
              <w:right w:w="0" w:type="dxa"/>
            </w:tcMar>
            <w:vAlign w:val="center"/>
            <w:hideMark/>
          </w:tcPr>
          <w:p w14:paraId="70694825" w14:textId="11E7A5E7" w:rsidR="004951DC" w:rsidRPr="00585293" w:rsidRDefault="004951DC" w:rsidP="004951DC">
            <w:pPr>
              <w:spacing w:after="160"/>
              <w:jc w:val="center"/>
              <w:rPr>
                <w:color w:val="000000"/>
              </w:rPr>
            </w:pPr>
            <w:r w:rsidRPr="00585293">
              <w:rPr>
                <w:color w:val="000000"/>
              </w:rPr>
              <w:t>8.31</w:t>
            </w:r>
          </w:p>
        </w:tc>
        <w:tc>
          <w:tcPr>
            <w:tcW w:w="459" w:type="pct"/>
            <w:tcBorders>
              <w:top w:val="nil"/>
              <w:left w:val="nil"/>
              <w:bottom w:val="nil"/>
              <w:right w:val="nil"/>
            </w:tcBorders>
            <w:shd w:val="clear" w:color="auto" w:fill="auto"/>
            <w:tcMar>
              <w:top w:w="28" w:type="dxa"/>
              <w:right w:w="0" w:type="dxa"/>
            </w:tcMar>
            <w:vAlign w:val="center"/>
            <w:hideMark/>
          </w:tcPr>
          <w:p w14:paraId="1201B43F" w14:textId="32E98D00" w:rsidR="004951DC" w:rsidRPr="00585293" w:rsidRDefault="004951DC" w:rsidP="004951DC">
            <w:pPr>
              <w:spacing w:after="160"/>
              <w:jc w:val="center"/>
              <w:rPr>
                <w:color w:val="000000"/>
              </w:rPr>
            </w:pPr>
            <w:r w:rsidRPr="00585293">
              <w:rPr>
                <w:color w:val="000000"/>
              </w:rPr>
              <w:t>8.41</w:t>
            </w:r>
          </w:p>
        </w:tc>
        <w:tc>
          <w:tcPr>
            <w:tcW w:w="447" w:type="pct"/>
            <w:tcBorders>
              <w:top w:val="nil"/>
              <w:left w:val="nil"/>
              <w:bottom w:val="nil"/>
              <w:right w:val="nil"/>
            </w:tcBorders>
            <w:shd w:val="clear" w:color="auto" w:fill="auto"/>
            <w:tcMar>
              <w:top w:w="28" w:type="dxa"/>
              <w:right w:w="0" w:type="dxa"/>
            </w:tcMar>
            <w:vAlign w:val="center"/>
            <w:hideMark/>
          </w:tcPr>
          <w:p w14:paraId="666C91A7" w14:textId="6C5943E2" w:rsidR="004951DC" w:rsidRPr="00585293" w:rsidRDefault="004951DC" w:rsidP="004951DC">
            <w:pPr>
              <w:spacing w:after="160"/>
              <w:jc w:val="center"/>
              <w:rPr>
                <w:color w:val="000000"/>
              </w:rPr>
            </w:pPr>
            <w:r w:rsidRPr="00585293">
              <w:rPr>
                <w:color w:val="000000"/>
              </w:rPr>
              <w:t>8.32</w:t>
            </w:r>
          </w:p>
        </w:tc>
        <w:tc>
          <w:tcPr>
            <w:tcW w:w="447" w:type="pct"/>
            <w:tcBorders>
              <w:top w:val="nil"/>
              <w:left w:val="nil"/>
              <w:bottom w:val="nil"/>
              <w:right w:val="nil"/>
            </w:tcBorders>
            <w:shd w:val="clear" w:color="auto" w:fill="auto"/>
            <w:tcMar>
              <w:top w:w="28" w:type="dxa"/>
              <w:right w:w="0" w:type="dxa"/>
            </w:tcMar>
            <w:vAlign w:val="center"/>
            <w:hideMark/>
          </w:tcPr>
          <w:p w14:paraId="6E1C996B" w14:textId="65550671" w:rsidR="004951DC" w:rsidRPr="00585293" w:rsidRDefault="004951DC" w:rsidP="004951DC">
            <w:pPr>
              <w:spacing w:after="160"/>
              <w:jc w:val="center"/>
              <w:rPr>
                <w:color w:val="000000"/>
              </w:rPr>
            </w:pPr>
            <w:r w:rsidRPr="00585293">
              <w:rPr>
                <w:color w:val="000000"/>
              </w:rPr>
              <w:t>8.34</w:t>
            </w:r>
          </w:p>
        </w:tc>
        <w:tc>
          <w:tcPr>
            <w:tcW w:w="459" w:type="pct"/>
            <w:tcBorders>
              <w:top w:val="nil"/>
              <w:left w:val="nil"/>
              <w:bottom w:val="nil"/>
              <w:right w:val="nil"/>
            </w:tcBorders>
            <w:shd w:val="clear" w:color="auto" w:fill="auto"/>
            <w:tcMar>
              <w:top w:w="28" w:type="dxa"/>
              <w:right w:w="0" w:type="dxa"/>
            </w:tcMar>
            <w:vAlign w:val="center"/>
            <w:hideMark/>
          </w:tcPr>
          <w:p w14:paraId="5A369156" w14:textId="35697ABE" w:rsidR="004951DC" w:rsidRPr="00585293" w:rsidRDefault="004951DC" w:rsidP="004951DC">
            <w:pPr>
              <w:spacing w:after="160"/>
              <w:jc w:val="center"/>
              <w:rPr>
                <w:color w:val="000000"/>
              </w:rPr>
            </w:pPr>
            <w:r w:rsidRPr="00585293">
              <w:rPr>
                <w:color w:val="000000"/>
              </w:rPr>
              <w:t>8.43</w:t>
            </w:r>
          </w:p>
        </w:tc>
        <w:tc>
          <w:tcPr>
            <w:tcW w:w="446" w:type="pct"/>
            <w:tcBorders>
              <w:top w:val="nil"/>
              <w:left w:val="nil"/>
              <w:bottom w:val="nil"/>
              <w:right w:val="nil"/>
            </w:tcBorders>
            <w:shd w:val="clear" w:color="auto" w:fill="auto"/>
            <w:tcMar>
              <w:top w:w="28" w:type="dxa"/>
              <w:right w:w="0" w:type="dxa"/>
            </w:tcMar>
            <w:vAlign w:val="center"/>
            <w:hideMark/>
          </w:tcPr>
          <w:p w14:paraId="7A7266A2" w14:textId="706AA204" w:rsidR="004951DC" w:rsidRPr="00585293" w:rsidRDefault="004951DC" w:rsidP="004951DC">
            <w:pPr>
              <w:spacing w:after="160"/>
              <w:jc w:val="center"/>
              <w:rPr>
                <w:color w:val="000000"/>
              </w:rPr>
            </w:pPr>
            <w:r w:rsidRPr="00585293">
              <w:rPr>
                <w:color w:val="000000"/>
              </w:rPr>
              <w:t>8.36</w:t>
            </w:r>
          </w:p>
        </w:tc>
      </w:tr>
      <w:tr w:rsidR="004951DC" w:rsidRPr="00585293" w14:paraId="0FADC60D"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2FFF5165" w14:textId="77777777" w:rsidR="004951DC" w:rsidRPr="00585293" w:rsidRDefault="004951DC" w:rsidP="004951DC">
            <w:pPr>
              <w:spacing w:after="160"/>
              <w:rPr>
                <w:color w:val="000000"/>
              </w:rPr>
            </w:pPr>
            <w:r w:rsidRPr="00585293">
              <w:rPr>
                <w:color w:val="000000"/>
              </w:rPr>
              <w:t>Kids (mean)</w:t>
            </w:r>
          </w:p>
        </w:tc>
        <w:tc>
          <w:tcPr>
            <w:tcW w:w="447" w:type="pct"/>
            <w:tcBorders>
              <w:top w:val="nil"/>
              <w:left w:val="nil"/>
              <w:bottom w:val="nil"/>
              <w:right w:val="nil"/>
            </w:tcBorders>
            <w:shd w:val="clear" w:color="auto" w:fill="auto"/>
            <w:tcMar>
              <w:top w:w="28" w:type="dxa"/>
              <w:right w:w="0" w:type="dxa"/>
            </w:tcMar>
            <w:vAlign w:val="center"/>
            <w:hideMark/>
          </w:tcPr>
          <w:p w14:paraId="70E24CAE" w14:textId="4B8ACEF5" w:rsidR="004951DC" w:rsidRPr="00585293" w:rsidRDefault="004951DC" w:rsidP="004951DC">
            <w:pPr>
              <w:spacing w:after="160"/>
              <w:jc w:val="center"/>
              <w:rPr>
                <w:color w:val="000000"/>
              </w:rPr>
            </w:pPr>
            <w:r w:rsidRPr="00585293">
              <w:rPr>
                <w:color w:val="000000"/>
              </w:rPr>
              <w:t>2.85</w:t>
            </w:r>
          </w:p>
        </w:tc>
        <w:tc>
          <w:tcPr>
            <w:tcW w:w="459" w:type="pct"/>
            <w:tcBorders>
              <w:top w:val="nil"/>
              <w:left w:val="nil"/>
              <w:bottom w:val="nil"/>
              <w:right w:val="nil"/>
            </w:tcBorders>
            <w:shd w:val="clear" w:color="auto" w:fill="auto"/>
            <w:tcMar>
              <w:top w:w="28" w:type="dxa"/>
              <w:right w:w="0" w:type="dxa"/>
            </w:tcMar>
            <w:vAlign w:val="center"/>
            <w:hideMark/>
          </w:tcPr>
          <w:p w14:paraId="34A4A9DF" w14:textId="5518CD33" w:rsidR="004951DC" w:rsidRPr="00585293" w:rsidRDefault="004951DC" w:rsidP="004951DC">
            <w:pPr>
              <w:spacing w:after="160"/>
              <w:jc w:val="center"/>
              <w:rPr>
                <w:color w:val="000000"/>
              </w:rPr>
            </w:pPr>
            <w:r w:rsidRPr="00585293">
              <w:rPr>
                <w:color w:val="000000"/>
              </w:rPr>
              <w:t>3.03</w:t>
            </w:r>
          </w:p>
        </w:tc>
        <w:tc>
          <w:tcPr>
            <w:tcW w:w="447" w:type="pct"/>
            <w:tcBorders>
              <w:top w:val="nil"/>
              <w:left w:val="nil"/>
              <w:bottom w:val="nil"/>
              <w:right w:val="nil"/>
            </w:tcBorders>
            <w:shd w:val="clear" w:color="auto" w:fill="auto"/>
            <w:tcMar>
              <w:top w:w="28" w:type="dxa"/>
              <w:right w:w="0" w:type="dxa"/>
            </w:tcMar>
            <w:vAlign w:val="center"/>
            <w:hideMark/>
          </w:tcPr>
          <w:p w14:paraId="2C1590D4" w14:textId="0E970862" w:rsidR="004951DC" w:rsidRPr="00585293" w:rsidRDefault="004951DC" w:rsidP="004951DC">
            <w:pPr>
              <w:spacing w:after="160"/>
              <w:jc w:val="center"/>
              <w:rPr>
                <w:color w:val="000000"/>
              </w:rPr>
            </w:pPr>
            <w:r w:rsidRPr="00585293">
              <w:rPr>
                <w:color w:val="000000"/>
              </w:rPr>
              <w:t>2.84</w:t>
            </w:r>
          </w:p>
        </w:tc>
        <w:tc>
          <w:tcPr>
            <w:tcW w:w="447" w:type="pct"/>
            <w:tcBorders>
              <w:top w:val="nil"/>
              <w:left w:val="nil"/>
              <w:bottom w:val="nil"/>
              <w:right w:val="nil"/>
            </w:tcBorders>
            <w:shd w:val="clear" w:color="auto" w:fill="auto"/>
            <w:tcMar>
              <w:top w:w="28" w:type="dxa"/>
              <w:right w:w="0" w:type="dxa"/>
            </w:tcMar>
            <w:vAlign w:val="center"/>
            <w:hideMark/>
          </w:tcPr>
          <w:p w14:paraId="5261CD10" w14:textId="75B007B7" w:rsidR="004951DC" w:rsidRPr="00585293" w:rsidRDefault="004951DC" w:rsidP="004951DC">
            <w:pPr>
              <w:spacing w:after="160"/>
              <w:jc w:val="center"/>
              <w:rPr>
                <w:color w:val="000000"/>
              </w:rPr>
            </w:pPr>
            <w:r w:rsidRPr="00585293">
              <w:rPr>
                <w:color w:val="000000"/>
              </w:rPr>
              <w:t>2.46</w:t>
            </w:r>
          </w:p>
        </w:tc>
        <w:tc>
          <w:tcPr>
            <w:tcW w:w="459" w:type="pct"/>
            <w:tcBorders>
              <w:top w:val="nil"/>
              <w:left w:val="nil"/>
              <w:bottom w:val="nil"/>
              <w:right w:val="nil"/>
            </w:tcBorders>
            <w:shd w:val="clear" w:color="auto" w:fill="auto"/>
            <w:tcMar>
              <w:top w:w="28" w:type="dxa"/>
              <w:right w:w="0" w:type="dxa"/>
            </w:tcMar>
            <w:vAlign w:val="center"/>
            <w:hideMark/>
          </w:tcPr>
          <w:p w14:paraId="0D04B38F" w14:textId="0BD4C20E" w:rsidR="004951DC" w:rsidRPr="00585293" w:rsidRDefault="004951DC" w:rsidP="004951DC">
            <w:pPr>
              <w:spacing w:after="160"/>
              <w:jc w:val="center"/>
              <w:rPr>
                <w:color w:val="000000"/>
              </w:rPr>
            </w:pPr>
            <w:r w:rsidRPr="00585293">
              <w:rPr>
                <w:color w:val="000000"/>
              </w:rPr>
              <w:t>2.64</w:t>
            </w:r>
          </w:p>
        </w:tc>
        <w:tc>
          <w:tcPr>
            <w:tcW w:w="447" w:type="pct"/>
            <w:tcBorders>
              <w:top w:val="nil"/>
              <w:left w:val="nil"/>
              <w:bottom w:val="nil"/>
              <w:right w:val="nil"/>
            </w:tcBorders>
            <w:shd w:val="clear" w:color="auto" w:fill="auto"/>
            <w:tcMar>
              <w:top w:w="28" w:type="dxa"/>
              <w:right w:w="0" w:type="dxa"/>
            </w:tcMar>
            <w:vAlign w:val="center"/>
            <w:hideMark/>
          </w:tcPr>
          <w:p w14:paraId="08693923" w14:textId="3D8F4E4B" w:rsidR="004951DC" w:rsidRPr="00585293" w:rsidRDefault="004951DC" w:rsidP="004951DC">
            <w:pPr>
              <w:spacing w:after="160"/>
              <w:jc w:val="center"/>
              <w:rPr>
                <w:color w:val="000000"/>
              </w:rPr>
            </w:pPr>
            <w:r w:rsidRPr="00585293">
              <w:rPr>
                <w:color w:val="000000"/>
              </w:rPr>
              <w:t>2.45</w:t>
            </w:r>
          </w:p>
        </w:tc>
        <w:tc>
          <w:tcPr>
            <w:tcW w:w="447" w:type="pct"/>
            <w:tcBorders>
              <w:top w:val="nil"/>
              <w:left w:val="nil"/>
              <w:bottom w:val="nil"/>
              <w:right w:val="nil"/>
            </w:tcBorders>
            <w:shd w:val="clear" w:color="auto" w:fill="auto"/>
            <w:tcMar>
              <w:top w:w="28" w:type="dxa"/>
              <w:right w:w="0" w:type="dxa"/>
            </w:tcMar>
            <w:vAlign w:val="center"/>
            <w:hideMark/>
          </w:tcPr>
          <w:p w14:paraId="47C1B26E" w14:textId="5BDBA513" w:rsidR="004951DC" w:rsidRPr="00585293" w:rsidRDefault="004951DC" w:rsidP="004951DC">
            <w:pPr>
              <w:spacing w:after="160"/>
              <w:jc w:val="center"/>
              <w:rPr>
                <w:color w:val="000000"/>
              </w:rPr>
            </w:pPr>
            <w:r w:rsidRPr="00585293">
              <w:rPr>
                <w:color w:val="000000"/>
              </w:rPr>
              <w:t>2.00</w:t>
            </w:r>
          </w:p>
        </w:tc>
        <w:tc>
          <w:tcPr>
            <w:tcW w:w="459" w:type="pct"/>
            <w:tcBorders>
              <w:top w:val="nil"/>
              <w:left w:val="nil"/>
              <w:bottom w:val="nil"/>
              <w:right w:val="nil"/>
            </w:tcBorders>
            <w:shd w:val="clear" w:color="auto" w:fill="auto"/>
            <w:tcMar>
              <w:top w:w="28" w:type="dxa"/>
              <w:right w:w="0" w:type="dxa"/>
            </w:tcMar>
            <w:vAlign w:val="center"/>
            <w:hideMark/>
          </w:tcPr>
          <w:p w14:paraId="6CE70112" w14:textId="29BC289C" w:rsidR="004951DC" w:rsidRPr="00585293" w:rsidRDefault="004951DC" w:rsidP="004951DC">
            <w:pPr>
              <w:spacing w:after="160"/>
              <w:jc w:val="center"/>
              <w:rPr>
                <w:color w:val="000000"/>
              </w:rPr>
            </w:pPr>
            <w:r w:rsidRPr="00585293">
              <w:rPr>
                <w:color w:val="000000"/>
              </w:rPr>
              <w:t>1.98</w:t>
            </w:r>
          </w:p>
        </w:tc>
        <w:tc>
          <w:tcPr>
            <w:tcW w:w="446" w:type="pct"/>
            <w:tcBorders>
              <w:top w:val="nil"/>
              <w:left w:val="nil"/>
              <w:bottom w:val="nil"/>
              <w:right w:val="nil"/>
            </w:tcBorders>
            <w:shd w:val="clear" w:color="auto" w:fill="auto"/>
            <w:tcMar>
              <w:top w:w="28" w:type="dxa"/>
              <w:right w:w="0" w:type="dxa"/>
            </w:tcMar>
            <w:vAlign w:val="center"/>
            <w:hideMark/>
          </w:tcPr>
          <w:p w14:paraId="75210AF1" w14:textId="5943A5A6" w:rsidR="004951DC" w:rsidRPr="00585293" w:rsidRDefault="004951DC" w:rsidP="004951DC">
            <w:pPr>
              <w:spacing w:after="160"/>
              <w:jc w:val="center"/>
              <w:rPr>
                <w:color w:val="000000"/>
              </w:rPr>
            </w:pPr>
            <w:r w:rsidRPr="00585293">
              <w:rPr>
                <w:color w:val="000000"/>
              </w:rPr>
              <w:t>1.87</w:t>
            </w:r>
          </w:p>
        </w:tc>
      </w:tr>
      <w:tr w:rsidR="004951DC" w:rsidRPr="00585293" w14:paraId="357A84E3"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18939600" w14:textId="77777777" w:rsidR="004951DC" w:rsidRPr="00585293" w:rsidRDefault="004951DC" w:rsidP="004951DC">
            <w:pPr>
              <w:spacing w:after="160"/>
              <w:rPr>
                <w:color w:val="000000"/>
              </w:rPr>
            </w:pPr>
            <w:r w:rsidRPr="00585293">
              <w:rPr>
                <w:color w:val="000000"/>
              </w:rPr>
              <w:t>Servants (mean)</w:t>
            </w:r>
          </w:p>
        </w:tc>
        <w:tc>
          <w:tcPr>
            <w:tcW w:w="447" w:type="pct"/>
            <w:tcBorders>
              <w:top w:val="nil"/>
              <w:left w:val="nil"/>
              <w:bottom w:val="nil"/>
              <w:right w:val="nil"/>
            </w:tcBorders>
            <w:shd w:val="clear" w:color="auto" w:fill="auto"/>
            <w:tcMar>
              <w:top w:w="28" w:type="dxa"/>
              <w:right w:w="0" w:type="dxa"/>
            </w:tcMar>
            <w:vAlign w:val="center"/>
            <w:hideMark/>
          </w:tcPr>
          <w:p w14:paraId="70EE3718" w14:textId="324DC7C1" w:rsidR="004951DC" w:rsidRPr="00585293" w:rsidRDefault="004951DC" w:rsidP="004951DC">
            <w:pPr>
              <w:spacing w:after="160"/>
              <w:jc w:val="center"/>
              <w:rPr>
                <w:color w:val="000000"/>
              </w:rPr>
            </w:pPr>
            <w:r w:rsidRPr="00585293">
              <w:rPr>
                <w:color w:val="000000"/>
              </w:rPr>
              <w:t>0.22</w:t>
            </w:r>
          </w:p>
        </w:tc>
        <w:tc>
          <w:tcPr>
            <w:tcW w:w="459" w:type="pct"/>
            <w:tcBorders>
              <w:top w:val="nil"/>
              <w:left w:val="nil"/>
              <w:bottom w:val="nil"/>
              <w:right w:val="nil"/>
            </w:tcBorders>
            <w:shd w:val="clear" w:color="auto" w:fill="auto"/>
            <w:tcMar>
              <w:top w:w="28" w:type="dxa"/>
              <w:right w:w="0" w:type="dxa"/>
            </w:tcMar>
            <w:vAlign w:val="center"/>
            <w:hideMark/>
          </w:tcPr>
          <w:p w14:paraId="7DC47D4A" w14:textId="0E9E4914" w:rsidR="004951DC" w:rsidRPr="00585293" w:rsidRDefault="004951DC" w:rsidP="004951DC">
            <w:pPr>
              <w:spacing w:after="160"/>
              <w:jc w:val="center"/>
              <w:rPr>
                <w:color w:val="000000"/>
              </w:rPr>
            </w:pPr>
            <w:r w:rsidRPr="00585293">
              <w:rPr>
                <w:color w:val="000000"/>
              </w:rPr>
              <w:t>0.22</w:t>
            </w:r>
          </w:p>
        </w:tc>
        <w:tc>
          <w:tcPr>
            <w:tcW w:w="447" w:type="pct"/>
            <w:tcBorders>
              <w:top w:val="nil"/>
              <w:left w:val="nil"/>
              <w:bottom w:val="nil"/>
              <w:right w:val="nil"/>
            </w:tcBorders>
            <w:shd w:val="clear" w:color="auto" w:fill="auto"/>
            <w:tcMar>
              <w:top w:w="28" w:type="dxa"/>
              <w:right w:w="0" w:type="dxa"/>
            </w:tcMar>
            <w:vAlign w:val="center"/>
            <w:hideMark/>
          </w:tcPr>
          <w:p w14:paraId="76077D89" w14:textId="10DFCC6C" w:rsidR="004951DC" w:rsidRPr="00585293" w:rsidRDefault="004951DC" w:rsidP="004951DC">
            <w:pPr>
              <w:spacing w:after="160"/>
              <w:jc w:val="center"/>
              <w:rPr>
                <w:color w:val="000000"/>
              </w:rPr>
            </w:pPr>
            <w:r w:rsidRPr="00585293">
              <w:rPr>
                <w:color w:val="000000"/>
              </w:rPr>
              <w:t>0.22</w:t>
            </w:r>
          </w:p>
        </w:tc>
        <w:tc>
          <w:tcPr>
            <w:tcW w:w="447" w:type="pct"/>
            <w:tcBorders>
              <w:top w:val="nil"/>
              <w:left w:val="nil"/>
              <w:bottom w:val="nil"/>
              <w:right w:val="nil"/>
            </w:tcBorders>
            <w:shd w:val="clear" w:color="auto" w:fill="auto"/>
            <w:tcMar>
              <w:top w:w="28" w:type="dxa"/>
              <w:right w:w="0" w:type="dxa"/>
            </w:tcMar>
            <w:vAlign w:val="center"/>
            <w:hideMark/>
          </w:tcPr>
          <w:p w14:paraId="1867E224" w14:textId="6ED277C4" w:rsidR="004951DC" w:rsidRPr="00585293" w:rsidRDefault="004951DC" w:rsidP="004951DC">
            <w:pPr>
              <w:spacing w:after="160"/>
              <w:jc w:val="center"/>
              <w:rPr>
                <w:color w:val="000000"/>
              </w:rPr>
            </w:pPr>
            <w:r w:rsidRPr="00585293">
              <w:rPr>
                <w:color w:val="000000"/>
              </w:rPr>
              <w:t>0.19</w:t>
            </w:r>
          </w:p>
        </w:tc>
        <w:tc>
          <w:tcPr>
            <w:tcW w:w="459" w:type="pct"/>
            <w:tcBorders>
              <w:top w:val="nil"/>
              <w:left w:val="nil"/>
              <w:bottom w:val="nil"/>
              <w:right w:val="nil"/>
            </w:tcBorders>
            <w:shd w:val="clear" w:color="auto" w:fill="auto"/>
            <w:tcMar>
              <w:top w:w="28" w:type="dxa"/>
              <w:right w:w="0" w:type="dxa"/>
            </w:tcMar>
            <w:vAlign w:val="center"/>
            <w:hideMark/>
          </w:tcPr>
          <w:p w14:paraId="645B2BCF" w14:textId="6E4B80D7" w:rsidR="004951DC" w:rsidRPr="00585293" w:rsidRDefault="004951DC" w:rsidP="004951DC">
            <w:pPr>
              <w:spacing w:after="160"/>
              <w:jc w:val="center"/>
              <w:rPr>
                <w:color w:val="000000"/>
              </w:rPr>
            </w:pPr>
            <w:r w:rsidRPr="00585293">
              <w:rPr>
                <w:color w:val="000000"/>
              </w:rPr>
              <w:t>0.21</w:t>
            </w:r>
          </w:p>
        </w:tc>
        <w:tc>
          <w:tcPr>
            <w:tcW w:w="447" w:type="pct"/>
            <w:tcBorders>
              <w:top w:val="nil"/>
              <w:left w:val="nil"/>
              <w:bottom w:val="nil"/>
              <w:right w:val="nil"/>
            </w:tcBorders>
            <w:shd w:val="clear" w:color="auto" w:fill="auto"/>
            <w:tcMar>
              <w:top w:w="28" w:type="dxa"/>
              <w:right w:w="0" w:type="dxa"/>
            </w:tcMar>
            <w:vAlign w:val="center"/>
            <w:hideMark/>
          </w:tcPr>
          <w:p w14:paraId="18AC8EE6" w14:textId="069DAC09" w:rsidR="004951DC" w:rsidRPr="00585293" w:rsidRDefault="004951DC" w:rsidP="004951DC">
            <w:pPr>
              <w:spacing w:after="160"/>
              <w:jc w:val="center"/>
              <w:rPr>
                <w:color w:val="000000"/>
              </w:rPr>
            </w:pPr>
            <w:r w:rsidRPr="00585293">
              <w:rPr>
                <w:color w:val="000000"/>
              </w:rPr>
              <w:t>0.20</w:t>
            </w:r>
          </w:p>
        </w:tc>
        <w:tc>
          <w:tcPr>
            <w:tcW w:w="447" w:type="pct"/>
            <w:tcBorders>
              <w:top w:val="nil"/>
              <w:left w:val="nil"/>
              <w:bottom w:val="nil"/>
              <w:right w:val="nil"/>
            </w:tcBorders>
            <w:shd w:val="clear" w:color="auto" w:fill="auto"/>
            <w:tcMar>
              <w:top w:w="28" w:type="dxa"/>
              <w:right w:w="0" w:type="dxa"/>
            </w:tcMar>
            <w:vAlign w:val="center"/>
            <w:hideMark/>
          </w:tcPr>
          <w:p w14:paraId="2EF2DA35" w14:textId="72527EE0" w:rsidR="004951DC" w:rsidRPr="00585293" w:rsidRDefault="004951DC" w:rsidP="004951DC">
            <w:pPr>
              <w:spacing w:after="160"/>
              <w:jc w:val="center"/>
              <w:rPr>
                <w:color w:val="000000"/>
              </w:rPr>
            </w:pPr>
            <w:r w:rsidRPr="00585293">
              <w:rPr>
                <w:color w:val="000000"/>
              </w:rPr>
              <w:t>0.13</w:t>
            </w:r>
          </w:p>
        </w:tc>
        <w:tc>
          <w:tcPr>
            <w:tcW w:w="459" w:type="pct"/>
            <w:tcBorders>
              <w:top w:val="nil"/>
              <w:left w:val="nil"/>
              <w:bottom w:val="nil"/>
              <w:right w:val="nil"/>
            </w:tcBorders>
            <w:shd w:val="clear" w:color="auto" w:fill="auto"/>
            <w:tcMar>
              <w:top w:w="28" w:type="dxa"/>
              <w:right w:w="0" w:type="dxa"/>
            </w:tcMar>
            <w:vAlign w:val="center"/>
            <w:hideMark/>
          </w:tcPr>
          <w:p w14:paraId="35A9F620" w14:textId="0F590636" w:rsidR="004951DC" w:rsidRPr="00585293" w:rsidRDefault="004951DC" w:rsidP="004951DC">
            <w:pPr>
              <w:spacing w:after="160"/>
              <w:jc w:val="center"/>
              <w:rPr>
                <w:color w:val="000000"/>
              </w:rPr>
            </w:pPr>
            <w:r w:rsidRPr="00585293">
              <w:rPr>
                <w:color w:val="000000"/>
              </w:rPr>
              <w:t>0.13</w:t>
            </w:r>
          </w:p>
        </w:tc>
        <w:tc>
          <w:tcPr>
            <w:tcW w:w="446" w:type="pct"/>
            <w:tcBorders>
              <w:top w:val="nil"/>
              <w:left w:val="nil"/>
              <w:bottom w:val="nil"/>
              <w:right w:val="nil"/>
            </w:tcBorders>
            <w:shd w:val="clear" w:color="auto" w:fill="auto"/>
            <w:tcMar>
              <w:top w:w="28" w:type="dxa"/>
              <w:right w:w="0" w:type="dxa"/>
            </w:tcMar>
            <w:vAlign w:val="center"/>
            <w:hideMark/>
          </w:tcPr>
          <w:p w14:paraId="5453FF6B" w14:textId="46B80F0A" w:rsidR="004951DC" w:rsidRPr="00585293" w:rsidRDefault="004951DC" w:rsidP="004951DC">
            <w:pPr>
              <w:spacing w:after="160"/>
              <w:jc w:val="center"/>
              <w:rPr>
                <w:color w:val="000000"/>
              </w:rPr>
            </w:pPr>
            <w:r w:rsidRPr="00585293">
              <w:rPr>
                <w:color w:val="000000"/>
              </w:rPr>
              <w:t>0.12</w:t>
            </w:r>
          </w:p>
        </w:tc>
      </w:tr>
      <w:tr w:rsidR="0007384C" w:rsidRPr="00585293" w14:paraId="5B8259F9" w14:textId="77777777" w:rsidTr="00805634">
        <w:trPr>
          <w:trHeight w:hRule="exact" w:val="369"/>
        </w:trPr>
        <w:tc>
          <w:tcPr>
            <w:tcW w:w="5000" w:type="pct"/>
            <w:gridSpan w:val="10"/>
            <w:tcBorders>
              <w:top w:val="nil"/>
              <w:left w:val="nil"/>
              <w:bottom w:val="nil"/>
              <w:right w:val="nil"/>
            </w:tcBorders>
            <w:shd w:val="clear" w:color="auto" w:fill="auto"/>
            <w:tcMar>
              <w:top w:w="28" w:type="dxa"/>
              <w:left w:w="0" w:type="dxa"/>
              <w:right w:w="0" w:type="dxa"/>
            </w:tcMar>
            <w:vAlign w:val="center"/>
            <w:hideMark/>
          </w:tcPr>
          <w:p w14:paraId="3848CA36" w14:textId="77777777" w:rsidR="0007384C" w:rsidRPr="00585293" w:rsidRDefault="0007384C" w:rsidP="00805634">
            <w:pPr>
              <w:spacing w:after="160"/>
              <w:rPr>
                <w:b/>
                <w:bCs/>
                <w:color w:val="000000"/>
              </w:rPr>
            </w:pPr>
            <w:r w:rsidRPr="00585293">
              <w:rPr>
                <w:b/>
                <w:bCs/>
                <w:color w:val="000000"/>
              </w:rPr>
              <w:t>Characteristics (Father) in 1851/1861/1881</w:t>
            </w:r>
          </w:p>
        </w:tc>
      </w:tr>
      <w:tr w:rsidR="004951DC" w:rsidRPr="00585293" w14:paraId="4007119A"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32C295ED" w14:textId="77777777" w:rsidR="004951DC" w:rsidRPr="00585293" w:rsidRDefault="004951DC" w:rsidP="004951DC">
            <w:pPr>
              <w:spacing w:after="160"/>
              <w:rPr>
                <w:color w:val="000000"/>
              </w:rPr>
            </w:pPr>
            <w:r w:rsidRPr="00585293">
              <w:rPr>
                <w:color w:val="000000"/>
              </w:rPr>
              <w:t>Initial Age (mean)</w:t>
            </w:r>
          </w:p>
        </w:tc>
        <w:tc>
          <w:tcPr>
            <w:tcW w:w="447" w:type="pct"/>
            <w:tcBorders>
              <w:top w:val="nil"/>
              <w:left w:val="nil"/>
              <w:bottom w:val="nil"/>
              <w:right w:val="nil"/>
            </w:tcBorders>
            <w:shd w:val="clear" w:color="auto" w:fill="auto"/>
            <w:tcMar>
              <w:top w:w="28" w:type="dxa"/>
              <w:right w:w="0" w:type="dxa"/>
            </w:tcMar>
            <w:vAlign w:val="center"/>
            <w:hideMark/>
          </w:tcPr>
          <w:p w14:paraId="6DFE7139" w14:textId="72145FCF" w:rsidR="004951DC" w:rsidRPr="00585293" w:rsidRDefault="004951DC" w:rsidP="004951DC">
            <w:pPr>
              <w:spacing w:after="160"/>
              <w:jc w:val="center"/>
              <w:rPr>
                <w:color w:val="000000"/>
              </w:rPr>
            </w:pPr>
            <w:r w:rsidRPr="00585293">
              <w:rPr>
                <w:color w:val="000000"/>
              </w:rPr>
              <w:t>40.81</w:t>
            </w:r>
          </w:p>
        </w:tc>
        <w:tc>
          <w:tcPr>
            <w:tcW w:w="459" w:type="pct"/>
            <w:tcBorders>
              <w:top w:val="nil"/>
              <w:left w:val="nil"/>
              <w:bottom w:val="nil"/>
              <w:right w:val="nil"/>
            </w:tcBorders>
            <w:shd w:val="clear" w:color="auto" w:fill="auto"/>
            <w:tcMar>
              <w:top w:w="28" w:type="dxa"/>
              <w:right w:w="0" w:type="dxa"/>
            </w:tcMar>
            <w:vAlign w:val="center"/>
            <w:hideMark/>
          </w:tcPr>
          <w:p w14:paraId="554A8686" w14:textId="001667E0" w:rsidR="004951DC" w:rsidRPr="00585293" w:rsidRDefault="004951DC" w:rsidP="004951DC">
            <w:pPr>
              <w:spacing w:after="160"/>
              <w:jc w:val="center"/>
              <w:rPr>
                <w:color w:val="000000"/>
              </w:rPr>
            </w:pPr>
            <w:r w:rsidRPr="00585293">
              <w:rPr>
                <w:color w:val="000000"/>
              </w:rPr>
              <w:t>41.42</w:t>
            </w:r>
          </w:p>
        </w:tc>
        <w:tc>
          <w:tcPr>
            <w:tcW w:w="447" w:type="pct"/>
            <w:tcBorders>
              <w:top w:val="nil"/>
              <w:left w:val="nil"/>
              <w:bottom w:val="nil"/>
              <w:right w:val="nil"/>
            </w:tcBorders>
            <w:shd w:val="clear" w:color="auto" w:fill="auto"/>
            <w:tcMar>
              <w:top w:w="28" w:type="dxa"/>
              <w:right w:w="0" w:type="dxa"/>
            </w:tcMar>
            <w:vAlign w:val="center"/>
            <w:hideMark/>
          </w:tcPr>
          <w:p w14:paraId="2717B566" w14:textId="4E42E988" w:rsidR="004951DC" w:rsidRPr="00585293" w:rsidRDefault="004951DC" w:rsidP="004951DC">
            <w:pPr>
              <w:spacing w:after="160"/>
              <w:jc w:val="center"/>
              <w:rPr>
                <w:color w:val="000000"/>
              </w:rPr>
            </w:pPr>
            <w:r w:rsidRPr="00585293">
              <w:rPr>
                <w:color w:val="000000"/>
              </w:rPr>
              <w:t>41.64</w:t>
            </w:r>
          </w:p>
        </w:tc>
        <w:tc>
          <w:tcPr>
            <w:tcW w:w="447" w:type="pct"/>
            <w:tcBorders>
              <w:top w:val="nil"/>
              <w:left w:val="nil"/>
              <w:bottom w:val="nil"/>
              <w:right w:val="nil"/>
            </w:tcBorders>
            <w:shd w:val="clear" w:color="auto" w:fill="auto"/>
            <w:tcMar>
              <w:top w:w="28" w:type="dxa"/>
              <w:right w:w="0" w:type="dxa"/>
            </w:tcMar>
            <w:vAlign w:val="center"/>
            <w:hideMark/>
          </w:tcPr>
          <w:p w14:paraId="5396C10D" w14:textId="14F15D21" w:rsidR="004951DC" w:rsidRPr="00585293" w:rsidRDefault="004951DC" w:rsidP="004951DC">
            <w:pPr>
              <w:spacing w:after="160"/>
              <w:jc w:val="center"/>
              <w:rPr>
                <w:color w:val="000000"/>
              </w:rPr>
            </w:pPr>
            <w:r w:rsidRPr="00585293">
              <w:rPr>
                <w:color w:val="000000"/>
              </w:rPr>
              <w:t>40.96</w:t>
            </w:r>
          </w:p>
        </w:tc>
        <w:tc>
          <w:tcPr>
            <w:tcW w:w="459" w:type="pct"/>
            <w:tcBorders>
              <w:top w:val="nil"/>
              <w:left w:val="nil"/>
              <w:bottom w:val="nil"/>
              <w:right w:val="nil"/>
            </w:tcBorders>
            <w:shd w:val="clear" w:color="auto" w:fill="auto"/>
            <w:tcMar>
              <w:top w:w="28" w:type="dxa"/>
              <w:right w:w="0" w:type="dxa"/>
            </w:tcMar>
            <w:vAlign w:val="center"/>
            <w:hideMark/>
          </w:tcPr>
          <w:p w14:paraId="5978F600" w14:textId="17EDFD59" w:rsidR="004951DC" w:rsidRPr="00585293" w:rsidRDefault="004951DC" w:rsidP="004951DC">
            <w:pPr>
              <w:spacing w:after="160"/>
              <w:jc w:val="center"/>
              <w:rPr>
                <w:color w:val="000000"/>
              </w:rPr>
            </w:pPr>
            <w:r w:rsidRPr="00585293">
              <w:rPr>
                <w:color w:val="000000"/>
              </w:rPr>
              <w:t>42.05</w:t>
            </w:r>
          </w:p>
        </w:tc>
        <w:tc>
          <w:tcPr>
            <w:tcW w:w="447" w:type="pct"/>
            <w:tcBorders>
              <w:top w:val="nil"/>
              <w:left w:val="nil"/>
              <w:bottom w:val="nil"/>
              <w:right w:val="nil"/>
            </w:tcBorders>
            <w:shd w:val="clear" w:color="auto" w:fill="auto"/>
            <w:tcMar>
              <w:top w:w="28" w:type="dxa"/>
              <w:right w:w="0" w:type="dxa"/>
            </w:tcMar>
            <w:vAlign w:val="center"/>
            <w:hideMark/>
          </w:tcPr>
          <w:p w14:paraId="10823585" w14:textId="1613CD67" w:rsidR="004951DC" w:rsidRPr="00585293" w:rsidRDefault="004951DC" w:rsidP="004951DC">
            <w:pPr>
              <w:spacing w:after="160"/>
              <w:jc w:val="center"/>
              <w:rPr>
                <w:color w:val="000000"/>
              </w:rPr>
            </w:pPr>
            <w:r w:rsidRPr="00585293">
              <w:rPr>
                <w:color w:val="000000"/>
              </w:rPr>
              <w:t>42.07</w:t>
            </w:r>
          </w:p>
        </w:tc>
        <w:tc>
          <w:tcPr>
            <w:tcW w:w="447" w:type="pct"/>
            <w:tcBorders>
              <w:top w:val="nil"/>
              <w:left w:val="nil"/>
              <w:bottom w:val="nil"/>
              <w:right w:val="nil"/>
            </w:tcBorders>
            <w:shd w:val="clear" w:color="auto" w:fill="auto"/>
            <w:tcMar>
              <w:top w:w="28" w:type="dxa"/>
              <w:right w:w="0" w:type="dxa"/>
            </w:tcMar>
            <w:vAlign w:val="center"/>
            <w:hideMark/>
          </w:tcPr>
          <w:p w14:paraId="6E4BE8C9" w14:textId="09B16259" w:rsidR="004951DC" w:rsidRPr="00585293" w:rsidRDefault="004951DC" w:rsidP="004951DC">
            <w:pPr>
              <w:spacing w:after="160"/>
              <w:jc w:val="center"/>
              <w:rPr>
                <w:color w:val="000000"/>
              </w:rPr>
            </w:pPr>
            <w:r w:rsidRPr="00585293">
              <w:rPr>
                <w:color w:val="000000"/>
              </w:rPr>
              <w:t>40.82</w:t>
            </w:r>
          </w:p>
        </w:tc>
        <w:tc>
          <w:tcPr>
            <w:tcW w:w="459" w:type="pct"/>
            <w:tcBorders>
              <w:top w:val="nil"/>
              <w:left w:val="nil"/>
              <w:bottom w:val="nil"/>
              <w:right w:val="nil"/>
            </w:tcBorders>
            <w:shd w:val="clear" w:color="auto" w:fill="auto"/>
            <w:tcMar>
              <w:top w:w="28" w:type="dxa"/>
              <w:right w:w="0" w:type="dxa"/>
            </w:tcMar>
            <w:vAlign w:val="center"/>
            <w:hideMark/>
          </w:tcPr>
          <w:p w14:paraId="712E4D12" w14:textId="0126C769" w:rsidR="004951DC" w:rsidRPr="00585293" w:rsidRDefault="004951DC" w:rsidP="004951DC">
            <w:pPr>
              <w:spacing w:after="160"/>
              <w:jc w:val="center"/>
              <w:rPr>
                <w:color w:val="000000"/>
              </w:rPr>
            </w:pPr>
            <w:r w:rsidRPr="00585293">
              <w:rPr>
                <w:color w:val="000000"/>
              </w:rPr>
              <w:t>41.26</w:t>
            </w:r>
          </w:p>
        </w:tc>
        <w:tc>
          <w:tcPr>
            <w:tcW w:w="446" w:type="pct"/>
            <w:tcBorders>
              <w:top w:val="nil"/>
              <w:left w:val="nil"/>
              <w:bottom w:val="nil"/>
              <w:right w:val="nil"/>
            </w:tcBorders>
            <w:shd w:val="clear" w:color="auto" w:fill="auto"/>
            <w:tcMar>
              <w:top w:w="28" w:type="dxa"/>
              <w:right w:w="0" w:type="dxa"/>
            </w:tcMar>
            <w:vAlign w:val="center"/>
            <w:hideMark/>
          </w:tcPr>
          <w:p w14:paraId="184F94AB" w14:textId="2C1CD0C9" w:rsidR="004951DC" w:rsidRPr="00585293" w:rsidRDefault="004951DC" w:rsidP="004951DC">
            <w:pPr>
              <w:spacing w:after="160"/>
              <w:jc w:val="center"/>
              <w:rPr>
                <w:color w:val="000000"/>
              </w:rPr>
            </w:pPr>
            <w:r w:rsidRPr="00585293">
              <w:rPr>
                <w:color w:val="000000"/>
              </w:rPr>
              <w:t>41.28</w:t>
            </w:r>
          </w:p>
        </w:tc>
      </w:tr>
      <w:tr w:rsidR="004951DC" w:rsidRPr="00585293" w14:paraId="2EEC9E15"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6A3B2499" w14:textId="77777777" w:rsidR="004951DC" w:rsidRPr="00585293" w:rsidRDefault="004951DC" w:rsidP="004951DC">
            <w:pPr>
              <w:spacing w:after="160"/>
              <w:rPr>
                <w:color w:val="000000"/>
              </w:rPr>
            </w:pPr>
            <w:r w:rsidRPr="00585293">
              <w:rPr>
                <w:color w:val="000000"/>
              </w:rPr>
              <w:t>HISCAM (mean)</w:t>
            </w:r>
          </w:p>
        </w:tc>
        <w:tc>
          <w:tcPr>
            <w:tcW w:w="447" w:type="pct"/>
            <w:tcBorders>
              <w:top w:val="nil"/>
              <w:left w:val="nil"/>
              <w:bottom w:val="nil"/>
              <w:right w:val="nil"/>
            </w:tcBorders>
            <w:shd w:val="clear" w:color="auto" w:fill="auto"/>
            <w:tcMar>
              <w:top w:w="28" w:type="dxa"/>
              <w:right w:w="0" w:type="dxa"/>
            </w:tcMar>
            <w:vAlign w:val="center"/>
            <w:hideMark/>
          </w:tcPr>
          <w:p w14:paraId="79F7F1BF" w14:textId="6F007D2D" w:rsidR="004951DC" w:rsidRPr="00585293" w:rsidRDefault="004951DC" w:rsidP="004951DC">
            <w:pPr>
              <w:spacing w:after="160"/>
              <w:jc w:val="center"/>
              <w:rPr>
                <w:color w:val="000000"/>
              </w:rPr>
            </w:pPr>
            <w:r w:rsidRPr="00585293">
              <w:rPr>
                <w:color w:val="000000"/>
              </w:rPr>
              <w:t>53.35</w:t>
            </w:r>
          </w:p>
        </w:tc>
        <w:tc>
          <w:tcPr>
            <w:tcW w:w="459" w:type="pct"/>
            <w:tcBorders>
              <w:top w:val="nil"/>
              <w:left w:val="nil"/>
              <w:bottom w:val="nil"/>
              <w:right w:val="nil"/>
            </w:tcBorders>
            <w:shd w:val="clear" w:color="auto" w:fill="auto"/>
            <w:tcMar>
              <w:top w:w="28" w:type="dxa"/>
              <w:right w:w="0" w:type="dxa"/>
            </w:tcMar>
            <w:vAlign w:val="center"/>
            <w:hideMark/>
          </w:tcPr>
          <w:p w14:paraId="3802295E" w14:textId="21843391" w:rsidR="004951DC" w:rsidRPr="00585293" w:rsidRDefault="004951DC" w:rsidP="004951DC">
            <w:pPr>
              <w:spacing w:after="160"/>
              <w:jc w:val="center"/>
              <w:rPr>
                <w:color w:val="000000"/>
              </w:rPr>
            </w:pPr>
            <w:r w:rsidRPr="00585293">
              <w:rPr>
                <w:color w:val="000000"/>
              </w:rPr>
              <w:t>52.07</w:t>
            </w:r>
          </w:p>
        </w:tc>
        <w:tc>
          <w:tcPr>
            <w:tcW w:w="447" w:type="pct"/>
            <w:tcBorders>
              <w:top w:val="nil"/>
              <w:left w:val="nil"/>
              <w:bottom w:val="nil"/>
              <w:right w:val="nil"/>
            </w:tcBorders>
            <w:shd w:val="clear" w:color="auto" w:fill="auto"/>
            <w:tcMar>
              <w:top w:w="28" w:type="dxa"/>
              <w:right w:w="0" w:type="dxa"/>
            </w:tcMar>
            <w:vAlign w:val="center"/>
            <w:hideMark/>
          </w:tcPr>
          <w:p w14:paraId="45F9D417" w14:textId="0DA030B6" w:rsidR="004951DC" w:rsidRPr="00585293" w:rsidRDefault="004951DC" w:rsidP="004951DC">
            <w:pPr>
              <w:spacing w:after="160"/>
              <w:jc w:val="center"/>
              <w:rPr>
                <w:color w:val="000000"/>
              </w:rPr>
            </w:pPr>
            <w:r w:rsidRPr="00585293">
              <w:rPr>
                <w:color w:val="000000"/>
              </w:rPr>
              <w:t>52.77</w:t>
            </w:r>
          </w:p>
        </w:tc>
        <w:tc>
          <w:tcPr>
            <w:tcW w:w="447" w:type="pct"/>
            <w:tcBorders>
              <w:top w:val="nil"/>
              <w:left w:val="nil"/>
              <w:bottom w:val="nil"/>
              <w:right w:val="nil"/>
            </w:tcBorders>
            <w:shd w:val="clear" w:color="auto" w:fill="auto"/>
            <w:tcMar>
              <w:top w:w="28" w:type="dxa"/>
              <w:right w:w="0" w:type="dxa"/>
            </w:tcMar>
            <w:vAlign w:val="center"/>
            <w:hideMark/>
          </w:tcPr>
          <w:p w14:paraId="1C4A4123" w14:textId="2E789685" w:rsidR="004951DC" w:rsidRPr="00585293" w:rsidRDefault="004951DC" w:rsidP="004951DC">
            <w:pPr>
              <w:spacing w:after="160"/>
              <w:jc w:val="center"/>
              <w:rPr>
                <w:color w:val="000000"/>
              </w:rPr>
            </w:pPr>
            <w:r w:rsidRPr="00585293">
              <w:rPr>
                <w:color w:val="000000"/>
              </w:rPr>
              <w:t>53.52</w:t>
            </w:r>
          </w:p>
        </w:tc>
        <w:tc>
          <w:tcPr>
            <w:tcW w:w="459" w:type="pct"/>
            <w:tcBorders>
              <w:top w:val="nil"/>
              <w:left w:val="nil"/>
              <w:bottom w:val="nil"/>
              <w:right w:val="nil"/>
            </w:tcBorders>
            <w:shd w:val="clear" w:color="auto" w:fill="auto"/>
            <w:tcMar>
              <w:top w:w="28" w:type="dxa"/>
              <w:right w:w="0" w:type="dxa"/>
            </w:tcMar>
            <w:vAlign w:val="center"/>
            <w:hideMark/>
          </w:tcPr>
          <w:p w14:paraId="67B199D4" w14:textId="4050E720" w:rsidR="004951DC" w:rsidRPr="00585293" w:rsidRDefault="004951DC" w:rsidP="004951DC">
            <w:pPr>
              <w:spacing w:after="160"/>
              <w:jc w:val="center"/>
              <w:rPr>
                <w:color w:val="000000"/>
              </w:rPr>
            </w:pPr>
            <w:r w:rsidRPr="00585293">
              <w:rPr>
                <w:color w:val="000000"/>
              </w:rPr>
              <w:t>52.51</w:t>
            </w:r>
          </w:p>
        </w:tc>
        <w:tc>
          <w:tcPr>
            <w:tcW w:w="447" w:type="pct"/>
            <w:tcBorders>
              <w:top w:val="nil"/>
              <w:left w:val="nil"/>
              <w:bottom w:val="nil"/>
              <w:right w:val="nil"/>
            </w:tcBorders>
            <w:shd w:val="clear" w:color="auto" w:fill="auto"/>
            <w:tcMar>
              <w:top w:w="28" w:type="dxa"/>
              <w:right w:w="0" w:type="dxa"/>
            </w:tcMar>
            <w:vAlign w:val="center"/>
            <w:hideMark/>
          </w:tcPr>
          <w:p w14:paraId="23674A1C" w14:textId="24633C64" w:rsidR="004951DC" w:rsidRPr="00585293" w:rsidRDefault="004951DC" w:rsidP="004951DC">
            <w:pPr>
              <w:spacing w:after="160"/>
              <w:jc w:val="center"/>
              <w:rPr>
                <w:color w:val="000000"/>
              </w:rPr>
            </w:pPr>
            <w:r w:rsidRPr="00585293">
              <w:rPr>
                <w:color w:val="000000"/>
              </w:rPr>
              <w:t>53.11</w:t>
            </w:r>
          </w:p>
        </w:tc>
        <w:tc>
          <w:tcPr>
            <w:tcW w:w="447" w:type="pct"/>
            <w:tcBorders>
              <w:top w:val="nil"/>
              <w:left w:val="nil"/>
              <w:bottom w:val="nil"/>
              <w:right w:val="nil"/>
            </w:tcBorders>
            <w:shd w:val="clear" w:color="auto" w:fill="auto"/>
            <w:tcMar>
              <w:top w:w="28" w:type="dxa"/>
              <w:right w:w="0" w:type="dxa"/>
            </w:tcMar>
            <w:vAlign w:val="center"/>
            <w:hideMark/>
          </w:tcPr>
          <w:p w14:paraId="4C92E3D2" w14:textId="2EFC1F5D" w:rsidR="004951DC" w:rsidRPr="00585293" w:rsidRDefault="004951DC" w:rsidP="004951DC">
            <w:pPr>
              <w:spacing w:after="160"/>
              <w:jc w:val="center"/>
              <w:rPr>
                <w:color w:val="000000"/>
              </w:rPr>
            </w:pPr>
            <w:r w:rsidRPr="00585293">
              <w:rPr>
                <w:color w:val="000000"/>
              </w:rPr>
              <w:t>54.31</w:t>
            </w:r>
          </w:p>
        </w:tc>
        <w:tc>
          <w:tcPr>
            <w:tcW w:w="459" w:type="pct"/>
            <w:tcBorders>
              <w:top w:val="nil"/>
              <w:left w:val="nil"/>
              <w:bottom w:val="nil"/>
              <w:right w:val="nil"/>
            </w:tcBorders>
            <w:shd w:val="clear" w:color="auto" w:fill="auto"/>
            <w:tcMar>
              <w:top w:w="28" w:type="dxa"/>
              <w:right w:w="0" w:type="dxa"/>
            </w:tcMar>
            <w:vAlign w:val="center"/>
            <w:hideMark/>
          </w:tcPr>
          <w:p w14:paraId="3A3ACC5A" w14:textId="13DDFB33" w:rsidR="004951DC" w:rsidRPr="00585293" w:rsidRDefault="004951DC" w:rsidP="004951DC">
            <w:pPr>
              <w:spacing w:after="160"/>
              <w:jc w:val="center"/>
              <w:rPr>
                <w:color w:val="000000"/>
              </w:rPr>
            </w:pPr>
            <w:r w:rsidRPr="00585293">
              <w:rPr>
                <w:color w:val="000000"/>
              </w:rPr>
              <w:t>53.35</w:t>
            </w:r>
          </w:p>
        </w:tc>
        <w:tc>
          <w:tcPr>
            <w:tcW w:w="446" w:type="pct"/>
            <w:tcBorders>
              <w:top w:val="nil"/>
              <w:left w:val="nil"/>
              <w:bottom w:val="nil"/>
              <w:right w:val="nil"/>
            </w:tcBorders>
            <w:shd w:val="clear" w:color="auto" w:fill="auto"/>
            <w:tcMar>
              <w:top w:w="28" w:type="dxa"/>
              <w:right w:w="0" w:type="dxa"/>
            </w:tcMar>
            <w:vAlign w:val="center"/>
            <w:hideMark/>
          </w:tcPr>
          <w:p w14:paraId="7CBE6319" w14:textId="37AF7C50" w:rsidR="004951DC" w:rsidRPr="00585293" w:rsidRDefault="004951DC" w:rsidP="004951DC">
            <w:pPr>
              <w:spacing w:after="160"/>
              <w:jc w:val="center"/>
              <w:rPr>
                <w:color w:val="000000"/>
              </w:rPr>
            </w:pPr>
            <w:r w:rsidRPr="00585293">
              <w:rPr>
                <w:color w:val="000000"/>
              </w:rPr>
              <w:t>53.82</w:t>
            </w:r>
          </w:p>
        </w:tc>
      </w:tr>
      <w:tr w:rsidR="004951DC" w:rsidRPr="00585293" w14:paraId="3707AD6D"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hideMark/>
          </w:tcPr>
          <w:p w14:paraId="467969F7" w14:textId="2363C6B0" w:rsidR="004951DC" w:rsidRPr="00585293" w:rsidRDefault="006D092D" w:rsidP="004951DC">
            <w:pPr>
              <w:spacing w:after="160"/>
              <w:rPr>
                <w:color w:val="000000"/>
              </w:rPr>
            </w:pPr>
            <w:r w:rsidRPr="00585293">
              <w:rPr>
                <w:color w:val="000000"/>
              </w:rPr>
              <w:t>CCC</w:t>
            </w:r>
            <w:r w:rsidR="004951DC" w:rsidRPr="00585293">
              <w:rPr>
                <w:color w:val="000000"/>
              </w:rPr>
              <w:t xml:space="preserve"> (mean)</w:t>
            </w:r>
          </w:p>
        </w:tc>
        <w:tc>
          <w:tcPr>
            <w:tcW w:w="447" w:type="pct"/>
            <w:tcBorders>
              <w:top w:val="nil"/>
              <w:left w:val="nil"/>
              <w:bottom w:val="nil"/>
              <w:right w:val="nil"/>
            </w:tcBorders>
            <w:shd w:val="clear" w:color="auto" w:fill="auto"/>
            <w:tcMar>
              <w:top w:w="28" w:type="dxa"/>
              <w:right w:w="0" w:type="dxa"/>
            </w:tcMar>
            <w:vAlign w:val="center"/>
            <w:hideMark/>
          </w:tcPr>
          <w:p w14:paraId="3AE2F682" w14:textId="6ADDF129" w:rsidR="004951DC" w:rsidRPr="00585293" w:rsidRDefault="004951DC" w:rsidP="004951DC">
            <w:pPr>
              <w:spacing w:after="160"/>
              <w:jc w:val="center"/>
              <w:rPr>
                <w:color w:val="000000"/>
              </w:rPr>
            </w:pPr>
            <w:r w:rsidRPr="00585293">
              <w:rPr>
                <w:color w:val="000000"/>
              </w:rPr>
              <w:t>53.38</w:t>
            </w:r>
          </w:p>
        </w:tc>
        <w:tc>
          <w:tcPr>
            <w:tcW w:w="459" w:type="pct"/>
            <w:tcBorders>
              <w:top w:val="nil"/>
              <w:left w:val="nil"/>
              <w:bottom w:val="nil"/>
              <w:right w:val="nil"/>
            </w:tcBorders>
            <w:shd w:val="clear" w:color="auto" w:fill="auto"/>
            <w:tcMar>
              <w:top w:w="28" w:type="dxa"/>
              <w:right w:w="0" w:type="dxa"/>
            </w:tcMar>
            <w:vAlign w:val="center"/>
            <w:hideMark/>
          </w:tcPr>
          <w:p w14:paraId="3017A189" w14:textId="59E34424" w:rsidR="004951DC" w:rsidRPr="00585293" w:rsidRDefault="004951DC" w:rsidP="004951DC">
            <w:pPr>
              <w:spacing w:after="160"/>
              <w:jc w:val="center"/>
              <w:rPr>
                <w:color w:val="000000"/>
              </w:rPr>
            </w:pPr>
            <w:r w:rsidRPr="00585293">
              <w:rPr>
                <w:color w:val="000000"/>
              </w:rPr>
              <w:t>52.61</w:t>
            </w:r>
          </w:p>
        </w:tc>
        <w:tc>
          <w:tcPr>
            <w:tcW w:w="447" w:type="pct"/>
            <w:tcBorders>
              <w:top w:val="nil"/>
              <w:left w:val="nil"/>
              <w:bottom w:val="nil"/>
              <w:right w:val="nil"/>
            </w:tcBorders>
            <w:shd w:val="clear" w:color="auto" w:fill="auto"/>
            <w:tcMar>
              <w:top w:w="28" w:type="dxa"/>
              <w:right w:w="0" w:type="dxa"/>
            </w:tcMar>
            <w:vAlign w:val="center"/>
            <w:hideMark/>
          </w:tcPr>
          <w:p w14:paraId="159CC31D" w14:textId="3E1C1961" w:rsidR="004951DC" w:rsidRPr="00585293" w:rsidRDefault="004951DC" w:rsidP="004951DC">
            <w:pPr>
              <w:spacing w:after="160"/>
              <w:jc w:val="center"/>
              <w:rPr>
                <w:color w:val="000000"/>
              </w:rPr>
            </w:pPr>
            <w:r w:rsidRPr="00585293">
              <w:rPr>
                <w:color w:val="000000"/>
              </w:rPr>
              <w:t>53.36</w:t>
            </w:r>
          </w:p>
        </w:tc>
        <w:tc>
          <w:tcPr>
            <w:tcW w:w="447" w:type="pct"/>
            <w:tcBorders>
              <w:top w:val="nil"/>
              <w:left w:val="nil"/>
              <w:bottom w:val="nil"/>
              <w:right w:val="nil"/>
            </w:tcBorders>
            <w:shd w:val="clear" w:color="auto" w:fill="auto"/>
            <w:tcMar>
              <w:top w:w="28" w:type="dxa"/>
              <w:right w:w="0" w:type="dxa"/>
            </w:tcMar>
            <w:vAlign w:val="center"/>
            <w:hideMark/>
          </w:tcPr>
          <w:p w14:paraId="39F5E7CF" w14:textId="2FAF1820" w:rsidR="004951DC" w:rsidRPr="00585293" w:rsidRDefault="004951DC" w:rsidP="004951DC">
            <w:pPr>
              <w:spacing w:after="160"/>
              <w:jc w:val="center"/>
              <w:rPr>
                <w:color w:val="000000"/>
              </w:rPr>
            </w:pPr>
            <w:r w:rsidRPr="00585293">
              <w:rPr>
                <w:color w:val="000000"/>
              </w:rPr>
              <w:t>53.06</w:t>
            </w:r>
          </w:p>
        </w:tc>
        <w:tc>
          <w:tcPr>
            <w:tcW w:w="459" w:type="pct"/>
            <w:tcBorders>
              <w:top w:val="nil"/>
              <w:left w:val="nil"/>
              <w:bottom w:val="nil"/>
              <w:right w:val="nil"/>
            </w:tcBorders>
            <w:shd w:val="clear" w:color="auto" w:fill="auto"/>
            <w:tcMar>
              <w:top w:w="28" w:type="dxa"/>
              <w:right w:w="0" w:type="dxa"/>
            </w:tcMar>
            <w:vAlign w:val="center"/>
            <w:hideMark/>
          </w:tcPr>
          <w:p w14:paraId="29CAB37D" w14:textId="2C59EE5A" w:rsidR="004951DC" w:rsidRPr="00585293" w:rsidRDefault="004951DC" w:rsidP="004951DC">
            <w:pPr>
              <w:spacing w:after="160"/>
              <w:jc w:val="center"/>
              <w:rPr>
                <w:color w:val="000000"/>
              </w:rPr>
            </w:pPr>
            <w:r w:rsidRPr="00585293">
              <w:rPr>
                <w:color w:val="000000"/>
              </w:rPr>
              <w:t>52.61</w:t>
            </w:r>
          </w:p>
        </w:tc>
        <w:tc>
          <w:tcPr>
            <w:tcW w:w="447" w:type="pct"/>
            <w:tcBorders>
              <w:top w:val="nil"/>
              <w:left w:val="nil"/>
              <w:bottom w:val="nil"/>
              <w:right w:val="nil"/>
            </w:tcBorders>
            <w:shd w:val="clear" w:color="auto" w:fill="auto"/>
            <w:tcMar>
              <w:top w:w="28" w:type="dxa"/>
              <w:right w:w="0" w:type="dxa"/>
            </w:tcMar>
            <w:vAlign w:val="center"/>
            <w:hideMark/>
          </w:tcPr>
          <w:p w14:paraId="60547A3B" w14:textId="2413891A" w:rsidR="004951DC" w:rsidRPr="00585293" w:rsidRDefault="004951DC" w:rsidP="004951DC">
            <w:pPr>
              <w:spacing w:after="160"/>
              <w:jc w:val="center"/>
              <w:rPr>
                <w:color w:val="000000"/>
              </w:rPr>
            </w:pPr>
            <w:r w:rsidRPr="00585293">
              <w:rPr>
                <w:color w:val="000000"/>
              </w:rPr>
              <w:t>53.31</w:t>
            </w:r>
          </w:p>
        </w:tc>
        <w:tc>
          <w:tcPr>
            <w:tcW w:w="447" w:type="pct"/>
            <w:tcBorders>
              <w:top w:val="nil"/>
              <w:left w:val="nil"/>
              <w:bottom w:val="nil"/>
              <w:right w:val="nil"/>
            </w:tcBorders>
            <w:shd w:val="clear" w:color="auto" w:fill="auto"/>
            <w:tcMar>
              <w:top w:w="28" w:type="dxa"/>
              <w:right w:w="0" w:type="dxa"/>
            </w:tcMar>
            <w:vAlign w:val="center"/>
            <w:hideMark/>
          </w:tcPr>
          <w:p w14:paraId="23E20FA3" w14:textId="5F14A374" w:rsidR="004951DC" w:rsidRPr="00585293" w:rsidRDefault="004951DC" w:rsidP="004951DC">
            <w:pPr>
              <w:spacing w:after="160"/>
              <w:jc w:val="center"/>
              <w:rPr>
                <w:color w:val="000000"/>
              </w:rPr>
            </w:pPr>
            <w:r w:rsidRPr="00585293">
              <w:rPr>
                <w:color w:val="000000"/>
              </w:rPr>
              <w:t>53.13</w:t>
            </w:r>
          </w:p>
        </w:tc>
        <w:tc>
          <w:tcPr>
            <w:tcW w:w="459" w:type="pct"/>
            <w:tcBorders>
              <w:top w:val="nil"/>
              <w:left w:val="nil"/>
              <w:bottom w:val="nil"/>
              <w:right w:val="nil"/>
            </w:tcBorders>
            <w:shd w:val="clear" w:color="auto" w:fill="auto"/>
            <w:tcMar>
              <w:top w:w="28" w:type="dxa"/>
              <w:right w:w="0" w:type="dxa"/>
            </w:tcMar>
            <w:vAlign w:val="center"/>
            <w:hideMark/>
          </w:tcPr>
          <w:p w14:paraId="327EB0C4" w14:textId="75D9320E" w:rsidR="004951DC" w:rsidRPr="00585293" w:rsidRDefault="004951DC" w:rsidP="004951DC">
            <w:pPr>
              <w:spacing w:after="160"/>
              <w:jc w:val="center"/>
              <w:rPr>
                <w:color w:val="000000"/>
              </w:rPr>
            </w:pPr>
            <w:r w:rsidRPr="00585293">
              <w:rPr>
                <w:color w:val="000000"/>
              </w:rPr>
              <w:t>52.41</w:t>
            </w:r>
          </w:p>
        </w:tc>
        <w:tc>
          <w:tcPr>
            <w:tcW w:w="446" w:type="pct"/>
            <w:tcBorders>
              <w:top w:val="nil"/>
              <w:left w:val="nil"/>
              <w:bottom w:val="nil"/>
              <w:right w:val="nil"/>
            </w:tcBorders>
            <w:shd w:val="clear" w:color="auto" w:fill="auto"/>
            <w:tcMar>
              <w:top w:w="28" w:type="dxa"/>
              <w:right w:w="0" w:type="dxa"/>
            </w:tcMar>
            <w:vAlign w:val="center"/>
            <w:hideMark/>
          </w:tcPr>
          <w:p w14:paraId="41500CCB" w14:textId="5B5D8F68" w:rsidR="004951DC" w:rsidRPr="00585293" w:rsidRDefault="004951DC" w:rsidP="004951DC">
            <w:pPr>
              <w:spacing w:after="160"/>
              <w:jc w:val="center"/>
              <w:rPr>
                <w:color w:val="000000"/>
              </w:rPr>
            </w:pPr>
            <w:r w:rsidRPr="00585293">
              <w:rPr>
                <w:color w:val="000000"/>
              </w:rPr>
              <w:t>52.85</w:t>
            </w:r>
          </w:p>
        </w:tc>
      </w:tr>
      <w:tr w:rsidR="0007384C" w:rsidRPr="00585293" w14:paraId="1F4C1392" w14:textId="77777777" w:rsidTr="00805634">
        <w:trPr>
          <w:trHeight w:hRule="exact" w:val="369"/>
        </w:trPr>
        <w:tc>
          <w:tcPr>
            <w:tcW w:w="5000" w:type="pct"/>
            <w:gridSpan w:val="10"/>
            <w:tcBorders>
              <w:top w:val="nil"/>
              <w:left w:val="nil"/>
              <w:bottom w:val="nil"/>
              <w:right w:val="nil"/>
            </w:tcBorders>
            <w:shd w:val="clear" w:color="auto" w:fill="auto"/>
            <w:tcMar>
              <w:top w:w="28" w:type="dxa"/>
              <w:left w:w="0" w:type="dxa"/>
              <w:right w:w="0" w:type="dxa"/>
            </w:tcMar>
            <w:vAlign w:val="center"/>
          </w:tcPr>
          <w:p w14:paraId="3C94F4BB" w14:textId="77777777" w:rsidR="0007384C" w:rsidRPr="00585293" w:rsidRDefault="0007384C" w:rsidP="00805634">
            <w:pPr>
              <w:spacing w:after="160"/>
              <w:rPr>
                <w:b/>
                <w:bCs/>
                <w:color w:val="000000"/>
              </w:rPr>
            </w:pPr>
            <w:r w:rsidRPr="00585293">
              <w:rPr>
                <w:b/>
                <w:bCs/>
                <w:color w:val="000000"/>
              </w:rPr>
              <w:t>Relationship Status (Son) in 1881/1891/1911</w:t>
            </w:r>
          </w:p>
          <w:p w14:paraId="397D845F" w14:textId="77777777" w:rsidR="0007384C" w:rsidRPr="00585293" w:rsidRDefault="0007384C" w:rsidP="00805634">
            <w:pPr>
              <w:spacing w:after="160"/>
              <w:jc w:val="center"/>
              <w:rPr>
                <w:color w:val="000000"/>
              </w:rPr>
            </w:pPr>
          </w:p>
        </w:tc>
      </w:tr>
      <w:tr w:rsidR="004951DC" w:rsidRPr="00585293" w14:paraId="3082A1CD"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tcPr>
          <w:p w14:paraId="44978076" w14:textId="77777777" w:rsidR="004951DC" w:rsidRPr="00585293" w:rsidRDefault="004951DC" w:rsidP="004951DC">
            <w:pPr>
              <w:spacing w:after="160"/>
              <w:rPr>
                <w:color w:val="000000"/>
              </w:rPr>
            </w:pPr>
            <w:r w:rsidRPr="00585293">
              <w:rPr>
                <w:color w:val="000000"/>
              </w:rPr>
              <w:t>Head</w:t>
            </w:r>
          </w:p>
        </w:tc>
        <w:tc>
          <w:tcPr>
            <w:tcW w:w="447" w:type="pct"/>
            <w:tcBorders>
              <w:top w:val="nil"/>
              <w:left w:val="nil"/>
              <w:bottom w:val="nil"/>
              <w:right w:val="nil"/>
            </w:tcBorders>
            <w:shd w:val="clear" w:color="auto" w:fill="auto"/>
            <w:tcMar>
              <w:top w:w="28" w:type="dxa"/>
              <w:right w:w="0" w:type="dxa"/>
            </w:tcMar>
            <w:vAlign w:val="center"/>
          </w:tcPr>
          <w:p w14:paraId="03280018" w14:textId="0A769D61" w:rsidR="004951DC" w:rsidRPr="00585293" w:rsidRDefault="004951DC" w:rsidP="004951DC">
            <w:pPr>
              <w:spacing w:after="160"/>
              <w:jc w:val="center"/>
              <w:rPr>
                <w:color w:val="000000"/>
              </w:rPr>
            </w:pPr>
            <w:r w:rsidRPr="00585293">
              <w:rPr>
                <w:color w:val="000000"/>
              </w:rPr>
              <w:t>82.75</w:t>
            </w:r>
          </w:p>
        </w:tc>
        <w:tc>
          <w:tcPr>
            <w:tcW w:w="459" w:type="pct"/>
            <w:tcBorders>
              <w:top w:val="nil"/>
              <w:left w:val="nil"/>
              <w:bottom w:val="nil"/>
              <w:right w:val="nil"/>
            </w:tcBorders>
            <w:shd w:val="clear" w:color="auto" w:fill="auto"/>
            <w:tcMar>
              <w:top w:w="28" w:type="dxa"/>
              <w:right w:w="0" w:type="dxa"/>
            </w:tcMar>
            <w:vAlign w:val="center"/>
          </w:tcPr>
          <w:p w14:paraId="3098484D" w14:textId="6CA5DC24" w:rsidR="004951DC" w:rsidRPr="00585293" w:rsidRDefault="004951DC" w:rsidP="004951DC">
            <w:pPr>
              <w:spacing w:after="160"/>
              <w:jc w:val="center"/>
              <w:rPr>
                <w:color w:val="000000"/>
              </w:rPr>
            </w:pPr>
            <w:r w:rsidRPr="00585293">
              <w:rPr>
                <w:color w:val="000000"/>
              </w:rPr>
              <w:t>86.03</w:t>
            </w:r>
          </w:p>
        </w:tc>
        <w:tc>
          <w:tcPr>
            <w:tcW w:w="447" w:type="pct"/>
            <w:tcBorders>
              <w:top w:val="nil"/>
              <w:left w:val="nil"/>
              <w:bottom w:val="nil"/>
              <w:right w:val="nil"/>
            </w:tcBorders>
            <w:shd w:val="clear" w:color="auto" w:fill="auto"/>
            <w:tcMar>
              <w:top w:w="28" w:type="dxa"/>
              <w:right w:w="0" w:type="dxa"/>
            </w:tcMar>
            <w:vAlign w:val="center"/>
          </w:tcPr>
          <w:p w14:paraId="5D1A7290" w14:textId="0CCC9DFC" w:rsidR="004951DC" w:rsidRPr="00585293" w:rsidRDefault="004951DC" w:rsidP="004951DC">
            <w:pPr>
              <w:spacing w:after="160"/>
              <w:jc w:val="center"/>
              <w:rPr>
                <w:color w:val="000000"/>
              </w:rPr>
            </w:pPr>
            <w:r w:rsidRPr="00585293">
              <w:t>83.27</w:t>
            </w:r>
          </w:p>
        </w:tc>
        <w:tc>
          <w:tcPr>
            <w:tcW w:w="447" w:type="pct"/>
            <w:tcBorders>
              <w:top w:val="nil"/>
              <w:left w:val="nil"/>
              <w:bottom w:val="nil"/>
              <w:right w:val="nil"/>
            </w:tcBorders>
            <w:shd w:val="clear" w:color="auto" w:fill="auto"/>
            <w:tcMar>
              <w:top w:w="28" w:type="dxa"/>
              <w:right w:w="0" w:type="dxa"/>
            </w:tcMar>
            <w:vAlign w:val="center"/>
          </w:tcPr>
          <w:p w14:paraId="5AA9DED2" w14:textId="3A694EAC" w:rsidR="004951DC" w:rsidRPr="00585293" w:rsidRDefault="004951DC" w:rsidP="004951DC">
            <w:pPr>
              <w:spacing w:after="160"/>
              <w:jc w:val="center"/>
              <w:rPr>
                <w:color w:val="000000"/>
              </w:rPr>
            </w:pPr>
            <w:r w:rsidRPr="00585293">
              <w:rPr>
                <w:color w:val="000000"/>
              </w:rPr>
              <w:t>84.63</w:t>
            </w:r>
          </w:p>
        </w:tc>
        <w:tc>
          <w:tcPr>
            <w:tcW w:w="459" w:type="pct"/>
            <w:tcBorders>
              <w:top w:val="nil"/>
              <w:left w:val="nil"/>
              <w:bottom w:val="nil"/>
              <w:right w:val="nil"/>
            </w:tcBorders>
            <w:shd w:val="clear" w:color="auto" w:fill="auto"/>
            <w:tcMar>
              <w:top w:w="28" w:type="dxa"/>
              <w:right w:w="0" w:type="dxa"/>
            </w:tcMar>
            <w:vAlign w:val="center"/>
          </w:tcPr>
          <w:p w14:paraId="41D5F654" w14:textId="7D79AA1C" w:rsidR="004951DC" w:rsidRPr="00585293" w:rsidRDefault="004951DC" w:rsidP="004951DC">
            <w:pPr>
              <w:spacing w:after="160"/>
              <w:jc w:val="center"/>
              <w:rPr>
                <w:color w:val="000000"/>
              </w:rPr>
            </w:pPr>
            <w:r w:rsidRPr="00585293">
              <w:rPr>
                <w:color w:val="000000"/>
              </w:rPr>
              <w:t>88.08</w:t>
            </w:r>
          </w:p>
        </w:tc>
        <w:tc>
          <w:tcPr>
            <w:tcW w:w="447" w:type="pct"/>
            <w:tcBorders>
              <w:top w:val="nil"/>
              <w:left w:val="nil"/>
              <w:bottom w:val="nil"/>
              <w:right w:val="nil"/>
            </w:tcBorders>
            <w:shd w:val="clear" w:color="auto" w:fill="auto"/>
            <w:tcMar>
              <w:top w:w="28" w:type="dxa"/>
              <w:right w:w="0" w:type="dxa"/>
            </w:tcMar>
            <w:vAlign w:val="center"/>
          </w:tcPr>
          <w:p w14:paraId="4857DEC4" w14:textId="2B7B50DD" w:rsidR="004951DC" w:rsidRPr="00585293" w:rsidRDefault="004951DC" w:rsidP="004951DC">
            <w:pPr>
              <w:spacing w:after="160"/>
              <w:jc w:val="center"/>
              <w:rPr>
                <w:color w:val="000000"/>
              </w:rPr>
            </w:pPr>
            <w:r w:rsidRPr="00585293">
              <w:t>84.43</w:t>
            </w:r>
          </w:p>
        </w:tc>
        <w:tc>
          <w:tcPr>
            <w:tcW w:w="447" w:type="pct"/>
            <w:tcBorders>
              <w:top w:val="nil"/>
              <w:left w:val="nil"/>
              <w:bottom w:val="nil"/>
              <w:right w:val="nil"/>
            </w:tcBorders>
            <w:shd w:val="clear" w:color="auto" w:fill="auto"/>
            <w:tcMar>
              <w:top w:w="28" w:type="dxa"/>
              <w:right w:w="0" w:type="dxa"/>
            </w:tcMar>
            <w:vAlign w:val="center"/>
          </w:tcPr>
          <w:p w14:paraId="6E09CE68" w14:textId="29E13789" w:rsidR="004951DC" w:rsidRPr="00585293" w:rsidRDefault="004951DC" w:rsidP="004951DC">
            <w:pPr>
              <w:spacing w:after="160"/>
              <w:jc w:val="center"/>
              <w:rPr>
                <w:color w:val="000000"/>
              </w:rPr>
            </w:pPr>
            <w:r w:rsidRPr="00585293">
              <w:rPr>
                <w:color w:val="000000"/>
              </w:rPr>
              <w:t>80.73</w:t>
            </w:r>
          </w:p>
        </w:tc>
        <w:tc>
          <w:tcPr>
            <w:tcW w:w="459" w:type="pct"/>
            <w:tcBorders>
              <w:top w:val="nil"/>
              <w:left w:val="nil"/>
              <w:bottom w:val="nil"/>
              <w:right w:val="nil"/>
            </w:tcBorders>
            <w:shd w:val="clear" w:color="auto" w:fill="auto"/>
            <w:tcMar>
              <w:top w:w="28" w:type="dxa"/>
              <w:right w:w="0" w:type="dxa"/>
            </w:tcMar>
            <w:vAlign w:val="center"/>
          </w:tcPr>
          <w:p w14:paraId="09405762" w14:textId="162037A3" w:rsidR="004951DC" w:rsidRPr="00585293" w:rsidRDefault="004951DC" w:rsidP="004951DC">
            <w:pPr>
              <w:spacing w:after="160"/>
              <w:jc w:val="center"/>
              <w:rPr>
                <w:color w:val="000000"/>
              </w:rPr>
            </w:pPr>
            <w:r w:rsidRPr="00585293">
              <w:rPr>
                <w:color w:val="000000"/>
              </w:rPr>
              <w:t>84.56</w:t>
            </w:r>
          </w:p>
        </w:tc>
        <w:tc>
          <w:tcPr>
            <w:tcW w:w="446" w:type="pct"/>
            <w:tcBorders>
              <w:top w:val="nil"/>
              <w:left w:val="nil"/>
              <w:bottom w:val="nil"/>
              <w:right w:val="nil"/>
            </w:tcBorders>
            <w:shd w:val="clear" w:color="auto" w:fill="auto"/>
            <w:tcMar>
              <w:top w:w="28" w:type="dxa"/>
              <w:right w:w="0" w:type="dxa"/>
            </w:tcMar>
            <w:vAlign w:val="center"/>
          </w:tcPr>
          <w:p w14:paraId="0464F7CA" w14:textId="2E9A20D3" w:rsidR="004951DC" w:rsidRPr="00585293" w:rsidRDefault="004951DC" w:rsidP="004951DC">
            <w:pPr>
              <w:spacing w:after="160"/>
              <w:jc w:val="center"/>
              <w:rPr>
                <w:color w:val="000000"/>
              </w:rPr>
            </w:pPr>
            <w:r w:rsidRPr="00585293">
              <w:t>80.11</w:t>
            </w:r>
          </w:p>
        </w:tc>
      </w:tr>
      <w:tr w:rsidR="004951DC" w:rsidRPr="00585293" w14:paraId="582EA8A1"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tcPr>
          <w:p w14:paraId="1E860FC3" w14:textId="77777777" w:rsidR="004951DC" w:rsidRPr="00585293" w:rsidRDefault="004951DC" w:rsidP="004951DC">
            <w:pPr>
              <w:spacing w:after="160"/>
              <w:rPr>
                <w:color w:val="000000"/>
              </w:rPr>
            </w:pPr>
            <w:r w:rsidRPr="00585293">
              <w:rPr>
                <w:color w:val="000000"/>
              </w:rPr>
              <w:t>Son</w:t>
            </w:r>
          </w:p>
        </w:tc>
        <w:tc>
          <w:tcPr>
            <w:tcW w:w="447" w:type="pct"/>
            <w:tcBorders>
              <w:top w:val="nil"/>
              <w:left w:val="nil"/>
              <w:bottom w:val="nil"/>
              <w:right w:val="nil"/>
            </w:tcBorders>
            <w:shd w:val="clear" w:color="auto" w:fill="auto"/>
            <w:tcMar>
              <w:top w:w="28" w:type="dxa"/>
              <w:right w:w="0" w:type="dxa"/>
            </w:tcMar>
            <w:vAlign w:val="center"/>
          </w:tcPr>
          <w:p w14:paraId="181780F6" w14:textId="50B559BE" w:rsidR="004951DC" w:rsidRPr="00585293" w:rsidRDefault="004951DC" w:rsidP="004951DC">
            <w:pPr>
              <w:spacing w:after="160"/>
              <w:jc w:val="center"/>
              <w:rPr>
                <w:color w:val="000000"/>
              </w:rPr>
            </w:pPr>
            <w:r w:rsidRPr="00585293">
              <w:rPr>
                <w:color w:val="000000"/>
              </w:rPr>
              <w:t>4.26</w:t>
            </w:r>
          </w:p>
        </w:tc>
        <w:tc>
          <w:tcPr>
            <w:tcW w:w="459" w:type="pct"/>
            <w:tcBorders>
              <w:top w:val="nil"/>
              <w:left w:val="nil"/>
              <w:bottom w:val="nil"/>
              <w:right w:val="nil"/>
            </w:tcBorders>
            <w:shd w:val="clear" w:color="auto" w:fill="auto"/>
            <w:tcMar>
              <w:top w:w="28" w:type="dxa"/>
              <w:right w:w="0" w:type="dxa"/>
            </w:tcMar>
            <w:vAlign w:val="center"/>
          </w:tcPr>
          <w:p w14:paraId="58BB1E07" w14:textId="4603FD78" w:rsidR="004951DC" w:rsidRPr="00585293" w:rsidRDefault="004951DC" w:rsidP="004951DC">
            <w:pPr>
              <w:spacing w:after="160"/>
              <w:jc w:val="center"/>
              <w:rPr>
                <w:color w:val="000000"/>
              </w:rPr>
            </w:pPr>
            <w:r w:rsidRPr="00585293">
              <w:rPr>
                <w:color w:val="000000"/>
              </w:rPr>
              <w:t>6.61</w:t>
            </w:r>
          </w:p>
        </w:tc>
        <w:tc>
          <w:tcPr>
            <w:tcW w:w="447" w:type="pct"/>
            <w:tcBorders>
              <w:top w:val="nil"/>
              <w:left w:val="nil"/>
              <w:bottom w:val="nil"/>
              <w:right w:val="nil"/>
            </w:tcBorders>
            <w:shd w:val="clear" w:color="auto" w:fill="auto"/>
            <w:tcMar>
              <w:top w:w="28" w:type="dxa"/>
              <w:right w:w="0" w:type="dxa"/>
            </w:tcMar>
            <w:vAlign w:val="center"/>
          </w:tcPr>
          <w:p w14:paraId="1D7BE962" w14:textId="39B39926" w:rsidR="004951DC" w:rsidRPr="00585293" w:rsidRDefault="004951DC" w:rsidP="004951DC">
            <w:pPr>
              <w:spacing w:after="160"/>
              <w:jc w:val="center"/>
              <w:rPr>
                <w:color w:val="000000"/>
              </w:rPr>
            </w:pPr>
            <w:r w:rsidRPr="00585293">
              <w:t>7.02</w:t>
            </w:r>
          </w:p>
        </w:tc>
        <w:tc>
          <w:tcPr>
            <w:tcW w:w="447" w:type="pct"/>
            <w:tcBorders>
              <w:top w:val="nil"/>
              <w:left w:val="nil"/>
              <w:bottom w:val="nil"/>
              <w:right w:val="nil"/>
            </w:tcBorders>
            <w:shd w:val="clear" w:color="auto" w:fill="auto"/>
            <w:tcMar>
              <w:top w:w="28" w:type="dxa"/>
              <w:right w:w="0" w:type="dxa"/>
            </w:tcMar>
            <w:vAlign w:val="center"/>
          </w:tcPr>
          <w:p w14:paraId="35B50B3A" w14:textId="3CC73F45" w:rsidR="004951DC" w:rsidRPr="00585293" w:rsidRDefault="004951DC" w:rsidP="004951DC">
            <w:pPr>
              <w:spacing w:after="160"/>
              <w:jc w:val="center"/>
              <w:rPr>
                <w:color w:val="000000"/>
              </w:rPr>
            </w:pPr>
            <w:r w:rsidRPr="00585293">
              <w:rPr>
                <w:color w:val="000000"/>
              </w:rPr>
              <w:t>4.40</w:t>
            </w:r>
          </w:p>
        </w:tc>
        <w:tc>
          <w:tcPr>
            <w:tcW w:w="459" w:type="pct"/>
            <w:tcBorders>
              <w:top w:val="nil"/>
              <w:left w:val="nil"/>
              <w:bottom w:val="nil"/>
              <w:right w:val="nil"/>
            </w:tcBorders>
            <w:shd w:val="clear" w:color="auto" w:fill="auto"/>
            <w:tcMar>
              <w:top w:w="28" w:type="dxa"/>
              <w:right w:w="0" w:type="dxa"/>
            </w:tcMar>
            <w:vAlign w:val="center"/>
          </w:tcPr>
          <w:p w14:paraId="7D7C7381" w14:textId="38812801" w:rsidR="004951DC" w:rsidRPr="00585293" w:rsidRDefault="004951DC" w:rsidP="004951DC">
            <w:pPr>
              <w:spacing w:after="160"/>
              <w:jc w:val="center"/>
              <w:rPr>
                <w:color w:val="000000"/>
              </w:rPr>
            </w:pPr>
            <w:r w:rsidRPr="00585293">
              <w:rPr>
                <w:color w:val="000000"/>
              </w:rPr>
              <w:t>5.98</w:t>
            </w:r>
          </w:p>
        </w:tc>
        <w:tc>
          <w:tcPr>
            <w:tcW w:w="447" w:type="pct"/>
            <w:tcBorders>
              <w:top w:val="nil"/>
              <w:left w:val="nil"/>
              <w:bottom w:val="nil"/>
              <w:right w:val="nil"/>
            </w:tcBorders>
            <w:shd w:val="clear" w:color="auto" w:fill="auto"/>
            <w:tcMar>
              <w:top w:w="28" w:type="dxa"/>
              <w:right w:w="0" w:type="dxa"/>
            </w:tcMar>
            <w:vAlign w:val="center"/>
          </w:tcPr>
          <w:p w14:paraId="2A6807FD" w14:textId="6A5C9FFA" w:rsidR="004951DC" w:rsidRPr="00585293" w:rsidRDefault="004951DC" w:rsidP="004951DC">
            <w:pPr>
              <w:spacing w:after="160"/>
              <w:jc w:val="center"/>
              <w:rPr>
                <w:color w:val="000000"/>
              </w:rPr>
            </w:pPr>
            <w:r w:rsidRPr="00585293">
              <w:t>7.07</w:t>
            </w:r>
          </w:p>
        </w:tc>
        <w:tc>
          <w:tcPr>
            <w:tcW w:w="447" w:type="pct"/>
            <w:tcBorders>
              <w:top w:val="nil"/>
              <w:left w:val="nil"/>
              <w:bottom w:val="nil"/>
              <w:right w:val="nil"/>
            </w:tcBorders>
            <w:shd w:val="clear" w:color="auto" w:fill="auto"/>
            <w:tcMar>
              <w:top w:w="28" w:type="dxa"/>
              <w:right w:w="0" w:type="dxa"/>
            </w:tcMar>
            <w:vAlign w:val="center"/>
          </w:tcPr>
          <w:p w14:paraId="74072C94" w14:textId="7DCA19A0" w:rsidR="004951DC" w:rsidRPr="00585293" w:rsidRDefault="004951DC" w:rsidP="004951DC">
            <w:pPr>
              <w:spacing w:after="160"/>
              <w:jc w:val="center"/>
              <w:rPr>
                <w:color w:val="000000"/>
              </w:rPr>
            </w:pPr>
            <w:r w:rsidRPr="00585293">
              <w:rPr>
                <w:color w:val="000000"/>
              </w:rPr>
              <w:t>5.75</w:t>
            </w:r>
          </w:p>
        </w:tc>
        <w:tc>
          <w:tcPr>
            <w:tcW w:w="459" w:type="pct"/>
            <w:tcBorders>
              <w:top w:val="nil"/>
              <w:left w:val="nil"/>
              <w:bottom w:val="nil"/>
              <w:right w:val="nil"/>
            </w:tcBorders>
            <w:shd w:val="clear" w:color="auto" w:fill="auto"/>
            <w:tcMar>
              <w:top w:w="28" w:type="dxa"/>
              <w:right w:w="0" w:type="dxa"/>
            </w:tcMar>
            <w:vAlign w:val="center"/>
          </w:tcPr>
          <w:p w14:paraId="52462865" w14:textId="1450D50F" w:rsidR="004951DC" w:rsidRPr="00585293" w:rsidRDefault="004951DC" w:rsidP="004951DC">
            <w:pPr>
              <w:spacing w:after="160"/>
              <w:jc w:val="center"/>
              <w:rPr>
                <w:color w:val="000000"/>
              </w:rPr>
            </w:pPr>
            <w:r w:rsidRPr="00585293">
              <w:rPr>
                <w:color w:val="000000"/>
              </w:rPr>
              <w:t>8.25</w:t>
            </w:r>
          </w:p>
        </w:tc>
        <w:tc>
          <w:tcPr>
            <w:tcW w:w="446" w:type="pct"/>
            <w:tcBorders>
              <w:top w:val="nil"/>
              <w:left w:val="nil"/>
              <w:bottom w:val="nil"/>
              <w:right w:val="nil"/>
            </w:tcBorders>
            <w:shd w:val="clear" w:color="auto" w:fill="auto"/>
            <w:tcMar>
              <w:top w:w="28" w:type="dxa"/>
              <w:right w:w="0" w:type="dxa"/>
            </w:tcMar>
            <w:vAlign w:val="center"/>
          </w:tcPr>
          <w:p w14:paraId="688883A1" w14:textId="33569BDE" w:rsidR="004951DC" w:rsidRPr="00585293" w:rsidRDefault="004951DC" w:rsidP="004951DC">
            <w:pPr>
              <w:spacing w:after="160"/>
              <w:jc w:val="center"/>
              <w:rPr>
                <w:color w:val="000000"/>
              </w:rPr>
            </w:pPr>
            <w:r w:rsidRPr="00585293">
              <w:t>9.78</w:t>
            </w:r>
          </w:p>
        </w:tc>
      </w:tr>
      <w:tr w:rsidR="004951DC" w:rsidRPr="00585293" w14:paraId="6A92C6D3"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tcPr>
          <w:p w14:paraId="11080CF8" w14:textId="77777777" w:rsidR="004951DC" w:rsidRPr="00585293" w:rsidRDefault="004951DC" w:rsidP="004951DC">
            <w:pPr>
              <w:spacing w:after="160"/>
              <w:rPr>
                <w:color w:val="000000"/>
              </w:rPr>
            </w:pPr>
            <w:r w:rsidRPr="00585293">
              <w:rPr>
                <w:color w:val="000000"/>
              </w:rPr>
              <w:t>Visitor</w:t>
            </w:r>
          </w:p>
        </w:tc>
        <w:tc>
          <w:tcPr>
            <w:tcW w:w="447" w:type="pct"/>
            <w:tcBorders>
              <w:top w:val="nil"/>
              <w:left w:val="nil"/>
              <w:bottom w:val="nil"/>
              <w:right w:val="nil"/>
            </w:tcBorders>
            <w:shd w:val="clear" w:color="auto" w:fill="auto"/>
            <w:tcMar>
              <w:top w:w="28" w:type="dxa"/>
              <w:right w:w="0" w:type="dxa"/>
            </w:tcMar>
            <w:vAlign w:val="center"/>
          </w:tcPr>
          <w:p w14:paraId="7CE64FD2" w14:textId="33621885" w:rsidR="004951DC" w:rsidRPr="00585293" w:rsidRDefault="004951DC" w:rsidP="004951DC">
            <w:pPr>
              <w:spacing w:after="160"/>
              <w:jc w:val="center"/>
              <w:rPr>
                <w:color w:val="000000"/>
              </w:rPr>
            </w:pPr>
            <w:r w:rsidRPr="00585293">
              <w:rPr>
                <w:color w:val="000000"/>
              </w:rPr>
              <w:t>0.63</w:t>
            </w:r>
          </w:p>
        </w:tc>
        <w:tc>
          <w:tcPr>
            <w:tcW w:w="459" w:type="pct"/>
            <w:tcBorders>
              <w:top w:val="nil"/>
              <w:left w:val="nil"/>
              <w:bottom w:val="nil"/>
              <w:right w:val="nil"/>
            </w:tcBorders>
            <w:shd w:val="clear" w:color="auto" w:fill="auto"/>
            <w:tcMar>
              <w:top w:w="28" w:type="dxa"/>
              <w:right w:w="0" w:type="dxa"/>
            </w:tcMar>
            <w:vAlign w:val="center"/>
          </w:tcPr>
          <w:p w14:paraId="2A91214E" w14:textId="7EBBD7F6" w:rsidR="004951DC" w:rsidRPr="00585293" w:rsidRDefault="004951DC" w:rsidP="004951DC">
            <w:pPr>
              <w:spacing w:after="160"/>
              <w:jc w:val="center"/>
              <w:rPr>
                <w:color w:val="000000"/>
              </w:rPr>
            </w:pPr>
            <w:r w:rsidRPr="00585293">
              <w:rPr>
                <w:color w:val="000000"/>
              </w:rPr>
              <w:t>0.38</w:t>
            </w:r>
          </w:p>
        </w:tc>
        <w:tc>
          <w:tcPr>
            <w:tcW w:w="447" w:type="pct"/>
            <w:tcBorders>
              <w:top w:val="nil"/>
              <w:left w:val="nil"/>
              <w:bottom w:val="nil"/>
              <w:right w:val="nil"/>
            </w:tcBorders>
            <w:shd w:val="clear" w:color="auto" w:fill="auto"/>
            <w:tcMar>
              <w:top w:w="28" w:type="dxa"/>
              <w:right w:w="0" w:type="dxa"/>
            </w:tcMar>
            <w:vAlign w:val="center"/>
          </w:tcPr>
          <w:p w14:paraId="1CB7641C" w14:textId="7803304A" w:rsidR="004951DC" w:rsidRPr="00585293" w:rsidRDefault="004951DC" w:rsidP="004951DC">
            <w:pPr>
              <w:spacing w:after="160"/>
              <w:jc w:val="center"/>
              <w:rPr>
                <w:color w:val="000000"/>
              </w:rPr>
            </w:pPr>
            <w:r w:rsidRPr="00585293">
              <w:t>0.54</w:t>
            </w:r>
          </w:p>
        </w:tc>
        <w:tc>
          <w:tcPr>
            <w:tcW w:w="447" w:type="pct"/>
            <w:tcBorders>
              <w:top w:val="nil"/>
              <w:left w:val="nil"/>
              <w:bottom w:val="nil"/>
              <w:right w:val="nil"/>
            </w:tcBorders>
            <w:shd w:val="clear" w:color="auto" w:fill="auto"/>
            <w:tcMar>
              <w:top w:w="28" w:type="dxa"/>
              <w:right w:w="0" w:type="dxa"/>
            </w:tcMar>
            <w:vAlign w:val="center"/>
          </w:tcPr>
          <w:p w14:paraId="4288578B" w14:textId="6745B58A" w:rsidR="004951DC" w:rsidRPr="00585293" w:rsidRDefault="004951DC" w:rsidP="004951DC">
            <w:pPr>
              <w:spacing w:after="160"/>
              <w:jc w:val="center"/>
              <w:rPr>
                <w:color w:val="000000"/>
              </w:rPr>
            </w:pPr>
            <w:r w:rsidRPr="00585293">
              <w:rPr>
                <w:color w:val="000000"/>
              </w:rPr>
              <w:t>0.56</w:t>
            </w:r>
          </w:p>
        </w:tc>
        <w:tc>
          <w:tcPr>
            <w:tcW w:w="459" w:type="pct"/>
            <w:tcBorders>
              <w:top w:val="nil"/>
              <w:left w:val="nil"/>
              <w:bottom w:val="nil"/>
              <w:right w:val="nil"/>
            </w:tcBorders>
            <w:shd w:val="clear" w:color="auto" w:fill="auto"/>
            <w:tcMar>
              <w:top w:w="28" w:type="dxa"/>
              <w:right w:w="0" w:type="dxa"/>
            </w:tcMar>
            <w:vAlign w:val="center"/>
          </w:tcPr>
          <w:p w14:paraId="03935361" w14:textId="094A58AC" w:rsidR="004951DC" w:rsidRPr="00585293" w:rsidRDefault="004951DC" w:rsidP="004951DC">
            <w:pPr>
              <w:spacing w:after="160"/>
              <w:jc w:val="center"/>
              <w:rPr>
                <w:color w:val="000000"/>
              </w:rPr>
            </w:pPr>
            <w:r w:rsidRPr="00585293">
              <w:rPr>
                <w:color w:val="000000"/>
              </w:rPr>
              <w:t>0.30</w:t>
            </w:r>
          </w:p>
        </w:tc>
        <w:tc>
          <w:tcPr>
            <w:tcW w:w="447" w:type="pct"/>
            <w:tcBorders>
              <w:top w:val="nil"/>
              <w:left w:val="nil"/>
              <w:bottom w:val="nil"/>
              <w:right w:val="nil"/>
            </w:tcBorders>
            <w:shd w:val="clear" w:color="auto" w:fill="auto"/>
            <w:tcMar>
              <w:top w:w="28" w:type="dxa"/>
              <w:right w:w="0" w:type="dxa"/>
            </w:tcMar>
            <w:vAlign w:val="center"/>
          </w:tcPr>
          <w:p w14:paraId="45F26896" w14:textId="07475BB6" w:rsidR="004951DC" w:rsidRPr="00585293" w:rsidRDefault="004951DC" w:rsidP="004951DC">
            <w:pPr>
              <w:spacing w:after="160"/>
              <w:jc w:val="center"/>
              <w:rPr>
                <w:color w:val="000000"/>
              </w:rPr>
            </w:pPr>
            <w:r w:rsidRPr="00585293">
              <w:t>0.42</w:t>
            </w:r>
          </w:p>
        </w:tc>
        <w:tc>
          <w:tcPr>
            <w:tcW w:w="447" w:type="pct"/>
            <w:tcBorders>
              <w:top w:val="nil"/>
              <w:left w:val="nil"/>
              <w:bottom w:val="nil"/>
              <w:right w:val="nil"/>
            </w:tcBorders>
            <w:shd w:val="clear" w:color="auto" w:fill="auto"/>
            <w:tcMar>
              <w:top w:w="28" w:type="dxa"/>
              <w:right w:w="0" w:type="dxa"/>
            </w:tcMar>
            <w:vAlign w:val="center"/>
          </w:tcPr>
          <w:p w14:paraId="7FA30CBE" w14:textId="3297F819" w:rsidR="004951DC" w:rsidRPr="00585293" w:rsidRDefault="004951DC" w:rsidP="004951DC">
            <w:pPr>
              <w:spacing w:after="160"/>
              <w:jc w:val="center"/>
              <w:rPr>
                <w:color w:val="000000"/>
              </w:rPr>
            </w:pPr>
            <w:r w:rsidRPr="00585293">
              <w:rPr>
                <w:color w:val="000000"/>
              </w:rPr>
              <w:t>0.71</w:t>
            </w:r>
          </w:p>
        </w:tc>
        <w:tc>
          <w:tcPr>
            <w:tcW w:w="459" w:type="pct"/>
            <w:tcBorders>
              <w:top w:val="nil"/>
              <w:left w:val="nil"/>
              <w:bottom w:val="nil"/>
              <w:right w:val="nil"/>
            </w:tcBorders>
            <w:shd w:val="clear" w:color="auto" w:fill="auto"/>
            <w:tcMar>
              <w:top w:w="28" w:type="dxa"/>
              <w:right w:w="0" w:type="dxa"/>
            </w:tcMar>
            <w:vAlign w:val="center"/>
          </w:tcPr>
          <w:p w14:paraId="2D2CD574" w14:textId="585F745B" w:rsidR="004951DC" w:rsidRPr="00585293" w:rsidRDefault="004951DC" w:rsidP="004951DC">
            <w:pPr>
              <w:spacing w:after="160"/>
              <w:jc w:val="center"/>
              <w:rPr>
                <w:color w:val="000000"/>
              </w:rPr>
            </w:pPr>
            <w:r w:rsidRPr="00585293">
              <w:rPr>
                <w:color w:val="000000"/>
              </w:rPr>
              <w:t>0.40</w:t>
            </w:r>
          </w:p>
        </w:tc>
        <w:tc>
          <w:tcPr>
            <w:tcW w:w="446" w:type="pct"/>
            <w:tcBorders>
              <w:top w:val="nil"/>
              <w:left w:val="nil"/>
              <w:bottom w:val="nil"/>
              <w:right w:val="nil"/>
            </w:tcBorders>
            <w:shd w:val="clear" w:color="auto" w:fill="auto"/>
            <w:tcMar>
              <w:top w:w="28" w:type="dxa"/>
              <w:right w:w="0" w:type="dxa"/>
            </w:tcMar>
            <w:vAlign w:val="center"/>
          </w:tcPr>
          <w:p w14:paraId="2C058381" w14:textId="4C0B4F5C" w:rsidR="004951DC" w:rsidRPr="00585293" w:rsidRDefault="004951DC" w:rsidP="004951DC">
            <w:pPr>
              <w:spacing w:after="160"/>
              <w:jc w:val="center"/>
              <w:rPr>
                <w:color w:val="000000"/>
              </w:rPr>
            </w:pPr>
            <w:r w:rsidRPr="00585293">
              <w:t>0.58</w:t>
            </w:r>
          </w:p>
        </w:tc>
      </w:tr>
      <w:tr w:rsidR="004951DC" w:rsidRPr="00585293" w14:paraId="1BB2D9E9"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tcPr>
          <w:p w14:paraId="1BE27A20" w14:textId="77777777" w:rsidR="004951DC" w:rsidRPr="00585293" w:rsidRDefault="004951DC" w:rsidP="004951DC">
            <w:pPr>
              <w:spacing w:after="160"/>
              <w:rPr>
                <w:color w:val="000000"/>
              </w:rPr>
            </w:pPr>
            <w:r w:rsidRPr="00585293">
              <w:rPr>
                <w:color w:val="000000"/>
              </w:rPr>
              <w:t>Lodger</w:t>
            </w:r>
          </w:p>
        </w:tc>
        <w:tc>
          <w:tcPr>
            <w:tcW w:w="447" w:type="pct"/>
            <w:tcBorders>
              <w:top w:val="nil"/>
              <w:left w:val="nil"/>
              <w:bottom w:val="nil"/>
              <w:right w:val="nil"/>
            </w:tcBorders>
            <w:shd w:val="clear" w:color="auto" w:fill="auto"/>
            <w:tcMar>
              <w:top w:w="28" w:type="dxa"/>
              <w:right w:w="0" w:type="dxa"/>
            </w:tcMar>
            <w:vAlign w:val="center"/>
          </w:tcPr>
          <w:p w14:paraId="5A73DF90" w14:textId="6A0FB8A5" w:rsidR="004951DC" w:rsidRPr="00585293" w:rsidRDefault="004951DC" w:rsidP="004951DC">
            <w:pPr>
              <w:spacing w:after="160"/>
              <w:jc w:val="center"/>
              <w:rPr>
                <w:color w:val="000000"/>
              </w:rPr>
            </w:pPr>
            <w:r w:rsidRPr="00585293">
              <w:rPr>
                <w:color w:val="000000"/>
              </w:rPr>
              <w:t>3.30</w:t>
            </w:r>
          </w:p>
        </w:tc>
        <w:tc>
          <w:tcPr>
            <w:tcW w:w="459" w:type="pct"/>
            <w:tcBorders>
              <w:top w:val="nil"/>
              <w:left w:val="nil"/>
              <w:bottom w:val="nil"/>
              <w:right w:val="nil"/>
            </w:tcBorders>
            <w:shd w:val="clear" w:color="auto" w:fill="auto"/>
            <w:tcMar>
              <w:top w:w="28" w:type="dxa"/>
              <w:right w:w="0" w:type="dxa"/>
            </w:tcMar>
            <w:vAlign w:val="center"/>
          </w:tcPr>
          <w:p w14:paraId="2A546B29" w14:textId="36651739" w:rsidR="004951DC" w:rsidRPr="00585293" w:rsidRDefault="004951DC" w:rsidP="004951DC">
            <w:pPr>
              <w:spacing w:after="160"/>
              <w:jc w:val="center"/>
              <w:rPr>
                <w:color w:val="000000"/>
              </w:rPr>
            </w:pPr>
            <w:r w:rsidRPr="00585293">
              <w:rPr>
                <w:color w:val="000000"/>
              </w:rPr>
              <w:t>1.54</w:t>
            </w:r>
          </w:p>
        </w:tc>
        <w:tc>
          <w:tcPr>
            <w:tcW w:w="447" w:type="pct"/>
            <w:tcBorders>
              <w:top w:val="nil"/>
              <w:left w:val="nil"/>
              <w:bottom w:val="nil"/>
              <w:right w:val="nil"/>
            </w:tcBorders>
            <w:shd w:val="clear" w:color="auto" w:fill="auto"/>
            <w:tcMar>
              <w:top w:w="28" w:type="dxa"/>
              <w:right w:w="0" w:type="dxa"/>
            </w:tcMar>
            <w:vAlign w:val="center"/>
          </w:tcPr>
          <w:p w14:paraId="039FC131" w14:textId="1ED432A3" w:rsidR="004951DC" w:rsidRPr="00585293" w:rsidRDefault="004951DC" w:rsidP="004951DC">
            <w:pPr>
              <w:spacing w:after="160"/>
              <w:jc w:val="center"/>
              <w:rPr>
                <w:color w:val="000000"/>
              </w:rPr>
            </w:pPr>
            <w:r w:rsidRPr="00585293">
              <w:t>2.10</w:t>
            </w:r>
          </w:p>
        </w:tc>
        <w:tc>
          <w:tcPr>
            <w:tcW w:w="447" w:type="pct"/>
            <w:tcBorders>
              <w:top w:val="nil"/>
              <w:left w:val="nil"/>
              <w:bottom w:val="nil"/>
              <w:right w:val="nil"/>
            </w:tcBorders>
            <w:shd w:val="clear" w:color="auto" w:fill="auto"/>
            <w:tcMar>
              <w:top w:w="28" w:type="dxa"/>
              <w:right w:w="0" w:type="dxa"/>
            </w:tcMar>
            <w:vAlign w:val="center"/>
          </w:tcPr>
          <w:p w14:paraId="22C3183E" w14:textId="292AD478" w:rsidR="004951DC" w:rsidRPr="00585293" w:rsidRDefault="004951DC" w:rsidP="004951DC">
            <w:pPr>
              <w:spacing w:after="160"/>
              <w:jc w:val="center"/>
              <w:rPr>
                <w:color w:val="000000"/>
              </w:rPr>
            </w:pPr>
            <w:r w:rsidRPr="00585293">
              <w:rPr>
                <w:color w:val="000000"/>
              </w:rPr>
              <w:t>2.84</w:t>
            </w:r>
          </w:p>
        </w:tc>
        <w:tc>
          <w:tcPr>
            <w:tcW w:w="459" w:type="pct"/>
            <w:tcBorders>
              <w:top w:val="nil"/>
              <w:left w:val="nil"/>
              <w:bottom w:val="nil"/>
              <w:right w:val="nil"/>
            </w:tcBorders>
            <w:shd w:val="clear" w:color="auto" w:fill="auto"/>
            <w:tcMar>
              <w:top w:w="28" w:type="dxa"/>
              <w:right w:w="0" w:type="dxa"/>
            </w:tcMar>
            <w:vAlign w:val="center"/>
          </w:tcPr>
          <w:p w14:paraId="3185D924" w14:textId="2521D3DD" w:rsidR="004951DC" w:rsidRPr="00585293" w:rsidRDefault="004951DC" w:rsidP="004951DC">
            <w:pPr>
              <w:spacing w:after="160"/>
              <w:jc w:val="center"/>
              <w:rPr>
                <w:color w:val="000000"/>
              </w:rPr>
            </w:pPr>
            <w:r w:rsidRPr="00585293">
              <w:rPr>
                <w:color w:val="000000"/>
              </w:rPr>
              <w:t>1.16</w:t>
            </w:r>
          </w:p>
        </w:tc>
        <w:tc>
          <w:tcPr>
            <w:tcW w:w="447" w:type="pct"/>
            <w:tcBorders>
              <w:top w:val="nil"/>
              <w:left w:val="nil"/>
              <w:bottom w:val="nil"/>
              <w:right w:val="nil"/>
            </w:tcBorders>
            <w:shd w:val="clear" w:color="auto" w:fill="auto"/>
            <w:tcMar>
              <w:top w:w="28" w:type="dxa"/>
              <w:right w:w="0" w:type="dxa"/>
            </w:tcMar>
            <w:vAlign w:val="center"/>
          </w:tcPr>
          <w:p w14:paraId="76E81304" w14:textId="5541A17A" w:rsidR="004951DC" w:rsidRPr="00585293" w:rsidRDefault="004951DC" w:rsidP="004951DC">
            <w:pPr>
              <w:spacing w:after="160"/>
              <w:jc w:val="center"/>
              <w:rPr>
                <w:color w:val="000000"/>
              </w:rPr>
            </w:pPr>
            <w:r w:rsidRPr="00585293">
              <w:t>1.69</w:t>
            </w:r>
          </w:p>
        </w:tc>
        <w:tc>
          <w:tcPr>
            <w:tcW w:w="447" w:type="pct"/>
            <w:tcBorders>
              <w:top w:val="nil"/>
              <w:left w:val="nil"/>
              <w:bottom w:val="nil"/>
              <w:right w:val="nil"/>
            </w:tcBorders>
            <w:shd w:val="clear" w:color="auto" w:fill="auto"/>
            <w:tcMar>
              <w:top w:w="28" w:type="dxa"/>
              <w:right w:w="0" w:type="dxa"/>
            </w:tcMar>
            <w:vAlign w:val="center"/>
          </w:tcPr>
          <w:p w14:paraId="402E7198" w14:textId="18907109" w:rsidR="004951DC" w:rsidRPr="00585293" w:rsidRDefault="004951DC" w:rsidP="004951DC">
            <w:pPr>
              <w:spacing w:after="160"/>
              <w:jc w:val="center"/>
              <w:rPr>
                <w:color w:val="000000"/>
              </w:rPr>
            </w:pPr>
            <w:r w:rsidRPr="00585293">
              <w:rPr>
                <w:color w:val="000000"/>
              </w:rPr>
              <w:t>1.10</w:t>
            </w:r>
          </w:p>
        </w:tc>
        <w:tc>
          <w:tcPr>
            <w:tcW w:w="459" w:type="pct"/>
            <w:tcBorders>
              <w:top w:val="nil"/>
              <w:left w:val="nil"/>
              <w:bottom w:val="nil"/>
              <w:right w:val="nil"/>
            </w:tcBorders>
            <w:shd w:val="clear" w:color="auto" w:fill="auto"/>
            <w:tcMar>
              <w:top w:w="28" w:type="dxa"/>
              <w:right w:w="0" w:type="dxa"/>
            </w:tcMar>
            <w:vAlign w:val="center"/>
          </w:tcPr>
          <w:p w14:paraId="50C8B8D9" w14:textId="404C0CC9" w:rsidR="004951DC" w:rsidRPr="00585293" w:rsidRDefault="004951DC" w:rsidP="004951DC">
            <w:pPr>
              <w:spacing w:after="160"/>
              <w:jc w:val="center"/>
              <w:rPr>
                <w:color w:val="000000"/>
              </w:rPr>
            </w:pPr>
            <w:r w:rsidRPr="00585293">
              <w:rPr>
                <w:color w:val="000000"/>
              </w:rPr>
              <w:t>0.31</w:t>
            </w:r>
          </w:p>
        </w:tc>
        <w:tc>
          <w:tcPr>
            <w:tcW w:w="446" w:type="pct"/>
            <w:tcBorders>
              <w:top w:val="nil"/>
              <w:left w:val="nil"/>
              <w:bottom w:val="nil"/>
              <w:right w:val="nil"/>
            </w:tcBorders>
            <w:shd w:val="clear" w:color="auto" w:fill="auto"/>
            <w:tcMar>
              <w:top w:w="28" w:type="dxa"/>
              <w:right w:w="0" w:type="dxa"/>
            </w:tcMar>
            <w:vAlign w:val="center"/>
          </w:tcPr>
          <w:p w14:paraId="3F683480" w14:textId="6CBE6987" w:rsidR="004951DC" w:rsidRPr="00585293" w:rsidRDefault="004951DC" w:rsidP="004951DC">
            <w:pPr>
              <w:spacing w:after="160"/>
              <w:jc w:val="center"/>
              <w:rPr>
                <w:color w:val="000000"/>
              </w:rPr>
            </w:pPr>
            <w:r w:rsidRPr="00585293">
              <w:t>0.45</w:t>
            </w:r>
          </w:p>
        </w:tc>
      </w:tr>
      <w:tr w:rsidR="004951DC" w:rsidRPr="00585293" w14:paraId="5AB05CE0" w14:textId="77777777" w:rsidTr="003E6389">
        <w:trPr>
          <w:trHeight w:hRule="exact" w:val="369"/>
        </w:trPr>
        <w:tc>
          <w:tcPr>
            <w:tcW w:w="940" w:type="pct"/>
            <w:tcBorders>
              <w:top w:val="nil"/>
              <w:left w:val="nil"/>
              <w:bottom w:val="nil"/>
              <w:right w:val="nil"/>
            </w:tcBorders>
            <w:shd w:val="clear" w:color="auto" w:fill="auto"/>
            <w:tcMar>
              <w:top w:w="28" w:type="dxa"/>
              <w:right w:w="0" w:type="dxa"/>
            </w:tcMar>
            <w:vAlign w:val="center"/>
          </w:tcPr>
          <w:p w14:paraId="375E7718" w14:textId="77777777" w:rsidR="004951DC" w:rsidRPr="00585293" w:rsidRDefault="004951DC" w:rsidP="004951DC">
            <w:pPr>
              <w:spacing w:after="160"/>
              <w:rPr>
                <w:color w:val="000000"/>
              </w:rPr>
            </w:pPr>
            <w:r w:rsidRPr="00585293">
              <w:rPr>
                <w:color w:val="000000"/>
              </w:rPr>
              <w:t>Boarder</w:t>
            </w:r>
          </w:p>
        </w:tc>
        <w:tc>
          <w:tcPr>
            <w:tcW w:w="447" w:type="pct"/>
            <w:tcBorders>
              <w:top w:val="nil"/>
              <w:left w:val="nil"/>
              <w:bottom w:val="nil"/>
              <w:right w:val="nil"/>
            </w:tcBorders>
            <w:shd w:val="clear" w:color="auto" w:fill="auto"/>
            <w:tcMar>
              <w:top w:w="28" w:type="dxa"/>
              <w:right w:w="0" w:type="dxa"/>
            </w:tcMar>
            <w:vAlign w:val="center"/>
          </w:tcPr>
          <w:p w14:paraId="3E0B9714" w14:textId="2C4A182D" w:rsidR="004951DC" w:rsidRPr="00585293" w:rsidRDefault="004951DC" w:rsidP="004951DC">
            <w:pPr>
              <w:spacing w:after="160"/>
              <w:jc w:val="center"/>
              <w:rPr>
                <w:color w:val="000000"/>
              </w:rPr>
            </w:pPr>
            <w:r w:rsidRPr="00585293">
              <w:rPr>
                <w:color w:val="000000"/>
              </w:rPr>
              <w:t>2.39</w:t>
            </w:r>
          </w:p>
        </w:tc>
        <w:tc>
          <w:tcPr>
            <w:tcW w:w="459" w:type="pct"/>
            <w:tcBorders>
              <w:top w:val="nil"/>
              <w:left w:val="nil"/>
              <w:bottom w:val="nil"/>
              <w:right w:val="nil"/>
            </w:tcBorders>
            <w:shd w:val="clear" w:color="auto" w:fill="auto"/>
            <w:tcMar>
              <w:top w:w="28" w:type="dxa"/>
              <w:right w:w="0" w:type="dxa"/>
            </w:tcMar>
            <w:vAlign w:val="center"/>
          </w:tcPr>
          <w:p w14:paraId="5DAFBF6B" w14:textId="39990AC7" w:rsidR="004951DC" w:rsidRPr="00585293" w:rsidRDefault="004951DC" w:rsidP="004951DC">
            <w:pPr>
              <w:spacing w:after="160"/>
              <w:jc w:val="center"/>
              <w:rPr>
                <w:color w:val="000000"/>
              </w:rPr>
            </w:pPr>
            <w:r w:rsidRPr="00585293">
              <w:rPr>
                <w:color w:val="000000"/>
              </w:rPr>
              <w:t>1.27</w:t>
            </w:r>
          </w:p>
        </w:tc>
        <w:tc>
          <w:tcPr>
            <w:tcW w:w="447" w:type="pct"/>
            <w:tcBorders>
              <w:top w:val="nil"/>
              <w:left w:val="nil"/>
              <w:bottom w:val="nil"/>
              <w:right w:val="nil"/>
            </w:tcBorders>
            <w:shd w:val="clear" w:color="auto" w:fill="auto"/>
            <w:tcMar>
              <w:top w:w="28" w:type="dxa"/>
              <w:right w:w="0" w:type="dxa"/>
            </w:tcMar>
            <w:vAlign w:val="center"/>
          </w:tcPr>
          <w:p w14:paraId="3A4F4DF4" w14:textId="789CF76E" w:rsidR="004951DC" w:rsidRPr="00585293" w:rsidRDefault="004951DC" w:rsidP="004951DC">
            <w:pPr>
              <w:spacing w:after="160"/>
              <w:jc w:val="center"/>
              <w:rPr>
                <w:color w:val="000000"/>
              </w:rPr>
            </w:pPr>
            <w:r w:rsidRPr="00585293">
              <w:t>1.96</w:t>
            </w:r>
          </w:p>
        </w:tc>
        <w:tc>
          <w:tcPr>
            <w:tcW w:w="447" w:type="pct"/>
            <w:tcBorders>
              <w:top w:val="nil"/>
              <w:left w:val="nil"/>
              <w:bottom w:val="nil"/>
              <w:right w:val="nil"/>
            </w:tcBorders>
            <w:shd w:val="clear" w:color="auto" w:fill="auto"/>
            <w:tcMar>
              <w:top w:w="28" w:type="dxa"/>
              <w:right w:w="0" w:type="dxa"/>
            </w:tcMar>
            <w:vAlign w:val="center"/>
          </w:tcPr>
          <w:p w14:paraId="0F6E5A91" w14:textId="30859D91" w:rsidR="004951DC" w:rsidRPr="00585293" w:rsidRDefault="004951DC" w:rsidP="004951DC">
            <w:pPr>
              <w:spacing w:after="160"/>
              <w:jc w:val="center"/>
              <w:rPr>
                <w:color w:val="000000"/>
              </w:rPr>
            </w:pPr>
            <w:r w:rsidRPr="00585293">
              <w:rPr>
                <w:color w:val="000000"/>
              </w:rPr>
              <w:t>2.29</w:t>
            </w:r>
          </w:p>
        </w:tc>
        <w:tc>
          <w:tcPr>
            <w:tcW w:w="459" w:type="pct"/>
            <w:tcBorders>
              <w:top w:val="nil"/>
              <w:left w:val="nil"/>
              <w:bottom w:val="nil"/>
              <w:right w:val="nil"/>
            </w:tcBorders>
            <w:shd w:val="clear" w:color="auto" w:fill="auto"/>
            <w:tcMar>
              <w:top w:w="28" w:type="dxa"/>
              <w:right w:w="0" w:type="dxa"/>
            </w:tcMar>
            <w:vAlign w:val="center"/>
          </w:tcPr>
          <w:p w14:paraId="179526BF" w14:textId="7526F46A" w:rsidR="004951DC" w:rsidRPr="00585293" w:rsidRDefault="004951DC" w:rsidP="004951DC">
            <w:pPr>
              <w:spacing w:after="160"/>
              <w:jc w:val="center"/>
              <w:rPr>
                <w:color w:val="000000"/>
              </w:rPr>
            </w:pPr>
            <w:r w:rsidRPr="00585293">
              <w:rPr>
                <w:color w:val="000000"/>
              </w:rPr>
              <w:t>1.06</w:t>
            </w:r>
          </w:p>
        </w:tc>
        <w:tc>
          <w:tcPr>
            <w:tcW w:w="447" w:type="pct"/>
            <w:tcBorders>
              <w:top w:val="nil"/>
              <w:left w:val="nil"/>
              <w:bottom w:val="nil"/>
              <w:right w:val="nil"/>
            </w:tcBorders>
            <w:shd w:val="clear" w:color="auto" w:fill="auto"/>
            <w:tcMar>
              <w:top w:w="28" w:type="dxa"/>
              <w:right w:w="0" w:type="dxa"/>
            </w:tcMar>
            <w:vAlign w:val="center"/>
          </w:tcPr>
          <w:p w14:paraId="4FFC3E75" w14:textId="0428D11E" w:rsidR="004951DC" w:rsidRPr="00585293" w:rsidRDefault="004951DC" w:rsidP="004951DC">
            <w:pPr>
              <w:spacing w:after="160"/>
              <w:jc w:val="center"/>
              <w:rPr>
                <w:color w:val="000000"/>
              </w:rPr>
            </w:pPr>
            <w:r w:rsidRPr="00585293">
              <w:t>1.73</w:t>
            </w:r>
          </w:p>
        </w:tc>
        <w:tc>
          <w:tcPr>
            <w:tcW w:w="447" w:type="pct"/>
            <w:tcBorders>
              <w:top w:val="nil"/>
              <w:left w:val="nil"/>
              <w:bottom w:val="nil"/>
              <w:right w:val="nil"/>
            </w:tcBorders>
            <w:shd w:val="clear" w:color="auto" w:fill="auto"/>
            <w:tcMar>
              <w:top w:w="28" w:type="dxa"/>
              <w:right w:w="0" w:type="dxa"/>
            </w:tcMar>
            <w:vAlign w:val="center"/>
          </w:tcPr>
          <w:p w14:paraId="1AF4FCE0" w14:textId="52FCF919" w:rsidR="004951DC" w:rsidRPr="00585293" w:rsidRDefault="004951DC" w:rsidP="004951DC">
            <w:pPr>
              <w:spacing w:after="160"/>
              <w:jc w:val="center"/>
              <w:rPr>
                <w:color w:val="000000"/>
              </w:rPr>
            </w:pPr>
            <w:r w:rsidRPr="00585293">
              <w:rPr>
                <w:color w:val="000000"/>
              </w:rPr>
              <w:t>4.22</w:t>
            </w:r>
          </w:p>
        </w:tc>
        <w:tc>
          <w:tcPr>
            <w:tcW w:w="459" w:type="pct"/>
            <w:tcBorders>
              <w:top w:val="nil"/>
              <w:left w:val="nil"/>
              <w:bottom w:val="nil"/>
              <w:right w:val="nil"/>
            </w:tcBorders>
            <w:shd w:val="clear" w:color="auto" w:fill="auto"/>
            <w:tcMar>
              <w:top w:w="28" w:type="dxa"/>
              <w:right w:w="0" w:type="dxa"/>
            </w:tcMar>
            <w:vAlign w:val="center"/>
          </w:tcPr>
          <w:p w14:paraId="4395E635" w14:textId="1BD4160B" w:rsidR="004951DC" w:rsidRPr="00585293" w:rsidRDefault="004951DC" w:rsidP="004951DC">
            <w:pPr>
              <w:spacing w:after="160"/>
              <w:jc w:val="center"/>
              <w:rPr>
                <w:color w:val="000000"/>
              </w:rPr>
            </w:pPr>
            <w:r w:rsidRPr="00585293">
              <w:rPr>
                <w:color w:val="000000"/>
              </w:rPr>
              <w:t>2.29</w:t>
            </w:r>
          </w:p>
        </w:tc>
        <w:tc>
          <w:tcPr>
            <w:tcW w:w="446" w:type="pct"/>
            <w:tcBorders>
              <w:top w:val="nil"/>
              <w:left w:val="nil"/>
              <w:bottom w:val="nil"/>
              <w:right w:val="nil"/>
            </w:tcBorders>
            <w:shd w:val="clear" w:color="auto" w:fill="auto"/>
            <w:tcMar>
              <w:top w:w="28" w:type="dxa"/>
              <w:right w:w="0" w:type="dxa"/>
            </w:tcMar>
            <w:vAlign w:val="center"/>
          </w:tcPr>
          <w:p w14:paraId="68AD4802" w14:textId="6C875E00" w:rsidR="004951DC" w:rsidRPr="00585293" w:rsidRDefault="004951DC" w:rsidP="004951DC">
            <w:pPr>
              <w:spacing w:after="160"/>
              <w:jc w:val="center"/>
              <w:rPr>
                <w:color w:val="000000"/>
              </w:rPr>
            </w:pPr>
            <w:r w:rsidRPr="00585293">
              <w:t>3.44</w:t>
            </w:r>
          </w:p>
        </w:tc>
      </w:tr>
      <w:tr w:rsidR="0007384C" w:rsidRPr="00585293" w14:paraId="5C72E329" w14:textId="77777777" w:rsidTr="00805634">
        <w:trPr>
          <w:trHeight w:hRule="exact" w:val="369"/>
        </w:trPr>
        <w:tc>
          <w:tcPr>
            <w:tcW w:w="5000" w:type="pct"/>
            <w:gridSpan w:val="10"/>
            <w:tcBorders>
              <w:top w:val="nil"/>
              <w:left w:val="nil"/>
              <w:right w:val="nil"/>
            </w:tcBorders>
            <w:shd w:val="clear" w:color="auto" w:fill="auto"/>
            <w:tcMar>
              <w:top w:w="28" w:type="dxa"/>
              <w:left w:w="0" w:type="dxa"/>
              <w:right w:w="0" w:type="dxa"/>
            </w:tcMar>
            <w:vAlign w:val="center"/>
          </w:tcPr>
          <w:p w14:paraId="3AE7E9A6" w14:textId="77777777" w:rsidR="0007384C" w:rsidRPr="00585293" w:rsidRDefault="0007384C" w:rsidP="00805634">
            <w:pPr>
              <w:spacing w:after="160"/>
              <w:rPr>
                <w:b/>
                <w:bCs/>
                <w:color w:val="000000"/>
              </w:rPr>
            </w:pPr>
            <w:r w:rsidRPr="00585293">
              <w:rPr>
                <w:b/>
                <w:bCs/>
                <w:color w:val="000000"/>
              </w:rPr>
              <w:t>Marital Status (Son) in 1881/1891/1911</w:t>
            </w:r>
          </w:p>
          <w:p w14:paraId="6DFB4AD6" w14:textId="77777777" w:rsidR="0007384C" w:rsidRPr="00585293" w:rsidRDefault="0007384C" w:rsidP="00805634">
            <w:pPr>
              <w:spacing w:after="160"/>
              <w:jc w:val="center"/>
              <w:rPr>
                <w:color w:val="000000"/>
              </w:rPr>
            </w:pPr>
          </w:p>
        </w:tc>
      </w:tr>
      <w:tr w:rsidR="002124B4" w:rsidRPr="00585293" w14:paraId="248C1D44"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3E8179A1" w14:textId="77777777" w:rsidR="002124B4" w:rsidRPr="00585293" w:rsidRDefault="002124B4" w:rsidP="002124B4">
            <w:pPr>
              <w:spacing w:after="160"/>
              <w:rPr>
                <w:color w:val="000000"/>
              </w:rPr>
            </w:pPr>
            <w:r w:rsidRPr="00585293">
              <w:rPr>
                <w:color w:val="000000"/>
              </w:rPr>
              <w:t>Single</w:t>
            </w:r>
          </w:p>
        </w:tc>
        <w:tc>
          <w:tcPr>
            <w:tcW w:w="447" w:type="pct"/>
            <w:tcBorders>
              <w:top w:val="nil"/>
              <w:left w:val="nil"/>
              <w:right w:val="nil"/>
            </w:tcBorders>
            <w:shd w:val="clear" w:color="auto" w:fill="auto"/>
            <w:tcMar>
              <w:top w:w="28" w:type="dxa"/>
              <w:right w:w="0" w:type="dxa"/>
            </w:tcMar>
            <w:vAlign w:val="center"/>
          </w:tcPr>
          <w:p w14:paraId="0823F83F" w14:textId="58CA928A" w:rsidR="002124B4" w:rsidRPr="00585293" w:rsidRDefault="002124B4" w:rsidP="002124B4">
            <w:pPr>
              <w:spacing w:after="160"/>
              <w:jc w:val="center"/>
              <w:rPr>
                <w:color w:val="000000"/>
              </w:rPr>
            </w:pPr>
            <w:r w:rsidRPr="00585293">
              <w:rPr>
                <w:color w:val="000000"/>
              </w:rPr>
              <w:t>12.33</w:t>
            </w:r>
          </w:p>
        </w:tc>
        <w:tc>
          <w:tcPr>
            <w:tcW w:w="459" w:type="pct"/>
            <w:tcBorders>
              <w:top w:val="nil"/>
              <w:left w:val="nil"/>
              <w:right w:val="nil"/>
            </w:tcBorders>
            <w:shd w:val="clear" w:color="auto" w:fill="auto"/>
            <w:tcMar>
              <w:top w:w="28" w:type="dxa"/>
              <w:right w:w="0" w:type="dxa"/>
            </w:tcMar>
            <w:vAlign w:val="center"/>
          </w:tcPr>
          <w:p w14:paraId="66F74BCC" w14:textId="23690D52" w:rsidR="002124B4" w:rsidRPr="00585293" w:rsidRDefault="002124B4" w:rsidP="002124B4">
            <w:pPr>
              <w:spacing w:after="160"/>
              <w:jc w:val="center"/>
              <w:rPr>
                <w:color w:val="000000"/>
              </w:rPr>
            </w:pPr>
            <w:r w:rsidRPr="00585293">
              <w:rPr>
                <w:color w:val="000000"/>
              </w:rPr>
              <w:t>11.17</w:t>
            </w:r>
          </w:p>
        </w:tc>
        <w:tc>
          <w:tcPr>
            <w:tcW w:w="447" w:type="pct"/>
            <w:tcBorders>
              <w:top w:val="nil"/>
              <w:left w:val="nil"/>
              <w:right w:val="nil"/>
            </w:tcBorders>
            <w:shd w:val="clear" w:color="auto" w:fill="auto"/>
            <w:tcMar>
              <w:top w:w="28" w:type="dxa"/>
              <w:right w:w="0" w:type="dxa"/>
            </w:tcMar>
            <w:vAlign w:val="center"/>
          </w:tcPr>
          <w:p w14:paraId="3823B2D1" w14:textId="3A96004E" w:rsidR="002124B4" w:rsidRPr="00585293" w:rsidRDefault="002124B4" w:rsidP="002124B4">
            <w:pPr>
              <w:spacing w:after="160"/>
              <w:jc w:val="center"/>
              <w:rPr>
                <w:color w:val="000000"/>
              </w:rPr>
            </w:pPr>
            <w:r w:rsidRPr="00585293">
              <w:t>13.40</w:t>
            </w:r>
          </w:p>
        </w:tc>
        <w:tc>
          <w:tcPr>
            <w:tcW w:w="447" w:type="pct"/>
            <w:tcBorders>
              <w:top w:val="nil"/>
              <w:left w:val="nil"/>
              <w:right w:val="nil"/>
            </w:tcBorders>
            <w:shd w:val="clear" w:color="auto" w:fill="auto"/>
            <w:tcMar>
              <w:top w:w="28" w:type="dxa"/>
              <w:right w:w="0" w:type="dxa"/>
            </w:tcMar>
            <w:vAlign w:val="center"/>
          </w:tcPr>
          <w:p w14:paraId="4C8FD05F" w14:textId="517F9D37" w:rsidR="002124B4" w:rsidRPr="00585293" w:rsidRDefault="002124B4" w:rsidP="002124B4">
            <w:pPr>
              <w:spacing w:after="160"/>
              <w:jc w:val="center"/>
              <w:rPr>
                <w:color w:val="000000"/>
              </w:rPr>
            </w:pPr>
            <w:r w:rsidRPr="00585293">
              <w:rPr>
                <w:color w:val="000000"/>
              </w:rPr>
              <w:t>12.44</w:t>
            </w:r>
          </w:p>
        </w:tc>
        <w:tc>
          <w:tcPr>
            <w:tcW w:w="459" w:type="pct"/>
            <w:tcBorders>
              <w:top w:val="nil"/>
              <w:left w:val="nil"/>
              <w:right w:val="nil"/>
            </w:tcBorders>
            <w:shd w:val="clear" w:color="auto" w:fill="auto"/>
            <w:tcMar>
              <w:top w:w="28" w:type="dxa"/>
              <w:right w:w="0" w:type="dxa"/>
            </w:tcMar>
            <w:vAlign w:val="center"/>
          </w:tcPr>
          <w:p w14:paraId="44399B30" w14:textId="699772C1" w:rsidR="002124B4" w:rsidRPr="00585293" w:rsidRDefault="002124B4" w:rsidP="002124B4">
            <w:pPr>
              <w:spacing w:after="160"/>
              <w:jc w:val="center"/>
              <w:rPr>
                <w:color w:val="000000"/>
              </w:rPr>
            </w:pPr>
            <w:r w:rsidRPr="00585293">
              <w:rPr>
                <w:color w:val="000000"/>
              </w:rPr>
              <w:t>10.35</w:t>
            </w:r>
          </w:p>
        </w:tc>
        <w:tc>
          <w:tcPr>
            <w:tcW w:w="447" w:type="pct"/>
            <w:tcBorders>
              <w:top w:val="nil"/>
              <w:left w:val="nil"/>
              <w:right w:val="nil"/>
            </w:tcBorders>
            <w:shd w:val="clear" w:color="auto" w:fill="auto"/>
            <w:tcMar>
              <w:top w:w="28" w:type="dxa"/>
              <w:right w:w="0" w:type="dxa"/>
            </w:tcMar>
            <w:vAlign w:val="center"/>
          </w:tcPr>
          <w:p w14:paraId="71034FA2" w14:textId="735DA1E9" w:rsidR="002124B4" w:rsidRPr="00585293" w:rsidRDefault="002124B4" w:rsidP="002124B4">
            <w:pPr>
              <w:spacing w:after="160"/>
              <w:jc w:val="center"/>
              <w:rPr>
                <w:color w:val="000000"/>
              </w:rPr>
            </w:pPr>
            <w:r w:rsidRPr="00585293">
              <w:t>13.55</w:t>
            </w:r>
          </w:p>
        </w:tc>
        <w:tc>
          <w:tcPr>
            <w:tcW w:w="447" w:type="pct"/>
            <w:tcBorders>
              <w:top w:val="nil"/>
              <w:left w:val="nil"/>
              <w:right w:val="nil"/>
            </w:tcBorders>
            <w:shd w:val="clear" w:color="auto" w:fill="auto"/>
            <w:tcMar>
              <w:top w:w="28" w:type="dxa"/>
              <w:right w:w="0" w:type="dxa"/>
            </w:tcMar>
            <w:vAlign w:val="center"/>
          </w:tcPr>
          <w:p w14:paraId="2712F9D5" w14:textId="6AF9C9DA" w:rsidR="002124B4" w:rsidRPr="00585293" w:rsidRDefault="002124B4" w:rsidP="002124B4">
            <w:pPr>
              <w:spacing w:after="160"/>
              <w:jc w:val="center"/>
              <w:rPr>
                <w:color w:val="000000"/>
              </w:rPr>
            </w:pPr>
            <w:r w:rsidRPr="00585293">
              <w:rPr>
                <w:color w:val="000000"/>
              </w:rPr>
              <w:t>15.53</w:t>
            </w:r>
          </w:p>
        </w:tc>
        <w:tc>
          <w:tcPr>
            <w:tcW w:w="459" w:type="pct"/>
            <w:tcBorders>
              <w:top w:val="nil"/>
              <w:left w:val="nil"/>
              <w:right w:val="nil"/>
            </w:tcBorders>
            <w:shd w:val="clear" w:color="auto" w:fill="auto"/>
            <w:tcMar>
              <w:top w:w="28" w:type="dxa"/>
              <w:right w:w="0" w:type="dxa"/>
            </w:tcMar>
            <w:vAlign w:val="center"/>
          </w:tcPr>
          <w:p w14:paraId="1E071D26" w14:textId="20DB27E7" w:rsidR="002124B4" w:rsidRPr="00585293" w:rsidRDefault="002124B4" w:rsidP="002124B4">
            <w:pPr>
              <w:spacing w:after="160"/>
              <w:jc w:val="center"/>
              <w:rPr>
                <w:color w:val="000000"/>
              </w:rPr>
            </w:pPr>
            <w:r w:rsidRPr="00585293">
              <w:rPr>
                <w:color w:val="000000"/>
              </w:rPr>
              <w:t>13.40</w:t>
            </w:r>
          </w:p>
        </w:tc>
        <w:tc>
          <w:tcPr>
            <w:tcW w:w="446" w:type="pct"/>
            <w:tcBorders>
              <w:top w:val="nil"/>
              <w:left w:val="nil"/>
              <w:right w:val="nil"/>
            </w:tcBorders>
            <w:shd w:val="clear" w:color="auto" w:fill="auto"/>
            <w:tcMar>
              <w:top w:w="28" w:type="dxa"/>
              <w:right w:w="0" w:type="dxa"/>
            </w:tcMar>
            <w:vAlign w:val="center"/>
          </w:tcPr>
          <w:p w14:paraId="11F5FA32" w14:textId="373F660A" w:rsidR="002124B4" w:rsidRPr="00585293" w:rsidRDefault="002124B4" w:rsidP="002124B4">
            <w:pPr>
              <w:spacing w:after="160"/>
              <w:jc w:val="center"/>
              <w:rPr>
                <w:color w:val="000000"/>
              </w:rPr>
            </w:pPr>
            <w:r w:rsidRPr="00585293">
              <w:t>16.82</w:t>
            </w:r>
          </w:p>
        </w:tc>
      </w:tr>
      <w:tr w:rsidR="002124B4" w:rsidRPr="00585293" w14:paraId="1A3B6525"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2E4B9006" w14:textId="77777777" w:rsidR="002124B4" w:rsidRPr="00585293" w:rsidRDefault="002124B4" w:rsidP="002124B4">
            <w:pPr>
              <w:spacing w:after="160"/>
              <w:rPr>
                <w:color w:val="000000"/>
              </w:rPr>
            </w:pPr>
            <w:r w:rsidRPr="00585293">
              <w:rPr>
                <w:color w:val="000000"/>
              </w:rPr>
              <w:t>Married</w:t>
            </w:r>
          </w:p>
        </w:tc>
        <w:tc>
          <w:tcPr>
            <w:tcW w:w="447" w:type="pct"/>
            <w:tcBorders>
              <w:top w:val="nil"/>
              <w:left w:val="nil"/>
              <w:right w:val="nil"/>
            </w:tcBorders>
            <w:shd w:val="clear" w:color="auto" w:fill="auto"/>
            <w:tcMar>
              <w:top w:w="28" w:type="dxa"/>
              <w:right w:w="0" w:type="dxa"/>
            </w:tcMar>
            <w:vAlign w:val="center"/>
          </w:tcPr>
          <w:p w14:paraId="23E0F340" w14:textId="56FCDD05" w:rsidR="002124B4" w:rsidRPr="00585293" w:rsidRDefault="002124B4" w:rsidP="002124B4">
            <w:pPr>
              <w:spacing w:after="160"/>
              <w:jc w:val="center"/>
              <w:rPr>
                <w:color w:val="000000"/>
              </w:rPr>
            </w:pPr>
            <w:r w:rsidRPr="00585293">
              <w:rPr>
                <w:color w:val="000000"/>
              </w:rPr>
              <w:t>83.57</w:t>
            </w:r>
          </w:p>
        </w:tc>
        <w:tc>
          <w:tcPr>
            <w:tcW w:w="459" w:type="pct"/>
            <w:tcBorders>
              <w:top w:val="nil"/>
              <w:left w:val="nil"/>
              <w:right w:val="nil"/>
            </w:tcBorders>
            <w:shd w:val="clear" w:color="auto" w:fill="auto"/>
            <w:tcMar>
              <w:top w:w="28" w:type="dxa"/>
              <w:right w:w="0" w:type="dxa"/>
            </w:tcMar>
            <w:vAlign w:val="center"/>
          </w:tcPr>
          <w:p w14:paraId="07E09327" w14:textId="53D52950" w:rsidR="002124B4" w:rsidRPr="00585293" w:rsidRDefault="002124B4" w:rsidP="002124B4">
            <w:pPr>
              <w:spacing w:after="160"/>
              <w:jc w:val="center"/>
              <w:rPr>
                <w:color w:val="000000"/>
              </w:rPr>
            </w:pPr>
            <w:r w:rsidRPr="00585293">
              <w:rPr>
                <w:color w:val="000000"/>
              </w:rPr>
              <w:t>85.50</w:t>
            </w:r>
          </w:p>
        </w:tc>
        <w:tc>
          <w:tcPr>
            <w:tcW w:w="447" w:type="pct"/>
            <w:tcBorders>
              <w:top w:val="nil"/>
              <w:left w:val="nil"/>
              <w:right w:val="nil"/>
            </w:tcBorders>
            <w:shd w:val="clear" w:color="auto" w:fill="auto"/>
            <w:tcMar>
              <w:top w:w="28" w:type="dxa"/>
              <w:right w:w="0" w:type="dxa"/>
            </w:tcMar>
            <w:vAlign w:val="center"/>
          </w:tcPr>
          <w:p w14:paraId="4D79FBC9" w14:textId="6CC93102" w:rsidR="002124B4" w:rsidRPr="00585293" w:rsidRDefault="002124B4" w:rsidP="002124B4">
            <w:pPr>
              <w:spacing w:after="160"/>
              <w:jc w:val="center"/>
              <w:rPr>
                <w:color w:val="000000"/>
              </w:rPr>
            </w:pPr>
            <w:r w:rsidRPr="00585293">
              <w:rPr>
                <w:color w:val="000000"/>
              </w:rPr>
              <w:t>82.48</w:t>
            </w:r>
          </w:p>
        </w:tc>
        <w:tc>
          <w:tcPr>
            <w:tcW w:w="447" w:type="pct"/>
            <w:tcBorders>
              <w:top w:val="nil"/>
              <w:left w:val="nil"/>
              <w:right w:val="nil"/>
            </w:tcBorders>
            <w:shd w:val="clear" w:color="auto" w:fill="auto"/>
            <w:tcMar>
              <w:top w:w="28" w:type="dxa"/>
              <w:right w:w="0" w:type="dxa"/>
            </w:tcMar>
            <w:vAlign w:val="center"/>
          </w:tcPr>
          <w:p w14:paraId="5BBD25D6" w14:textId="68C5448D" w:rsidR="002124B4" w:rsidRPr="00585293" w:rsidRDefault="002124B4" w:rsidP="002124B4">
            <w:pPr>
              <w:spacing w:after="160"/>
              <w:jc w:val="center"/>
              <w:rPr>
                <w:color w:val="000000"/>
              </w:rPr>
            </w:pPr>
            <w:r w:rsidRPr="00585293">
              <w:rPr>
                <w:color w:val="000000"/>
              </w:rPr>
              <w:t>84.08</w:t>
            </w:r>
          </w:p>
        </w:tc>
        <w:tc>
          <w:tcPr>
            <w:tcW w:w="459" w:type="pct"/>
            <w:tcBorders>
              <w:top w:val="nil"/>
              <w:left w:val="nil"/>
              <w:right w:val="nil"/>
            </w:tcBorders>
            <w:shd w:val="clear" w:color="auto" w:fill="auto"/>
            <w:tcMar>
              <w:top w:w="28" w:type="dxa"/>
              <w:right w:w="0" w:type="dxa"/>
            </w:tcMar>
            <w:vAlign w:val="center"/>
          </w:tcPr>
          <w:p w14:paraId="511E3FC9" w14:textId="77777777" w:rsidR="002124B4" w:rsidRDefault="002124B4" w:rsidP="002124B4">
            <w:pPr>
              <w:spacing w:after="160"/>
              <w:jc w:val="center"/>
              <w:rPr>
                <w:color w:val="000000"/>
              </w:rPr>
            </w:pPr>
            <w:r w:rsidRPr="00585293">
              <w:rPr>
                <w:color w:val="000000"/>
              </w:rPr>
              <w:t>86.75</w:t>
            </w:r>
          </w:p>
          <w:p w14:paraId="02615817" w14:textId="25D0B2B1" w:rsidR="00C96E3C" w:rsidRPr="00C96E3C" w:rsidRDefault="00C96E3C" w:rsidP="00C96E3C"/>
        </w:tc>
        <w:tc>
          <w:tcPr>
            <w:tcW w:w="447" w:type="pct"/>
            <w:tcBorders>
              <w:top w:val="nil"/>
              <w:left w:val="nil"/>
              <w:right w:val="nil"/>
            </w:tcBorders>
            <w:shd w:val="clear" w:color="auto" w:fill="auto"/>
            <w:tcMar>
              <w:top w:w="28" w:type="dxa"/>
              <w:right w:w="0" w:type="dxa"/>
            </w:tcMar>
            <w:vAlign w:val="center"/>
          </w:tcPr>
          <w:p w14:paraId="6B7D198F" w14:textId="5E738BF6" w:rsidR="002124B4" w:rsidRPr="00585293" w:rsidRDefault="002124B4" w:rsidP="002124B4">
            <w:pPr>
              <w:spacing w:after="160"/>
              <w:jc w:val="center"/>
              <w:rPr>
                <w:color w:val="000000"/>
              </w:rPr>
            </w:pPr>
            <w:r w:rsidRPr="00585293">
              <w:rPr>
                <w:color w:val="000000"/>
              </w:rPr>
              <w:t>82.75</w:t>
            </w:r>
          </w:p>
        </w:tc>
        <w:tc>
          <w:tcPr>
            <w:tcW w:w="447" w:type="pct"/>
            <w:tcBorders>
              <w:top w:val="nil"/>
              <w:left w:val="nil"/>
              <w:right w:val="nil"/>
            </w:tcBorders>
            <w:shd w:val="clear" w:color="auto" w:fill="auto"/>
            <w:tcMar>
              <w:top w:w="28" w:type="dxa"/>
              <w:right w:w="0" w:type="dxa"/>
            </w:tcMar>
            <w:vAlign w:val="center"/>
          </w:tcPr>
          <w:p w14:paraId="394A6D6D" w14:textId="0BAD7E03" w:rsidR="002124B4" w:rsidRPr="00585293" w:rsidRDefault="002124B4" w:rsidP="002124B4">
            <w:pPr>
              <w:spacing w:after="160"/>
              <w:jc w:val="center"/>
              <w:rPr>
                <w:color w:val="000000"/>
              </w:rPr>
            </w:pPr>
            <w:r w:rsidRPr="00585293">
              <w:rPr>
                <w:color w:val="000000"/>
              </w:rPr>
              <w:t>81.46</w:t>
            </w:r>
          </w:p>
        </w:tc>
        <w:tc>
          <w:tcPr>
            <w:tcW w:w="459" w:type="pct"/>
            <w:tcBorders>
              <w:top w:val="nil"/>
              <w:left w:val="nil"/>
              <w:right w:val="nil"/>
            </w:tcBorders>
            <w:shd w:val="clear" w:color="auto" w:fill="auto"/>
            <w:tcMar>
              <w:top w:w="28" w:type="dxa"/>
              <w:right w:w="0" w:type="dxa"/>
            </w:tcMar>
            <w:vAlign w:val="center"/>
          </w:tcPr>
          <w:p w14:paraId="7754BD58" w14:textId="25B44962" w:rsidR="002124B4" w:rsidRPr="00585293" w:rsidRDefault="002124B4" w:rsidP="002124B4">
            <w:pPr>
              <w:spacing w:after="160"/>
              <w:jc w:val="center"/>
              <w:rPr>
                <w:color w:val="000000"/>
              </w:rPr>
            </w:pPr>
            <w:r w:rsidRPr="00585293">
              <w:rPr>
                <w:color w:val="000000"/>
              </w:rPr>
              <w:t>84.33</w:t>
            </w:r>
          </w:p>
        </w:tc>
        <w:tc>
          <w:tcPr>
            <w:tcW w:w="446" w:type="pct"/>
            <w:tcBorders>
              <w:top w:val="nil"/>
              <w:left w:val="nil"/>
              <w:right w:val="nil"/>
            </w:tcBorders>
            <w:shd w:val="clear" w:color="auto" w:fill="auto"/>
            <w:tcMar>
              <w:top w:w="28" w:type="dxa"/>
              <w:right w:w="0" w:type="dxa"/>
            </w:tcMar>
            <w:vAlign w:val="center"/>
          </w:tcPr>
          <w:p w14:paraId="08F0D581" w14:textId="3506A0D0" w:rsidR="002124B4" w:rsidRPr="00585293" w:rsidRDefault="002124B4" w:rsidP="002124B4">
            <w:pPr>
              <w:spacing w:after="160"/>
              <w:jc w:val="center"/>
              <w:rPr>
                <w:color w:val="000000"/>
              </w:rPr>
            </w:pPr>
            <w:r w:rsidRPr="00585293">
              <w:rPr>
                <w:color w:val="000000"/>
              </w:rPr>
              <w:t>80.00</w:t>
            </w:r>
          </w:p>
        </w:tc>
      </w:tr>
      <w:tr w:rsidR="0007384C" w:rsidRPr="00585293" w14:paraId="76C1534D" w14:textId="77777777" w:rsidTr="00805634">
        <w:trPr>
          <w:trHeight w:hRule="exact" w:val="369"/>
        </w:trPr>
        <w:tc>
          <w:tcPr>
            <w:tcW w:w="5000" w:type="pct"/>
            <w:gridSpan w:val="10"/>
            <w:tcBorders>
              <w:top w:val="nil"/>
              <w:left w:val="nil"/>
              <w:right w:val="nil"/>
            </w:tcBorders>
            <w:shd w:val="clear" w:color="auto" w:fill="auto"/>
            <w:tcMar>
              <w:top w:w="28" w:type="dxa"/>
              <w:left w:w="0" w:type="dxa"/>
              <w:right w:w="0" w:type="dxa"/>
            </w:tcMar>
            <w:vAlign w:val="center"/>
          </w:tcPr>
          <w:p w14:paraId="73A40784" w14:textId="77777777" w:rsidR="0007384C" w:rsidRPr="00585293" w:rsidRDefault="0007384C" w:rsidP="00805634">
            <w:pPr>
              <w:spacing w:after="160"/>
              <w:rPr>
                <w:color w:val="000000"/>
              </w:rPr>
            </w:pPr>
            <w:r w:rsidRPr="00585293">
              <w:rPr>
                <w:b/>
                <w:bCs/>
                <w:color w:val="000000"/>
              </w:rPr>
              <w:lastRenderedPageBreak/>
              <w:t>Occupational Structure (Son) in 1881/1891/1911</w:t>
            </w:r>
          </w:p>
        </w:tc>
      </w:tr>
      <w:tr w:rsidR="002124B4" w:rsidRPr="00585293" w14:paraId="1E0D0257"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71A5B704" w14:textId="77777777" w:rsidR="002124B4" w:rsidRPr="00585293" w:rsidRDefault="002124B4" w:rsidP="002124B4">
            <w:pPr>
              <w:spacing w:after="160"/>
              <w:rPr>
                <w:color w:val="000000"/>
              </w:rPr>
            </w:pPr>
            <w:r w:rsidRPr="00585293">
              <w:rPr>
                <w:color w:val="000000"/>
              </w:rPr>
              <w:t>Agriculture</w:t>
            </w:r>
          </w:p>
        </w:tc>
        <w:tc>
          <w:tcPr>
            <w:tcW w:w="447" w:type="pct"/>
            <w:tcBorders>
              <w:top w:val="nil"/>
              <w:left w:val="nil"/>
              <w:right w:val="nil"/>
            </w:tcBorders>
            <w:shd w:val="clear" w:color="auto" w:fill="auto"/>
            <w:tcMar>
              <w:top w:w="28" w:type="dxa"/>
              <w:right w:w="0" w:type="dxa"/>
            </w:tcMar>
            <w:vAlign w:val="center"/>
          </w:tcPr>
          <w:p w14:paraId="7D6B1301" w14:textId="67B0EAD6" w:rsidR="002124B4" w:rsidRPr="00585293" w:rsidRDefault="002124B4" w:rsidP="002124B4">
            <w:pPr>
              <w:spacing w:after="160"/>
              <w:jc w:val="center"/>
              <w:rPr>
                <w:color w:val="000000"/>
              </w:rPr>
            </w:pPr>
            <w:r w:rsidRPr="00585293">
              <w:rPr>
                <w:color w:val="000000"/>
              </w:rPr>
              <w:t>15.71</w:t>
            </w:r>
          </w:p>
        </w:tc>
        <w:tc>
          <w:tcPr>
            <w:tcW w:w="459" w:type="pct"/>
            <w:tcBorders>
              <w:top w:val="nil"/>
              <w:left w:val="nil"/>
              <w:right w:val="nil"/>
            </w:tcBorders>
            <w:shd w:val="clear" w:color="auto" w:fill="auto"/>
            <w:tcMar>
              <w:top w:w="28" w:type="dxa"/>
              <w:right w:w="0" w:type="dxa"/>
            </w:tcMar>
            <w:vAlign w:val="center"/>
          </w:tcPr>
          <w:p w14:paraId="0FC505A0" w14:textId="43C66A5E" w:rsidR="002124B4" w:rsidRPr="00585293" w:rsidRDefault="002124B4" w:rsidP="002124B4">
            <w:pPr>
              <w:spacing w:after="160"/>
              <w:jc w:val="center"/>
              <w:rPr>
                <w:color w:val="000000"/>
              </w:rPr>
            </w:pPr>
            <w:r w:rsidRPr="00585293">
              <w:rPr>
                <w:color w:val="000000"/>
              </w:rPr>
              <w:t>23.76</w:t>
            </w:r>
          </w:p>
        </w:tc>
        <w:tc>
          <w:tcPr>
            <w:tcW w:w="447" w:type="pct"/>
            <w:tcBorders>
              <w:top w:val="nil"/>
              <w:left w:val="nil"/>
              <w:right w:val="nil"/>
            </w:tcBorders>
            <w:shd w:val="clear" w:color="auto" w:fill="auto"/>
            <w:tcMar>
              <w:top w:w="28" w:type="dxa"/>
              <w:right w:w="0" w:type="dxa"/>
            </w:tcMar>
            <w:vAlign w:val="center"/>
          </w:tcPr>
          <w:p w14:paraId="14759322" w14:textId="3C97C78C" w:rsidR="002124B4" w:rsidRPr="00585293" w:rsidRDefault="002124B4" w:rsidP="002124B4">
            <w:pPr>
              <w:spacing w:after="160"/>
              <w:jc w:val="center"/>
              <w:rPr>
                <w:color w:val="000000"/>
              </w:rPr>
            </w:pPr>
            <w:r w:rsidRPr="00585293">
              <w:rPr>
                <w:color w:val="000000"/>
              </w:rPr>
              <w:t>14.39</w:t>
            </w:r>
          </w:p>
        </w:tc>
        <w:tc>
          <w:tcPr>
            <w:tcW w:w="447" w:type="pct"/>
            <w:tcBorders>
              <w:top w:val="nil"/>
              <w:left w:val="nil"/>
              <w:right w:val="nil"/>
            </w:tcBorders>
            <w:shd w:val="clear" w:color="auto" w:fill="auto"/>
            <w:tcMar>
              <w:top w:w="28" w:type="dxa"/>
              <w:right w:w="0" w:type="dxa"/>
            </w:tcMar>
            <w:vAlign w:val="center"/>
          </w:tcPr>
          <w:p w14:paraId="7D9A482E" w14:textId="16BD9F2B" w:rsidR="002124B4" w:rsidRPr="00585293" w:rsidRDefault="002124B4" w:rsidP="002124B4">
            <w:pPr>
              <w:spacing w:after="160"/>
              <w:jc w:val="center"/>
              <w:rPr>
                <w:color w:val="000000"/>
              </w:rPr>
            </w:pPr>
            <w:r w:rsidRPr="00585293">
              <w:rPr>
                <w:color w:val="000000"/>
              </w:rPr>
              <w:t>13.26</w:t>
            </w:r>
          </w:p>
        </w:tc>
        <w:tc>
          <w:tcPr>
            <w:tcW w:w="459" w:type="pct"/>
            <w:tcBorders>
              <w:top w:val="nil"/>
              <w:left w:val="nil"/>
              <w:right w:val="nil"/>
            </w:tcBorders>
            <w:shd w:val="clear" w:color="auto" w:fill="auto"/>
            <w:tcMar>
              <w:top w:w="28" w:type="dxa"/>
              <w:right w:w="0" w:type="dxa"/>
            </w:tcMar>
            <w:vAlign w:val="center"/>
          </w:tcPr>
          <w:p w14:paraId="22CFFBD5" w14:textId="42325F7B" w:rsidR="002124B4" w:rsidRPr="00585293" w:rsidRDefault="002124B4" w:rsidP="002124B4">
            <w:pPr>
              <w:spacing w:after="160"/>
              <w:jc w:val="center"/>
              <w:rPr>
                <w:color w:val="000000"/>
              </w:rPr>
            </w:pPr>
            <w:r w:rsidRPr="00585293">
              <w:rPr>
                <w:color w:val="000000"/>
              </w:rPr>
              <w:t>20.25</w:t>
            </w:r>
          </w:p>
        </w:tc>
        <w:tc>
          <w:tcPr>
            <w:tcW w:w="447" w:type="pct"/>
            <w:tcBorders>
              <w:top w:val="nil"/>
              <w:left w:val="nil"/>
              <w:right w:val="nil"/>
            </w:tcBorders>
            <w:shd w:val="clear" w:color="auto" w:fill="auto"/>
            <w:tcMar>
              <w:top w:w="28" w:type="dxa"/>
              <w:right w:w="0" w:type="dxa"/>
            </w:tcMar>
            <w:vAlign w:val="center"/>
          </w:tcPr>
          <w:p w14:paraId="1FFCDC3E" w14:textId="226B018C" w:rsidR="002124B4" w:rsidRPr="00585293" w:rsidRDefault="002124B4" w:rsidP="002124B4">
            <w:pPr>
              <w:spacing w:after="160"/>
              <w:jc w:val="center"/>
              <w:rPr>
                <w:color w:val="000000"/>
              </w:rPr>
            </w:pPr>
            <w:r w:rsidRPr="00585293">
              <w:rPr>
                <w:color w:val="000000"/>
              </w:rPr>
              <w:t>12.35</w:t>
            </w:r>
          </w:p>
        </w:tc>
        <w:tc>
          <w:tcPr>
            <w:tcW w:w="447" w:type="pct"/>
            <w:tcBorders>
              <w:top w:val="nil"/>
              <w:left w:val="nil"/>
              <w:right w:val="nil"/>
            </w:tcBorders>
            <w:shd w:val="clear" w:color="auto" w:fill="auto"/>
            <w:tcMar>
              <w:top w:w="28" w:type="dxa"/>
              <w:right w:w="0" w:type="dxa"/>
            </w:tcMar>
            <w:vAlign w:val="center"/>
          </w:tcPr>
          <w:p w14:paraId="429A0366" w14:textId="3D409904" w:rsidR="002124B4" w:rsidRPr="00585293" w:rsidRDefault="002124B4" w:rsidP="002124B4">
            <w:pPr>
              <w:spacing w:after="160"/>
              <w:jc w:val="center"/>
              <w:rPr>
                <w:color w:val="000000"/>
              </w:rPr>
            </w:pPr>
            <w:r w:rsidRPr="00585293">
              <w:rPr>
                <w:color w:val="000000"/>
              </w:rPr>
              <w:t>10.30</w:t>
            </w:r>
          </w:p>
        </w:tc>
        <w:tc>
          <w:tcPr>
            <w:tcW w:w="459" w:type="pct"/>
            <w:tcBorders>
              <w:top w:val="nil"/>
              <w:left w:val="nil"/>
              <w:right w:val="nil"/>
            </w:tcBorders>
            <w:shd w:val="clear" w:color="auto" w:fill="auto"/>
            <w:tcMar>
              <w:top w:w="28" w:type="dxa"/>
              <w:right w:w="0" w:type="dxa"/>
            </w:tcMar>
            <w:vAlign w:val="center"/>
          </w:tcPr>
          <w:p w14:paraId="298147D5" w14:textId="5BB48E32" w:rsidR="002124B4" w:rsidRPr="00585293" w:rsidRDefault="002124B4" w:rsidP="002124B4">
            <w:pPr>
              <w:spacing w:after="160"/>
              <w:jc w:val="center"/>
              <w:rPr>
                <w:color w:val="000000"/>
              </w:rPr>
            </w:pPr>
            <w:r w:rsidRPr="00585293">
              <w:rPr>
                <w:color w:val="000000"/>
              </w:rPr>
              <w:t>16.48</w:t>
            </w:r>
          </w:p>
        </w:tc>
        <w:tc>
          <w:tcPr>
            <w:tcW w:w="446" w:type="pct"/>
            <w:tcBorders>
              <w:top w:val="nil"/>
              <w:left w:val="nil"/>
              <w:right w:val="nil"/>
            </w:tcBorders>
            <w:shd w:val="clear" w:color="auto" w:fill="auto"/>
            <w:tcMar>
              <w:top w:w="28" w:type="dxa"/>
              <w:right w:w="0" w:type="dxa"/>
            </w:tcMar>
            <w:vAlign w:val="center"/>
          </w:tcPr>
          <w:p w14:paraId="5FAD7FCF" w14:textId="37FD584F" w:rsidR="002124B4" w:rsidRPr="00585293" w:rsidRDefault="002124B4" w:rsidP="002124B4">
            <w:pPr>
              <w:spacing w:after="160"/>
              <w:jc w:val="center"/>
              <w:rPr>
                <w:color w:val="000000"/>
              </w:rPr>
            </w:pPr>
            <w:r w:rsidRPr="00585293">
              <w:rPr>
                <w:color w:val="000000"/>
              </w:rPr>
              <w:t>9.71</w:t>
            </w:r>
          </w:p>
        </w:tc>
      </w:tr>
      <w:tr w:rsidR="002124B4" w:rsidRPr="00585293" w14:paraId="3C3914C9"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741F8AC9" w14:textId="77777777" w:rsidR="002124B4" w:rsidRPr="00585293" w:rsidRDefault="002124B4" w:rsidP="002124B4">
            <w:pPr>
              <w:spacing w:after="160"/>
              <w:rPr>
                <w:color w:val="000000"/>
              </w:rPr>
            </w:pPr>
            <w:r w:rsidRPr="00585293">
              <w:rPr>
                <w:color w:val="000000"/>
              </w:rPr>
              <w:t>Manufacturing</w:t>
            </w:r>
          </w:p>
        </w:tc>
        <w:tc>
          <w:tcPr>
            <w:tcW w:w="447" w:type="pct"/>
            <w:tcBorders>
              <w:top w:val="nil"/>
              <w:left w:val="nil"/>
              <w:right w:val="nil"/>
            </w:tcBorders>
            <w:shd w:val="clear" w:color="auto" w:fill="auto"/>
            <w:tcMar>
              <w:top w:w="28" w:type="dxa"/>
              <w:right w:w="0" w:type="dxa"/>
            </w:tcMar>
            <w:vAlign w:val="center"/>
          </w:tcPr>
          <w:p w14:paraId="791C3049" w14:textId="44C54BAF" w:rsidR="002124B4" w:rsidRPr="00585293" w:rsidRDefault="002124B4" w:rsidP="002124B4">
            <w:pPr>
              <w:spacing w:after="160"/>
              <w:jc w:val="center"/>
              <w:rPr>
                <w:color w:val="000000"/>
              </w:rPr>
            </w:pPr>
            <w:r w:rsidRPr="00585293">
              <w:rPr>
                <w:color w:val="000000"/>
              </w:rPr>
              <w:t>60.19</w:t>
            </w:r>
          </w:p>
        </w:tc>
        <w:tc>
          <w:tcPr>
            <w:tcW w:w="459" w:type="pct"/>
            <w:tcBorders>
              <w:top w:val="nil"/>
              <w:left w:val="nil"/>
              <w:right w:val="nil"/>
            </w:tcBorders>
            <w:shd w:val="clear" w:color="auto" w:fill="auto"/>
            <w:tcMar>
              <w:top w:w="28" w:type="dxa"/>
              <w:right w:w="0" w:type="dxa"/>
            </w:tcMar>
            <w:vAlign w:val="center"/>
          </w:tcPr>
          <w:p w14:paraId="497556AE" w14:textId="629DF036" w:rsidR="002124B4" w:rsidRPr="00585293" w:rsidRDefault="002124B4" w:rsidP="002124B4">
            <w:pPr>
              <w:spacing w:after="160"/>
              <w:jc w:val="center"/>
              <w:rPr>
                <w:color w:val="000000"/>
              </w:rPr>
            </w:pPr>
            <w:r w:rsidRPr="00585293">
              <w:rPr>
                <w:color w:val="000000"/>
              </w:rPr>
              <w:t>56.29</w:t>
            </w:r>
          </w:p>
        </w:tc>
        <w:tc>
          <w:tcPr>
            <w:tcW w:w="447" w:type="pct"/>
            <w:tcBorders>
              <w:top w:val="nil"/>
              <w:left w:val="nil"/>
              <w:right w:val="nil"/>
            </w:tcBorders>
            <w:shd w:val="clear" w:color="auto" w:fill="auto"/>
            <w:tcMar>
              <w:top w:w="28" w:type="dxa"/>
              <w:right w:w="0" w:type="dxa"/>
            </w:tcMar>
            <w:vAlign w:val="center"/>
          </w:tcPr>
          <w:p w14:paraId="358B3C49" w14:textId="27EA7D92" w:rsidR="002124B4" w:rsidRPr="00585293" w:rsidRDefault="002124B4" w:rsidP="002124B4">
            <w:pPr>
              <w:spacing w:after="160"/>
              <w:jc w:val="center"/>
              <w:rPr>
                <w:color w:val="000000"/>
              </w:rPr>
            </w:pPr>
            <w:r w:rsidRPr="00585293">
              <w:rPr>
                <w:color w:val="000000"/>
              </w:rPr>
              <w:t>60.94</w:t>
            </w:r>
          </w:p>
        </w:tc>
        <w:tc>
          <w:tcPr>
            <w:tcW w:w="447" w:type="pct"/>
            <w:tcBorders>
              <w:top w:val="nil"/>
              <w:left w:val="nil"/>
              <w:right w:val="nil"/>
            </w:tcBorders>
            <w:shd w:val="clear" w:color="auto" w:fill="auto"/>
            <w:tcMar>
              <w:top w:w="28" w:type="dxa"/>
              <w:right w:w="0" w:type="dxa"/>
            </w:tcMar>
            <w:vAlign w:val="center"/>
          </w:tcPr>
          <w:p w14:paraId="399485A6" w14:textId="552F5308" w:rsidR="002124B4" w:rsidRPr="00585293" w:rsidRDefault="002124B4" w:rsidP="002124B4">
            <w:pPr>
              <w:spacing w:after="160"/>
              <w:jc w:val="center"/>
              <w:rPr>
                <w:color w:val="000000"/>
              </w:rPr>
            </w:pPr>
            <w:r w:rsidRPr="00585293">
              <w:rPr>
                <w:color w:val="000000"/>
              </w:rPr>
              <w:t>62.03</w:t>
            </w:r>
          </w:p>
        </w:tc>
        <w:tc>
          <w:tcPr>
            <w:tcW w:w="459" w:type="pct"/>
            <w:tcBorders>
              <w:top w:val="nil"/>
              <w:left w:val="nil"/>
              <w:right w:val="nil"/>
            </w:tcBorders>
            <w:shd w:val="clear" w:color="auto" w:fill="auto"/>
            <w:tcMar>
              <w:top w:w="28" w:type="dxa"/>
              <w:right w:w="0" w:type="dxa"/>
            </w:tcMar>
            <w:vAlign w:val="center"/>
          </w:tcPr>
          <w:p w14:paraId="11D815F0" w14:textId="471B99CC" w:rsidR="002124B4" w:rsidRPr="00585293" w:rsidRDefault="002124B4" w:rsidP="002124B4">
            <w:pPr>
              <w:spacing w:after="160"/>
              <w:jc w:val="center"/>
              <w:rPr>
                <w:color w:val="000000"/>
              </w:rPr>
            </w:pPr>
            <w:r w:rsidRPr="00585293">
              <w:rPr>
                <w:color w:val="000000"/>
              </w:rPr>
              <w:t>57.52</w:t>
            </w:r>
          </w:p>
        </w:tc>
        <w:tc>
          <w:tcPr>
            <w:tcW w:w="447" w:type="pct"/>
            <w:tcBorders>
              <w:top w:val="nil"/>
              <w:left w:val="nil"/>
              <w:right w:val="nil"/>
            </w:tcBorders>
            <w:shd w:val="clear" w:color="auto" w:fill="auto"/>
            <w:tcMar>
              <w:top w:w="28" w:type="dxa"/>
              <w:right w:w="0" w:type="dxa"/>
            </w:tcMar>
            <w:vAlign w:val="center"/>
          </w:tcPr>
          <w:p w14:paraId="29CE497E" w14:textId="469EC5C7" w:rsidR="002124B4" w:rsidRPr="00585293" w:rsidRDefault="002124B4" w:rsidP="002124B4">
            <w:pPr>
              <w:spacing w:after="160"/>
              <w:jc w:val="center"/>
              <w:rPr>
                <w:color w:val="000000"/>
              </w:rPr>
            </w:pPr>
            <w:r w:rsidRPr="00585293">
              <w:rPr>
                <w:color w:val="000000"/>
              </w:rPr>
              <w:t>62.01</w:t>
            </w:r>
          </w:p>
        </w:tc>
        <w:tc>
          <w:tcPr>
            <w:tcW w:w="447" w:type="pct"/>
            <w:tcBorders>
              <w:top w:val="nil"/>
              <w:left w:val="nil"/>
              <w:right w:val="nil"/>
            </w:tcBorders>
            <w:shd w:val="clear" w:color="auto" w:fill="auto"/>
            <w:tcMar>
              <w:top w:w="28" w:type="dxa"/>
              <w:right w:w="0" w:type="dxa"/>
            </w:tcMar>
            <w:vAlign w:val="center"/>
          </w:tcPr>
          <w:p w14:paraId="69E62E2E" w14:textId="751448EF" w:rsidR="002124B4" w:rsidRPr="00585293" w:rsidRDefault="002124B4" w:rsidP="002124B4">
            <w:pPr>
              <w:spacing w:after="160"/>
              <w:jc w:val="center"/>
              <w:rPr>
                <w:color w:val="000000"/>
              </w:rPr>
            </w:pPr>
            <w:r w:rsidRPr="00585293">
              <w:rPr>
                <w:color w:val="000000"/>
              </w:rPr>
              <w:t>59.74</w:t>
            </w:r>
          </w:p>
        </w:tc>
        <w:tc>
          <w:tcPr>
            <w:tcW w:w="459" w:type="pct"/>
            <w:tcBorders>
              <w:top w:val="nil"/>
              <w:left w:val="nil"/>
              <w:right w:val="nil"/>
            </w:tcBorders>
            <w:shd w:val="clear" w:color="auto" w:fill="auto"/>
            <w:tcMar>
              <w:top w:w="28" w:type="dxa"/>
              <w:right w:w="0" w:type="dxa"/>
            </w:tcMar>
            <w:vAlign w:val="center"/>
          </w:tcPr>
          <w:p w14:paraId="3E867886" w14:textId="56A56D27" w:rsidR="002124B4" w:rsidRPr="00585293" w:rsidRDefault="002124B4" w:rsidP="002124B4">
            <w:pPr>
              <w:spacing w:after="160"/>
              <w:jc w:val="center"/>
              <w:rPr>
                <w:color w:val="000000"/>
              </w:rPr>
            </w:pPr>
            <w:r w:rsidRPr="00585293">
              <w:rPr>
                <w:color w:val="000000"/>
              </w:rPr>
              <w:t>56.02</w:t>
            </w:r>
          </w:p>
        </w:tc>
        <w:tc>
          <w:tcPr>
            <w:tcW w:w="446" w:type="pct"/>
            <w:tcBorders>
              <w:top w:val="nil"/>
              <w:left w:val="nil"/>
              <w:right w:val="nil"/>
            </w:tcBorders>
            <w:shd w:val="clear" w:color="auto" w:fill="auto"/>
            <w:tcMar>
              <w:top w:w="28" w:type="dxa"/>
              <w:right w:w="0" w:type="dxa"/>
            </w:tcMar>
            <w:vAlign w:val="center"/>
          </w:tcPr>
          <w:p w14:paraId="47CA700A" w14:textId="37625213" w:rsidR="002124B4" w:rsidRPr="00585293" w:rsidRDefault="002124B4" w:rsidP="002124B4">
            <w:pPr>
              <w:spacing w:after="160"/>
              <w:jc w:val="center"/>
              <w:rPr>
                <w:color w:val="000000"/>
              </w:rPr>
            </w:pPr>
            <w:r w:rsidRPr="00585293">
              <w:rPr>
                <w:color w:val="000000"/>
              </w:rPr>
              <w:t>59.86</w:t>
            </w:r>
          </w:p>
        </w:tc>
      </w:tr>
      <w:tr w:rsidR="002124B4" w:rsidRPr="00585293" w14:paraId="67D1D40E"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74DF4519" w14:textId="77777777" w:rsidR="002124B4" w:rsidRPr="00585293" w:rsidRDefault="002124B4" w:rsidP="002124B4">
            <w:pPr>
              <w:spacing w:after="160"/>
              <w:rPr>
                <w:color w:val="000000"/>
              </w:rPr>
            </w:pPr>
            <w:r w:rsidRPr="00585293">
              <w:rPr>
                <w:color w:val="000000"/>
              </w:rPr>
              <w:t>Services</w:t>
            </w:r>
          </w:p>
        </w:tc>
        <w:tc>
          <w:tcPr>
            <w:tcW w:w="447" w:type="pct"/>
            <w:tcBorders>
              <w:top w:val="nil"/>
              <w:left w:val="nil"/>
              <w:right w:val="nil"/>
            </w:tcBorders>
            <w:shd w:val="clear" w:color="auto" w:fill="auto"/>
            <w:tcMar>
              <w:top w:w="28" w:type="dxa"/>
              <w:right w:w="0" w:type="dxa"/>
            </w:tcMar>
            <w:vAlign w:val="center"/>
          </w:tcPr>
          <w:p w14:paraId="346AC75E" w14:textId="05083692" w:rsidR="002124B4" w:rsidRPr="00585293" w:rsidRDefault="002124B4" w:rsidP="002124B4">
            <w:pPr>
              <w:spacing w:after="160"/>
              <w:jc w:val="center"/>
              <w:rPr>
                <w:color w:val="000000"/>
              </w:rPr>
            </w:pPr>
            <w:r w:rsidRPr="00585293">
              <w:rPr>
                <w:color w:val="000000"/>
              </w:rPr>
              <w:t>24.10</w:t>
            </w:r>
          </w:p>
        </w:tc>
        <w:tc>
          <w:tcPr>
            <w:tcW w:w="459" w:type="pct"/>
            <w:tcBorders>
              <w:top w:val="nil"/>
              <w:left w:val="nil"/>
              <w:right w:val="nil"/>
            </w:tcBorders>
            <w:shd w:val="clear" w:color="auto" w:fill="auto"/>
            <w:tcMar>
              <w:top w:w="28" w:type="dxa"/>
              <w:right w:w="0" w:type="dxa"/>
            </w:tcMar>
            <w:vAlign w:val="center"/>
          </w:tcPr>
          <w:p w14:paraId="7F6F4194" w14:textId="65496B83" w:rsidR="002124B4" w:rsidRPr="00585293" w:rsidRDefault="002124B4" w:rsidP="002124B4">
            <w:pPr>
              <w:spacing w:after="160"/>
              <w:jc w:val="center"/>
              <w:rPr>
                <w:color w:val="000000"/>
              </w:rPr>
            </w:pPr>
            <w:r w:rsidRPr="00585293">
              <w:rPr>
                <w:color w:val="000000"/>
              </w:rPr>
              <w:t>19.95</w:t>
            </w:r>
          </w:p>
        </w:tc>
        <w:tc>
          <w:tcPr>
            <w:tcW w:w="447" w:type="pct"/>
            <w:tcBorders>
              <w:top w:val="nil"/>
              <w:left w:val="nil"/>
              <w:right w:val="nil"/>
            </w:tcBorders>
            <w:shd w:val="clear" w:color="auto" w:fill="auto"/>
            <w:tcMar>
              <w:top w:w="28" w:type="dxa"/>
              <w:right w:w="0" w:type="dxa"/>
            </w:tcMar>
            <w:vAlign w:val="center"/>
          </w:tcPr>
          <w:p w14:paraId="6A33C233" w14:textId="5AEC3BCF" w:rsidR="002124B4" w:rsidRPr="00585293" w:rsidRDefault="002124B4" w:rsidP="002124B4">
            <w:pPr>
              <w:spacing w:after="160"/>
              <w:jc w:val="center"/>
              <w:rPr>
                <w:color w:val="000000"/>
              </w:rPr>
            </w:pPr>
            <w:r w:rsidRPr="00585293">
              <w:rPr>
                <w:color w:val="000000"/>
              </w:rPr>
              <w:t>24.67</w:t>
            </w:r>
          </w:p>
        </w:tc>
        <w:tc>
          <w:tcPr>
            <w:tcW w:w="447" w:type="pct"/>
            <w:tcBorders>
              <w:top w:val="nil"/>
              <w:left w:val="nil"/>
              <w:right w:val="nil"/>
            </w:tcBorders>
            <w:shd w:val="clear" w:color="auto" w:fill="auto"/>
            <w:tcMar>
              <w:top w:w="28" w:type="dxa"/>
              <w:right w:w="0" w:type="dxa"/>
            </w:tcMar>
            <w:vAlign w:val="center"/>
          </w:tcPr>
          <w:p w14:paraId="5EAE0D0C" w14:textId="4E77B7EA" w:rsidR="002124B4" w:rsidRPr="00585293" w:rsidRDefault="002124B4" w:rsidP="002124B4">
            <w:pPr>
              <w:spacing w:after="160"/>
              <w:jc w:val="center"/>
              <w:rPr>
                <w:color w:val="000000"/>
              </w:rPr>
            </w:pPr>
            <w:r w:rsidRPr="00585293">
              <w:rPr>
                <w:color w:val="000000"/>
              </w:rPr>
              <w:t>24.71</w:t>
            </w:r>
          </w:p>
        </w:tc>
        <w:tc>
          <w:tcPr>
            <w:tcW w:w="459" w:type="pct"/>
            <w:tcBorders>
              <w:top w:val="nil"/>
              <w:left w:val="nil"/>
              <w:right w:val="nil"/>
            </w:tcBorders>
            <w:shd w:val="clear" w:color="auto" w:fill="auto"/>
            <w:tcMar>
              <w:top w:w="28" w:type="dxa"/>
              <w:right w:w="0" w:type="dxa"/>
            </w:tcMar>
            <w:vAlign w:val="center"/>
          </w:tcPr>
          <w:p w14:paraId="56375C20" w14:textId="2098D9ED" w:rsidR="002124B4" w:rsidRPr="00585293" w:rsidRDefault="002124B4" w:rsidP="002124B4">
            <w:pPr>
              <w:spacing w:after="160"/>
              <w:jc w:val="center"/>
              <w:rPr>
                <w:color w:val="000000"/>
              </w:rPr>
            </w:pPr>
            <w:r w:rsidRPr="00585293">
              <w:rPr>
                <w:color w:val="000000"/>
              </w:rPr>
              <w:t>22.23</w:t>
            </w:r>
          </w:p>
        </w:tc>
        <w:tc>
          <w:tcPr>
            <w:tcW w:w="447" w:type="pct"/>
            <w:tcBorders>
              <w:top w:val="nil"/>
              <w:left w:val="nil"/>
              <w:right w:val="nil"/>
            </w:tcBorders>
            <w:shd w:val="clear" w:color="auto" w:fill="auto"/>
            <w:tcMar>
              <w:top w:w="28" w:type="dxa"/>
              <w:right w:w="0" w:type="dxa"/>
            </w:tcMar>
            <w:vAlign w:val="center"/>
          </w:tcPr>
          <w:p w14:paraId="24D61E81" w14:textId="7F1BA620" w:rsidR="002124B4" w:rsidRPr="00585293" w:rsidRDefault="002124B4" w:rsidP="002124B4">
            <w:pPr>
              <w:spacing w:after="160"/>
              <w:jc w:val="center"/>
              <w:rPr>
                <w:color w:val="000000"/>
              </w:rPr>
            </w:pPr>
            <w:r w:rsidRPr="00585293">
              <w:rPr>
                <w:color w:val="000000"/>
              </w:rPr>
              <w:t>25.64</w:t>
            </w:r>
          </w:p>
        </w:tc>
        <w:tc>
          <w:tcPr>
            <w:tcW w:w="447" w:type="pct"/>
            <w:tcBorders>
              <w:top w:val="nil"/>
              <w:left w:val="nil"/>
              <w:right w:val="nil"/>
            </w:tcBorders>
            <w:shd w:val="clear" w:color="auto" w:fill="auto"/>
            <w:tcMar>
              <w:top w:w="28" w:type="dxa"/>
              <w:right w:w="0" w:type="dxa"/>
            </w:tcMar>
            <w:vAlign w:val="center"/>
          </w:tcPr>
          <w:p w14:paraId="455CFD66" w14:textId="25000C14" w:rsidR="002124B4" w:rsidRPr="00585293" w:rsidRDefault="002124B4" w:rsidP="002124B4">
            <w:pPr>
              <w:spacing w:after="160"/>
              <w:jc w:val="center"/>
              <w:rPr>
                <w:color w:val="000000"/>
              </w:rPr>
            </w:pPr>
            <w:r w:rsidRPr="00585293">
              <w:rPr>
                <w:color w:val="000000"/>
              </w:rPr>
              <w:t>29.96</w:t>
            </w:r>
          </w:p>
        </w:tc>
        <w:tc>
          <w:tcPr>
            <w:tcW w:w="459" w:type="pct"/>
            <w:tcBorders>
              <w:top w:val="nil"/>
              <w:left w:val="nil"/>
              <w:right w:val="nil"/>
            </w:tcBorders>
            <w:shd w:val="clear" w:color="auto" w:fill="auto"/>
            <w:tcMar>
              <w:top w:w="28" w:type="dxa"/>
              <w:right w:w="0" w:type="dxa"/>
            </w:tcMar>
            <w:vAlign w:val="center"/>
          </w:tcPr>
          <w:p w14:paraId="1B721749" w14:textId="4FF76C22" w:rsidR="002124B4" w:rsidRPr="00585293" w:rsidRDefault="002124B4" w:rsidP="002124B4">
            <w:pPr>
              <w:spacing w:after="160"/>
              <w:jc w:val="center"/>
              <w:rPr>
                <w:color w:val="000000"/>
              </w:rPr>
            </w:pPr>
            <w:r w:rsidRPr="00585293">
              <w:rPr>
                <w:color w:val="000000"/>
              </w:rPr>
              <w:t>27.50</w:t>
            </w:r>
          </w:p>
        </w:tc>
        <w:tc>
          <w:tcPr>
            <w:tcW w:w="446" w:type="pct"/>
            <w:tcBorders>
              <w:top w:val="nil"/>
              <w:left w:val="nil"/>
              <w:right w:val="nil"/>
            </w:tcBorders>
            <w:shd w:val="clear" w:color="auto" w:fill="auto"/>
            <w:tcMar>
              <w:top w:w="28" w:type="dxa"/>
              <w:right w:w="0" w:type="dxa"/>
            </w:tcMar>
            <w:vAlign w:val="center"/>
          </w:tcPr>
          <w:p w14:paraId="02F40E36" w14:textId="21FDC58E" w:rsidR="002124B4" w:rsidRPr="00585293" w:rsidRDefault="002124B4" w:rsidP="002124B4">
            <w:pPr>
              <w:spacing w:after="160"/>
              <w:jc w:val="center"/>
              <w:rPr>
                <w:color w:val="000000"/>
              </w:rPr>
            </w:pPr>
            <w:r w:rsidRPr="00585293">
              <w:rPr>
                <w:color w:val="000000"/>
              </w:rPr>
              <w:t>30.43</w:t>
            </w:r>
          </w:p>
        </w:tc>
      </w:tr>
      <w:tr w:rsidR="0007384C" w:rsidRPr="00585293" w14:paraId="41D91EBF" w14:textId="77777777" w:rsidTr="00805634">
        <w:trPr>
          <w:trHeight w:hRule="exact" w:val="369"/>
        </w:trPr>
        <w:tc>
          <w:tcPr>
            <w:tcW w:w="5000" w:type="pct"/>
            <w:gridSpan w:val="10"/>
            <w:tcBorders>
              <w:top w:val="nil"/>
              <w:left w:val="nil"/>
              <w:right w:val="nil"/>
            </w:tcBorders>
            <w:shd w:val="clear" w:color="auto" w:fill="auto"/>
            <w:tcMar>
              <w:top w:w="28" w:type="dxa"/>
              <w:left w:w="0" w:type="dxa"/>
              <w:right w:w="0" w:type="dxa"/>
            </w:tcMar>
            <w:vAlign w:val="center"/>
          </w:tcPr>
          <w:p w14:paraId="77C0FDE4" w14:textId="77777777" w:rsidR="0007384C" w:rsidRPr="00585293" w:rsidRDefault="0007384C" w:rsidP="00805634">
            <w:pPr>
              <w:spacing w:after="160"/>
              <w:rPr>
                <w:color w:val="000000"/>
              </w:rPr>
            </w:pPr>
            <w:r w:rsidRPr="00585293">
              <w:rPr>
                <w:b/>
                <w:bCs/>
                <w:color w:val="000000"/>
              </w:rPr>
              <w:t>Residential Region (Son) in 1881/1891/1911</w:t>
            </w:r>
          </w:p>
        </w:tc>
      </w:tr>
      <w:tr w:rsidR="002124B4" w:rsidRPr="00585293" w14:paraId="2A61CC8C"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417D563C" w14:textId="77777777" w:rsidR="002124B4" w:rsidRPr="00585293" w:rsidRDefault="002124B4" w:rsidP="002124B4">
            <w:pPr>
              <w:spacing w:after="160"/>
              <w:rPr>
                <w:color w:val="000000"/>
              </w:rPr>
            </w:pPr>
            <w:r w:rsidRPr="00585293">
              <w:rPr>
                <w:color w:val="000000"/>
              </w:rPr>
              <w:t>London</w:t>
            </w:r>
          </w:p>
        </w:tc>
        <w:tc>
          <w:tcPr>
            <w:tcW w:w="447" w:type="pct"/>
            <w:tcBorders>
              <w:top w:val="nil"/>
              <w:left w:val="nil"/>
              <w:right w:val="nil"/>
            </w:tcBorders>
            <w:shd w:val="clear" w:color="auto" w:fill="auto"/>
            <w:tcMar>
              <w:top w:w="28" w:type="dxa"/>
              <w:right w:w="0" w:type="dxa"/>
            </w:tcMar>
            <w:vAlign w:val="center"/>
          </w:tcPr>
          <w:p w14:paraId="00621544" w14:textId="237104EF" w:rsidR="002124B4" w:rsidRPr="00585293" w:rsidRDefault="002124B4" w:rsidP="002124B4">
            <w:pPr>
              <w:spacing w:after="160"/>
              <w:jc w:val="center"/>
              <w:rPr>
                <w:color w:val="000000"/>
              </w:rPr>
            </w:pPr>
            <w:r w:rsidRPr="00585293">
              <w:rPr>
                <w:color w:val="000000"/>
              </w:rPr>
              <w:t>15.91</w:t>
            </w:r>
          </w:p>
        </w:tc>
        <w:tc>
          <w:tcPr>
            <w:tcW w:w="459" w:type="pct"/>
            <w:tcBorders>
              <w:top w:val="nil"/>
              <w:left w:val="nil"/>
              <w:right w:val="nil"/>
            </w:tcBorders>
            <w:shd w:val="clear" w:color="auto" w:fill="auto"/>
            <w:tcMar>
              <w:top w:w="28" w:type="dxa"/>
              <w:right w:w="0" w:type="dxa"/>
            </w:tcMar>
            <w:vAlign w:val="center"/>
          </w:tcPr>
          <w:p w14:paraId="4DD68088" w14:textId="6FE6694C" w:rsidR="002124B4" w:rsidRPr="00585293" w:rsidRDefault="002124B4" w:rsidP="002124B4">
            <w:pPr>
              <w:spacing w:after="160"/>
              <w:jc w:val="center"/>
              <w:rPr>
                <w:color w:val="000000"/>
              </w:rPr>
            </w:pPr>
            <w:r w:rsidRPr="00585293">
              <w:rPr>
                <w:color w:val="000000"/>
              </w:rPr>
              <w:t>7.74</w:t>
            </w:r>
          </w:p>
        </w:tc>
        <w:tc>
          <w:tcPr>
            <w:tcW w:w="447" w:type="pct"/>
            <w:tcBorders>
              <w:top w:val="nil"/>
              <w:left w:val="nil"/>
              <w:right w:val="nil"/>
            </w:tcBorders>
            <w:shd w:val="clear" w:color="auto" w:fill="auto"/>
            <w:tcMar>
              <w:top w:w="28" w:type="dxa"/>
              <w:right w:w="0" w:type="dxa"/>
            </w:tcMar>
            <w:vAlign w:val="center"/>
          </w:tcPr>
          <w:p w14:paraId="390DCF67" w14:textId="5CAC4D66" w:rsidR="002124B4" w:rsidRPr="00585293" w:rsidRDefault="002124B4" w:rsidP="002124B4">
            <w:pPr>
              <w:spacing w:after="160"/>
              <w:jc w:val="center"/>
              <w:rPr>
                <w:color w:val="000000"/>
              </w:rPr>
            </w:pPr>
            <w:r w:rsidRPr="00585293">
              <w:t>18.06</w:t>
            </w:r>
          </w:p>
        </w:tc>
        <w:tc>
          <w:tcPr>
            <w:tcW w:w="447" w:type="pct"/>
            <w:tcBorders>
              <w:top w:val="nil"/>
              <w:left w:val="nil"/>
              <w:right w:val="nil"/>
            </w:tcBorders>
            <w:shd w:val="clear" w:color="auto" w:fill="auto"/>
            <w:tcMar>
              <w:top w:w="28" w:type="dxa"/>
              <w:right w:w="0" w:type="dxa"/>
            </w:tcMar>
            <w:vAlign w:val="center"/>
          </w:tcPr>
          <w:p w14:paraId="61DA7D28" w14:textId="0F4C9292" w:rsidR="002124B4" w:rsidRPr="00585293" w:rsidRDefault="002124B4" w:rsidP="002124B4">
            <w:pPr>
              <w:spacing w:after="160"/>
              <w:jc w:val="center"/>
              <w:rPr>
                <w:color w:val="000000"/>
              </w:rPr>
            </w:pPr>
            <w:r w:rsidRPr="00585293">
              <w:rPr>
                <w:color w:val="000000"/>
              </w:rPr>
              <w:t>15.61</w:t>
            </w:r>
          </w:p>
        </w:tc>
        <w:tc>
          <w:tcPr>
            <w:tcW w:w="459" w:type="pct"/>
            <w:tcBorders>
              <w:top w:val="nil"/>
              <w:left w:val="nil"/>
              <w:right w:val="nil"/>
            </w:tcBorders>
            <w:shd w:val="clear" w:color="auto" w:fill="auto"/>
            <w:tcMar>
              <w:top w:w="28" w:type="dxa"/>
              <w:right w:w="0" w:type="dxa"/>
            </w:tcMar>
            <w:vAlign w:val="center"/>
          </w:tcPr>
          <w:p w14:paraId="16004019" w14:textId="11858025" w:rsidR="002124B4" w:rsidRPr="00585293" w:rsidRDefault="002124B4" w:rsidP="002124B4">
            <w:pPr>
              <w:spacing w:after="160"/>
              <w:jc w:val="center"/>
              <w:rPr>
                <w:color w:val="000000"/>
              </w:rPr>
            </w:pPr>
            <w:r w:rsidRPr="00585293">
              <w:rPr>
                <w:color w:val="000000"/>
              </w:rPr>
              <w:t>6.91</w:t>
            </w:r>
          </w:p>
        </w:tc>
        <w:tc>
          <w:tcPr>
            <w:tcW w:w="447" w:type="pct"/>
            <w:tcBorders>
              <w:top w:val="nil"/>
              <w:left w:val="nil"/>
              <w:right w:val="nil"/>
            </w:tcBorders>
            <w:shd w:val="clear" w:color="auto" w:fill="auto"/>
            <w:tcMar>
              <w:top w:w="28" w:type="dxa"/>
              <w:right w:w="0" w:type="dxa"/>
            </w:tcMar>
            <w:vAlign w:val="center"/>
          </w:tcPr>
          <w:p w14:paraId="22A7CD62" w14:textId="79BD335D" w:rsidR="002124B4" w:rsidRPr="00585293" w:rsidRDefault="002124B4" w:rsidP="002124B4">
            <w:pPr>
              <w:spacing w:after="160"/>
              <w:jc w:val="center"/>
              <w:rPr>
                <w:color w:val="000000"/>
              </w:rPr>
            </w:pPr>
            <w:r w:rsidRPr="00585293">
              <w:t>15.98</w:t>
            </w:r>
          </w:p>
        </w:tc>
        <w:tc>
          <w:tcPr>
            <w:tcW w:w="447" w:type="pct"/>
            <w:tcBorders>
              <w:top w:val="nil"/>
              <w:left w:val="nil"/>
              <w:right w:val="nil"/>
            </w:tcBorders>
            <w:shd w:val="clear" w:color="auto" w:fill="auto"/>
            <w:tcMar>
              <w:top w:w="28" w:type="dxa"/>
              <w:right w:w="0" w:type="dxa"/>
            </w:tcMar>
            <w:vAlign w:val="center"/>
          </w:tcPr>
          <w:p w14:paraId="1A7EFB53" w14:textId="44A999A8" w:rsidR="002124B4" w:rsidRPr="00585293" w:rsidRDefault="002124B4" w:rsidP="002124B4">
            <w:pPr>
              <w:spacing w:after="160"/>
              <w:jc w:val="center"/>
              <w:rPr>
                <w:color w:val="000000"/>
              </w:rPr>
            </w:pPr>
            <w:r w:rsidRPr="00585293">
              <w:rPr>
                <w:color w:val="000000"/>
              </w:rPr>
              <w:t>12.77</w:t>
            </w:r>
          </w:p>
        </w:tc>
        <w:tc>
          <w:tcPr>
            <w:tcW w:w="459" w:type="pct"/>
            <w:tcBorders>
              <w:top w:val="nil"/>
              <w:left w:val="nil"/>
              <w:right w:val="nil"/>
            </w:tcBorders>
            <w:shd w:val="clear" w:color="auto" w:fill="auto"/>
            <w:tcMar>
              <w:top w:w="28" w:type="dxa"/>
              <w:right w:w="0" w:type="dxa"/>
            </w:tcMar>
            <w:vAlign w:val="center"/>
          </w:tcPr>
          <w:p w14:paraId="147C6703" w14:textId="63FAA06E" w:rsidR="002124B4" w:rsidRPr="00585293" w:rsidRDefault="002124B4" w:rsidP="002124B4">
            <w:pPr>
              <w:spacing w:after="160"/>
              <w:jc w:val="center"/>
              <w:rPr>
                <w:color w:val="000000"/>
              </w:rPr>
            </w:pPr>
            <w:r w:rsidRPr="00585293">
              <w:rPr>
                <w:color w:val="000000"/>
              </w:rPr>
              <w:t>4.53</w:t>
            </w:r>
          </w:p>
        </w:tc>
        <w:tc>
          <w:tcPr>
            <w:tcW w:w="446" w:type="pct"/>
            <w:tcBorders>
              <w:top w:val="nil"/>
              <w:left w:val="nil"/>
              <w:right w:val="nil"/>
            </w:tcBorders>
            <w:shd w:val="clear" w:color="auto" w:fill="auto"/>
            <w:tcMar>
              <w:top w:w="28" w:type="dxa"/>
              <w:right w:w="0" w:type="dxa"/>
            </w:tcMar>
            <w:vAlign w:val="center"/>
          </w:tcPr>
          <w:p w14:paraId="038898FD" w14:textId="3B0AC099" w:rsidR="002124B4" w:rsidRPr="00585293" w:rsidRDefault="002124B4" w:rsidP="002124B4">
            <w:pPr>
              <w:spacing w:after="160"/>
              <w:jc w:val="center"/>
              <w:rPr>
                <w:color w:val="000000"/>
              </w:rPr>
            </w:pPr>
            <w:r w:rsidRPr="00585293">
              <w:t>6.43</w:t>
            </w:r>
          </w:p>
        </w:tc>
      </w:tr>
      <w:tr w:rsidR="002124B4" w:rsidRPr="00585293" w14:paraId="361A421D"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04F0D7E7" w14:textId="77777777" w:rsidR="002124B4" w:rsidRPr="00585293" w:rsidRDefault="002124B4" w:rsidP="002124B4">
            <w:pPr>
              <w:spacing w:after="160"/>
              <w:rPr>
                <w:color w:val="000000"/>
              </w:rPr>
            </w:pPr>
            <w:r w:rsidRPr="00585293">
              <w:rPr>
                <w:color w:val="000000"/>
              </w:rPr>
              <w:t>Extra London</w:t>
            </w:r>
          </w:p>
        </w:tc>
        <w:tc>
          <w:tcPr>
            <w:tcW w:w="447" w:type="pct"/>
            <w:tcBorders>
              <w:top w:val="nil"/>
              <w:left w:val="nil"/>
              <w:right w:val="nil"/>
            </w:tcBorders>
            <w:shd w:val="clear" w:color="auto" w:fill="auto"/>
            <w:tcMar>
              <w:top w:w="28" w:type="dxa"/>
              <w:right w:w="0" w:type="dxa"/>
            </w:tcMar>
            <w:vAlign w:val="center"/>
          </w:tcPr>
          <w:p w14:paraId="26975F82" w14:textId="4FCEC350" w:rsidR="002124B4" w:rsidRPr="00585293" w:rsidRDefault="002124B4" w:rsidP="002124B4">
            <w:pPr>
              <w:spacing w:after="160"/>
              <w:jc w:val="center"/>
              <w:rPr>
                <w:color w:val="000000"/>
              </w:rPr>
            </w:pPr>
            <w:r w:rsidRPr="00585293">
              <w:rPr>
                <w:color w:val="000000"/>
              </w:rPr>
              <w:t>8.90</w:t>
            </w:r>
          </w:p>
        </w:tc>
        <w:tc>
          <w:tcPr>
            <w:tcW w:w="459" w:type="pct"/>
            <w:tcBorders>
              <w:top w:val="nil"/>
              <w:left w:val="nil"/>
              <w:right w:val="nil"/>
            </w:tcBorders>
            <w:shd w:val="clear" w:color="auto" w:fill="auto"/>
            <w:tcMar>
              <w:top w:w="28" w:type="dxa"/>
              <w:right w:w="0" w:type="dxa"/>
            </w:tcMar>
            <w:vAlign w:val="center"/>
          </w:tcPr>
          <w:p w14:paraId="1837C69C" w14:textId="71C28C02" w:rsidR="002124B4" w:rsidRPr="00585293" w:rsidRDefault="002124B4" w:rsidP="002124B4">
            <w:pPr>
              <w:spacing w:after="160"/>
              <w:jc w:val="center"/>
              <w:rPr>
                <w:color w:val="000000"/>
              </w:rPr>
            </w:pPr>
            <w:r w:rsidRPr="00585293">
              <w:rPr>
                <w:color w:val="000000"/>
              </w:rPr>
              <w:t>8.06</w:t>
            </w:r>
          </w:p>
        </w:tc>
        <w:tc>
          <w:tcPr>
            <w:tcW w:w="447" w:type="pct"/>
            <w:tcBorders>
              <w:top w:val="nil"/>
              <w:left w:val="nil"/>
              <w:right w:val="nil"/>
            </w:tcBorders>
            <w:shd w:val="clear" w:color="auto" w:fill="auto"/>
            <w:tcMar>
              <w:top w:w="28" w:type="dxa"/>
              <w:right w:w="0" w:type="dxa"/>
            </w:tcMar>
            <w:vAlign w:val="center"/>
          </w:tcPr>
          <w:p w14:paraId="2ECB13FB" w14:textId="4B165613" w:rsidR="002124B4" w:rsidRPr="00585293" w:rsidRDefault="002124B4" w:rsidP="002124B4">
            <w:pPr>
              <w:spacing w:after="160"/>
              <w:jc w:val="center"/>
              <w:rPr>
                <w:color w:val="000000"/>
              </w:rPr>
            </w:pPr>
            <w:r w:rsidRPr="00585293">
              <w:rPr>
                <w:color w:val="000000"/>
              </w:rPr>
              <w:t>6.66</w:t>
            </w:r>
          </w:p>
        </w:tc>
        <w:tc>
          <w:tcPr>
            <w:tcW w:w="447" w:type="pct"/>
            <w:tcBorders>
              <w:top w:val="nil"/>
              <w:left w:val="nil"/>
              <w:right w:val="nil"/>
            </w:tcBorders>
            <w:shd w:val="clear" w:color="auto" w:fill="auto"/>
            <w:tcMar>
              <w:top w:w="28" w:type="dxa"/>
              <w:right w:w="0" w:type="dxa"/>
            </w:tcMar>
            <w:vAlign w:val="center"/>
          </w:tcPr>
          <w:p w14:paraId="3FCA5EB3" w14:textId="5EA42DF7" w:rsidR="002124B4" w:rsidRPr="00585293" w:rsidRDefault="002124B4" w:rsidP="002124B4">
            <w:pPr>
              <w:spacing w:after="160"/>
              <w:jc w:val="center"/>
              <w:rPr>
                <w:color w:val="000000"/>
              </w:rPr>
            </w:pPr>
            <w:r w:rsidRPr="00585293">
              <w:rPr>
                <w:color w:val="000000"/>
              </w:rPr>
              <w:t>9.95</w:t>
            </w:r>
          </w:p>
        </w:tc>
        <w:tc>
          <w:tcPr>
            <w:tcW w:w="459" w:type="pct"/>
            <w:tcBorders>
              <w:top w:val="nil"/>
              <w:left w:val="nil"/>
              <w:right w:val="nil"/>
            </w:tcBorders>
            <w:shd w:val="clear" w:color="auto" w:fill="auto"/>
            <w:tcMar>
              <w:top w:w="28" w:type="dxa"/>
              <w:right w:w="0" w:type="dxa"/>
            </w:tcMar>
            <w:vAlign w:val="center"/>
          </w:tcPr>
          <w:p w14:paraId="519FBCB0" w14:textId="7A25B118" w:rsidR="002124B4" w:rsidRPr="00585293" w:rsidRDefault="002124B4" w:rsidP="002124B4">
            <w:pPr>
              <w:spacing w:after="160"/>
              <w:jc w:val="center"/>
              <w:rPr>
                <w:color w:val="000000"/>
              </w:rPr>
            </w:pPr>
            <w:r w:rsidRPr="00585293">
              <w:rPr>
                <w:color w:val="000000"/>
              </w:rPr>
              <w:t>10.79</w:t>
            </w:r>
          </w:p>
        </w:tc>
        <w:tc>
          <w:tcPr>
            <w:tcW w:w="447" w:type="pct"/>
            <w:tcBorders>
              <w:top w:val="nil"/>
              <w:left w:val="nil"/>
              <w:right w:val="nil"/>
            </w:tcBorders>
            <w:shd w:val="clear" w:color="auto" w:fill="auto"/>
            <w:tcMar>
              <w:top w:w="28" w:type="dxa"/>
              <w:right w:w="0" w:type="dxa"/>
            </w:tcMar>
            <w:vAlign w:val="center"/>
          </w:tcPr>
          <w:p w14:paraId="78168699" w14:textId="32D56BFF" w:rsidR="002124B4" w:rsidRPr="00585293" w:rsidRDefault="002124B4" w:rsidP="002124B4">
            <w:pPr>
              <w:spacing w:after="160"/>
              <w:jc w:val="center"/>
              <w:rPr>
                <w:color w:val="000000"/>
              </w:rPr>
            </w:pPr>
            <w:r w:rsidRPr="00585293">
              <w:rPr>
                <w:color w:val="000000"/>
              </w:rPr>
              <w:t>8.72</w:t>
            </w:r>
          </w:p>
        </w:tc>
        <w:tc>
          <w:tcPr>
            <w:tcW w:w="447" w:type="pct"/>
            <w:tcBorders>
              <w:top w:val="nil"/>
              <w:left w:val="nil"/>
              <w:right w:val="nil"/>
            </w:tcBorders>
            <w:shd w:val="clear" w:color="auto" w:fill="auto"/>
            <w:tcMar>
              <w:top w:w="28" w:type="dxa"/>
              <w:right w:w="0" w:type="dxa"/>
            </w:tcMar>
            <w:vAlign w:val="center"/>
          </w:tcPr>
          <w:p w14:paraId="1336938C" w14:textId="5B6BBD3B" w:rsidR="002124B4" w:rsidRPr="00585293" w:rsidRDefault="002124B4" w:rsidP="002124B4">
            <w:pPr>
              <w:spacing w:after="160"/>
              <w:jc w:val="center"/>
              <w:rPr>
                <w:color w:val="000000"/>
              </w:rPr>
            </w:pPr>
            <w:r w:rsidRPr="00585293">
              <w:rPr>
                <w:color w:val="000000"/>
              </w:rPr>
              <w:t>13.41</w:t>
            </w:r>
          </w:p>
        </w:tc>
        <w:tc>
          <w:tcPr>
            <w:tcW w:w="459" w:type="pct"/>
            <w:tcBorders>
              <w:top w:val="nil"/>
              <w:left w:val="nil"/>
              <w:right w:val="nil"/>
            </w:tcBorders>
            <w:shd w:val="clear" w:color="auto" w:fill="auto"/>
            <w:tcMar>
              <w:top w:w="28" w:type="dxa"/>
              <w:right w:w="0" w:type="dxa"/>
            </w:tcMar>
            <w:vAlign w:val="center"/>
          </w:tcPr>
          <w:p w14:paraId="2FC70DFE" w14:textId="7FB25D59" w:rsidR="002124B4" w:rsidRPr="00585293" w:rsidRDefault="002124B4" w:rsidP="002124B4">
            <w:pPr>
              <w:spacing w:after="160"/>
              <w:jc w:val="center"/>
              <w:rPr>
                <w:color w:val="000000"/>
              </w:rPr>
            </w:pPr>
            <w:r w:rsidRPr="00585293">
              <w:rPr>
                <w:color w:val="000000"/>
              </w:rPr>
              <w:t>12.56</w:t>
            </w:r>
          </w:p>
        </w:tc>
        <w:tc>
          <w:tcPr>
            <w:tcW w:w="446" w:type="pct"/>
            <w:tcBorders>
              <w:top w:val="nil"/>
              <w:left w:val="nil"/>
              <w:right w:val="nil"/>
            </w:tcBorders>
            <w:shd w:val="clear" w:color="auto" w:fill="auto"/>
            <w:tcMar>
              <w:top w:w="28" w:type="dxa"/>
              <w:right w:w="0" w:type="dxa"/>
            </w:tcMar>
            <w:vAlign w:val="center"/>
          </w:tcPr>
          <w:p w14:paraId="0270A298" w14:textId="306FC500" w:rsidR="002124B4" w:rsidRPr="00585293" w:rsidRDefault="002124B4" w:rsidP="002124B4">
            <w:pPr>
              <w:spacing w:after="160"/>
              <w:jc w:val="center"/>
              <w:rPr>
                <w:color w:val="000000"/>
              </w:rPr>
            </w:pPr>
            <w:r w:rsidRPr="00585293">
              <w:rPr>
                <w:color w:val="000000"/>
              </w:rPr>
              <w:t>12.16</w:t>
            </w:r>
          </w:p>
        </w:tc>
      </w:tr>
      <w:tr w:rsidR="003E6389" w:rsidRPr="00585293" w14:paraId="702616A7"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2867226A" w14:textId="77777777" w:rsidR="003E6389" w:rsidRPr="00585293" w:rsidRDefault="003E6389" w:rsidP="003E6389">
            <w:pPr>
              <w:spacing w:after="160"/>
              <w:rPr>
                <w:color w:val="000000"/>
              </w:rPr>
            </w:pPr>
            <w:r w:rsidRPr="00585293">
              <w:rPr>
                <w:color w:val="000000"/>
              </w:rPr>
              <w:t>Lancashire</w:t>
            </w:r>
          </w:p>
        </w:tc>
        <w:tc>
          <w:tcPr>
            <w:tcW w:w="447" w:type="pct"/>
            <w:tcBorders>
              <w:top w:val="nil"/>
              <w:left w:val="nil"/>
              <w:right w:val="nil"/>
            </w:tcBorders>
            <w:shd w:val="clear" w:color="auto" w:fill="auto"/>
            <w:tcMar>
              <w:top w:w="28" w:type="dxa"/>
              <w:right w:w="0" w:type="dxa"/>
            </w:tcMar>
            <w:vAlign w:val="center"/>
          </w:tcPr>
          <w:p w14:paraId="179FF8C1" w14:textId="5A6F37BF" w:rsidR="003E6389" w:rsidRPr="00585293" w:rsidRDefault="003E6389" w:rsidP="003E6389">
            <w:pPr>
              <w:spacing w:after="160"/>
              <w:jc w:val="center"/>
              <w:rPr>
                <w:color w:val="000000"/>
              </w:rPr>
            </w:pPr>
            <w:r w:rsidRPr="00585293">
              <w:rPr>
                <w:color w:val="000000"/>
              </w:rPr>
              <w:t>13.32</w:t>
            </w:r>
          </w:p>
        </w:tc>
        <w:tc>
          <w:tcPr>
            <w:tcW w:w="459" w:type="pct"/>
            <w:tcBorders>
              <w:top w:val="nil"/>
              <w:left w:val="nil"/>
              <w:right w:val="nil"/>
            </w:tcBorders>
            <w:shd w:val="clear" w:color="auto" w:fill="auto"/>
            <w:tcMar>
              <w:top w:w="28" w:type="dxa"/>
              <w:right w:w="0" w:type="dxa"/>
            </w:tcMar>
            <w:vAlign w:val="center"/>
          </w:tcPr>
          <w:p w14:paraId="6F16B916" w14:textId="49FAC4DC" w:rsidR="003E6389" w:rsidRPr="00585293" w:rsidRDefault="003E6389" w:rsidP="003E6389">
            <w:pPr>
              <w:spacing w:after="160"/>
              <w:jc w:val="center"/>
              <w:rPr>
                <w:color w:val="000000"/>
              </w:rPr>
            </w:pPr>
            <w:r w:rsidRPr="00585293">
              <w:rPr>
                <w:color w:val="000000"/>
              </w:rPr>
              <w:t>8.17</w:t>
            </w:r>
          </w:p>
        </w:tc>
        <w:tc>
          <w:tcPr>
            <w:tcW w:w="447" w:type="pct"/>
            <w:tcBorders>
              <w:top w:val="nil"/>
              <w:left w:val="nil"/>
              <w:right w:val="nil"/>
            </w:tcBorders>
            <w:shd w:val="clear" w:color="auto" w:fill="auto"/>
            <w:tcMar>
              <w:top w:w="28" w:type="dxa"/>
              <w:right w:w="0" w:type="dxa"/>
            </w:tcMar>
            <w:vAlign w:val="center"/>
          </w:tcPr>
          <w:p w14:paraId="55C76AF1" w14:textId="3B86E5DC" w:rsidR="003E6389" w:rsidRPr="00585293" w:rsidRDefault="003E6389" w:rsidP="003E6389">
            <w:pPr>
              <w:spacing w:after="160"/>
              <w:jc w:val="center"/>
              <w:rPr>
                <w:color w:val="000000"/>
              </w:rPr>
            </w:pPr>
            <w:r w:rsidRPr="00585293">
              <w:t>13.37</w:t>
            </w:r>
          </w:p>
        </w:tc>
        <w:tc>
          <w:tcPr>
            <w:tcW w:w="447" w:type="pct"/>
            <w:tcBorders>
              <w:top w:val="nil"/>
              <w:left w:val="nil"/>
              <w:right w:val="nil"/>
            </w:tcBorders>
            <w:shd w:val="clear" w:color="auto" w:fill="auto"/>
            <w:tcMar>
              <w:top w:w="28" w:type="dxa"/>
              <w:right w:w="0" w:type="dxa"/>
            </w:tcMar>
            <w:vAlign w:val="center"/>
          </w:tcPr>
          <w:p w14:paraId="5E5E7365" w14:textId="7468A02F" w:rsidR="003E6389" w:rsidRPr="00585293" w:rsidRDefault="003E6389" w:rsidP="003E6389">
            <w:pPr>
              <w:spacing w:after="160"/>
              <w:jc w:val="center"/>
              <w:rPr>
                <w:color w:val="000000"/>
              </w:rPr>
            </w:pPr>
            <w:r w:rsidRPr="00585293">
              <w:rPr>
                <w:color w:val="000000"/>
              </w:rPr>
              <w:t>13.92</w:t>
            </w:r>
          </w:p>
        </w:tc>
        <w:tc>
          <w:tcPr>
            <w:tcW w:w="459" w:type="pct"/>
            <w:tcBorders>
              <w:top w:val="nil"/>
              <w:left w:val="nil"/>
              <w:right w:val="nil"/>
            </w:tcBorders>
            <w:shd w:val="clear" w:color="auto" w:fill="auto"/>
            <w:tcMar>
              <w:top w:w="28" w:type="dxa"/>
              <w:right w:w="0" w:type="dxa"/>
            </w:tcMar>
            <w:vAlign w:val="center"/>
          </w:tcPr>
          <w:p w14:paraId="687DCD58" w14:textId="6F249617" w:rsidR="003E6389" w:rsidRPr="00585293" w:rsidRDefault="003E6389" w:rsidP="003E6389">
            <w:pPr>
              <w:spacing w:after="160"/>
              <w:jc w:val="center"/>
              <w:rPr>
                <w:color w:val="000000"/>
              </w:rPr>
            </w:pPr>
            <w:r w:rsidRPr="00585293">
              <w:rPr>
                <w:color w:val="000000"/>
              </w:rPr>
              <w:t>8.96</w:t>
            </w:r>
          </w:p>
        </w:tc>
        <w:tc>
          <w:tcPr>
            <w:tcW w:w="447" w:type="pct"/>
            <w:tcBorders>
              <w:top w:val="nil"/>
              <w:left w:val="nil"/>
              <w:right w:val="nil"/>
            </w:tcBorders>
            <w:shd w:val="clear" w:color="auto" w:fill="auto"/>
            <w:tcMar>
              <w:top w:w="28" w:type="dxa"/>
              <w:right w:w="0" w:type="dxa"/>
            </w:tcMar>
            <w:vAlign w:val="center"/>
          </w:tcPr>
          <w:p w14:paraId="3D3B9923" w14:textId="0E661365" w:rsidR="003E6389" w:rsidRPr="00585293" w:rsidRDefault="003E6389" w:rsidP="003E6389">
            <w:pPr>
              <w:spacing w:after="160"/>
              <w:jc w:val="center"/>
              <w:rPr>
                <w:color w:val="000000"/>
              </w:rPr>
            </w:pPr>
            <w:r w:rsidRPr="00585293">
              <w:t>15.39</w:t>
            </w:r>
          </w:p>
        </w:tc>
        <w:tc>
          <w:tcPr>
            <w:tcW w:w="447" w:type="pct"/>
            <w:tcBorders>
              <w:top w:val="nil"/>
              <w:left w:val="nil"/>
              <w:right w:val="nil"/>
            </w:tcBorders>
            <w:shd w:val="clear" w:color="auto" w:fill="auto"/>
            <w:tcMar>
              <w:top w:w="28" w:type="dxa"/>
              <w:right w:w="0" w:type="dxa"/>
            </w:tcMar>
            <w:vAlign w:val="center"/>
          </w:tcPr>
          <w:p w14:paraId="326EAA55" w14:textId="03AFC841" w:rsidR="003E6389" w:rsidRPr="00585293" w:rsidRDefault="003E6389" w:rsidP="003E6389">
            <w:pPr>
              <w:spacing w:after="160"/>
              <w:jc w:val="center"/>
              <w:rPr>
                <w:color w:val="000000"/>
              </w:rPr>
            </w:pPr>
            <w:r>
              <w:rPr>
                <w:color w:val="000000"/>
              </w:rPr>
              <w:t>13.62</w:t>
            </w:r>
          </w:p>
        </w:tc>
        <w:tc>
          <w:tcPr>
            <w:tcW w:w="459" w:type="pct"/>
            <w:tcBorders>
              <w:top w:val="nil"/>
              <w:left w:val="nil"/>
              <w:right w:val="nil"/>
            </w:tcBorders>
            <w:shd w:val="clear" w:color="auto" w:fill="auto"/>
            <w:tcMar>
              <w:top w:w="28" w:type="dxa"/>
              <w:right w:w="0" w:type="dxa"/>
            </w:tcMar>
            <w:vAlign w:val="center"/>
          </w:tcPr>
          <w:p w14:paraId="5A8957D1" w14:textId="295EC7E7" w:rsidR="003E6389" w:rsidRPr="00585293" w:rsidRDefault="003E6389" w:rsidP="003E6389">
            <w:pPr>
              <w:spacing w:after="160"/>
              <w:jc w:val="center"/>
              <w:rPr>
                <w:color w:val="000000"/>
              </w:rPr>
            </w:pPr>
            <w:r>
              <w:rPr>
                <w:color w:val="000000"/>
              </w:rPr>
              <w:t>11.49</w:t>
            </w:r>
          </w:p>
        </w:tc>
        <w:tc>
          <w:tcPr>
            <w:tcW w:w="446" w:type="pct"/>
            <w:tcBorders>
              <w:top w:val="nil"/>
              <w:left w:val="nil"/>
              <w:right w:val="nil"/>
            </w:tcBorders>
            <w:shd w:val="clear" w:color="auto" w:fill="auto"/>
            <w:tcMar>
              <w:top w:w="28" w:type="dxa"/>
              <w:right w:w="0" w:type="dxa"/>
            </w:tcMar>
            <w:vAlign w:val="center"/>
          </w:tcPr>
          <w:p w14:paraId="61FADE11" w14:textId="709EA9BB" w:rsidR="003E6389" w:rsidRPr="00585293" w:rsidRDefault="003E6389" w:rsidP="003E6389">
            <w:pPr>
              <w:spacing w:after="160"/>
              <w:jc w:val="center"/>
              <w:rPr>
                <w:color w:val="000000"/>
              </w:rPr>
            </w:pPr>
            <w:r>
              <w:rPr>
                <w:color w:val="000000"/>
              </w:rPr>
              <w:t>16.66</w:t>
            </w:r>
          </w:p>
        </w:tc>
      </w:tr>
      <w:tr w:rsidR="003E6389" w:rsidRPr="00585293" w14:paraId="727C0FC9"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003FF4C4" w14:textId="77777777" w:rsidR="003E6389" w:rsidRPr="00585293" w:rsidRDefault="003E6389" w:rsidP="003E6389">
            <w:pPr>
              <w:spacing w:after="160"/>
              <w:rPr>
                <w:color w:val="000000"/>
              </w:rPr>
            </w:pPr>
            <w:r w:rsidRPr="00585293">
              <w:rPr>
                <w:color w:val="000000"/>
              </w:rPr>
              <w:t>Yorkshire</w:t>
            </w:r>
          </w:p>
        </w:tc>
        <w:tc>
          <w:tcPr>
            <w:tcW w:w="447" w:type="pct"/>
            <w:tcBorders>
              <w:top w:val="nil"/>
              <w:left w:val="nil"/>
              <w:right w:val="nil"/>
            </w:tcBorders>
            <w:shd w:val="clear" w:color="auto" w:fill="auto"/>
            <w:tcMar>
              <w:top w:w="28" w:type="dxa"/>
              <w:right w:w="0" w:type="dxa"/>
            </w:tcMar>
            <w:vAlign w:val="center"/>
          </w:tcPr>
          <w:p w14:paraId="309DAC7D" w14:textId="79AB8F8F" w:rsidR="003E6389" w:rsidRPr="00585293" w:rsidRDefault="003E6389" w:rsidP="003E6389">
            <w:pPr>
              <w:spacing w:after="160"/>
              <w:jc w:val="center"/>
              <w:rPr>
                <w:color w:val="000000"/>
              </w:rPr>
            </w:pPr>
            <w:r w:rsidRPr="00585293">
              <w:rPr>
                <w:color w:val="000000"/>
              </w:rPr>
              <w:t>12.68</w:t>
            </w:r>
          </w:p>
        </w:tc>
        <w:tc>
          <w:tcPr>
            <w:tcW w:w="459" w:type="pct"/>
            <w:tcBorders>
              <w:top w:val="nil"/>
              <w:left w:val="nil"/>
              <w:right w:val="nil"/>
            </w:tcBorders>
            <w:shd w:val="clear" w:color="auto" w:fill="auto"/>
            <w:tcMar>
              <w:top w:w="28" w:type="dxa"/>
              <w:right w:w="0" w:type="dxa"/>
            </w:tcMar>
            <w:vAlign w:val="center"/>
          </w:tcPr>
          <w:p w14:paraId="2BEF1479" w14:textId="7490A284" w:rsidR="003E6389" w:rsidRPr="00585293" w:rsidRDefault="003E6389" w:rsidP="003E6389">
            <w:pPr>
              <w:spacing w:after="160"/>
              <w:jc w:val="center"/>
              <w:rPr>
                <w:color w:val="000000"/>
              </w:rPr>
            </w:pPr>
            <w:r w:rsidRPr="00585293">
              <w:rPr>
                <w:color w:val="000000"/>
              </w:rPr>
              <w:t>15.22</w:t>
            </w:r>
          </w:p>
        </w:tc>
        <w:tc>
          <w:tcPr>
            <w:tcW w:w="447" w:type="pct"/>
            <w:tcBorders>
              <w:top w:val="nil"/>
              <w:left w:val="nil"/>
              <w:right w:val="nil"/>
            </w:tcBorders>
            <w:shd w:val="clear" w:color="auto" w:fill="auto"/>
            <w:tcMar>
              <w:top w:w="28" w:type="dxa"/>
              <w:right w:w="0" w:type="dxa"/>
            </w:tcMar>
            <w:vAlign w:val="center"/>
          </w:tcPr>
          <w:p w14:paraId="0DF13EC0" w14:textId="7C0EAA25" w:rsidR="003E6389" w:rsidRPr="00585293" w:rsidRDefault="003E6389" w:rsidP="003E6389">
            <w:pPr>
              <w:spacing w:after="160"/>
              <w:jc w:val="center"/>
              <w:rPr>
                <w:color w:val="000000"/>
              </w:rPr>
            </w:pPr>
            <w:r w:rsidRPr="00585293">
              <w:rPr>
                <w:color w:val="000000"/>
              </w:rPr>
              <w:t>16.44</w:t>
            </w:r>
          </w:p>
        </w:tc>
        <w:tc>
          <w:tcPr>
            <w:tcW w:w="447" w:type="pct"/>
            <w:tcBorders>
              <w:top w:val="nil"/>
              <w:left w:val="nil"/>
              <w:right w:val="nil"/>
            </w:tcBorders>
            <w:shd w:val="clear" w:color="auto" w:fill="auto"/>
            <w:tcMar>
              <w:top w:w="28" w:type="dxa"/>
              <w:right w:w="0" w:type="dxa"/>
            </w:tcMar>
            <w:vAlign w:val="center"/>
          </w:tcPr>
          <w:p w14:paraId="7B010897" w14:textId="3FCC243E" w:rsidR="003E6389" w:rsidRPr="00585293" w:rsidRDefault="003E6389" w:rsidP="003E6389">
            <w:pPr>
              <w:spacing w:after="160"/>
              <w:jc w:val="center"/>
              <w:rPr>
                <w:color w:val="000000"/>
              </w:rPr>
            </w:pPr>
            <w:r w:rsidRPr="00585293">
              <w:rPr>
                <w:color w:val="000000"/>
              </w:rPr>
              <w:t>12.85</w:t>
            </w:r>
          </w:p>
        </w:tc>
        <w:tc>
          <w:tcPr>
            <w:tcW w:w="459" w:type="pct"/>
            <w:tcBorders>
              <w:top w:val="nil"/>
              <w:left w:val="nil"/>
              <w:right w:val="nil"/>
            </w:tcBorders>
            <w:shd w:val="clear" w:color="auto" w:fill="auto"/>
            <w:tcMar>
              <w:top w:w="28" w:type="dxa"/>
              <w:right w:w="0" w:type="dxa"/>
            </w:tcMar>
            <w:vAlign w:val="center"/>
          </w:tcPr>
          <w:p w14:paraId="71B37593" w14:textId="678AA03D" w:rsidR="003E6389" w:rsidRPr="00585293" w:rsidRDefault="003E6389" w:rsidP="003E6389">
            <w:pPr>
              <w:spacing w:after="160"/>
              <w:jc w:val="center"/>
              <w:rPr>
                <w:color w:val="000000"/>
              </w:rPr>
            </w:pPr>
            <w:r w:rsidRPr="00585293">
              <w:rPr>
                <w:color w:val="000000"/>
              </w:rPr>
              <w:t>15.26</w:t>
            </w:r>
          </w:p>
        </w:tc>
        <w:tc>
          <w:tcPr>
            <w:tcW w:w="447" w:type="pct"/>
            <w:tcBorders>
              <w:top w:val="nil"/>
              <w:left w:val="nil"/>
              <w:right w:val="nil"/>
            </w:tcBorders>
            <w:shd w:val="clear" w:color="auto" w:fill="auto"/>
            <w:tcMar>
              <w:top w:w="28" w:type="dxa"/>
              <w:right w:w="0" w:type="dxa"/>
            </w:tcMar>
            <w:vAlign w:val="center"/>
          </w:tcPr>
          <w:p w14:paraId="0CB277D3" w14:textId="39F214F5" w:rsidR="003E6389" w:rsidRPr="00585293" w:rsidRDefault="003E6389" w:rsidP="003E6389">
            <w:pPr>
              <w:spacing w:after="160"/>
              <w:jc w:val="center"/>
              <w:rPr>
                <w:color w:val="000000"/>
              </w:rPr>
            </w:pPr>
            <w:r w:rsidRPr="00585293">
              <w:t>16.41</w:t>
            </w:r>
          </w:p>
        </w:tc>
        <w:tc>
          <w:tcPr>
            <w:tcW w:w="447" w:type="pct"/>
            <w:tcBorders>
              <w:top w:val="nil"/>
              <w:left w:val="nil"/>
              <w:right w:val="nil"/>
            </w:tcBorders>
            <w:shd w:val="clear" w:color="auto" w:fill="auto"/>
            <w:tcMar>
              <w:top w:w="28" w:type="dxa"/>
              <w:right w:w="0" w:type="dxa"/>
            </w:tcMar>
            <w:vAlign w:val="center"/>
          </w:tcPr>
          <w:p w14:paraId="35AB9106" w14:textId="318C050F" w:rsidR="003E6389" w:rsidRPr="00585293" w:rsidRDefault="003E6389" w:rsidP="003E6389">
            <w:pPr>
              <w:spacing w:after="160"/>
              <w:jc w:val="center"/>
              <w:rPr>
                <w:color w:val="000000"/>
              </w:rPr>
            </w:pPr>
            <w:r>
              <w:rPr>
                <w:color w:val="000000"/>
              </w:rPr>
              <w:t>13.25</w:t>
            </w:r>
          </w:p>
        </w:tc>
        <w:tc>
          <w:tcPr>
            <w:tcW w:w="459" w:type="pct"/>
            <w:tcBorders>
              <w:top w:val="nil"/>
              <w:left w:val="nil"/>
              <w:right w:val="nil"/>
            </w:tcBorders>
            <w:shd w:val="clear" w:color="auto" w:fill="auto"/>
            <w:tcMar>
              <w:top w:w="28" w:type="dxa"/>
              <w:right w:w="0" w:type="dxa"/>
            </w:tcMar>
            <w:vAlign w:val="center"/>
          </w:tcPr>
          <w:p w14:paraId="11E775F0" w14:textId="2C6FA723" w:rsidR="003E6389" w:rsidRPr="00585293" w:rsidRDefault="003E6389" w:rsidP="003E6389">
            <w:pPr>
              <w:spacing w:after="160"/>
              <w:jc w:val="center"/>
              <w:rPr>
                <w:color w:val="000000"/>
              </w:rPr>
            </w:pPr>
            <w:r>
              <w:rPr>
                <w:color w:val="000000"/>
              </w:rPr>
              <w:t>14.51</w:t>
            </w:r>
          </w:p>
        </w:tc>
        <w:tc>
          <w:tcPr>
            <w:tcW w:w="446" w:type="pct"/>
            <w:tcBorders>
              <w:top w:val="nil"/>
              <w:left w:val="nil"/>
              <w:right w:val="nil"/>
            </w:tcBorders>
            <w:shd w:val="clear" w:color="auto" w:fill="auto"/>
            <w:tcMar>
              <w:top w:w="28" w:type="dxa"/>
              <w:right w:w="0" w:type="dxa"/>
            </w:tcMar>
            <w:vAlign w:val="center"/>
          </w:tcPr>
          <w:p w14:paraId="77A43B18" w14:textId="09AA623D" w:rsidR="003E6389" w:rsidRPr="00585293" w:rsidRDefault="003E6389" w:rsidP="003E6389">
            <w:pPr>
              <w:spacing w:after="160"/>
              <w:jc w:val="center"/>
              <w:rPr>
                <w:color w:val="000000"/>
              </w:rPr>
            </w:pPr>
            <w:r>
              <w:rPr>
                <w:color w:val="000000"/>
              </w:rPr>
              <w:t>16.01</w:t>
            </w:r>
          </w:p>
        </w:tc>
      </w:tr>
      <w:tr w:rsidR="0007384C" w:rsidRPr="00585293" w14:paraId="6A9D885E" w14:textId="77777777" w:rsidTr="00805634">
        <w:trPr>
          <w:trHeight w:hRule="exact" w:val="369"/>
        </w:trPr>
        <w:tc>
          <w:tcPr>
            <w:tcW w:w="5000" w:type="pct"/>
            <w:gridSpan w:val="10"/>
            <w:tcBorders>
              <w:top w:val="nil"/>
              <w:left w:val="nil"/>
              <w:right w:val="nil"/>
            </w:tcBorders>
            <w:shd w:val="clear" w:color="auto" w:fill="auto"/>
            <w:tcMar>
              <w:top w:w="28" w:type="dxa"/>
              <w:left w:w="0" w:type="dxa"/>
              <w:right w:w="0" w:type="dxa"/>
            </w:tcMar>
            <w:vAlign w:val="center"/>
          </w:tcPr>
          <w:p w14:paraId="1C768CD4" w14:textId="77777777" w:rsidR="0007384C" w:rsidRPr="00585293" w:rsidRDefault="0007384C" w:rsidP="00805634">
            <w:pPr>
              <w:spacing w:after="160"/>
              <w:rPr>
                <w:b/>
                <w:bCs/>
                <w:color w:val="000000"/>
              </w:rPr>
            </w:pPr>
            <w:r w:rsidRPr="00585293">
              <w:rPr>
                <w:b/>
                <w:bCs/>
                <w:color w:val="000000"/>
              </w:rPr>
              <w:t>Birth County (Son)</w:t>
            </w:r>
          </w:p>
          <w:p w14:paraId="0B056FC5" w14:textId="77777777" w:rsidR="0007384C" w:rsidRPr="00585293" w:rsidRDefault="0007384C" w:rsidP="00805634">
            <w:pPr>
              <w:spacing w:after="160"/>
              <w:jc w:val="center"/>
              <w:rPr>
                <w:color w:val="000000"/>
              </w:rPr>
            </w:pPr>
          </w:p>
        </w:tc>
      </w:tr>
      <w:tr w:rsidR="002124B4" w:rsidRPr="00585293" w14:paraId="07310E52"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38857A01" w14:textId="77777777" w:rsidR="002124B4" w:rsidRPr="00585293" w:rsidRDefault="002124B4" w:rsidP="002124B4">
            <w:pPr>
              <w:spacing w:after="160"/>
              <w:rPr>
                <w:color w:val="000000"/>
              </w:rPr>
            </w:pPr>
            <w:r w:rsidRPr="00585293">
              <w:rPr>
                <w:color w:val="000000"/>
              </w:rPr>
              <w:t>Greater London</w:t>
            </w:r>
          </w:p>
        </w:tc>
        <w:tc>
          <w:tcPr>
            <w:tcW w:w="447" w:type="pct"/>
            <w:tcBorders>
              <w:top w:val="nil"/>
              <w:left w:val="nil"/>
              <w:right w:val="nil"/>
            </w:tcBorders>
            <w:shd w:val="clear" w:color="auto" w:fill="auto"/>
            <w:tcMar>
              <w:top w:w="28" w:type="dxa"/>
              <w:right w:w="0" w:type="dxa"/>
            </w:tcMar>
            <w:vAlign w:val="center"/>
          </w:tcPr>
          <w:p w14:paraId="73A65BDD" w14:textId="3FDE766F" w:rsidR="002124B4" w:rsidRPr="00585293" w:rsidRDefault="002124B4" w:rsidP="002124B4">
            <w:pPr>
              <w:spacing w:after="160"/>
              <w:jc w:val="center"/>
              <w:rPr>
                <w:color w:val="000000"/>
              </w:rPr>
            </w:pPr>
            <w:r w:rsidRPr="00585293">
              <w:rPr>
                <w:color w:val="000000"/>
              </w:rPr>
              <w:t>18.15</w:t>
            </w:r>
          </w:p>
        </w:tc>
        <w:tc>
          <w:tcPr>
            <w:tcW w:w="459" w:type="pct"/>
            <w:tcBorders>
              <w:top w:val="nil"/>
              <w:left w:val="nil"/>
              <w:right w:val="nil"/>
            </w:tcBorders>
            <w:shd w:val="clear" w:color="auto" w:fill="auto"/>
            <w:tcMar>
              <w:top w:w="28" w:type="dxa"/>
              <w:right w:w="0" w:type="dxa"/>
            </w:tcMar>
            <w:vAlign w:val="center"/>
          </w:tcPr>
          <w:p w14:paraId="501F35E1" w14:textId="416175C9" w:rsidR="002124B4" w:rsidRPr="00585293" w:rsidRDefault="002124B4" w:rsidP="002124B4">
            <w:pPr>
              <w:spacing w:after="160"/>
              <w:jc w:val="center"/>
              <w:rPr>
                <w:color w:val="000000"/>
              </w:rPr>
            </w:pPr>
            <w:r w:rsidRPr="00585293">
              <w:rPr>
                <w:color w:val="000000"/>
              </w:rPr>
              <w:t>10.07</w:t>
            </w:r>
          </w:p>
        </w:tc>
        <w:tc>
          <w:tcPr>
            <w:tcW w:w="447" w:type="pct"/>
            <w:tcBorders>
              <w:top w:val="nil"/>
              <w:left w:val="nil"/>
              <w:right w:val="nil"/>
            </w:tcBorders>
            <w:shd w:val="clear" w:color="auto" w:fill="auto"/>
            <w:tcMar>
              <w:top w:w="28" w:type="dxa"/>
              <w:right w:w="0" w:type="dxa"/>
            </w:tcMar>
            <w:vAlign w:val="center"/>
          </w:tcPr>
          <w:p w14:paraId="5862D7AC" w14:textId="6CAB33AC" w:rsidR="002124B4" w:rsidRPr="00585293" w:rsidRDefault="002124B4" w:rsidP="002124B4">
            <w:pPr>
              <w:spacing w:after="160"/>
              <w:jc w:val="center"/>
              <w:rPr>
                <w:color w:val="000000"/>
              </w:rPr>
            </w:pPr>
            <w:r w:rsidRPr="00585293">
              <w:rPr>
                <w:color w:val="000000"/>
              </w:rPr>
              <w:t>13.48</w:t>
            </w:r>
          </w:p>
        </w:tc>
        <w:tc>
          <w:tcPr>
            <w:tcW w:w="447" w:type="pct"/>
            <w:tcBorders>
              <w:top w:val="nil"/>
              <w:left w:val="nil"/>
              <w:right w:val="nil"/>
            </w:tcBorders>
            <w:shd w:val="clear" w:color="auto" w:fill="auto"/>
            <w:tcMar>
              <w:top w:w="28" w:type="dxa"/>
              <w:right w:w="0" w:type="dxa"/>
            </w:tcMar>
            <w:vAlign w:val="center"/>
          </w:tcPr>
          <w:p w14:paraId="62F8C0A4" w14:textId="7AD06BFE" w:rsidR="002124B4" w:rsidRPr="00585293" w:rsidRDefault="002124B4" w:rsidP="002124B4">
            <w:pPr>
              <w:spacing w:after="160"/>
              <w:jc w:val="center"/>
              <w:rPr>
                <w:color w:val="000000"/>
              </w:rPr>
            </w:pPr>
            <w:r w:rsidRPr="00585293">
              <w:rPr>
                <w:color w:val="000000"/>
              </w:rPr>
              <w:t>19.75</w:t>
            </w:r>
          </w:p>
        </w:tc>
        <w:tc>
          <w:tcPr>
            <w:tcW w:w="459" w:type="pct"/>
            <w:tcBorders>
              <w:top w:val="nil"/>
              <w:left w:val="nil"/>
              <w:right w:val="nil"/>
            </w:tcBorders>
            <w:shd w:val="clear" w:color="auto" w:fill="auto"/>
            <w:tcMar>
              <w:top w:w="28" w:type="dxa"/>
              <w:right w:w="0" w:type="dxa"/>
            </w:tcMar>
            <w:vAlign w:val="center"/>
          </w:tcPr>
          <w:p w14:paraId="7C0347A4" w14:textId="32756FA8" w:rsidR="002124B4" w:rsidRPr="00585293" w:rsidRDefault="002124B4" w:rsidP="002124B4">
            <w:pPr>
              <w:spacing w:after="160"/>
              <w:jc w:val="center"/>
              <w:rPr>
                <w:color w:val="000000"/>
              </w:rPr>
            </w:pPr>
            <w:r w:rsidRPr="00585293">
              <w:rPr>
                <w:color w:val="000000"/>
              </w:rPr>
              <w:t>12.64</w:t>
            </w:r>
          </w:p>
        </w:tc>
        <w:tc>
          <w:tcPr>
            <w:tcW w:w="447" w:type="pct"/>
            <w:tcBorders>
              <w:top w:val="nil"/>
              <w:left w:val="nil"/>
              <w:right w:val="nil"/>
            </w:tcBorders>
            <w:shd w:val="clear" w:color="auto" w:fill="auto"/>
            <w:tcMar>
              <w:top w:w="28" w:type="dxa"/>
              <w:right w:w="0" w:type="dxa"/>
            </w:tcMar>
            <w:vAlign w:val="center"/>
          </w:tcPr>
          <w:p w14:paraId="24E04648" w14:textId="3B1E5ED2" w:rsidR="002124B4" w:rsidRPr="00585293" w:rsidRDefault="002124B4" w:rsidP="002124B4">
            <w:pPr>
              <w:spacing w:after="160"/>
              <w:jc w:val="center"/>
              <w:rPr>
                <w:color w:val="000000"/>
              </w:rPr>
            </w:pPr>
            <w:r w:rsidRPr="00585293">
              <w:rPr>
                <w:color w:val="000000"/>
              </w:rPr>
              <w:t>14.88</w:t>
            </w:r>
          </w:p>
        </w:tc>
        <w:tc>
          <w:tcPr>
            <w:tcW w:w="447" w:type="pct"/>
            <w:tcBorders>
              <w:top w:val="nil"/>
              <w:left w:val="nil"/>
              <w:right w:val="nil"/>
            </w:tcBorders>
            <w:shd w:val="clear" w:color="auto" w:fill="auto"/>
            <w:tcMar>
              <w:top w:w="28" w:type="dxa"/>
              <w:right w:w="0" w:type="dxa"/>
            </w:tcMar>
            <w:vAlign w:val="center"/>
          </w:tcPr>
          <w:p w14:paraId="4AF4FA9E" w14:textId="0395DE32" w:rsidR="002124B4" w:rsidRPr="00585293" w:rsidRDefault="002124B4" w:rsidP="002124B4">
            <w:pPr>
              <w:spacing w:after="160"/>
              <w:jc w:val="center"/>
              <w:rPr>
                <w:color w:val="000000"/>
              </w:rPr>
            </w:pPr>
            <w:r w:rsidRPr="00585293">
              <w:rPr>
                <w:color w:val="000000"/>
              </w:rPr>
              <w:t>22.13</w:t>
            </w:r>
          </w:p>
        </w:tc>
        <w:tc>
          <w:tcPr>
            <w:tcW w:w="459" w:type="pct"/>
            <w:tcBorders>
              <w:top w:val="nil"/>
              <w:left w:val="nil"/>
              <w:right w:val="nil"/>
            </w:tcBorders>
            <w:shd w:val="clear" w:color="auto" w:fill="auto"/>
            <w:tcMar>
              <w:top w:w="28" w:type="dxa"/>
              <w:right w:w="0" w:type="dxa"/>
            </w:tcMar>
            <w:vAlign w:val="center"/>
          </w:tcPr>
          <w:p w14:paraId="333F5DA9" w14:textId="066CB61C" w:rsidR="002124B4" w:rsidRPr="00585293" w:rsidRDefault="002124B4" w:rsidP="002124B4">
            <w:pPr>
              <w:spacing w:after="160"/>
              <w:jc w:val="center"/>
              <w:rPr>
                <w:color w:val="000000"/>
              </w:rPr>
            </w:pPr>
            <w:r w:rsidRPr="00585293">
              <w:rPr>
                <w:color w:val="000000"/>
              </w:rPr>
              <w:t>12.34</w:t>
            </w:r>
          </w:p>
        </w:tc>
        <w:tc>
          <w:tcPr>
            <w:tcW w:w="446" w:type="pct"/>
            <w:tcBorders>
              <w:top w:val="nil"/>
              <w:left w:val="nil"/>
              <w:right w:val="nil"/>
            </w:tcBorders>
            <w:shd w:val="clear" w:color="auto" w:fill="auto"/>
            <w:tcMar>
              <w:top w:w="28" w:type="dxa"/>
              <w:right w:w="0" w:type="dxa"/>
            </w:tcMar>
            <w:vAlign w:val="center"/>
          </w:tcPr>
          <w:p w14:paraId="20F8E334" w14:textId="0AD19F8A" w:rsidR="002124B4" w:rsidRPr="00585293" w:rsidRDefault="002124B4" w:rsidP="002124B4">
            <w:pPr>
              <w:spacing w:after="160"/>
              <w:jc w:val="center"/>
              <w:rPr>
                <w:color w:val="000000"/>
              </w:rPr>
            </w:pPr>
            <w:r w:rsidRPr="00585293">
              <w:rPr>
                <w:color w:val="000000"/>
              </w:rPr>
              <w:t>12.16</w:t>
            </w:r>
          </w:p>
        </w:tc>
      </w:tr>
      <w:tr w:rsidR="002124B4" w:rsidRPr="00585293" w14:paraId="72DCD2CE"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7FFF1DC0" w14:textId="77777777" w:rsidR="002124B4" w:rsidRPr="00585293" w:rsidRDefault="002124B4" w:rsidP="002124B4">
            <w:pPr>
              <w:spacing w:after="160"/>
              <w:rPr>
                <w:color w:val="000000"/>
              </w:rPr>
            </w:pPr>
            <w:r w:rsidRPr="00585293">
              <w:rPr>
                <w:color w:val="000000"/>
              </w:rPr>
              <w:t>Lancashire</w:t>
            </w:r>
          </w:p>
        </w:tc>
        <w:tc>
          <w:tcPr>
            <w:tcW w:w="447" w:type="pct"/>
            <w:tcBorders>
              <w:top w:val="nil"/>
              <w:left w:val="nil"/>
              <w:right w:val="nil"/>
            </w:tcBorders>
            <w:shd w:val="clear" w:color="auto" w:fill="auto"/>
            <w:tcMar>
              <w:top w:w="28" w:type="dxa"/>
              <w:right w:w="0" w:type="dxa"/>
            </w:tcMar>
            <w:vAlign w:val="center"/>
          </w:tcPr>
          <w:p w14:paraId="79255744" w14:textId="4D7ADCA5" w:rsidR="002124B4" w:rsidRPr="00585293" w:rsidRDefault="002124B4" w:rsidP="002124B4">
            <w:pPr>
              <w:spacing w:after="160"/>
              <w:jc w:val="center"/>
              <w:rPr>
                <w:color w:val="000000"/>
              </w:rPr>
            </w:pPr>
            <w:r w:rsidRPr="00585293">
              <w:rPr>
                <w:color w:val="000000"/>
              </w:rPr>
              <w:t>10.96</w:t>
            </w:r>
          </w:p>
        </w:tc>
        <w:tc>
          <w:tcPr>
            <w:tcW w:w="459" w:type="pct"/>
            <w:tcBorders>
              <w:top w:val="nil"/>
              <w:left w:val="nil"/>
              <w:right w:val="nil"/>
            </w:tcBorders>
            <w:shd w:val="clear" w:color="auto" w:fill="auto"/>
            <w:tcMar>
              <w:top w:w="28" w:type="dxa"/>
              <w:right w:w="0" w:type="dxa"/>
            </w:tcMar>
            <w:vAlign w:val="center"/>
          </w:tcPr>
          <w:p w14:paraId="2891CA1C" w14:textId="392151DB" w:rsidR="002124B4" w:rsidRPr="00585293" w:rsidRDefault="002124B4" w:rsidP="002124B4">
            <w:pPr>
              <w:spacing w:after="160"/>
              <w:jc w:val="center"/>
              <w:rPr>
                <w:color w:val="000000"/>
              </w:rPr>
            </w:pPr>
            <w:r w:rsidRPr="00585293">
              <w:rPr>
                <w:color w:val="000000"/>
              </w:rPr>
              <w:t>6.53</w:t>
            </w:r>
          </w:p>
        </w:tc>
        <w:tc>
          <w:tcPr>
            <w:tcW w:w="447" w:type="pct"/>
            <w:tcBorders>
              <w:top w:val="nil"/>
              <w:left w:val="nil"/>
              <w:right w:val="nil"/>
            </w:tcBorders>
            <w:shd w:val="clear" w:color="auto" w:fill="auto"/>
            <w:tcMar>
              <w:top w:w="28" w:type="dxa"/>
              <w:right w:w="0" w:type="dxa"/>
            </w:tcMar>
            <w:vAlign w:val="center"/>
          </w:tcPr>
          <w:p w14:paraId="7C035821" w14:textId="239AE348" w:rsidR="002124B4" w:rsidRPr="00585293" w:rsidRDefault="002124B4" w:rsidP="002124B4">
            <w:pPr>
              <w:spacing w:after="160"/>
              <w:jc w:val="center"/>
              <w:rPr>
                <w:color w:val="000000"/>
              </w:rPr>
            </w:pPr>
            <w:r w:rsidRPr="00585293">
              <w:t>9.94</w:t>
            </w:r>
          </w:p>
        </w:tc>
        <w:tc>
          <w:tcPr>
            <w:tcW w:w="447" w:type="pct"/>
            <w:tcBorders>
              <w:top w:val="nil"/>
              <w:left w:val="nil"/>
              <w:right w:val="nil"/>
            </w:tcBorders>
            <w:shd w:val="clear" w:color="auto" w:fill="auto"/>
            <w:tcMar>
              <w:top w:w="28" w:type="dxa"/>
              <w:right w:w="0" w:type="dxa"/>
            </w:tcMar>
            <w:vAlign w:val="center"/>
          </w:tcPr>
          <w:p w14:paraId="2758E087" w14:textId="1EAD4BA4" w:rsidR="002124B4" w:rsidRPr="00585293" w:rsidRDefault="002124B4" w:rsidP="002124B4">
            <w:pPr>
              <w:spacing w:after="160"/>
              <w:jc w:val="center"/>
              <w:rPr>
                <w:color w:val="000000"/>
              </w:rPr>
            </w:pPr>
            <w:r w:rsidRPr="00585293">
              <w:rPr>
                <w:color w:val="000000"/>
              </w:rPr>
              <w:t>11.29</w:t>
            </w:r>
          </w:p>
        </w:tc>
        <w:tc>
          <w:tcPr>
            <w:tcW w:w="459" w:type="pct"/>
            <w:tcBorders>
              <w:top w:val="nil"/>
              <w:left w:val="nil"/>
              <w:right w:val="nil"/>
            </w:tcBorders>
            <w:shd w:val="clear" w:color="auto" w:fill="auto"/>
            <w:tcMar>
              <w:top w:w="28" w:type="dxa"/>
              <w:right w:w="0" w:type="dxa"/>
            </w:tcMar>
            <w:vAlign w:val="center"/>
          </w:tcPr>
          <w:p w14:paraId="17AA5C4F" w14:textId="7DC5FF68" w:rsidR="002124B4" w:rsidRPr="00585293" w:rsidRDefault="002124B4" w:rsidP="002124B4">
            <w:pPr>
              <w:spacing w:after="160"/>
              <w:jc w:val="center"/>
              <w:rPr>
                <w:color w:val="000000"/>
              </w:rPr>
            </w:pPr>
            <w:r w:rsidRPr="00585293">
              <w:rPr>
                <w:color w:val="000000"/>
              </w:rPr>
              <w:t>6.89</w:t>
            </w:r>
          </w:p>
        </w:tc>
        <w:tc>
          <w:tcPr>
            <w:tcW w:w="447" w:type="pct"/>
            <w:tcBorders>
              <w:top w:val="nil"/>
              <w:left w:val="nil"/>
              <w:right w:val="nil"/>
            </w:tcBorders>
            <w:shd w:val="clear" w:color="auto" w:fill="auto"/>
            <w:tcMar>
              <w:top w:w="28" w:type="dxa"/>
              <w:right w:w="0" w:type="dxa"/>
            </w:tcMar>
            <w:vAlign w:val="center"/>
          </w:tcPr>
          <w:p w14:paraId="7DA3FE30" w14:textId="610EF16E" w:rsidR="002124B4" w:rsidRPr="00585293" w:rsidRDefault="002124B4" w:rsidP="002124B4">
            <w:pPr>
              <w:spacing w:after="160"/>
              <w:jc w:val="center"/>
              <w:rPr>
                <w:color w:val="000000"/>
              </w:rPr>
            </w:pPr>
            <w:r w:rsidRPr="00585293">
              <w:t>11.19</w:t>
            </w:r>
          </w:p>
        </w:tc>
        <w:tc>
          <w:tcPr>
            <w:tcW w:w="447" w:type="pct"/>
            <w:tcBorders>
              <w:top w:val="nil"/>
              <w:left w:val="nil"/>
              <w:right w:val="nil"/>
            </w:tcBorders>
            <w:shd w:val="clear" w:color="auto" w:fill="auto"/>
            <w:tcMar>
              <w:top w:w="28" w:type="dxa"/>
              <w:right w:w="0" w:type="dxa"/>
            </w:tcMar>
            <w:vAlign w:val="center"/>
          </w:tcPr>
          <w:p w14:paraId="175B802F" w14:textId="5E979BEC" w:rsidR="002124B4" w:rsidRPr="00585293" w:rsidRDefault="002124B4" w:rsidP="002124B4">
            <w:pPr>
              <w:spacing w:after="160"/>
              <w:jc w:val="center"/>
              <w:rPr>
                <w:color w:val="000000"/>
              </w:rPr>
            </w:pPr>
            <w:r w:rsidRPr="00585293">
              <w:rPr>
                <w:color w:val="000000"/>
              </w:rPr>
              <w:t>12.12</w:t>
            </w:r>
          </w:p>
        </w:tc>
        <w:tc>
          <w:tcPr>
            <w:tcW w:w="459" w:type="pct"/>
            <w:tcBorders>
              <w:top w:val="nil"/>
              <w:left w:val="nil"/>
              <w:right w:val="nil"/>
            </w:tcBorders>
            <w:shd w:val="clear" w:color="auto" w:fill="auto"/>
            <w:tcMar>
              <w:top w:w="28" w:type="dxa"/>
              <w:right w:w="0" w:type="dxa"/>
            </w:tcMar>
            <w:vAlign w:val="center"/>
          </w:tcPr>
          <w:p w14:paraId="2C515195" w14:textId="7E9E40A9" w:rsidR="002124B4" w:rsidRPr="00585293" w:rsidRDefault="002124B4" w:rsidP="002124B4">
            <w:pPr>
              <w:spacing w:after="160"/>
              <w:jc w:val="center"/>
              <w:rPr>
                <w:color w:val="000000"/>
              </w:rPr>
            </w:pPr>
            <w:r w:rsidRPr="00585293">
              <w:rPr>
                <w:color w:val="000000"/>
              </w:rPr>
              <w:t>9.85</w:t>
            </w:r>
          </w:p>
        </w:tc>
        <w:tc>
          <w:tcPr>
            <w:tcW w:w="446" w:type="pct"/>
            <w:tcBorders>
              <w:top w:val="nil"/>
              <w:left w:val="nil"/>
              <w:right w:val="nil"/>
            </w:tcBorders>
            <w:shd w:val="clear" w:color="auto" w:fill="auto"/>
            <w:tcMar>
              <w:top w:w="28" w:type="dxa"/>
              <w:right w:w="0" w:type="dxa"/>
            </w:tcMar>
            <w:vAlign w:val="center"/>
          </w:tcPr>
          <w:p w14:paraId="46B3980C" w14:textId="2860A0A4" w:rsidR="002124B4" w:rsidRPr="00585293" w:rsidRDefault="002124B4" w:rsidP="002124B4">
            <w:pPr>
              <w:spacing w:after="160"/>
              <w:jc w:val="center"/>
              <w:rPr>
                <w:color w:val="000000"/>
              </w:rPr>
            </w:pPr>
            <w:r w:rsidRPr="00585293">
              <w:t>13.77</w:t>
            </w:r>
          </w:p>
        </w:tc>
      </w:tr>
      <w:tr w:rsidR="002124B4" w:rsidRPr="00585293" w14:paraId="25A0DA73" w14:textId="77777777" w:rsidTr="003E6389">
        <w:trPr>
          <w:trHeight w:hRule="exact" w:val="369"/>
        </w:trPr>
        <w:tc>
          <w:tcPr>
            <w:tcW w:w="940" w:type="pct"/>
            <w:tcBorders>
              <w:top w:val="nil"/>
              <w:left w:val="nil"/>
              <w:right w:val="nil"/>
            </w:tcBorders>
            <w:shd w:val="clear" w:color="auto" w:fill="auto"/>
            <w:tcMar>
              <w:top w:w="28" w:type="dxa"/>
              <w:right w:w="0" w:type="dxa"/>
            </w:tcMar>
            <w:vAlign w:val="center"/>
          </w:tcPr>
          <w:p w14:paraId="1C902FDC" w14:textId="77777777" w:rsidR="002124B4" w:rsidRPr="00585293" w:rsidRDefault="002124B4" w:rsidP="002124B4">
            <w:pPr>
              <w:spacing w:after="160"/>
              <w:rPr>
                <w:color w:val="000000"/>
              </w:rPr>
            </w:pPr>
            <w:r w:rsidRPr="00585293">
              <w:rPr>
                <w:color w:val="000000"/>
              </w:rPr>
              <w:t>Yorkshire</w:t>
            </w:r>
          </w:p>
        </w:tc>
        <w:tc>
          <w:tcPr>
            <w:tcW w:w="447" w:type="pct"/>
            <w:tcBorders>
              <w:top w:val="nil"/>
              <w:left w:val="nil"/>
              <w:right w:val="nil"/>
            </w:tcBorders>
            <w:shd w:val="clear" w:color="auto" w:fill="auto"/>
            <w:tcMar>
              <w:top w:w="28" w:type="dxa"/>
              <w:right w:w="0" w:type="dxa"/>
            </w:tcMar>
            <w:vAlign w:val="center"/>
          </w:tcPr>
          <w:p w14:paraId="6288CAAF" w14:textId="6CADD866" w:rsidR="002124B4" w:rsidRPr="00585293" w:rsidRDefault="002124B4" w:rsidP="002124B4">
            <w:pPr>
              <w:spacing w:after="160"/>
              <w:jc w:val="center"/>
              <w:rPr>
                <w:color w:val="000000"/>
              </w:rPr>
            </w:pPr>
            <w:r w:rsidRPr="00585293">
              <w:rPr>
                <w:color w:val="000000"/>
              </w:rPr>
              <w:t>12.15</w:t>
            </w:r>
          </w:p>
        </w:tc>
        <w:tc>
          <w:tcPr>
            <w:tcW w:w="459" w:type="pct"/>
            <w:tcBorders>
              <w:top w:val="nil"/>
              <w:left w:val="nil"/>
              <w:right w:val="nil"/>
            </w:tcBorders>
            <w:shd w:val="clear" w:color="auto" w:fill="auto"/>
            <w:tcMar>
              <w:top w:w="28" w:type="dxa"/>
              <w:right w:w="0" w:type="dxa"/>
            </w:tcMar>
            <w:vAlign w:val="center"/>
          </w:tcPr>
          <w:p w14:paraId="34D48B85" w14:textId="79E24CE6" w:rsidR="002124B4" w:rsidRPr="00585293" w:rsidRDefault="002124B4" w:rsidP="002124B4">
            <w:pPr>
              <w:spacing w:after="160"/>
              <w:jc w:val="center"/>
              <w:rPr>
                <w:color w:val="000000"/>
              </w:rPr>
            </w:pPr>
            <w:r w:rsidRPr="00585293">
              <w:rPr>
                <w:color w:val="000000"/>
              </w:rPr>
              <w:t>14.42</w:t>
            </w:r>
          </w:p>
        </w:tc>
        <w:tc>
          <w:tcPr>
            <w:tcW w:w="447" w:type="pct"/>
            <w:tcBorders>
              <w:top w:val="nil"/>
              <w:left w:val="nil"/>
              <w:right w:val="nil"/>
            </w:tcBorders>
            <w:shd w:val="clear" w:color="auto" w:fill="auto"/>
            <w:tcMar>
              <w:top w:w="28" w:type="dxa"/>
              <w:right w:w="0" w:type="dxa"/>
            </w:tcMar>
            <w:vAlign w:val="center"/>
          </w:tcPr>
          <w:p w14:paraId="58F92F07" w14:textId="7EADF8E0" w:rsidR="002124B4" w:rsidRPr="00585293" w:rsidRDefault="002124B4" w:rsidP="002124B4">
            <w:pPr>
              <w:spacing w:after="160"/>
              <w:jc w:val="center"/>
              <w:rPr>
                <w:color w:val="000000"/>
              </w:rPr>
            </w:pPr>
            <w:r w:rsidRPr="00585293">
              <w:t>15.92</w:t>
            </w:r>
          </w:p>
        </w:tc>
        <w:tc>
          <w:tcPr>
            <w:tcW w:w="447" w:type="pct"/>
            <w:tcBorders>
              <w:top w:val="nil"/>
              <w:left w:val="nil"/>
              <w:right w:val="nil"/>
            </w:tcBorders>
            <w:shd w:val="clear" w:color="auto" w:fill="auto"/>
            <w:tcMar>
              <w:top w:w="28" w:type="dxa"/>
              <w:right w:w="0" w:type="dxa"/>
            </w:tcMar>
            <w:vAlign w:val="center"/>
          </w:tcPr>
          <w:p w14:paraId="6A8E04D8" w14:textId="5126FCD3" w:rsidR="002124B4" w:rsidRPr="00585293" w:rsidRDefault="002124B4" w:rsidP="002124B4">
            <w:pPr>
              <w:spacing w:after="160"/>
              <w:jc w:val="center"/>
              <w:rPr>
                <w:color w:val="000000"/>
              </w:rPr>
            </w:pPr>
            <w:r w:rsidRPr="00585293">
              <w:rPr>
                <w:color w:val="000000"/>
              </w:rPr>
              <w:t>11.52</w:t>
            </w:r>
          </w:p>
        </w:tc>
        <w:tc>
          <w:tcPr>
            <w:tcW w:w="459" w:type="pct"/>
            <w:tcBorders>
              <w:top w:val="nil"/>
              <w:left w:val="nil"/>
              <w:right w:val="nil"/>
            </w:tcBorders>
            <w:shd w:val="clear" w:color="auto" w:fill="auto"/>
            <w:tcMar>
              <w:top w:w="28" w:type="dxa"/>
              <w:right w:w="0" w:type="dxa"/>
            </w:tcMar>
            <w:vAlign w:val="center"/>
          </w:tcPr>
          <w:p w14:paraId="655CC27C" w14:textId="19DB8F22" w:rsidR="002124B4" w:rsidRPr="00585293" w:rsidRDefault="002124B4" w:rsidP="002124B4">
            <w:pPr>
              <w:spacing w:after="160"/>
              <w:jc w:val="center"/>
              <w:rPr>
                <w:color w:val="000000"/>
              </w:rPr>
            </w:pPr>
            <w:r w:rsidRPr="00585293">
              <w:rPr>
                <w:color w:val="000000"/>
              </w:rPr>
              <w:t>14.40</w:t>
            </w:r>
          </w:p>
        </w:tc>
        <w:tc>
          <w:tcPr>
            <w:tcW w:w="447" w:type="pct"/>
            <w:tcBorders>
              <w:top w:val="nil"/>
              <w:left w:val="nil"/>
              <w:right w:val="nil"/>
            </w:tcBorders>
            <w:shd w:val="clear" w:color="auto" w:fill="auto"/>
            <w:tcMar>
              <w:top w:w="28" w:type="dxa"/>
              <w:right w:w="0" w:type="dxa"/>
            </w:tcMar>
            <w:vAlign w:val="center"/>
          </w:tcPr>
          <w:p w14:paraId="329DFE17" w14:textId="304AA82F" w:rsidR="002124B4" w:rsidRPr="00585293" w:rsidRDefault="002124B4" w:rsidP="002124B4">
            <w:pPr>
              <w:spacing w:after="160"/>
              <w:jc w:val="center"/>
              <w:rPr>
                <w:color w:val="000000"/>
              </w:rPr>
            </w:pPr>
            <w:r w:rsidRPr="00585293">
              <w:t>15.77</w:t>
            </w:r>
          </w:p>
        </w:tc>
        <w:tc>
          <w:tcPr>
            <w:tcW w:w="447" w:type="pct"/>
            <w:tcBorders>
              <w:top w:val="nil"/>
              <w:left w:val="nil"/>
              <w:right w:val="nil"/>
            </w:tcBorders>
            <w:shd w:val="clear" w:color="auto" w:fill="auto"/>
            <w:tcMar>
              <w:top w:w="28" w:type="dxa"/>
              <w:right w:w="0" w:type="dxa"/>
            </w:tcMar>
            <w:vAlign w:val="center"/>
          </w:tcPr>
          <w:p w14:paraId="72299989" w14:textId="424FC810" w:rsidR="002124B4" w:rsidRPr="00585293" w:rsidRDefault="002124B4" w:rsidP="002124B4">
            <w:pPr>
              <w:spacing w:after="160"/>
              <w:jc w:val="center"/>
              <w:rPr>
                <w:color w:val="000000"/>
              </w:rPr>
            </w:pPr>
            <w:r w:rsidRPr="00585293">
              <w:rPr>
                <w:color w:val="000000"/>
              </w:rPr>
              <w:t>12.52</w:t>
            </w:r>
          </w:p>
        </w:tc>
        <w:tc>
          <w:tcPr>
            <w:tcW w:w="459" w:type="pct"/>
            <w:tcBorders>
              <w:top w:val="nil"/>
              <w:left w:val="nil"/>
              <w:right w:val="nil"/>
            </w:tcBorders>
            <w:shd w:val="clear" w:color="auto" w:fill="auto"/>
            <w:tcMar>
              <w:top w:w="28" w:type="dxa"/>
              <w:right w:w="0" w:type="dxa"/>
            </w:tcMar>
            <w:vAlign w:val="center"/>
          </w:tcPr>
          <w:p w14:paraId="40F40D2A" w14:textId="646C6B49" w:rsidR="002124B4" w:rsidRPr="00585293" w:rsidRDefault="002124B4" w:rsidP="002124B4">
            <w:pPr>
              <w:spacing w:after="160"/>
              <w:jc w:val="center"/>
              <w:rPr>
                <w:color w:val="000000"/>
              </w:rPr>
            </w:pPr>
            <w:r w:rsidRPr="00585293">
              <w:rPr>
                <w:color w:val="000000"/>
              </w:rPr>
              <w:t>14.26</w:t>
            </w:r>
          </w:p>
        </w:tc>
        <w:tc>
          <w:tcPr>
            <w:tcW w:w="446" w:type="pct"/>
            <w:tcBorders>
              <w:top w:val="nil"/>
              <w:left w:val="nil"/>
              <w:right w:val="nil"/>
            </w:tcBorders>
            <w:shd w:val="clear" w:color="auto" w:fill="auto"/>
            <w:tcMar>
              <w:top w:w="28" w:type="dxa"/>
              <w:right w:w="0" w:type="dxa"/>
            </w:tcMar>
            <w:vAlign w:val="center"/>
          </w:tcPr>
          <w:p w14:paraId="6DA9C96A" w14:textId="33E57F94" w:rsidR="002124B4" w:rsidRPr="00585293" w:rsidRDefault="002124B4" w:rsidP="002124B4">
            <w:pPr>
              <w:spacing w:after="160"/>
              <w:jc w:val="center"/>
              <w:rPr>
                <w:color w:val="000000"/>
              </w:rPr>
            </w:pPr>
            <w:r w:rsidRPr="00585293">
              <w:t>15.88</w:t>
            </w:r>
          </w:p>
        </w:tc>
      </w:tr>
      <w:tr w:rsidR="002124B4" w:rsidRPr="00585293" w14:paraId="0F80FBB8" w14:textId="77777777" w:rsidTr="003E6389">
        <w:trPr>
          <w:trHeight w:hRule="exact" w:val="369"/>
        </w:trPr>
        <w:tc>
          <w:tcPr>
            <w:tcW w:w="940" w:type="pct"/>
            <w:tcBorders>
              <w:top w:val="nil"/>
              <w:left w:val="nil"/>
              <w:right w:val="nil"/>
            </w:tcBorders>
            <w:shd w:val="clear" w:color="auto" w:fill="auto"/>
            <w:tcMar>
              <w:top w:w="28" w:type="dxa"/>
              <w:left w:w="0" w:type="dxa"/>
              <w:right w:w="0" w:type="dxa"/>
            </w:tcMar>
            <w:vAlign w:val="center"/>
          </w:tcPr>
          <w:p w14:paraId="26E939D5" w14:textId="77777777" w:rsidR="002124B4" w:rsidRPr="00585293" w:rsidRDefault="002124B4" w:rsidP="002124B4">
            <w:pPr>
              <w:spacing w:after="160"/>
              <w:rPr>
                <w:color w:val="000000"/>
              </w:rPr>
            </w:pPr>
            <w:r w:rsidRPr="00585293">
              <w:rPr>
                <w:color w:val="000000"/>
              </w:rPr>
              <w:t>Observations (</w:t>
            </w:r>
            <w:r w:rsidRPr="00585293">
              <w:rPr>
                <w:i/>
                <w:iCs/>
                <w:color w:val="000000"/>
              </w:rPr>
              <w:t>N</w:t>
            </w:r>
            <w:r w:rsidRPr="00585293">
              <w:rPr>
                <w:color w:val="000000"/>
              </w:rPr>
              <w:t>)</w:t>
            </w:r>
          </w:p>
        </w:tc>
        <w:tc>
          <w:tcPr>
            <w:tcW w:w="447" w:type="pct"/>
            <w:tcBorders>
              <w:top w:val="nil"/>
              <w:left w:val="nil"/>
              <w:right w:val="nil"/>
            </w:tcBorders>
            <w:shd w:val="clear" w:color="auto" w:fill="auto"/>
            <w:tcMar>
              <w:top w:w="28" w:type="dxa"/>
              <w:right w:w="0" w:type="dxa"/>
            </w:tcMar>
            <w:vAlign w:val="center"/>
          </w:tcPr>
          <w:p w14:paraId="5C5C61DD" w14:textId="77777777" w:rsidR="002124B4" w:rsidRPr="00585293" w:rsidRDefault="002124B4" w:rsidP="002124B4">
            <w:pPr>
              <w:spacing w:after="160"/>
              <w:jc w:val="center"/>
              <w:rPr>
                <w:color w:val="000000"/>
              </w:rPr>
            </w:pPr>
            <w:r w:rsidRPr="00585293">
              <w:rPr>
                <w:color w:val="000000"/>
              </w:rPr>
              <w:t>1,291,487</w:t>
            </w:r>
          </w:p>
        </w:tc>
        <w:tc>
          <w:tcPr>
            <w:tcW w:w="459" w:type="pct"/>
            <w:tcBorders>
              <w:top w:val="nil"/>
              <w:left w:val="nil"/>
              <w:right w:val="nil"/>
            </w:tcBorders>
            <w:shd w:val="clear" w:color="auto" w:fill="auto"/>
            <w:tcMar>
              <w:top w:w="28" w:type="dxa"/>
              <w:right w:w="0" w:type="dxa"/>
            </w:tcMar>
            <w:vAlign w:val="center"/>
          </w:tcPr>
          <w:p w14:paraId="5F23520B" w14:textId="780CDCC8" w:rsidR="002124B4" w:rsidRPr="00585293" w:rsidRDefault="002124B4" w:rsidP="002124B4">
            <w:pPr>
              <w:spacing w:after="160"/>
              <w:jc w:val="center"/>
              <w:rPr>
                <w:color w:val="000000"/>
              </w:rPr>
            </w:pPr>
            <w:r w:rsidRPr="00585293">
              <w:rPr>
                <w:color w:val="000000"/>
              </w:rPr>
              <w:t>68,329</w:t>
            </w:r>
          </w:p>
        </w:tc>
        <w:tc>
          <w:tcPr>
            <w:tcW w:w="447" w:type="pct"/>
            <w:tcBorders>
              <w:top w:val="nil"/>
              <w:left w:val="nil"/>
              <w:right w:val="nil"/>
            </w:tcBorders>
            <w:shd w:val="clear" w:color="auto" w:fill="auto"/>
            <w:tcMar>
              <w:top w:w="28" w:type="dxa"/>
              <w:right w:w="0" w:type="dxa"/>
            </w:tcMar>
            <w:vAlign w:val="center"/>
          </w:tcPr>
          <w:p w14:paraId="690F6C60" w14:textId="77777777" w:rsidR="002124B4" w:rsidRPr="00585293" w:rsidRDefault="002124B4" w:rsidP="002124B4">
            <w:pPr>
              <w:spacing w:after="160"/>
              <w:jc w:val="center"/>
              <w:rPr>
                <w:color w:val="000000"/>
              </w:rPr>
            </w:pPr>
            <w:r w:rsidRPr="00585293">
              <w:rPr>
                <w:color w:val="000000"/>
              </w:rPr>
              <w:t>68,329</w:t>
            </w:r>
          </w:p>
        </w:tc>
        <w:tc>
          <w:tcPr>
            <w:tcW w:w="447" w:type="pct"/>
            <w:tcBorders>
              <w:top w:val="nil"/>
              <w:left w:val="nil"/>
              <w:right w:val="nil"/>
            </w:tcBorders>
            <w:shd w:val="clear" w:color="auto" w:fill="auto"/>
            <w:tcMar>
              <w:top w:w="28" w:type="dxa"/>
              <w:right w:w="0" w:type="dxa"/>
            </w:tcMar>
            <w:vAlign w:val="center"/>
          </w:tcPr>
          <w:p w14:paraId="0FBD8CCC" w14:textId="77777777" w:rsidR="002124B4" w:rsidRPr="00585293" w:rsidRDefault="002124B4" w:rsidP="002124B4">
            <w:pPr>
              <w:spacing w:after="160"/>
              <w:jc w:val="center"/>
              <w:rPr>
                <w:color w:val="000000"/>
              </w:rPr>
            </w:pPr>
            <w:r w:rsidRPr="00585293">
              <w:rPr>
                <w:color w:val="000000"/>
              </w:rPr>
              <w:t>1,445,779</w:t>
            </w:r>
          </w:p>
        </w:tc>
        <w:tc>
          <w:tcPr>
            <w:tcW w:w="459" w:type="pct"/>
            <w:tcBorders>
              <w:top w:val="nil"/>
              <w:left w:val="nil"/>
              <w:right w:val="nil"/>
            </w:tcBorders>
            <w:shd w:val="clear" w:color="auto" w:fill="auto"/>
            <w:tcMar>
              <w:top w:w="28" w:type="dxa"/>
              <w:right w:w="0" w:type="dxa"/>
            </w:tcMar>
            <w:vAlign w:val="center"/>
          </w:tcPr>
          <w:p w14:paraId="75CF337D" w14:textId="3E839341" w:rsidR="002124B4" w:rsidRPr="00585293" w:rsidRDefault="002124B4" w:rsidP="002124B4">
            <w:pPr>
              <w:spacing w:after="160"/>
              <w:jc w:val="center"/>
              <w:rPr>
                <w:color w:val="000000"/>
              </w:rPr>
            </w:pPr>
            <w:r w:rsidRPr="00585293">
              <w:rPr>
                <w:color w:val="000000"/>
              </w:rPr>
              <w:t>86,884</w:t>
            </w:r>
          </w:p>
        </w:tc>
        <w:tc>
          <w:tcPr>
            <w:tcW w:w="447" w:type="pct"/>
            <w:tcBorders>
              <w:top w:val="nil"/>
              <w:left w:val="nil"/>
              <w:right w:val="nil"/>
            </w:tcBorders>
            <w:shd w:val="clear" w:color="auto" w:fill="auto"/>
            <w:tcMar>
              <w:top w:w="28" w:type="dxa"/>
              <w:right w:w="0" w:type="dxa"/>
            </w:tcMar>
            <w:vAlign w:val="center"/>
          </w:tcPr>
          <w:p w14:paraId="28F74A42" w14:textId="77777777" w:rsidR="002124B4" w:rsidRPr="00585293" w:rsidRDefault="002124B4" w:rsidP="002124B4">
            <w:pPr>
              <w:spacing w:after="160"/>
              <w:jc w:val="center"/>
              <w:rPr>
                <w:color w:val="000000"/>
              </w:rPr>
            </w:pPr>
            <w:r w:rsidRPr="00585293">
              <w:rPr>
                <w:color w:val="000000"/>
              </w:rPr>
              <w:t>86,884</w:t>
            </w:r>
          </w:p>
        </w:tc>
        <w:tc>
          <w:tcPr>
            <w:tcW w:w="447" w:type="pct"/>
            <w:tcBorders>
              <w:top w:val="nil"/>
              <w:left w:val="nil"/>
              <w:right w:val="nil"/>
            </w:tcBorders>
            <w:shd w:val="clear" w:color="auto" w:fill="auto"/>
            <w:tcMar>
              <w:top w:w="28" w:type="dxa"/>
              <w:right w:w="0" w:type="dxa"/>
            </w:tcMar>
            <w:vAlign w:val="center"/>
          </w:tcPr>
          <w:p w14:paraId="31E88598" w14:textId="77777777" w:rsidR="002124B4" w:rsidRPr="00585293" w:rsidRDefault="002124B4" w:rsidP="002124B4">
            <w:pPr>
              <w:spacing w:after="160"/>
              <w:jc w:val="center"/>
              <w:rPr>
                <w:color w:val="000000"/>
              </w:rPr>
            </w:pPr>
            <w:r w:rsidRPr="00585293">
              <w:rPr>
                <w:color w:val="000000"/>
              </w:rPr>
              <w:t>2,148,480</w:t>
            </w:r>
          </w:p>
        </w:tc>
        <w:tc>
          <w:tcPr>
            <w:tcW w:w="459" w:type="pct"/>
            <w:tcBorders>
              <w:top w:val="nil"/>
              <w:left w:val="nil"/>
              <w:right w:val="nil"/>
            </w:tcBorders>
            <w:shd w:val="clear" w:color="auto" w:fill="auto"/>
            <w:tcMar>
              <w:top w:w="28" w:type="dxa"/>
              <w:right w:w="0" w:type="dxa"/>
            </w:tcMar>
            <w:vAlign w:val="center"/>
          </w:tcPr>
          <w:p w14:paraId="4059D3DD" w14:textId="52130442" w:rsidR="002124B4" w:rsidRPr="00585293" w:rsidRDefault="002124B4" w:rsidP="002124B4">
            <w:pPr>
              <w:spacing w:after="160"/>
              <w:jc w:val="center"/>
              <w:rPr>
                <w:color w:val="000000"/>
              </w:rPr>
            </w:pPr>
            <w:r w:rsidRPr="00585293">
              <w:rPr>
                <w:color w:val="000000"/>
              </w:rPr>
              <w:t>164,318</w:t>
            </w:r>
          </w:p>
        </w:tc>
        <w:tc>
          <w:tcPr>
            <w:tcW w:w="446" w:type="pct"/>
            <w:tcBorders>
              <w:top w:val="nil"/>
              <w:left w:val="nil"/>
              <w:right w:val="nil"/>
            </w:tcBorders>
            <w:shd w:val="clear" w:color="auto" w:fill="auto"/>
            <w:tcMar>
              <w:top w:w="28" w:type="dxa"/>
              <w:right w:w="0" w:type="dxa"/>
            </w:tcMar>
            <w:vAlign w:val="center"/>
          </w:tcPr>
          <w:p w14:paraId="51218F3D" w14:textId="77777777" w:rsidR="002124B4" w:rsidRPr="00585293" w:rsidRDefault="002124B4" w:rsidP="002124B4">
            <w:pPr>
              <w:spacing w:after="160"/>
              <w:jc w:val="center"/>
              <w:rPr>
                <w:color w:val="000000"/>
              </w:rPr>
            </w:pPr>
            <w:r w:rsidRPr="00585293">
              <w:rPr>
                <w:color w:val="000000"/>
              </w:rPr>
              <w:t>164,318</w:t>
            </w:r>
          </w:p>
        </w:tc>
      </w:tr>
      <w:tr w:rsidR="002124B4" w:rsidRPr="00585293" w14:paraId="7A1B17B3" w14:textId="77777777" w:rsidTr="003E6389">
        <w:trPr>
          <w:trHeight w:hRule="exact" w:val="369"/>
        </w:trPr>
        <w:tc>
          <w:tcPr>
            <w:tcW w:w="940" w:type="pct"/>
            <w:tcBorders>
              <w:top w:val="nil"/>
              <w:left w:val="nil"/>
              <w:bottom w:val="double" w:sz="4" w:space="0" w:color="auto"/>
              <w:right w:val="nil"/>
            </w:tcBorders>
            <w:shd w:val="clear" w:color="auto" w:fill="auto"/>
            <w:tcMar>
              <w:top w:w="28" w:type="dxa"/>
              <w:left w:w="0" w:type="dxa"/>
              <w:right w:w="0" w:type="dxa"/>
            </w:tcMar>
            <w:vAlign w:val="center"/>
          </w:tcPr>
          <w:p w14:paraId="62456C2D" w14:textId="77777777" w:rsidR="002124B4" w:rsidRPr="00585293" w:rsidRDefault="002124B4" w:rsidP="002124B4">
            <w:pPr>
              <w:spacing w:after="160"/>
              <w:rPr>
                <w:color w:val="000000"/>
              </w:rPr>
            </w:pPr>
            <w:r w:rsidRPr="00585293">
              <w:rPr>
                <w:color w:val="000000"/>
              </w:rPr>
              <w:t>Match Rate (%)</w:t>
            </w:r>
          </w:p>
        </w:tc>
        <w:tc>
          <w:tcPr>
            <w:tcW w:w="447" w:type="pct"/>
            <w:tcBorders>
              <w:top w:val="nil"/>
              <w:left w:val="nil"/>
              <w:bottom w:val="double" w:sz="4" w:space="0" w:color="auto"/>
              <w:right w:val="nil"/>
            </w:tcBorders>
            <w:shd w:val="clear" w:color="auto" w:fill="auto"/>
            <w:tcMar>
              <w:top w:w="28" w:type="dxa"/>
              <w:right w:w="0" w:type="dxa"/>
            </w:tcMar>
            <w:vAlign w:val="center"/>
          </w:tcPr>
          <w:p w14:paraId="1C53EC3E" w14:textId="77777777" w:rsidR="002124B4" w:rsidRPr="00585293" w:rsidRDefault="002124B4" w:rsidP="002124B4">
            <w:pPr>
              <w:spacing w:after="160"/>
              <w:jc w:val="center"/>
              <w:rPr>
                <w:color w:val="000000"/>
              </w:rPr>
            </w:pPr>
          </w:p>
        </w:tc>
        <w:tc>
          <w:tcPr>
            <w:tcW w:w="459" w:type="pct"/>
            <w:tcBorders>
              <w:top w:val="nil"/>
              <w:left w:val="nil"/>
              <w:bottom w:val="double" w:sz="4" w:space="0" w:color="auto"/>
              <w:right w:val="nil"/>
            </w:tcBorders>
            <w:shd w:val="clear" w:color="auto" w:fill="auto"/>
            <w:tcMar>
              <w:top w:w="28" w:type="dxa"/>
              <w:right w:w="0" w:type="dxa"/>
            </w:tcMar>
            <w:vAlign w:val="center"/>
          </w:tcPr>
          <w:p w14:paraId="5A9ABD98" w14:textId="3B6CE84B" w:rsidR="002124B4" w:rsidRPr="00585293" w:rsidRDefault="002124B4" w:rsidP="002124B4">
            <w:pPr>
              <w:spacing w:after="160"/>
              <w:jc w:val="center"/>
              <w:rPr>
                <w:color w:val="000000"/>
              </w:rPr>
            </w:pPr>
            <w:r w:rsidRPr="00585293">
              <w:rPr>
                <w:color w:val="000000"/>
              </w:rPr>
              <w:t>5.29</w:t>
            </w:r>
          </w:p>
        </w:tc>
        <w:tc>
          <w:tcPr>
            <w:tcW w:w="447" w:type="pct"/>
            <w:tcBorders>
              <w:top w:val="nil"/>
              <w:left w:val="nil"/>
              <w:bottom w:val="double" w:sz="4" w:space="0" w:color="auto"/>
              <w:right w:val="nil"/>
            </w:tcBorders>
            <w:shd w:val="clear" w:color="auto" w:fill="auto"/>
            <w:tcMar>
              <w:top w:w="28" w:type="dxa"/>
              <w:right w:w="0" w:type="dxa"/>
            </w:tcMar>
            <w:vAlign w:val="center"/>
          </w:tcPr>
          <w:p w14:paraId="7D685D76" w14:textId="77777777" w:rsidR="002124B4" w:rsidRPr="00585293" w:rsidRDefault="002124B4" w:rsidP="002124B4">
            <w:pPr>
              <w:spacing w:after="160"/>
              <w:jc w:val="center"/>
              <w:rPr>
                <w:color w:val="000000"/>
              </w:rPr>
            </w:pPr>
            <w:r w:rsidRPr="00585293">
              <w:rPr>
                <w:color w:val="000000"/>
              </w:rPr>
              <w:t>5.29</w:t>
            </w:r>
          </w:p>
        </w:tc>
        <w:tc>
          <w:tcPr>
            <w:tcW w:w="447" w:type="pct"/>
            <w:tcBorders>
              <w:top w:val="nil"/>
              <w:left w:val="nil"/>
              <w:bottom w:val="double" w:sz="4" w:space="0" w:color="auto"/>
              <w:right w:val="nil"/>
            </w:tcBorders>
            <w:shd w:val="clear" w:color="auto" w:fill="auto"/>
            <w:tcMar>
              <w:top w:w="28" w:type="dxa"/>
              <w:right w:w="0" w:type="dxa"/>
            </w:tcMar>
            <w:vAlign w:val="center"/>
          </w:tcPr>
          <w:p w14:paraId="27D671A1" w14:textId="77777777" w:rsidR="002124B4" w:rsidRPr="00585293" w:rsidRDefault="002124B4" w:rsidP="002124B4">
            <w:pPr>
              <w:spacing w:after="160"/>
              <w:jc w:val="center"/>
              <w:rPr>
                <w:color w:val="000000"/>
              </w:rPr>
            </w:pPr>
          </w:p>
        </w:tc>
        <w:tc>
          <w:tcPr>
            <w:tcW w:w="459" w:type="pct"/>
            <w:tcBorders>
              <w:top w:val="nil"/>
              <w:left w:val="nil"/>
              <w:bottom w:val="double" w:sz="4" w:space="0" w:color="auto"/>
              <w:right w:val="nil"/>
            </w:tcBorders>
            <w:shd w:val="clear" w:color="auto" w:fill="auto"/>
            <w:tcMar>
              <w:top w:w="28" w:type="dxa"/>
              <w:right w:w="0" w:type="dxa"/>
            </w:tcMar>
            <w:vAlign w:val="center"/>
          </w:tcPr>
          <w:p w14:paraId="68D1E768" w14:textId="31B803A4" w:rsidR="002124B4" w:rsidRPr="00585293" w:rsidRDefault="002124B4" w:rsidP="002124B4">
            <w:pPr>
              <w:spacing w:after="160"/>
              <w:jc w:val="center"/>
              <w:rPr>
                <w:color w:val="000000"/>
              </w:rPr>
            </w:pPr>
            <w:r w:rsidRPr="00585293">
              <w:rPr>
                <w:color w:val="000000"/>
              </w:rPr>
              <w:t>6.01</w:t>
            </w:r>
          </w:p>
        </w:tc>
        <w:tc>
          <w:tcPr>
            <w:tcW w:w="447" w:type="pct"/>
            <w:tcBorders>
              <w:top w:val="nil"/>
              <w:left w:val="nil"/>
              <w:bottom w:val="double" w:sz="4" w:space="0" w:color="auto"/>
              <w:right w:val="nil"/>
            </w:tcBorders>
            <w:shd w:val="clear" w:color="auto" w:fill="auto"/>
            <w:tcMar>
              <w:top w:w="28" w:type="dxa"/>
              <w:right w:w="0" w:type="dxa"/>
            </w:tcMar>
            <w:vAlign w:val="center"/>
          </w:tcPr>
          <w:p w14:paraId="57A76A47" w14:textId="77777777" w:rsidR="002124B4" w:rsidRPr="00585293" w:rsidRDefault="002124B4" w:rsidP="002124B4">
            <w:pPr>
              <w:spacing w:after="160"/>
              <w:jc w:val="center"/>
              <w:rPr>
                <w:color w:val="000000"/>
              </w:rPr>
            </w:pPr>
            <w:r w:rsidRPr="00585293">
              <w:rPr>
                <w:color w:val="000000"/>
              </w:rPr>
              <w:t>6.01</w:t>
            </w:r>
          </w:p>
        </w:tc>
        <w:tc>
          <w:tcPr>
            <w:tcW w:w="447" w:type="pct"/>
            <w:tcBorders>
              <w:top w:val="nil"/>
              <w:left w:val="nil"/>
              <w:bottom w:val="double" w:sz="4" w:space="0" w:color="auto"/>
              <w:right w:val="nil"/>
            </w:tcBorders>
            <w:shd w:val="clear" w:color="auto" w:fill="auto"/>
            <w:tcMar>
              <w:top w:w="28" w:type="dxa"/>
              <w:right w:w="0" w:type="dxa"/>
            </w:tcMar>
            <w:vAlign w:val="center"/>
          </w:tcPr>
          <w:p w14:paraId="4CA51C67" w14:textId="77777777" w:rsidR="002124B4" w:rsidRPr="00585293" w:rsidRDefault="002124B4" w:rsidP="002124B4">
            <w:pPr>
              <w:spacing w:after="160"/>
              <w:jc w:val="center"/>
              <w:rPr>
                <w:color w:val="000000"/>
              </w:rPr>
            </w:pPr>
          </w:p>
        </w:tc>
        <w:tc>
          <w:tcPr>
            <w:tcW w:w="459" w:type="pct"/>
            <w:tcBorders>
              <w:top w:val="nil"/>
              <w:left w:val="nil"/>
              <w:bottom w:val="double" w:sz="4" w:space="0" w:color="auto"/>
              <w:right w:val="nil"/>
            </w:tcBorders>
            <w:shd w:val="clear" w:color="auto" w:fill="auto"/>
            <w:tcMar>
              <w:top w:w="28" w:type="dxa"/>
              <w:right w:w="0" w:type="dxa"/>
            </w:tcMar>
            <w:vAlign w:val="center"/>
          </w:tcPr>
          <w:p w14:paraId="753F89DC" w14:textId="48AF987C" w:rsidR="002124B4" w:rsidRPr="00585293" w:rsidRDefault="002124B4" w:rsidP="002124B4">
            <w:pPr>
              <w:spacing w:after="160"/>
              <w:jc w:val="center"/>
              <w:rPr>
                <w:color w:val="000000"/>
              </w:rPr>
            </w:pPr>
            <w:r w:rsidRPr="00585293">
              <w:rPr>
                <w:color w:val="000000"/>
              </w:rPr>
              <w:t>7.65</w:t>
            </w:r>
          </w:p>
        </w:tc>
        <w:tc>
          <w:tcPr>
            <w:tcW w:w="446" w:type="pct"/>
            <w:tcBorders>
              <w:top w:val="nil"/>
              <w:left w:val="nil"/>
              <w:bottom w:val="double" w:sz="4" w:space="0" w:color="auto"/>
              <w:right w:val="nil"/>
            </w:tcBorders>
            <w:shd w:val="clear" w:color="auto" w:fill="auto"/>
            <w:tcMar>
              <w:top w:w="28" w:type="dxa"/>
              <w:right w:w="0" w:type="dxa"/>
            </w:tcMar>
            <w:vAlign w:val="center"/>
          </w:tcPr>
          <w:p w14:paraId="2198B316" w14:textId="77777777" w:rsidR="002124B4" w:rsidRPr="00585293" w:rsidRDefault="002124B4" w:rsidP="002124B4">
            <w:pPr>
              <w:spacing w:after="160"/>
              <w:jc w:val="center"/>
              <w:rPr>
                <w:color w:val="000000"/>
              </w:rPr>
            </w:pPr>
            <w:r w:rsidRPr="00585293">
              <w:rPr>
                <w:color w:val="000000"/>
              </w:rPr>
              <w:t>7.65</w:t>
            </w:r>
          </w:p>
        </w:tc>
      </w:tr>
    </w:tbl>
    <w:p w14:paraId="7F781D49" w14:textId="2C7740F6" w:rsidR="00D37655" w:rsidRDefault="002124B4" w:rsidP="003653CA">
      <w:pPr>
        <w:jc w:val="both"/>
        <w:rPr>
          <w:sz w:val="20"/>
          <w:szCs w:val="20"/>
        </w:rPr>
      </w:pPr>
      <w:r w:rsidRPr="003653CA">
        <w:rPr>
          <w:i/>
          <w:iCs/>
          <w:sz w:val="20"/>
          <w:szCs w:val="20"/>
        </w:rPr>
        <w:t>Notes</w:t>
      </w:r>
      <w:r w:rsidRPr="00585293">
        <w:rPr>
          <w:sz w:val="20"/>
          <w:szCs w:val="20"/>
        </w:rPr>
        <w:t xml:space="preserve">: </w:t>
      </w:r>
      <w:r w:rsidR="00865AD8">
        <w:rPr>
          <w:sz w:val="20"/>
          <w:szCs w:val="20"/>
        </w:rPr>
        <w:t>“</w:t>
      </w:r>
      <w:r w:rsidRPr="00585293">
        <w:rPr>
          <w:sz w:val="20"/>
          <w:szCs w:val="20"/>
        </w:rPr>
        <w:t>Population</w:t>
      </w:r>
      <w:r w:rsidR="00865AD8">
        <w:rPr>
          <w:sz w:val="20"/>
          <w:szCs w:val="20"/>
        </w:rPr>
        <w:t>”</w:t>
      </w:r>
      <w:r w:rsidRPr="00585293">
        <w:rPr>
          <w:sz w:val="20"/>
          <w:szCs w:val="20"/>
        </w:rPr>
        <w:t xml:space="preserve"> includes all men aged 35-45 in 1881, 1891, and 1911 when comparing with the sons in the linked sample and all men aged 30-55 in 1851, 1861, and 1881 when comparing with the fathers.</w:t>
      </w:r>
      <w:r w:rsidR="006D092D" w:rsidRPr="00585293">
        <w:rPr>
          <w:sz w:val="20"/>
          <w:szCs w:val="20"/>
        </w:rPr>
        <w:t xml:space="preserve"> </w:t>
      </w:r>
      <w:r w:rsidR="00865AD8">
        <w:rPr>
          <w:sz w:val="20"/>
          <w:szCs w:val="20"/>
        </w:rPr>
        <w:t>“</w:t>
      </w:r>
      <w:r w:rsidR="006D092D" w:rsidRPr="00585293">
        <w:rPr>
          <w:sz w:val="20"/>
          <w:szCs w:val="20"/>
        </w:rPr>
        <w:t>ML</w:t>
      </w:r>
      <w:r w:rsidR="00865AD8">
        <w:rPr>
          <w:sz w:val="20"/>
          <w:szCs w:val="20"/>
        </w:rPr>
        <w:t>”</w:t>
      </w:r>
      <w:r w:rsidR="006D092D" w:rsidRPr="00585293">
        <w:rPr>
          <w:sz w:val="20"/>
          <w:szCs w:val="20"/>
        </w:rPr>
        <w:t xml:space="preserve"> refers to the double- or triple-linked sample.</w:t>
      </w:r>
      <w:r w:rsidRPr="00585293">
        <w:rPr>
          <w:sz w:val="20"/>
          <w:szCs w:val="20"/>
        </w:rPr>
        <w:t xml:space="preserve"> </w:t>
      </w:r>
      <w:r w:rsidR="00865AD8">
        <w:rPr>
          <w:sz w:val="20"/>
          <w:szCs w:val="20"/>
        </w:rPr>
        <w:t>“</w:t>
      </w:r>
      <w:r w:rsidRPr="00585293">
        <w:rPr>
          <w:sz w:val="20"/>
          <w:szCs w:val="20"/>
        </w:rPr>
        <w:t>Manufacturing</w:t>
      </w:r>
      <w:r w:rsidR="00865AD8">
        <w:rPr>
          <w:sz w:val="20"/>
          <w:szCs w:val="20"/>
        </w:rPr>
        <w:t>”</w:t>
      </w:r>
      <w:r w:rsidRPr="00585293">
        <w:rPr>
          <w:sz w:val="20"/>
          <w:szCs w:val="20"/>
        </w:rPr>
        <w:t xml:space="preserve"> in Occupational Structure also includes Mining and Transport sectors. </w:t>
      </w:r>
      <w:r w:rsidR="00865AD8">
        <w:rPr>
          <w:sz w:val="20"/>
          <w:szCs w:val="20"/>
        </w:rPr>
        <w:t>“</w:t>
      </w:r>
      <w:r w:rsidRPr="00585293">
        <w:rPr>
          <w:sz w:val="20"/>
          <w:szCs w:val="20"/>
        </w:rPr>
        <w:t>Extra London</w:t>
      </w:r>
      <w:r w:rsidR="00865AD8">
        <w:rPr>
          <w:sz w:val="20"/>
          <w:szCs w:val="20"/>
        </w:rPr>
        <w:t>”</w:t>
      </w:r>
      <w:r w:rsidRPr="00585293">
        <w:rPr>
          <w:sz w:val="20"/>
          <w:szCs w:val="20"/>
        </w:rPr>
        <w:t xml:space="preserve"> refers to the regions of Middlesex, Kent, Essex, and Surrey that are not included in </w:t>
      </w:r>
      <w:r w:rsidR="00865AD8">
        <w:rPr>
          <w:sz w:val="20"/>
          <w:szCs w:val="20"/>
        </w:rPr>
        <w:t>“</w:t>
      </w:r>
      <w:r w:rsidRPr="00585293">
        <w:rPr>
          <w:sz w:val="20"/>
          <w:szCs w:val="20"/>
        </w:rPr>
        <w:t>London</w:t>
      </w:r>
      <w:r w:rsidR="00865AD8">
        <w:rPr>
          <w:sz w:val="20"/>
          <w:szCs w:val="20"/>
        </w:rPr>
        <w:t>.”</w:t>
      </w:r>
      <w:r w:rsidRPr="00585293">
        <w:rPr>
          <w:sz w:val="20"/>
          <w:szCs w:val="20"/>
        </w:rPr>
        <w:t xml:space="preserve"> </w:t>
      </w:r>
      <w:r w:rsidR="00865AD8">
        <w:rPr>
          <w:sz w:val="20"/>
          <w:szCs w:val="20"/>
        </w:rPr>
        <w:t>“</w:t>
      </w:r>
      <w:r w:rsidRPr="00585293">
        <w:rPr>
          <w:sz w:val="20"/>
          <w:szCs w:val="20"/>
        </w:rPr>
        <w:t>Greater London</w:t>
      </w:r>
      <w:r w:rsidR="00865AD8">
        <w:rPr>
          <w:sz w:val="20"/>
          <w:szCs w:val="20"/>
        </w:rPr>
        <w:t>”</w:t>
      </w:r>
      <w:r w:rsidRPr="00585293">
        <w:rPr>
          <w:sz w:val="20"/>
          <w:szCs w:val="20"/>
        </w:rPr>
        <w:t xml:space="preserve"> refers to the entire regions of Middlesex, Kent, Essex, and Surrey. </w:t>
      </w:r>
      <w:r w:rsidR="00865AD8">
        <w:rPr>
          <w:sz w:val="20"/>
          <w:szCs w:val="20"/>
        </w:rPr>
        <w:t>“</w:t>
      </w:r>
      <w:r w:rsidRPr="00585293">
        <w:rPr>
          <w:sz w:val="20"/>
          <w:szCs w:val="20"/>
        </w:rPr>
        <w:t>Yorkshire</w:t>
      </w:r>
      <w:r w:rsidR="00865AD8">
        <w:rPr>
          <w:sz w:val="20"/>
          <w:szCs w:val="20"/>
        </w:rPr>
        <w:t>”</w:t>
      </w:r>
      <w:r w:rsidRPr="00585293">
        <w:rPr>
          <w:sz w:val="20"/>
          <w:szCs w:val="20"/>
        </w:rPr>
        <w:t xml:space="preserve"> includes all Ridings of Yorkshire. All numbers are in percentages unless stated otherwise. </w:t>
      </w:r>
    </w:p>
    <w:p w14:paraId="34FC53A8" w14:textId="09EB00D3" w:rsidR="002124B4" w:rsidRPr="00585293" w:rsidRDefault="002124B4" w:rsidP="002124B4">
      <w:pPr>
        <w:spacing w:after="160"/>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w:t>
      </w:r>
    </w:p>
    <w:p w14:paraId="2BD24C8E" w14:textId="77777777" w:rsidR="00BE06B0" w:rsidRPr="00585293" w:rsidRDefault="00BE06B0" w:rsidP="00BE38B5">
      <w:pPr>
        <w:spacing w:after="160" w:line="480" w:lineRule="auto"/>
        <w:jc w:val="both"/>
        <w:rPr>
          <w:iCs/>
        </w:rPr>
      </w:pPr>
    </w:p>
    <w:p w14:paraId="72CACC1E" w14:textId="77777777" w:rsidR="00BE06B0" w:rsidRPr="00585293" w:rsidRDefault="00BE06B0">
      <w:pPr>
        <w:spacing w:after="160" w:line="259" w:lineRule="auto"/>
        <w:rPr>
          <w:rFonts w:eastAsiaTheme="majorEastAsia"/>
          <w:i/>
          <w:iCs/>
        </w:rPr>
      </w:pPr>
      <w:r w:rsidRPr="00585293">
        <w:rPr>
          <w:i/>
          <w:iCs/>
        </w:rPr>
        <w:br w:type="page"/>
      </w:r>
    </w:p>
    <w:p w14:paraId="550ED298" w14:textId="77777777" w:rsidR="00BE06B0" w:rsidRPr="00585293" w:rsidRDefault="00BE06B0" w:rsidP="00BE38B5">
      <w:pPr>
        <w:pStyle w:val="Heading2"/>
        <w:spacing w:after="160" w:line="480" w:lineRule="auto"/>
        <w:jc w:val="both"/>
        <w:rPr>
          <w:rFonts w:ascii="Times New Roman" w:hAnsi="Times New Roman" w:cs="Times New Roman"/>
          <w:i/>
          <w:iCs/>
          <w:color w:val="auto"/>
          <w:sz w:val="24"/>
          <w:szCs w:val="24"/>
        </w:rPr>
        <w:sectPr w:rsidR="00BE06B0" w:rsidRPr="00585293" w:rsidSect="00C96E3C">
          <w:pgSz w:w="16838" w:h="11906" w:orient="landscape"/>
          <w:pgMar w:top="1440" w:right="1440" w:bottom="1440" w:left="1440" w:header="709" w:footer="709" w:gutter="0"/>
          <w:cols w:space="708"/>
          <w:docGrid w:linePitch="360"/>
        </w:sectPr>
      </w:pPr>
    </w:p>
    <w:p w14:paraId="3C3714B5" w14:textId="7603D722" w:rsidR="00500295" w:rsidRPr="00585293" w:rsidRDefault="00DB20B7" w:rsidP="00500295">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E</w:t>
      </w:r>
      <w:r w:rsidR="00BD5E1B" w:rsidRPr="00585293">
        <w:rPr>
          <w:rFonts w:ascii="Times New Roman" w:hAnsi="Times New Roman" w:cs="Times New Roman"/>
          <w:b/>
          <w:bCs/>
          <w:color w:val="auto"/>
          <w:sz w:val="28"/>
          <w:szCs w:val="28"/>
        </w:rPr>
        <w:tab/>
      </w:r>
      <w:r w:rsidR="00911994" w:rsidRPr="00585293">
        <w:rPr>
          <w:rFonts w:ascii="Times New Roman" w:hAnsi="Times New Roman" w:cs="Times New Roman"/>
          <w:b/>
          <w:bCs/>
          <w:color w:val="auto"/>
          <w:sz w:val="28"/>
          <w:szCs w:val="28"/>
        </w:rPr>
        <w:t>Binscatter Plots</w:t>
      </w:r>
    </w:p>
    <w:p w14:paraId="386C7B88" w14:textId="76812097" w:rsidR="008E3B76" w:rsidRPr="00585293" w:rsidRDefault="00B556E5" w:rsidP="00500295">
      <w:pPr>
        <w:spacing w:after="160" w:line="480" w:lineRule="auto"/>
        <w:jc w:val="both"/>
        <w:rPr>
          <w:iCs/>
        </w:rPr>
      </w:pPr>
      <w:r w:rsidRPr="00585293">
        <w:rPr>
          <w:iCs/>
        </w:rPr>
        <w:t xml:space="preserve">Figures </w:t>
      </w:r>
      <w:r w:rsidR="00DB20B7" w:rsidRPr="00585293">
        <w:rPr>
          <w:iCs/>
        </w:rPr>
        <w:t>E1</w:t>
      </w:r>
      <w:r w:rsidRPr="00585293">
        <w:rPr>
          <w:iCs/>
        </w:rPr>
        <w:t xml:space="preserve">, </w:t>
      </w:r>
      <w:r w:rsidR="00DB20B7" w:rsidRPr="00585293">
        <w:rPr>
          <w:iCs/>
        </w:rPr>
        <w:t>E2</w:t>
      </w:r>
      <w:r w:rsidRPr="00585293">
        <w:rPr>
          <w:iCs/>
        </w:rPr>
        <w:t xml:space="preserve">, and </w:t>
      </w:r>
      <w:r w:rsidR="00DB20B7" w:rsidRPr="00585293">
        <w:rPr>
          <w:iCs/>
        </w:rPr>
        <w:t xml:space="preserve">E3 </w:t>
      </w:r>
      <w:r w:rsidRPr="00585293">
        <w:rPr>
          <w:iCs/>
        </w:rPr>
        <w:t>show the binscatter plots for 1851-1881, 1861-1891, and 1881-1911. The relationship between fathers’ and sons’ outcomes is clearly linear.</w:t>
      </w:r>
    </w:p>
    <w:p w14:paraId="5E6E0707" w14:textId="52CC35D1" w:rsidR="00FF3661" w:rsidRPr="00585293" w:rsidRDefault="00FF3661" w:rsidP="00FF3661">
      <w:pPr>
        <w:pStyle w:val="Caption"/>
        <w:keepNext/>
        <w:jc w:val="center"/>
        <w:rPr>
          <w:i w:val="0"/>
          <w:iCs w:val="0"/>
          <w:color w:val="auto"/>
          <w:sz w:val="24"/>
          <w:szCs w:val="24"/>
        </w:rPr>
      </w:pPr>
      <w:r w:rsidRPr="003653CA">
        <w:rPr>
          <w:i w:val="0"/>
          <w:iCs w:val="0"/>
          <w:color w:val="auto"/>
          <w:sz w:val="24"/>
          <w:szCs w:val="24"/>
        </w:rPr>
        <w:t xml:space="preserve">Figure </w:t>
      </w:r>
      <w:r w:rsidR="00DB20B7" w:rsidRPr="003653CA">
        <w:rPr>
          <w:i w:val="0"/>
          <w:iCs w:val="0"/>
          <w:color w:val="auto"/>
          <w:sz w:val="24"/>
          <w:szCs w:val="24"/>
        </w:rPr>
        <w:t>E1</w:t>
      </w:r>
      <w:r w:rsidRPr="00585293">
        <w:rPr>
          <w:b/>
          <w:bCs/>
          <w:i w:val="0"/>
          <w:iCs w:val="0"/>
          <w:color w:val="auto"/>
          <w:sz w:val="24"/>
          <w:szCs w:val="24"/>
        </w:rPr>
        <w:t xml:space="preserve">: </w:t>
      </w:r>
      <w:r w:rsidRPr="00585293">
        <w:rPr>
          <w:i w:val="0"/>
          <w:iCs w:val="0"/>
          <w:color w:val="auto"/>
          <w:sz w:val="24"/>
          <w:szCs w:val="24"/>
        </w:rPr>
        <w:t>Binscatter plot for 1851-1881</w:t>
      </w:r>
    </w:p>
    <w:p w14:paraId="759BBA39" w14:textId="724411D1" w:rsidR="008E3B76" w:rsidRPr="00585293" w:rsidRDefault="008E3B76" w:rsidP="00647E1A">
      <w:pPr>
        <w:jc w:val="center"/>
        <w:rPr>
          <w:iCs/>
        </w:rPr>
      </w:pPr>
      <w:r w:rsidRPr="00C356F9">
        <w:rPr>
          <w:iCs/>
          <w:noProof/>
        </w:rPr>
        <w:drawing>
          <wp:inline distT="0" distB="0" distL="0" distR="0" wp14:anchorId="0CF2292D" wp14:editId="2542617D">
            <wp:extent cx="5400000" cy="3927058"/>
            <wp:effectExtent l="0" t="0" r="0" b="0"/>
            <wp:docPr id="1739198349" name="Picture 1739198349" descr="A picture containing text,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98349" name="Picture 1" descr="A picture containing text, line, plot,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00000" cy="3927058"/>
                    </a:xfrm>
                    <a:prstGeom prst="rect">
                      <a:avLst/>
                    </a:prstGeom>
                  </pic:spPr>
                </pic:pic>
              </a:graphicData>
            </a:graphic>
          </wp:inline>
        </w:drawing>
      </w:r>
    </w:p>
    <w:p w14:paraId="168C6239" w14:textId="584A7D1B" w:rsidR="000179F0" w:rsidRPr="00585293" w:rsidRDefault="000179F0" w:rsidP="000179F0">
      <w:pPr>
        <w:spacing w:after="160"/>
        <w:jc w:val="both"/>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42FE755B" w14:textId="77777777" w:rsidR="00FF3661" w:rsidRPr="00585293" w:rsidRDefault="00FF3661" w:rsidP="00500295">
      <w:pPr>
        <w:spacing w:after="160" w:line="480" w:lineRule="auto"/>
        <w:jc w:val="both"/>
        <w:rPr>
          <w:iCs/>
        </w:rPr>
      </w:pPr>
    </w:p>
    <w:p w14:paraId="3CC7D72F" w14:textId="7F398197" w:rsidR="00FF3661" w:rsidRPr="00585293" w:rsidRDefault="00FF3661" w:rsidP="00FF3661">
      <w:pPr>
        <w:pStyle w:val="Caption"/>
        <w:keepNext/>
        <w:jc w:val="center"/>
        <w:rPr>
          <w:i w:val="0"/>
          <w:iCs w:val="0"/>
          <w:color w:val="auto"/>
          <w:sz w:val="24"/>
          <w:szCs w:val="24"/>
        </w:rPr>
      </w:pPr>
      <w:r w:rsidRPr="003653CA">
        <w:rPr>
          <w:i w:val="0"/>
          <w:iCs w:val="0"/>
          <w:color w:val="auto"/>
          <w:sz w:val="24"/>
          <w:szCs w:val="24"/>
        </w:rPr>
        <w:lastRenderedPageBreak/>
        <w:t xml:space="preserve">Figure </w:t>
      </w:r>
      <w:r w:rsidR="00DB20B7" w:rsidRPr="003653CA">
        <w:rPr>
          <w:i w:val="0"/>
          <w:iCs w:val="0"/>
          <w:color w:val="auto"/>
          <w:sz w:val="24"/>
          <w:szCs w:val="24"/>
        </w:rPr>
        <w:t>E2</w:t>
      </w:r>
      <w:r w:rsidRPr="00585293">
        <w:rPr>
          <w:b/>
          <w:bCs/>
          <w:i w:val="0"/>
          <w:iCs w:val="0"/>
          <w:color w:val="auto"/>
          <w:sz w:val="24"/>
          <w:szCs w:val="24"/>
        </w:rPr>
        <w:t xml:space="preserve">: </w:t>
      </w:r>
      <w:r w:rsidRPr="00585293">
        <w:rPr>
          <w:i w:val="0"/>
          <w:iCs w:val="0"/>
          <w:color w:val="auto"/>
          <w:sz w:val="24"/>
          <w:szCs w:val="24"/>
        </w:rPr>
        <w:t>Binscatter plot for 1861-1891</w:t>
      </w:r>
    </w:p>
    <w:p w14:paraId="7DF2DE12" w14:textId="72CDF9A6" w:rsidR="000179F0" w:rsidRPr="00585293" w:rsidRDefault="008E3B76" w:rsidP="00647E1A">
      <w:pPr>
        <w:jc w:val="center"/>
        <w:rPr>
          <w:iCs/>
          <w:sz w:val="20"/>
          <w:szCs w:val="20"/>
        </w:rPr>
      </w:pPr>
      <w:r w:rsidRPr="00C356F9">
        <w:rPr>
          <w:iCs/>
          <w:noProof/>
        </w:rPr>
        <w:drawing>
          <wp:inline distT="0" distB="0" distL="0" distR="0" wp14:anchorId="26B1055F" wp14:editId="7422B6DC">
            <wp:extent cx="5400000" cy="3927058"/>
            <wp:effectExtent l="0" t="0" r="0" b="0"/>
            <wp:docPr id="973928578" name="Picture 973928578"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28578" name="Picture 2" descr="A picture containing text, line, diagram, plo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00000" cy="3927058"/>
                    </a:xfrm>
                    <a:prstGeom prst="rect">
                      <a:avLst/>
                    </a:prstGeom>
                  </pic:spPr>
                </pic:pic>
              </a:graphicData>
            </a:graphic>
          </wp:inline>
        </w:drawing>
      </w:r>
    </w:p>
    <w:p w14:paraId="07F11747" w14:textId="076AB834" w:rsidR="000179F0" w:rsidRPr="00585293" w:rsidRDefault="000179F0" w:rsidP="000179F0">
      <w:pPr>
        <w:spacing w:after="160"/>
        <w:jc w:val="both"/>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76A00728" w14:textId="4716C5FA" w:rsidR="00FF3661" w:rsidRPr="00585293" w:rsidRDefault="00FF3661" w:rsidP="00500295">
      <w:pPr>
        <w:spacing w:after="160" w:line="480" w:lineRule="auto"/>
        <w:jc w:val="both"/>
        <w:rPr>
          <w:iCs/>
        </w:rPr>
      </w:pPr>
    </w:p>
    <w:p w14:paraId="1590B928" w14:textId="5C2D88EC" w:rsidR="00FF3661" w:rsidRPr="00585293" w:rsidRDefault="00FF3661" w:rsidP="00FF3661">
      <w:pPr>
        <w:pStyle w:val="Caption"/>
        <w:keepNext/>
        <w:jc w:val="center"/>
        <w:rPr>
          <w:i w:val="0"/>
          <w:iCs w:val="0"/>
          <w:color w:val="auto"/>
          <w:sz w:val="24"/>
          <w:szCs w:val="24"/>
        </w:rPr>
      </w:pPr>
      <w:r w:rsidRPr="003653CA">
        <w:rPr>
          <w:i w:val="0"/>
          <w:iCs w:val="0"/>
          <w:color w:val="auto"/>
          <w:sz w:val="24"/>
          <w:szCs w:val="24"/>
        </w:rPr>
        <w:lastRenderedPageBreak/>
        <w:t xml:space="preserve">Figure </w:t>
      </w:r>
      <w:r w:rsidR="00DB20B7" w:rsidRPr="003653CA">
        <w:rPr>
          <w:i w:val="0"/>
          <w:iCs w:val="0"/>
          <w:color w:val="auto"/>
          <w:sz w:val="24"/>
          <w:szCs w:val="24"/>
        </w:rPr>
        <w:t>E3</w:t>
      </w:r>
      <w:r w:rsidRPr="00585293">
        <w:rPr>
          <w:b/>
          <w:bCs/>
          <w:i w:val="0"/>
          <w:iCs w:val="0"/>
          <w:color w:val="auto"/>
          <w:sz w:val="24"/>
          <w:szCs w:val="24"/>
        </w:rPr>
        <w:t xml:space="preserve">: </w:t>
      </w:r>
      <w:r w:rsidRPr="00585293">
        <w:rPr>
          <w:i w:val="0"/>
          <w:iCs w:val="0"/>
          <w:color w:val="auto"/>
          <w:sz w:val="24"/>
          <w:szCs w:val="24"/>
        </w:rPr>
        <w:t>Binscatter plot for 1881-1911</w:t>
      </w:r>
    </w:p>
    <w:p w14:paraId="3E021425" w14:textId="37CE0B9B" w:rsidR="00B556E5" w:rsidRPr="00585293" w:rsidRDefault="008E3B76" w:rsidP="00647E1A">
      <w:pPr>
        <w:jc w:val="center"/>
        <w:rPr>
          <w:iCs/>
        </w:rPr>
      </w:pPr>
      <w:r w:rsidRPr="00C356F9">
        <w:rPr>
          <w:iCs/>
          <w:noProof/>
        </w:rPr>
        <w:drawing>
          <wp:inline distT="0" distB="0" distL="0" distR="0" wp14:anchorId="1258249F" wp14:editId="712E2F0F">
            <wp:extent cx="5400000" cy="3927058"/>
            <wp:effectExtent l="0" t="0" r="0" b="0"/>
            <wp:docPr id="1035002043" name="Picture 1035002043" descr="A picture containing text,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02043" name="Picture 3" descr="A picture containing text, line, plot,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00000" cy="3927058"/>
                    </a:xfrm>
                    <a:prstGeom prst="rect">
                      <a:avLst/>
                    </a:prstGeom>
                  </pic:spPr>
                </pic:pic>
              </a:graphicData>
            </a:graphic>
          </wp:inline>
        </w:drawing>
      </w:r>
    </w:p>
    <w:p w14:paraId="5EADF6AD" w14:textId="6036AD94" w:rsidR="000179F0" w:rsidRPr="00585293" w:rsidRDefault="000179F0" w:rsidP="000179F0">
      <w:pPr>
        <w:spacing w:after="160"/>
        <w:jc w:val="both"/>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2D8D1A2F" w14:textId="59EAA45E" w:rsidR="00911994" w:rsidRPr="00585293" w:rsidRDefault="00DB20B7" w:rsidP="00911994">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F</w:t>
      </w:r>
      <w:r w:rsidR="00911994" w:rsidRPr="00585293">
        <w:rPr>
          <w:rFonts w:ascii="Times New Roman" w:hAnsi="Times New Roman" w:cs="Times New Roman"/>
          <w:b/>
          <w:bCs/>
          <w:color w:val="auto"/>
          <w:sz w:val="28"/>
          <w:szCs w:val="28"/>
        </w:rPr>
        <w:tab/>
      </w:r>
      <w:r w:rsidR="00944A99" w:rsidRPr="00585293">
        <w:rPr>
          <w:rFonts w:ascii="Times New Roman" w:hAnsi="Times New Roman" w:cs="Times New Roman"/>
          <w:b/>
          <w:bCs/>
          <w:color w:val="auto"/>
          <w:sz w:val="28"/>
          <w:szCs w:val="28"/>
        </w:rPr>
        <w:t>Rank-Rank Correlations</w:t>
      </w:r>
    </w:p>
    <w:p w14:paraId="3E369FB6" w14:textId="19B093CD" w:rsidR="002C68D7" w:rsidRPr="00585293" w:rsidRDefault="002C68D7" w:rsidP="002C68D7">
      <w:pPr>
        <w:pStyle w:val="Caption"/>
        <w:keepNext/>
        <w:jc w:val="center"/>
        <w:rPr>
          <w:i w:val="0"/>
          <w:iCs w:val="0"/>
          <w:color w:val="auto"/>
          <w:sz w:val="24"/>
          <w:szCs w:val="24"/>
        </w:rPr>
      </w:pPr>
      <w:r w:rsidRPr="003653CA">
        <w:rPr>
          <w:i w:val="0"/>
          <w:iCs w:val="0"/>
          <w:color w:val="auto"/>
          <w:sz w:val="24"/>
          <w:szCs w:val="24"/>
        </w:rPr>
        <w:t xml:space="preserve">Figure </w:t>
      </w:r>
      <w:r w:rsidR="00DB20B7" w:rsidRPr="003653CA">
        <w:rPr>
          <w:i w:val="0"/>
          <w:iCs w:val="0"/>
          <w:color w:val="auto"/>
          <w:sz w:val="24"/>
          <w:szCs w:val="24"/>
        </w:rPr>
        <w:t>F1</w:t>
      </w:r>
      <w:r w:rsidRPr="00585293">
        <w:rPr>
          <w:b/>
          <w:bCs/>
          <w:i w:val="0"/>
          <w:iCs w:val="0"/>
          <w:color w:val="auto"/>
          <w:sz w:val="24"/>
          <w:szCs w:val="24"/>
        </w:rPr>
        <w:t xml:space="preserve">: </w:t>
      </w:r>
      <w:r w:rsidR="00017E47" w:rsidRPr="00585293">
        <w:rPr>
          <w:i w:val="0"/>
          <w:iCs w:val="0"/>
          <w:color w:val="auto"/>
          <w:sz w:val="24"/>
          <w:szCs w:val="24"/>
        </w:rPr>
        <w:t>Father-son rank-rank correlation, 1851-1881</w:t>
      </w:r>
    </w:p>
    <w:p w14:paraId="5010977B" w14:textId="3DD564E3" w:rsidR="00017E47" w:rsidRPr="00585293" w:rsidRDefault="002C68D7" w:rsidP="00647E1A">
      <w:pPr>
        <w:jc w:val="center"/>
        <w:rPr>
          <w:iCs/>
        </w:rPr>
      </w:pPr>
      <w:r w:rsidRPr="00C356F9">
        <w:rPr>
          <w:iCs/>
          <w:noProof/>
        </w:rPr>
        <w:drawing>
          <wp:inline distT="0" distB="0" distL="0" distR="0" wp14:anchorId="452DB8DB" wp14:editId="02F3A319">
            <wp:extent cx="5400000" cy="4499604"/>
            <wp:effectExtent l="0" t="0" r="0" b="0"/>
            <wp:docPr id="494324095" name="Picture 494324095"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24095" name="Picture 4" descr="A picture containing text, line, diagram, pl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0" cy="4499604"/>
                    </a:xfrm>
                    <a:prstGeom prst="rect">
                      <a:avLst/>
                    </a:prstGeom>
                  </pic:spPr>
                </pic:pic>
              </a:graphicData>
            </a:graphic>
          </wp:inline>
        </w:drawing>
      </w:r>
    </w:p>
    <w:p w14:paraId="38ECDA0B" w14:textId="280C8F46" w:rsidR="00017E47" w:rsidRPr="00585293" w:rsidRDefault="00017E47" w:rsidP="00017E47">
      <w:pPr>
        <w:spacing w:after="160"/>
        <w:jc w:val="both"/>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202B51C6" w14:textId="77777777" w:rsidR="00017E47" w:rsidRPr="00585293" w:rsidRDefault="00017E47" w:rsidP="00500295">
      <w:pPr>
        <w:spacing w:after="160" w:line="480" w:lineRule="auto"/>
        <w:jc w:val="both"/>
        <w:rPr>
          <w:iCs/>
        </w:rPr>
      </w:pPr>
    </w:p>
    <w:p w14:paraId="77081DE7" w14:textId="2622D74C" w:rsidR="00017E47" w:rsidRPr="00585293" w:rsidRDefault="00017E47" w:rsidP="00017E47">
      <w:pPr>
        <w:pStyle w:val="Caption"/>
        <w:keepNext/>
        <w:jc w:val="center"/>
        <w:rPr>
          <w:i w:val="0"/>
          <w:iCs w:val="0"/>
          <w:color w:val="auto"/>
          <w:sz w:val="24"/>
          <w:szCs w:val="24"/>
        </w:rPr>
      </w:pPr>
      <w:r w:rsidRPr="003653CA">
        <w:rPr>
          <w:i w:val="0"/>
          <w:iCs w:val="0"/>
          <w:color w:val="auto"/>
          <w:sz w:val="24"/>
          <w:szCs w:val="24"/>
        </w:rPr>
        <w:lastRenderedPageBreak/>
        <w:t xml:space="preserve">Figure </w:t>
      </w:r>
      <w:r w:rsidR="00DB20B7" w:rsidRPr="003653CA">
        <w:rPr>
          <w:i w:val="0"/>
          <w:iCs w:val="0"/>
          <w:color w:val="auto"/>
          <w:sz w:val="24"/>
          <w:szCs w:val="24"/>
        </w:rPr>
        <w:t>F2</w:t>
      </w:r>
      <w:r w:rsidRPr="00585293">
        <w:rPr>
          <w:b/>
          <w:bCs/>
          <w:i w:val="0"/>
          <w:iCs w:val="0"/>
          <w:color w:val="auto"/>
          <w:sz w:val="24"/>
          <w:szCs w:val="24"/>
        </w:rPr>
        <w:t xml:space="preserve">: </w:t>
      </w:r>
      <w:r w:rsidRPr="00585293">
        <w:rPr>
          <w:i w:val="0"/>
          <w:iCs w:val="0"/>
          <w:color w:val="auto"/>
          <w:sz w:val="24"/>
          <w:szCs w:val="24"/>
        </w:rPr>
        <w:t>Father-son rank-rank correlation, 1861-1891</w:t>
      </w:r>
    </w:p>
    <w:p w14:paraId="4BB7D29A" w14:textId="77777777" w:rsidR="002C68D7" w:rsidRPr="00585293" w:rsidRDefault="002C68D7" w:rsidP="00647E1A">
      <w:pPr>
        <w:jc w:val="center"/>
        <w:rPr>
          <w:iCs/>
        </w:rPr>
      </w:pPr>
      <w:r w:rsidRPr="00C356F9">
        <w:rPr>
          <w:iCs/>
          <w:noProof/>
        </w:rPr>
        <w:drawing>
          <wp:inline distT="0" distB="0" distL="0" distR="0" wp14:anchorId="788FAC4B" wp14:editId="7587510B">
            <wp:extent cx="5400000" cy="4497212"/>
            <wp:effectExtent l="0" t="0" r="0" b="0"/>
            <wp:docPr id="1196059458" name="Picture 119605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59458" name="Picture 119605945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0" cy="4497212"/>
                    </a:xfrm>
                    <a:prstGeom prst="rect">
                      <a:avLst/>
                    </a:prstGeom>
                  </pic:spPr>
                </pic:pic>
              </a:graphicData>
            </a:graphic>
          </wp:inline>
        </w:drawing>
      </w:r>
    </w:p>
    <w:p w14:paraId="22173379" w14:textId="4CFA43A4" w:rsidR="00017E47" w:rsidRPr="00585293" w:rsidRDefault="00017E47" w:rsidP="00017E47">
      <w:pPr>
        <w:spacing w:after="160"/>
        <w:jc w:val="both"/>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377F1A0D" w14:textId="77777777" w:rsidR="00017E47" w:rsidRPr="00585293" w:rsidRDefault="00017E47" w:rsidP="00500295">
      <w:pPr>
        <w:spacing w:after="160" w:line="480" w:lineRule="auto"/>
        <w:jc w:val="both"/>
        <w:rPr>
          <w:iCs/>
        </w:rPr>
      </w:pPr>
    </w:p>
    <w:p w14:paraId="62AD7CE8" w14:textId="21AA3E73" w:rsidR="00017E47" w:rsidRPr="00585293" w:rsidRDefault="00017E47" w:rsidP="00017E47">
      <w:pPr>
        <w:pStyle w:val="Caption"/>
        <w:keepNext/>
        <w:jc w:val="center"/>
        <w:rPr>
          <w:i w:val="0"/>
          <w:iCs w:val="0"/>
          <w:color w:val="auto"/>
          <w:sz w:val="24"/>
          <w:szCs w:val="24"/>
        </w:rPr>
      </w:pPr>
      <w:r w:rsidRPr="003653CA">
        <w:rPr>
          <w:i w:val="0"/>
          <w:iCs w:val="0"/>
          <w:color w:val="auto"/>
          <w:sz w:val="24"/>
          <w:szCs w:val="24"/>
        </w:rPr>
        <w:lastRenderedPageBreak/>
        <w:t xml:space="preserve">Figure </w:t>
      </w:r>
      <w:r w:rsidR="00DB20B7" w:rsidRPr="003653CA">
        <w:rPr>
          <w:i w:val="0"/>
          <w:iCs w:val="0"/>
          <w:color w:val="auto"/>
          <w:sz w:val="24"/>
          <w:szCs w:val="24"/>
        </w:rPr>
        <w:t>F3</w:t>
      </w:r>
      <w:r w:rsidRPr="00585293">
        <w:rPr>
          <w:b/>
          <w:bCs/>
          <w:i w:val="0"/>
          <w:iCs w:val="0"/>
          <w:color w:val="auto"/>
          <w:sz w:val="24"/>
          <w:szCs w:val="24"/>
        </w:rPr>
        <w:t xml:space="preserve">: </w:t>
      </w:r>
      <w:r w:rsidRPr="00585293">
        <w:rPr>
          <w:i w:val="0"/>
          <w:iCs w:val="0"/>
          <w:color w:val="auto"/>
          <w:sz w:val="24"/>
          <w:szCs w:val="24"/>
        </w:rPr>
        <w:t>Father-son rank-rank correlation, 1881-1911</w:t>
      </w:r>
    </w:p>
    <w:p w14:paraId="63313A28" w14:textId="4D763ABA" w:rsidR="00911994" w:rsidRPr="00585293" w:rsidRDefault="002C68D7" w:rsidP="00647E1A">
      <w:pPr>
        <w:jc w:val="center"/>
        <w:rPr>
          <w:iCs/>
        </w:rPr>
      </w:pPr>
      <w:r w:rsidRPr="00C356F9">
        <w:rPr>
          <w:iCs/>
          <w:noProof/>
        </w:rPr>
        <w:drawing>
          <wp:inline distT="0" distB="0" distL="0" distR="0" wp14:anchorId="01E081A3" wp14:editId="7ACEDDA2">
            <wp:extent cx="5400000" cy="4501399"/>
            <wp:effectExtent l="0" t="0" r="0" b="0"/>
            <wp:docPr id="1809180530" name="Picture 1809180530"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530" name="Picture 6" descr="A picture containing text, line, diagram, plo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0" cy="4501399"/>
                    </a:xfrm>
                    <a:prstGeom prst="rect">
                      <a:avLst/>
                    </a:prstGeom>
                  </pic:spPr>
                </pic:pic>
              </a:graphicData>
            </a:graphic>
          </wp:inline>
        </w:drawing>
      </w:r>
    </w:p>
    <w:p w14:paraId="76093BC2" w14:textId="384EBDBB" w:rsidR="00017E47" w:rsidRPr="00585293" w:rsidRDefault="00017E47" w:rsidP="00017E47">
      <w:pPr>
        <w:spacing w:after="160"/>
        <w:jc w:val="both"/>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655481ED" w14:textId="77777777" w:rsidR="00017E47" w:rsidRPr="00585293" w:rsidRDefault="00017E47" w:rsidP="00500295">
      <w:pPr>
        <w:spacing w:after="160" w:line="480" w:lineRule="auto"/>
        <w:jc w:val="both"/>
        <w:rPr>
          <w:iCs/>
        </w:rPr>
      </w:pPr>
    </w:p>
    <w:p w14:paraId="3E7BB92A" w14:textId="77777777" w:rsidR="00911994" w:rsidRPr="00585293" w:rsidRDefault="00911994" w:rsidP="00500295">
      <w:pPr>
        <w:spacing w:after="160" w:line="480" w:lineRule="auto"/>
        <w:jc w:val="both"/>
        <w:rPr>
          <w:iCs/>
        </w:rPr>
      </w:pPr>
    </w:p>
    <w:p w14:paraId="066DD538" w14:textId="77777777" w:rsidR="00647E1A" w:rsidRPr="00585293" w:rsidRDefault="00647E1A">
      <w:pPr>
        <w:spacing w:after="160" w:line="259" w:lineRule="auto"/>
        <w:rPr>
          <w:rFonts w:eastAsiaTheme="majorEastAsia"/>
          <w:b/>
          <w:bCs/>
          <w:sz w:val="28"/>
          <w:szCs w:val="28"/>
        </w:rPr>
      </w:pPr>
      <w:r w:rsidRPr="00585293">
        <w:rPr>
          <w:b/>
          <w:bCs/>
          <w:sz w:val="28"/>
          <w:szCs w:val="28"/>
        </w:rPr>
        <w:br w:type="page"/>
      </w:r>
    </w:p>
    <w:p w14:paraId="391F485C" w14:textId="1D8B0900" w:rsidR="00030232" w:rsidRPr="00585293" w:rsidRDefault="00DB20B7" w:rsidP="003653CA">
      <w:pPr>
        <w:spacing w:after="160" w:line="259" w:lineRule="auto"/>
        <w:rPr>
          <w:b/>
          <w:bCs/>
          <w:sz w:val="28"/>
          <w:szCs w:val="28"/>
        </w:rPr>
      </w:pPr>
      <w:r w:rsidRPr="00585293">
        <w:rPr>
          <w:b/>
          <w:bCs/>
          <w:sz w:val="28"/>
          <w:szCs w:val="28"/>
        </w:rPr>
        <w:lastRenderedPageBreak/>
        <w:t>G</w:t>
      </w:r>
      <w:r w:rsidR="00030232" w:rsidRPr="00585293">
        <w:rPr>
          <w:b/>
          <w:bCs/>
          <w:sz w:val="28"/>
          <w:szCs w:val="28"/>
        </w:rPr>
        <w:tab/>
        <w:t>Computing Correlations from IGE</w:t>
      </w:r>
    </w:p>
    <w:p w14:paraId="2F968347" w14:textId="4D11A622" w:rsidR="00500295" w:rsidRPr="00585293" w:rsidRDefault="00623C9A" w:rsidP="00500295">
      <w:pPr>
        <w:spacing w:after="160" w:line="480" w:lineRule="auto"/>
        <w:jc w:val="both"/>
        <w:rPr>
          <w:iCs/>
        </w:rPr>
      </w:pPr>
      <w:r w:rsidRPr="00585293">
        <w:rPr>
          <w:iCs/>
        </w:rPr>
        <w:t>In the literature on</w:t>
      </w:r>
      <w:r w:rsidR="007940DA" w:rsidRPr="00585293">
        <w:rPr>
          <w:iCs/>
        </w:rPr>
        <w:t xml:space="preserve"> intergenerational earnings mobility, a standard </w:t>
      </w:r>
      <w:r w:rsidR="00B83199" w:rsidRPr="00585293">
        <w:rPr>
          <w:iCs/>
        </w:rPr>
        <w:t>alternative to</w:t>
      </w:r>
      <w:r w:rsidR="0064400B" w:rsidRPr="00585293">
        <w:rPr>
          <w:iCs/>
        </w:rPr>
        <w:t xml:space="preserve"> </w:t>
      </w:r>
      <w:r w:rsidR="00467113" w:rsidRPr="00585293">
        <w:rPr>
          <w:iCs/>
        </w:rPr>
        <w:t>IGE (</w:t>
      </w:r>
      <w:r w:rsidR="00467113" w:rsidRPr="00585293">
        <w:rPr>
          <w:i/>
        </w:rPr>
        <w:t>β</w:t>
      </w:r>
      <w:r w:rsidR="00467113" w:rsidRPr="00585293">
        <w:rPr>
          <w:iCs/>
        </w:rPr>
        <w:t>)</w:t>
      </w:r>
      <w:r w:rsidR="0064400B" w:rsidRPr="00585293">
        <w:rPr>
          <w:iCs/>
        </w:rPr>
        <w:t xml:space="preserve"> is the intergenerational correlation</w:t>
      </w:r>
      <w:r w:rsidR="007940DA" w:rsidRPr="00585293">
        <w:rPr>
          <w:iCs/>
        </w:rPr>
        <w:t xml:space="preserve"> (</w:t>
      </w:r>
      <w:r w:rsidR="00B46958" w:rsidRPr="00585293">
        <w:rPr>
          <w:i/>
        </w:rPr>
        <w:t>ρ</w:t>
      </w:r>
      <w:r w:rsidR="007940DA" w:rsidRPr="00585293">
        <w:rPr>
          <w:iCs/>
        </w:rPr>
        <w:t>)</w:t>
      </w:r>
      <w:r w:rsidR="0064400B" w:rsidRPr="00585293">
        <w:rPr>
          <w:iCs/>
        </w:rPr>
        <w:t>, which can b</w:t>
      </w:r>
      <w:r w:rsidRPr="00585293">
        <w:rPr>
          <w:iCs/>
        </w:rPr>
        <w:t xml:space="preserve">e calculated </w:t>
      </w:r>
      <w:r w:rsidR="00FA629E" w:rsidRPr="00585293">
        <w:rPr>
          <w:iCs/>
        </w:rPr>
        <w:t xml:space="preserve">by multiplying </w:t>
      </w:r>
      <w:r w:rsidR="00467113" w:rsidRPr="00585293">
        <w:rPr>
          <w:i/>
        </w:rPr>
        <w:t>β</w:t>
      </w:r>
      <w:r w:rsidR="00467113" w:rsidRPr="00585293">
        <w:rPr>
          <w:iCs/>
        </w:rPr>
        <w:t xml:space="preserve"> with the ratio of the </w:t>
      </w:r>
      <w:r w:rsidR="00544616" w:rsidRPr="00585293">
        <w:rPr>
          <w:iCs/>
        </w:rPr>
        <w:t xml:space="preserve">children’s and parents’ standard deviation </w:t>
      </w:r>
      <w:r w:rsidR="00862123" w:rsidRPr="00585293">
        <w:rPr>
          <w:iCs/>
        </w:rPr>
        <w:t>(</w:t>
      </w:r>
      <w:r w:rsidR="00862123" w:rsidRPr="00585293">
        <w:rPr>
          <w:i/>
        </w:rPr>
        <w:t>σ</w:t>
      </w:r>
      <w:r w:rsidR="00862123" w:rsidRPr="00585293">
        <w:rPr>
          <w:iCs/>
        </w:rPr>
        <w:t xml:space="preserve">) </w:t>
      </w:r>
      <w:r w:rsidR="00544616" w:rsidRPr="00585293">
        <w:rPr>
          <w:iCs/>
        </w:rPr>
        <w:t>of log earnings</w:t>
      </w:r>
      <w:r w:rsidR="00862123" w:rsidRPr="00585293">
        <w:rPr>
          <w:iCs/>
        </w:rPr>
        <w:t xml:space="preserve"> </w:t>
      </w:r>
      <w:sdt>
        <w:sdtPr>
          <w:rPr>
            <w:iCs/>
            <w:color w:val="000000"/>
          </w:rPr>
          <w:tag w:val="MENDELEY_CITATION_v3_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"/>
          <w:id w:val="-1825955673"/>
          <w:placeholder>
            <w:docPart w:val="DefaultPlaceholder_-1854013440"/>
          </w:placeholder>
        </w:sdtPr>
        <w:sdtEndPr/>
        <w:sdtContent>
          <w:r w:rsidR="002C1967" w:rsidRPr="00585293">
            <w:rPr>
              <w:iCs/>
              <w:color w:val="000000"/>
            </w:rPr>
            <w:t>(Black and Devereux, 2010)</w:t>
          </w:r>
        </w:sdtContent>
      </w:sdt>
      <w:r w:rsidR="00B46958" w:rsidRPr="00585293">
        <w:rPr>
          <w:i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gridCol w:w="681"/>
      </w:tblGrid>
      <w:tr w:rsidR="005154F1" w:rsidRPr="00585293" w14:paraId="18D93494" w14:textId="77777777" w:rsidTr="00805634">
        <w:trPr>
          <w:trHeight w:val="567"/>
        </w:trPr>
        <w:tc>
          <w:tcPr>
            <w:tcW w:w="4623" w:type="pct"/>
            <w:vAlign w:val="center"/>
          </w:tcPr>
          <w:p w14:paraId="1B07A950" w14:textId="79DB60CD" w:rsidR="005154F1" w:rsidRPr="00585293" w:rsidRDefault="005154F1" w:rsidP="00805634">
            <w:pPr>
              <w:spacing w:after="160" w:line="480" w:lineRule="auto"/>
              <w:jc w:val="center"/>
              <w:rPr>
                <w:i/>
                <w:iCs/>
              </w:rPr>
            </w:pPr>
            <m:oMathPara>
              <m:oMath>
                <m:r>
                  <w:rPr>
                    <w:rFonts w:ascii="Cambria Math" w:hAnsi="Cambria Math"/>
                  </w:rPr>
                  <m:t>ρ=β(</m:t>
                </m:r>
                <m:f>
                  <m:fPr>
                    <m:type m:val="lin"/>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1</m:t>
                        </m:r>
                      </m:sub>
                    </m:sSub>
                  </m:num>
                  <m:den>
                    <m:sSub>
                      <m:sSubPr>
                        <m:ctrlPr>
                          <w:rPr>
                            <w:rFonts w:ascii="Cambria Math" w:hAnsi="Cambria Math"/>
                            <w:i/>
                          </w:rPr>
                        </m:ctrlPr>
                      </m:sSubPr>
                      <m:e>
                        <m:r>
                          <w:rPr>
                            <w:rFonts w:ascii="Cambria Math" w:hAnsi="Cambria Math"/>
                          </w:rPr>
                          <m:t>σ</m:t>
                        </m:r>
                      </m:e>
                      <m:sub>
                        <m:r>
                          <w:rPr>
                            <w:rFonts w:ascii="Cambria Math" w:hAnsi="Cambria Math"/>
                          </w:rPr>
                          <m:t>0</m:t>
                        </m:r>
                      </m:sub>
                    </m:sSub>
                  </m:den>
                </m:f>
                <m:r>
                  <w:rPr>
                    <w:rFonts w:ascii="Cambria Math" w:hAnsi="Cambria Math"/>
                  </w:rPr>
                  <m:t>)</m:t>
                </m:r>
              </m:oMath>
            </m:oMathPara>
          </w:p>
        </w:tc>
        <w:tc>
          <w:tcPr>
            <w:tcW w:w="377" w:type="pct"/>
            <w:vAlign w:val="center"/>
          </w:tcPr>
          <w:p w14:paraId="0FF72F2B" w14:textId="2A3CDE29" w:rsidR="005154F1" w:rsidRPr="00585293" w:rsidRDefault="005154F1" w:rsidP="00805634">
            <w:pPr>
              <w:spacing w:after="160" w:line="480" w:lineRule="auto"/>
              <w:jc w:val="right"/>
            </w:pPr>
            <w:r w:rsidRPr="00585293">
              <w:t>(</w:t>
            </w:r>
            <w:r w:rsidR="00DB20B7" w:rsidRPr="00585293">
              <w:t>G1</w:t>
            </w:r>
            <w:r w:rsidRPr="00585293">
              <w:t>)</w:t>
            </w:r>
          </w:p>
        </w:tc>
      </w:tr>
    </w:tbl>
    <w:p w14:paraId="7856F1F0" w14:textId="7BD5D019" w:rsidR="007D70D6" w:rsidRPr="00585293" w:rsidRDefault="00887D82" w:rsidP="00500295">
      <w:pPr>
        <w:spacing w:after="160" w:line="480" w:lineRule="auto"/>
        <w:jc w:val="both"/>
        <w:rPr>
          <w:iCs/>
        </w:rPr>
      </w:pPr>
      <w:r w:rsidRPr="00585293">
        <w:rPr>
          <w:iCs/>
        </w:rPr>
        <w:t xml:space="preserve">Table </w:t>
      </w:r>
      <w:r w:rsidR="00DB20B7" w:rsidRPr="00585293">
        <w:rPr>
          <w:iCs/>
        </w:rPr>
        <w:t xml:space="preserve">G1 </w:t>
      </w:r>
      <w:r w:rsidRPr="00585293">
        <w:rPr>
          <w:iCs/>
        </w:rPr>
        <w:t>shows the intergenerational correlations in occupational status calculated using the same formula.</w:t>
      </w:r>
    </w:p>
    <w:p w14:paraId="07419AB4" w14:textId="321433F9" w:rsidR="001F520E" w:rsidRPr="00585293" w:rsidRDefault="001F520E" w:rsidP="001F520E">
      <w:pPr>
        <w:pStyle w:val="Caption"/>
        <w:keepNext/>
        <w:jc w:val="center"/>
        <w:rPr>
          <w:i w:val="0"/>
          <w:iCs w:val="0"/>
          <w:color w:val="auto"/>
          <w:sz w:val="24"/>
          <w:szCs w:val="24"/>
        </w:rPr>
      </w:pPr>
      <w:r w:rsidRPr="003653CA">
        <w:rPr>
          <w:i w:val="0"/>
          <w:iCs w:val="0"/>
          <w:color w:val="auto"/>
          <w:sz w:val="24"/>
          <w:szCs w:val="24"/>
        </w:rPr>
        <w:t xml:space="preserve">Table </w:t>
      </w:r>
      <w:r w:rsidR="00DB20B7" w:rsidRPr="003653CA">
        <w:rPr>
          <w:i w:val="0"/>
          <w:iCs w:val="0"/>
          <w:color w:val="auto"/>
          <w:sz w:val="24"/>
          <w:szCs w:val="24"/>
        </w:rPr>
        <w:t>G</w:t>
      </w:r>
      <w:r w:rsidR="00DB20B7" w:rsidRPr="003653CA">
        <w:rPr>
          <w:i w:val="0"/>
          <w:iCs w:val="0"/>
          <w:color w:val="auto"/>
          <w:sz w:val="24"/>
          <w:szCs w:val="24"/>
        </w:rPr>
        <w:fldChar w:fldCharType="begin"/>
      </w:r>
      <w:r w:rsidR="00DB20B7" w:rsidRPr="003653CA">
        <w:rPr>
          <w:i w:val="0"/>
          <w:iCs w:val="0"/>
          <w:color w:val="auto"/>
          <w:sz w:val="24"/>
          <w:szCs w:val="24"/>
        </w:rPr>
        <w:instrText xml:space="preserve"> SEQ Table_F \* ARABIC </w:instrText>
      </w:r>
      <w:r w:rsidR="00DB20B7" w:rsidRPr="003653CA">
        <w:rPr>
          <w:i w:val="0"/>
          <w:iCs w:val="0"/>
          <w:color w:val="auto"/>
          <w:sz w:val="24"/>
          <w:szCs w:val="24"/>
        </w:rPr>
        <w:fldChar w:fldCharType="separate"/>
      </w:r>
      <w:r w:rsidR="00DB20B7" w:rsidRPr="003653CA">
        <w:rPr>
          <w:i w:val="0"/>
          <w:iCs w:val="0"/>
          <w:color w:val="auto"/>
          <w:sz w:val="24"/>
          <w:szCs w:val="24"/>
        </w:rPr>
        <w:t>1</w:t>
      </w:r>
      <w:r w:rsidR="00DB20B7" w:rsidRPr="003653CA">
        <w:rPr>
          <w:i w:val="0"/>
          <w:iCs w:val="0"/>
          <w:color w:val="auto"/>
          <w:sz w:val="24"/>
          <w:szCs w:val="24"/>
        </w:rPr>
        <w:fldChar w:fldCharType="end"/>
      </w:r>
      <w:r w:rsidRPr="00585293">
        <w:rPr>
          <w:i w:val="0"/>
          <w:iCs w:val="0"/>
          <w:color w:val="auto"/>
          <w:sz w:val="24"/>
          <w:szCs w:val="24"/>
        </w:rPr>
        <w:t>: Intergenerational Occupational Correlations Computed from Elasticities</w:t>
      </w:r>
    </w:p>
    <w:tbl>
      <w:tblPr>
        <w:tblW w:w="5000" w:type="pct"/>
        <w:jc w:val="center"/>
        <w:tblBorders>
          <w:top w:val="double" w:sz="4" w:space="0" w:color="auto"/>
          <w:bottom w:val="double" w:sz="4" w:space="0" w:color="auto"/>
        </w:tblBorders>
        <w:tblLook w:val="04A0" w:firstRow="1" w:lastRow="0" w:firstColumn="1" w:lastColumn="0" w:noHBand="0" w:noVBand="1"/>
      </w:tblPr>
      <w:tblGrid>
        <w:gridCol w:w="2202"/>
        <w:gridCol w:w="1199"/>
        <w:gridCol w:w="1015"/>
        <w:gridCol w:w="1199"/>
        <w:gridCol w:w="1015"/>
        <w:gridCol w:w="1199"/>
        <w:gridCol w:w="1197"/>
      </w:tblGrid>
      <w:tr w:rsidR="001F520E" w:rsidRPr="00585293" w14:paraId="29CC7CB2" w14:textId="77777777" w:rsidTr="001F520E">
        <w:trPr>
          <w:trHeight w:hRule="exact" w:val="397"/>
          <w:jc w:val="center"/>
        </w:trPr>
        <w:tc>
          <w:tcPr>
            <w:tcW w:w="1220" w:type="pct"/>
            <w:tcBorders>
              <w:bottom w:val="nil"/>
            </w:tcBorders>
            <w:shd w:val="clear" w:color="auto" w:fill="auto"/>
            <w:noWrap/>
            <w:tcMar>
              <w:left w:w="0" w:type="dxa"/>
              <w:right w:w="0" w:type="dxa"/>
            </w:tcMar>
            <w:vAlign w:val="center"/>
            <w:hideMark/>
          </w:tcPr>
          <w:p w14:paraId="6E6EFAF8" w14:textId="77777777" w:rsidR="001F520E" w:rsidRPr="00585293" w:rsidRDefault="001F520E" w:rsidP="00805634">
            <w:pPr>
              <w:spacing w:after="160"/>
              <w:jc w:val="center"/>
              <w:rPr>
                <w:color w:val="000000"/>
              </w:rPr>
            </w:pPr>
          </w:p>
        </w:tc>
        <w:tc>
          <w:tcPr>
            <w:tcW w:w="1226" w:type="pct"/>
            <w:gridSpan w:val="2"/>
            <w:tcBorders>
              <w:top w:val="double" w:sz="4" w:space="0" w:color="auto"/>
              <w:bottom w:val="single" w:sz="12" w:space="0" w:color="auto"/>
            </w:tcBorders>
            <w:shd w:val="clear" w:color="auto" w:fill="auto"/>
            <w:noWrap/>
            <w:tcMar>
              <w:left w:w="0" w:type="dxa"/>
              <w:right w:w="0" w:type="dxa"/>
            </w:tcMar>
            <w:vAlign w:val="center"/>
          </w:tcPr>
          <w:p w14:paraId="1398D6F4" w14:textId="29384025" w:rsidR="001F520E" w:rsidRPr="00585293" w:rsidRDefault="001F520E" w:rsidP="00805634">
            <w:pPr>
              <w:spacing w:after="160"/>
              <w:jc w:val="center"/>
              <w:rPr>
                <w:color w:val="000000"/>
              </w:rPr>
            </w:pPr>
            <w:r w:rsidRPr="00585293">
              <w:rPr>
                <w:color w:val="000000"/>
              </w:rPr>
              <w:t>1851-1881</w:t>
            </w:r>
          </w:p>
        </w:tc>
        <w:tc>
          <w:tcPr>
            <w:tcW w:w="1226" w:type="pct"/>
            <w:gridSpan w:val="2"/>
            <w:tcBorders>
              <w:top w:val="double" w:sz="4" w:space="0" w:color="auto"/>
              <w:bottom w:val="single" w:sz="12" w:space="0" w:color="auto"/>
            </w:tcBorders>
            <w:shd w:val="clear" w:color="auto" w:fill="auto"/>
            <w:noWrap/>
            <w:tcMar>
              <w:left w:w="0" w:type="dxa"/>
              <w:right w:w="0" w:type="dxa"/>
            </w:tcMar>
            <w:vAlign w:val="center"/>
          </w:tcPr>
          <w:p w14:paraId="7C65BA9C" w14:textId="5461785C" w:rsidR="001F520E" w:rsidRPr="00585293" w:rsidRDefault="001F520E" w:rsidP="00805634">
            <w:pPr>
              <w:spacing w:after="160"/>
              <w:jc w:val="center"/>
              <w:rPr>
                <w:color w:val="000000"/>
              </w:rPr>
            </w:pPr>
            <w:r w:rsidRPr="00585293">
              <w:rPr>
                <w:color w:val="000000"/>
              </w:rPr>
              <w:t>1861-1891</w:t>
            </w:r>
          </w:p>
        </w:tc>
        <w:tc>
          <w:tcPr>
            <w:tcW w:w="1327" w:type="pct"/>
            <w:gridSpan w:val="2"/>
            <w:tcBorders>
              <w:top w:val="double" w:sz="4" w:space="0" w:color="auto"/>
              <w:bottom w:val="single" w:sz="12" w:space="0" w:color="auto"/>
            </w:tcBorders>
            <w:shd w:val="clear" w:color="auto" w:fill="auto"/>
            <w:noWrap/>
            <w:tcMar>
              <w:left w:w="0" w:type="dxa"/>
              <w:right w:w="0" w:type="dxa"/>
            </w:tcMar>
            <w:vAlign w:val="center"/>
          </w:tcPr>
          <w:p w14:paraId="346FE06D" w14:textId="394AB13B" w:rsidR="001F520E" w:rsidRPr="00585293" w:rsidRDefault="001F520E" w:rsidP="00805634">
            <w:pPr>
              <w:spacing w:after="160"/>
              <w:jc w:val="center"/>
              <w:rPr>
                <w:color w:val="000000"/>
              </w:rPr>
            </w:pPr>
            <w:r w:rsidRPr="00585293">
              <w:rPr>
                <w:color w:val="000000"/>
              </w:rPr>
              <w:t>1881-1911</w:t>
            </w:r>
          </w:p>
        </w:tc>
      </w:tr>
      <w:tr w:rsidR="001F520E" w:rsidRPr="00585293" w14:paraId="18EC180D" w14:textId="77777777" w:rsidTr="001F520E">
        <w:trPr>
          <w:trHeight w:hRule="exact" w:val="397"/>
          <w:jc w:val="center"/>
        </w:trPr>
        <w:tc>
          <w:tcPr>
            <w:tcW w:w="1220" w:type="pct"/>
            <w:tcBorders>
              <w:bottom w:val="nil"/>
            </w:tcBorders>
            <w:shd w:val="clear" w:color="auto" w:fill="auto"/>
            <w:noWrap/>
            <w:tcMar>
              <w:left w:w="0" w:type="dxa"/>
              <w:right w:w="0" w:type="dxa"/>
            </w:tcMar>
            <w:vAlign w:val="center"/>
          </w:tcPr>
          <w:p w14:paraId="352D98C0" w14:textId="77777777" w:rsidR="001F520E" w:rsidRPr="00585293" w:rsidRDefault="001F520E" w:rsidP="001F520E">
            <w:pPr>
              <w:spacing w:after="160"/>
              <w:jc w:val="center"/>
              <w:rPr>
                <w:color w:val="000000"/>
              </w:rPr>
            </w:pPr>
          </w:p>
        </w:tc>
        <w:tc>
          <w:tcPr>
            <w:tcW w:w="664" w:type="pct"/>
            <w:tcBorders>
              <w:top w:val="single" w:sz="12" w:space="0" w:color="auto"/>
              <w:bottom w:val="nil"/>
            </w:tcBorders>
            <w:shd w:val="clear" w:color="auto" w:fill="auto"/>
            <w:noWrap/>
            <w:tcMar>
              <w:left w:w="0" w:type="dxa"/>
              <w:right w:w="0" w:type="dxa"/>
            </w:tcMar>
            <w:vAlign w:val="bottom"/>
          </w:tcPr>
          <w:p w14:paraId="3149D87D" w14:textId="65E05786" w:rsidR="001F520E" w:rsidRPr="00585293" w:rsidRDefault="001F520E" w:rsidP="001F520E">
            <w:pPr>
              <w:spacing w:after="160"/>
              <w:jc w:val="center"/>
              <w:rPr>
                <w:color w:val="000000"/>
              </w:rPr>
            </w:pPr>
            <w:r w:rsidRPr="00585293">
              <w:rPr>
                <w:color w:val="000000"/>
              </w:rPr>
              <w:t>(1)</w:t>
            </w:r>
          </w:p>
        </w:tc>
        <w:tc>
          <w:tcPr>
            <w:tcW w:w="562" w:type="pct"/>
            <w:tcBorders>
              <w:top w:val="single" w:sz="12" w:space="0" w:color="auto"/>
              <w:bottom w:val="nil"/>
            </w:tcBorders>
            <w:shd w:val="clear" w:color="auto" w:fill="auto"/>
            <w:noWrap/>
            <w:tcMar>
              <w:left w:w="0" w:type="dxa"/>
              <w:right w:w="0" w:type="dxa"/>
            </w:tcMar>
            <w:vAlign w:val="bottom"/>
          </w:tcPr>
          <w:p w14:paraId="79030BF9" w14:textId="6018217F" w:rsidR="001F520E" w:rsidRPr="00585293" w:rsidRDefault="001F520E" w:rsidP="001F520E">
            <w:pPr>
              <w:spacing w:after="160"/>
              <w:jc w:val="center"/>
              <w:rPr>
                <w:color w:val="000000"/>
              </w:rPr>
            </w:pPr>
            <w:r w:rsidRPr="00585293">
              <w:rPr>
                <w:color w:val="000000"/>
              </w:rPr>
              <w:t>(2)</w:t>
            </w:r>
          </w:p>
        </w:tc>
        <w:tc>
          <w:tcPr>
            <w:tcW w:w="664" w:type="pct"/>
            <w:tcBorders>
              <w:top w:val="single" w:sz="12" w:space="0" w:color="auto"/>
              <w:bottom w:val="nil"/>
            </w:tcBorders>
            <w:shd w:val="clear" w:color="auto" w:fill="auto"/>
            <w:noWrap/>
            <w:tcMar>
              <w:left w:w="0" w:type="dxa"/>
              <w:right w:w="0" w:type="dxa"/>
            </w:tcMar>
            <w:vAlign w:val="bottom"/>
          </w:tcPr>
          <w:p w14:paraId="04EF4420" w14:textId="13FD48AD" w:rsidR="001F520E" w:rsidRPr="00585293" w:rsidRDefault="001F520E" w:rsidP="001F520E">
            <w:pPr>
              <w:spacing w:after="160"/>
              <w:jc w:val="center"/>
              <w:rPr>
                <w:color w:val="000000"/>
              </w:rPr>
            </w:pPr>
            <w:r w:rsidRPr="00585293">
              <w:rPr>
                <w:color w:val="000000"/>
              </w:rPr>
              <w:t>(3)</w:t>
            </w:r>
          </w:p>
        </w:tc>
        <w:tc>
          <w:tcPr>
            <w:tcW w:w="562" w:type="pct"/>
            <w:tcBorders>
              <w:top w:val="single" w:sz="12" w:space="0" w:color="auto"/>
              <w:bottom w:val="nil"/>
            </w:tcBorders>
            <w:shd w:val="clear" w:color="auto" w:fill="auto"/>
            <w:noWrap/>
            <w:tcMar>
              <w:left w:w="0" w:type="dxa"/>
              <w:right w:w="0" w:type="dxa"/>
            </w:tcMar>
            <w:vAlign w:val="bottom"/>
          </w:tcPr>
          <w:p w14:paraId="6A152C0E" w14:textId="1CC9FF9C" w:rsidR="001F520E" w:rsidRPr="00585293" w:rsidRDefault="001F520E" w:rsidP="001F520E">
            <w:pPr>
              <w:spacing w:after="160"/>
              <w:jc w:val="center"/>
              <w:rPr>
                <w:color w:val="000000"/>
              </w:rPr>
            </w:pPr>
            <w:r w:rsidRPr="00585293">
              <w:rPr>
                <w:color w:val="000000"/>
              </w:rPr>
              <w:t>(4)</w:t>
            </w:r>
          </w:p>
        </w:tc>
        <w:tc>
          <w:tcPr>
            <w:tcW w:w="664" w:type="pct"/>
            <w:tcBorders>
              <w:top w:val="single" w:sz="12" w:space="0" w:color="auto"/>
              <w:bottom w:val="nil"/>
            </w:tcBorders>
            <w:shd w:val="clear" w:color="auto" w:fill="auto"/>
            <w:noWrap/>
            <w:tcMar>
              <w:left w:w="0" w:type="dxa"/>
              <w:right w:w="0" w:type="dxa"/>
            </w:tcMar>
            <w:vAlign w:val="bottom"/>
          </w:tcPr>
          <w:p w14:paraId="49480A46" w14:textId="51E79D1C" w:rsidR="001F520E" w:rsidRPr="00585293" w:rsidRDefault="001F520E" w:rsidP="001F520E">
            <w:pPr>
              <w:spacing w:after="160"/>
              <w:jc w:val="center"/>
              <w:rPr>
                <w:color w:val="000000"/>
              </w:rPr>
            </w:pPr>
            <w:r w:rsidRPr="00585293">
              <w:rPr>
                <w:color w:val="000000"/>
              </w:rPr>
              <w:t>(5)</w:t>
            </w:r>
          </w:p>
        </w:tc>
        <w:tc>
          <w:tcPr>
            <w:tcW w:w="663" w:type="pct"/>
            <w:tcBorders>
              <w:top w:val="single" w:sz="12" w:space="0" w:color="auto"/>
              <w:bottom w:val="nil"/>
            </w:tcBorders>
            <w:shd w:val="clear" w:color="auto" w:fill="auto"/>
            <w:noWrap/>
            <w:tcMar>
              <w:left w:w="0" w:type="dxa"/>
              <w:right w:w="0" w:type="dxa"/>
            </w:tcMar>
            <w:vAlign w:val="bottom"/>
          </w:tcPr>
          <w:p w14:paraId="6BBEFC90" w14:textId="6A5C53A7" w:rsidR="001F520E" w:rsidRPr="00585293" w:rsidRDefault="001F520E" w:rsidP="001F520E">
            <w:pPr>
              <w:spacing w:after="160"/>
              <w:jc w:val="center"/>
              <w:rPr>
                <w:color w:val="000000"/>
              </w:rPr>
            </w:pPr>
            <w:r w:rsidRPr="00585293">
              <w:rPr>
                <w:color w:val="000000"/>
              </w:rPr>
              <w:t>(6)</w:t>
            </w:r>
          </w:p>
        </w:tc>
      </w:tr>
      <w:tr w:rsidR="005E6B7C" w:rsidRPr="00585293" w14:paraId="7364BB5B" w14:textId="77777777" w:rsidTr="00057B50">
        <w:trPr>
          <w:trHeight w:hRule="exact" w:val="397"/>
          <w:jc w:val="center"/>
        </w:trPr>
        <w:tc>
          <w:tcPr>
            <w:tcW w:w="1220" w:type="pct"/>
            <w:tcBorders>
              <w:top w:val="nil"/>
              <w:bottom w:val="single" w:sz="4" w:space="0" w:color="auto"/>
            </w:tcBorders>
            <w:shd w:val="clear" w:color="auto" w:fill="auto"/>
            <w:noWrap/>
            <w:tcMar>
              <w:left w:w="0" w:type="dxa"/>
              <w:right w:w="0" w:type="dxa"/>
            </w:tcMar>
            <w:vAlign w:val="center"/>
            <w:hideMark/>
          </w:tcPr>
          <w:p w14:paraId="24D877D5" w14:textId="77777777" w:rsidR="005E6B7C" w:rsidRPr="00585293" w:rsidRDefault="005E6B7C" w:rsidP="005E6B7C">
            <w:pPr>
              <w:spacing w:after="160"/>
              <w:jc w:val="center"/>
              <w:rPr>
                <w:color w:val="000000"/>
              </w:rPr>
            </w:pPr>
          </w:p>
        </w:tc>
        <w:tc>
          <w:tcPr>
            <w:tcW w:w="664" w:type="pct"/>
            <w:tcBorders>
              <w:top w:val="nil"/>
              <w:bottom w:val="single" w:sz="4" w:space="0" w:color="auto"/>
            </w:tcBorders>
            <w:shd w:val="clear" w:color="auto" w:fill="auto"/>
            <w:noWrap/>
            <w:tcMar>
              <w:left w:w="0" w:type="dxa"/>
              <w:right w:w="0" w:type="dxa"/>
            </w:tcMar>
            <w:vAlign w:val="center"/>
            <w:hideMark/>
          </w:tcPr>
          <w:p w14:paraId="1F79DE94" w14:textId="77777777" w:rsidR="005E6B7C" w:rsidRPr="00585293" w:rsidRDefault="005E6B7C" w:rsidP="005E6B7C">
            <w:pPr>
              <w:spacing w:after="160"/>
              <w:jc w:val="center"/>
              <w:rPr>
                <w:color w:val="000000"/>
              </w:rPr>
            </w:pPr>
            <w:r w:rsidRPr="00585293">
              <w:rPr>
                <w:color w:val="000000"/>
              </w:rPr>
              <w:t>OLS</w:t>
            </w:r>
          </w:p>
        </w:tc>
        <w:tc>
          <w:tcPr>
            <w:tcW w:w="562" w:type="pct"/>
            <w:tcBorders>
              <w:top w:val="nil"/>
              <w:bottom w:val="single" w:sz="4" w:space="0" w:color="auto"/>
            </w:tcBorders>
            <w:shd w:val="clear" w:color="auto" w:fill="auto"/>
            <w:noWrap/>
            <w:tcMar>
              <w:left w:w="0" w:type="dxa"/>
              <w:right w:w="0" w:type="dxa"/>
            </w:tcMar>
            <w:vAlign w:val="center"/>
            <w:hideMark/>
          </w:tcPr>
          <w:p w14:paraId="215C9016" w14:textId="77777777" w:rsidR="005E6B7C" w:rsidRPr="00585293" w:rsidRDefault="005E6B7C" w:rsidP="005E6B7C">
            <w:pPr>
              <w:spacing w:after="160"/>
              <w:jc w:val="center"/>
              <w:rPr>
                <w:color w:val="000000"/>
              </w:rPr>
            </w:pPr>
            <w:r w:rsidRPr="00585293">
              <w:rPr>
                <w:color w:val="000000"/>
              </w:rPr>
              <w:t>OLS</w:t>
            </w:r>
          </w:p>
        </w:tc>
        <w:tc>
          <w:tcPr>
            <w:tcW w:w="664" w:type="pct"/>
            <w:tcBorders>
              <w:top w:val="nil"/>
              <w:bottom w:val="single" w:sz="4" w:space="0" w:color="auto"/>
            </w:tcBorders>
            <w:shd w:val="clear" w:color="auto" w:fill="auto"/>
            <w:noWrap/>
            <w:tcMar>
              <w:left w:w="0" w:type="dxa"/>
              <w:right w:w="0" w:type="dxa"/>
            </w:tcMar>
            <w:vAlign w:val="center"/>
            <w:hideMark/>
          </w:tcPr>
          <w:p w14:paraId="490A51A7" w14:textId="77777777" w:rsidR="005E6B7C" w:rsidRPr="00585293" w:rsidRDefault="005E6B7C" w:rsidP="005E6B7C">
            <w:pPr>
              <w:spacing w:after="160"/>
              <w:jc w:val="center"/>
              <w:rPr>
                <w:color w:val="000000"/>
              </w:rPr>
            </w:pPr>
            <w:r w:rsidRPr="00585293">
              <w:rPr>
                <w:color w:val="000000"/>
              </w:rPr>
              <w:t>OLS</w:t>
            </w:r>
          </w:p>
        </w:tc>
        <w:tc>
          <w:tcPr>
            <w:tcW w:w="562" w:type="pct"/>
            <w:tcBorders>
              <w:top w:val="nil"/>
              <w:bottom w:val="single" w:sz="4" w:space="0" w:color="auto"/>
            </w:tcBorders>
            <w:shd w:val="clear" w:color="auto" w:fill="auto"/>
            <w:noWrap/>
            <w:tcMar>
              <w:left w:w="0" w:type="dxa"/>
              <w:right w:w="0" w:type="dxa"/>
            </w:tcMar>
            <w:vAlign w:val="center"/>
            <w:hideMark/>
          </w:tcPr>
          <w:p w14:paraId="2BEB47D0" w14:textId="77777777" w:rsidR="005E6B7C" w:rsidRPr="00585293" w:rsidRDefault="005E6B7C" w:rsidP="005E6B7C">
            <w:pPr>
              <w:spacing w:after="160"/>
              <w:jc w:val="center"/>
              <w:rPr>
                <w:color w:val="000000"/>
              </w:rPr>
            </w:pPr>
            <w:r w:rsidRPr="00585293">
              <w:rPr>
                <w:color w:val="000000"/>
              </w:rPr>
              <w:t>OLS</w:t>
            </w:r>
          </w:p>
        </w:tc>
        <w:tc>
          <w:tcPr>
            <w:tcW w:w="664" w:type="pct"/>
            <w:tcBorders>
              <w:top w:val="nil"/>
              <w:bottom w:val="single" w:sz="4" w:space="0" w:color="auto"/>
            </w:tcBorders>
            <w:shd w:val="clear" w:color="auto" w:fill="auto"/>
            <w:noWrap/>
            <w:tcMar>
              <w:left w:w="0" w:type="dxa"/>
              <w:right w:w="0" w:type="dxa"/>
            </w:tcMar>
            <w:vAlign w:val="center"/>
            <w:hideMark/>
          </w:tcPr>
          <w:p w14:paraId="2AE3F241" w14:textId="77777777" w:rsidR="005E6B7C" w:rsidRPr="00585293" w:rsidRDefault="005E6B7C" w:rsidP="005E6B7C">
            <w:pPr>
              <w:spacing w:after="160"/>
              <w:jc w:val="center"/>
              <w:rPr>
                <w:color w:val="000000"/>
              </w:rPr>
            </w:pPr>
            <w:r w:rsidRPr="00585293">
              <w:rPr>
                <w:color w:val="000000"/>
              </w:rPr>
              <w:t>OLS</w:t>
            </w:r>
          </w:p>
        </w:tc>
        <w:tc>
          <w:tcPr>
            <w:tcW w:w="663" w:type="pct"/>
            <w:tcBorders>
              <w:top w:val="nil"/>
              <w:bottom w:val="single" w:sz="4" w:space="0" w:color="auto"/>
            </w:tcBorders>
            <w:shd w:val="clear" w:color="auto" w:fill="auto"/>
            <w:noWrap/>
            <w:tcMar>
              <w:left w:w="0" w:type="dxa"/>
              <w:right w:w="0" w:type="dxa"/>
            </w:tcMar>
            <w:vAlign w:val="center"/>
            <w:hideMark/>
          </w:tcPr>
          <w:p w14:paraId="05D17FCF" w14:textId="77777777" w:rsidR="005E6B7C" w:rsidRPr="00585293" w:rsidRDefault="005E6B7C" w:rsidP="005E6B7C">
            <w:pPr>
              <w:spacing w:after="160"/>
              <w:jc w:val="center"/>
              <w:rPr>
                <w:color w:val="000000"/>
              </w:rPr>
            </w:pPr>
            <w:r w:rsidRPr="00585293">
              <w:rPr>
                <w:color w:val="000000"/>
              </w:rPr>
              <w:t>OLS</w:t>
            </w:r>
          </w:p>
        </w:tc>
      </w:tr>
      <w:tr w:rsidR="00057B50" w:rsidRPr="00585293" w14:paraId="0E648059" w14:textId="77777777" w:rsidTr="00057B50">
        <w:trPr>
          <w:trHeight w:hRule="exact" w:val="397"/>
          <w:jc w:val="center"/>
        </w:trPr>
        <w:tc>
          <w:tcPr>
            <w:tcW w:w="1220" w:type="pct"/>
            <w:shd w:val="clear" w:color="auto" w:fill="auto"/>
            <w:noWrap/>
            <w:tcMar>
              <w:left w:w="0" w:type="dxa"/>
              <w:right w:w="0" w:type="dxa"/>
            </w:tcMar>
            <w:vAlign w:val="bottom"/>
            <w:hideMark/>
          </w:tcPr>
          <w:p w14:paraId="7A747E67" w14:textId="722DDCC5" w:rsidR="00057B50" w:rsidRPr="00585293" w:rsidRDefault="00057B50" w:rsidP="00057B50">
            <w:pPr>
              <w:spacing w:after="160"/>
              <w:rPr>
                <w:color w:val="000000"/>
              </w:rPr>
            </w:pPr>
            <w:r w:rsidRPr="00585293">
              <w:rPr>
                <w:color w:val="000000"/>
              </w:rPr>
              <w:t>Elasticity</w:t>
            </w:r>
          </w:p>
        </w:tc>
        <w:tc>
          <w:tcPr>
            <w:tcW w:w="664" w:type="pct"/>
            <w:shd w:val="clear" w:color="auto" w:fill="auto"/>
            <w:noWrap/>
            <w:tcMar>
              <w:left w:w="0" w:type="dxa"/>
              <w:right w:w="0" w:type="dxa"/>
            </w:tcMar>
            <w:vAlign w:val="center"/>
            <w:hideMark/>
          </w:tcPr>
          <w:p w14:paraId="6222286E" w14:textId="6F387F58" w:rsidR="00057B50" w:rsidRPr="00585293" w:rsidRDefault="00057B50" w:rsidP="00057B50">
            <w:pPr>
              <w:spacing w:after="160"/>
              <w:jc w:val="center"/>
              <w:rPr>
                <w:color w:val="000000"/>
              </w:rPr>
            </w:pPr>
            <w:r w:rsidRPr="00585293">
              <w:rPr>
                <w:color w:val="000000"/>
              </w:rPr>
              <w:t>0.402</w:t>
            </w:r>
          </w:p>
        </w:tc>
        <w:tc>
          <w:tcPr>
            <w:tcW w:w="562" w:type="pct"/>
            <w:shd w:val="clear" w:color="auto" w:fill="auto"/>
            <w:noWrap/>
            <w:tcMar>
              <w:left w:w="0" w:type="dxa"/>
              <w:right w:w="0" w:type="dxa"/>
            </w:tcMar>
            <w:vAlign w:val="center"/>
            <w:hideMark/>
          </w:tcPr>
          <w:p w14:paraId="5375FD45" w14:textId="1C04684A" w:rsidR="00057B50" w:rsidRPr="00585293" w:rsidRDefault="00057B50" w:rsidP="00057B50">
            <w:pPr>
              <w:spacing w:after="160"/>
              <w:jc w:val="center"/>
              <w:rPr>
                <w:color w:val="000000"/>
              </w:rPr>
            </w:pPr>
            <w:r w:rsidRPr="00585293">
              <w:rPr>
                <w:color w:val="000000"/>
              </w:rPr>
              <w:t>0.414</w:t>
            </w:r>
          </w:p>
        </w:tc>
        <w:tc>
          <w:tcPr>
            <w:tcW w:w="664" w:type="pct"/>
            <w:shd w:val="clear" w:color="auto" w:fill="auto"/>
            <w:noWrap/>
            <w:tcMar>
              <w:left w:w="0" w:type="dxa"/>
              <w:right w:w="0" w:type="dxa"/>
            </w:tcMar>
            <w:vAlign w:val="center"/>
            <w:hideMark/>
          </w:tcPr>
          <w:p w14:paraId="4A98C5E9" w14:textId="5579A841" w:rsidR="00057B50" w:rsidRPr="00585293" w:rsidRDefault="00057B50" w:rsidP="00057B50">
            <w:pPr>
              <w:spacing w:after="160"/>
              <w:jc w:val="center"/>
              <w:rPr>
                <w:color w:val="000000"/>
              </w:rPr>
            </w:pPr>
            <w:r w:rsidRPr="00585293">
              <w:rPr>
                <w:color w:val="000000"/>
              </w:rPr>
              <w:t>0.384</w:t>
            </w:r>
          </w:p>
        </w:tc>
        <w:tc>
          <w:tcPr>
            <w:tcW w:w="562" w:type="pct"/>
            <w:shd w:val="clear" w:color="auto" w:fill="auto"/>
            <w:noWrap/>
            <w:tcMar>
              <w:left w:w="0" w:type="dxa"/>
              <w:right w:w="0" w:type="dxa"/>
            </w:tcMar>
            <w:vAlign w:val="center"/>
            <w:hideMark/>
          </w:tcPr>
          <w:p w14:paraId="61ED4DD7" w14:textId="127DB47D" w:rsidR="00057B50" w:rsidRPr="00585293" w:rsidRDefault="00057B50" w:rsidP="00057B50">
            <w:pPr>
              <w:spacing w:after="160"/>
              <w:jc w:val="center"/>
              <w:rPr>
                <w:color w:val="000000"/>
              </w:rPr>
            </w:pPr>
            <w:r w:rsidRPr="00585293">
              <w:rPr>
                <w:color w:val="000000"/>
              </w:rPr>
              <w:t>0.405</w:t>
            </w:r>
          </w:p>
        </w:tc>
        <w:tc>
          <w:tcPr>
            <w:tcW w:w="664" w:type="pct"/>
            <w:shd w:val="clear" w:color="auto" w:fill="auto"/>
            <w:noWrap/>
            <w:tcMar>
              <w:left w:w="0" w:type="dxa"/>
              <w:right w:w="0" w:type="dxa"/>
            </w:tcMar>
            <w:vAlign w:val="center"/>
            <w:hideMark/>
          </w:tcPr>
          <w:p w14:paraId="34BF0663" w14:textId="3ED49C84" w:rsidR="00057B50" w:rsidRPr="00585293" w:rsidRDefault="00057B50" w:rsidP="00057B50">
            <w:pPr>
              <w:spacing w:after="160"/>
              <w:jc w:val="center"/>
              <w:rPr>
                <w:color w:val="000000"/>
              </w:rPr>
            </w:pPr>
            <w:r w:rsidRPr="00585293">
              <w:rPr>
                <w:color w:val="000000"/>
              </w:rPr>
              <w:t>0.391</w:t>
            </w:r>
          </w:p>
        </w:tc>
        <w:tc>
          <w:tcPr>
            <w:tcW w:w="663" w:type="pct"/>
            <w:shd w:val="clear" w:color="auto" w:fill="auto"/>
            <w:noWrap/>
            <w:tcMar>
              <w:left w:w="0" w:type="dxa"/>
              <w:right w:w="0" w:type="dxa"/>
            </w:tcMar>
            <w:vAlign w:val="center"/>
            <w:hideMark/>
          </w:tcPr>
          <w:p w14:paraId="1F64D258" w14:textId="7DEF3773" w:rsidR="00057B50" w:rsidRPr="00585293" w:rsidRDefault="00057B50" w:rsidP="00057B50">
            <w:pPr>
              <w:spacing w:after="160"/>
              <w:jc w:val="center"/>
              <w:rPr>
                <w:color w:val="000000"/>
              </w:rPr>
            </w:pPr>
            <w:r w:rsidRPr="00585293">
              <w:rPr>
                <w:color w:val="000000"/>
              </w:rPr>
              <w:t>0.408</w:t>
            </w:r>
          </w:p>
        </w:tc>
      </w:tr>
      <w:tr w:rsidR="00057B50" w:rsidRPr="00585293" w14:paraId="2C6B8D5F" w14:textId="77777777" w:rsidTr="00057B50">
        <w:trPr>
          <w:trHeight w:hRule="exact" w:val="397"/>
          <w:jc w:val="center"/>
        </w:trPr>
        <w:tc>
          <w:tcPr>
            <w:tcW w:w="1220" w:type="pct"/>
            <w:shd w:val="clear" w:color="auto" w:fill="auto"/>
            <w:noWrap/>
            <w:tcMar>
              <w:left w:w="0" w:type="dxa"/>
              <w:right w:w="0" w:type="dxa"/>
            </w:tcMar>
            <w:vAlign w:val="bottom"/>
            <w:hideMark/>
          </w:tcPr>
          <w:p w14:paraId="409C919A" w14:textId="5D2F3149" w:rsidR="00057B50" w:rsidRPr="00585293" w:rsidRDefault="00057B50" w:rsidP="00057B50">
            <w:pPr>
              <w:spacing w:after="160"/>
              <w:rPr>
                <w:color w:val="000000"/>
              </w:rPr>
            </w:pPr>
            <w:r w:rsidRPr="00585293">
              <w:rPr>
                <w:color w:val="000000"/>
              </w:rPr>
              <w:t>Correlations</w:t>
            </w:r>
          </w:p>
        </w:tc>
        <w:tc>
          <w:tcPr>
            <w:tcW w:w="664" w:type="pct"/>
            <w:shd w:val="clear" w:color="auto" w:fill="auto"/>
            <w:noWrap/>
            <w:tcMar>
              <w:left w:w="0" w:type="dxa"/>
              <w:right w:w="0" w:type="dxa"/>
            </w:tcMar>
            <w:vAlign w:val="center"/>
            <w:hideMark/>
          </w:tcPr>
          <w:p w14:paraId="518A8E6C" w14:textId="0ADE7722" w:rsidR="00057B50" w:rsidRPr="00585293" w:rsidRDefault="00057B50" w:rsidP="00057B50">
            <w:pPr>
              <w:spacing w:after="160"/>
              <w:jc w:val="center"/>
              <w:rPr>
                <w:color w:val="000000"/>
              </w:rPr>
            </w:pPr>
            <w:r w:rsidRPr="00585293">
              <w:rPr>
                <w:color w:val="000000"/>
              </w:rPr>
              <w:t>0.456</w:t>
            </w:r>
          </w:p>
        </w:tc>
        <w:tc>
          <w:tcPr>
            <w:tcW w:w="562" w:type="pct"/>
            <w:shd w:val="clear" w:color="auto" w:fill="auto"/>
            <w:noWrap/>
            <w:tcMar>
              <w:left w:w="0" w:type="dxa"/>
              <w:right w:w="0" w:type="dxa"/>
            </w:tcMar>
            <w:vAlign w:val="center"/>
            <w:hideMark/>
          </w:tcPr>
          <w:p w14:paraId="4B869808" w14:textId="23714E85" w:rsidR="00057B50" w:rsidRPr="00585293" w:rsidRDefault="00057B50" w:rsidP="00057B50">
            <w:pPr>
              <w:spacing w:after="160"/>
              <w:jc w:val="center"/>
              <w:rPr>
                <w:color w:val="000000"/>
              </w:rPr>
            </w:pPr>
            <w:r w:rsidRPr="00585293">
              <w:rPr>
                <w:color w:val="000000"/>
              </w:rPr>
              <w:t>0.480</w:t>
            </w:r>
          </w:p>
        </w:tc>
        <w:tc>
          <w:tcPr>
            <w:tcW w:w="664" w:type="pct"/>
            <w:shd w:val="clear" w:color="auto" w:fill="auto"/>
            <w:noWrap/>
            <w:tcMar>
              <w:left w:w="0" w:type="dxa"/>
              <w:right w:w="0" w:type="dxa"/>
            </w:tcMar>
            <w:vAlign w:val="center"/>
            <w:hideMark/>
          </w:tcPr>
          <w:p w14:paraId="164A9813" w14:textId="7B582E54" w:rsidR="00057B50" w:rsidRPr="00585293" w:rsidRDefault="00057B50" w:rsidP="00057B50">
            <w:pPr>
              <w:spacing w:after="160"/>
              <w:jc w:val="center"/>
              <w:rPr>
                <w:color w:val="000000"/>
              </w:rPr>
            </w:pPr>
            <w:r w:rsidRPr="00585293">
              <w:rPr>
                <w:color w:val="000000"/>
              </w:rPr>
              <w:t>0.431</w:t>
            </w:r>
          </w:p>
        </w:tc>
        <w:tc>
          <w:tcPr>
            <w:tcW w:w="562" w:type="pct"/>
            <w:shd w:val="clear" w:color="auto" w:fill="auto"/>
            <w:noWrap/>
            <w:tcMar>
              <w:left w:w="0" w:type="dxa"/>
              <w:right w:w="0" w:type="dxa"/>
            </w:tcMar>
            <w:vAlign w:val="center"/>
            <w:hideMark/>
          </w:tcPr>
          <w:p w14:paraId="46B8BBE9" w14:textId="01AB1A76" w:rsidR="00057B50" w:rsidRPr="00585293" w:rsidRDefault="00057B50" w:rsidP="00057B50">
            <w:pPr>
              <w:spacing w:after="160"/>
              <w:jc w:val="center"/>
              <w:rPr>
                <w:color w:val="000000"/>
              </w:rPr>
            </w:pPr>
            <w:r w:rsidRPr="00585293">
              <w:rPr>
                <w:color w:val="000000"/>
              </w:rPr>
              <w:t>0.460</w:t>
            </w:r>
          </w:p>
        </w:tc>
        <w:tc>
          <w:tcPr>
            <w:tcW w:w="664" w:type="pct"/>
            <w:shd w:val="clear" w:color="auto" w:fill="auto"/>
            <w:noWrap/>
            <w:tcMar>
              <w:left w:w="0" w:type="dxa"/>
              <w:right w:w="0" w:type="dxa"/>
            </w:tcMar>
            <w:vAlign w:val="center"/>
            <w:hideMark/>
          </w:tcPr>
          <w:p w14:paraId="022C9C65" w14:textId="7D3C4807" w:rsidR="00057B50" w:rsidRPr="00585293" w:rsidRDefault="00057B50" w:rsidP="00057B50">
            <w:pPr>
              <w:spacing w:after="160"/>
              <w:jc w:val="center"/>
              <w:rPr>
                <w:color w:val="000000"/>
              </w:rPr>
            </w:pPr>
            <w:r w:rsidRPr="00585293">
              <w:rPr>
                <w:color w:val="000000"/>
              </w:rPr>
              <w:t>0.432</w:t>
            </w:r>
          </w:p>
        </w:tc>
        <w:tc>
          <w:tcPr>
            <w:tcW w:w="663" w:type="pct"/>
            <w:shd w:val="clear" w:color="auto" w:fill="auto"/>
            <w:noWrap/>
            <w:tcMar>
              <w:left w:w="0" w:type="dxa"/>
              <w:right w:w="0" w:type="dxa"/>
            </w:tcMar>
            <w:vAlign w:val="center"/>
            <w:hideMark/>
          </w:tcPr>
          <w:p w14:paraId="04787296" w14:textId="114AB377" w:rsidR="00057B50" w:rsidRPr="00585293" w:rsidRDefault="00057B50" w:rsidP="00057B50">
            <w:pPr>
              <w:spacing w:after="160"/>
              <w:jc w:val="center"/>
              <w:rPr>
                <w:color w:val="000000"/>
              </w:rPr>
            </w:pPr>
            <w:r w:rsidRPr="00585293">
              <w:rPr>
                <w:color w:val="000000"/>
              </w:rPr>
              <w:t>0.457</w:t>
            </w:r>
          </w:p>
        </w:tc>
      </w:tr>
      <w:tr w:rsidR="005E6B7C" w:rsidRPr="00585293" w14:paraId="77912F54" w14:textId="77777777" w:rsidTr="00057B50">
        <w:trPr>
          <w:trHeight w:val="397"/>
          <w:jc w:val="center"/>
        </w:trPr>
        <w:tc>
          <w:tcPr>
            <w:tcW w:w="1220" w:type="pct"/>
            <w:shd w:val="clear" w:color="auto" w:fill="auto"/>
            <w:noWrap/>
            <w:tcMar>
              <w:left w:w="0" w:type="dxa"/>
              <w:right w:w="0" w:type="dxa"/>
            </w:tcMar>
            <w:vAlign w:val="center"/>
          </w:tcPr>
          <w:p w14:paraId="351B5097" w14:textId="77777777" w:rsidR="005E6B7C" w:rsidRPr="00585293" w:rsidRDefault="005E6B7C" w:rsidP="005E6B7C">
            <w:pPr>
              <w:spacing w:after="160"/>
              <w:rPr>
                <w:color w:val="000000"/>
              </w:rPr>
            </w:pPr>
            <w:r w:rsidRPr="00585293">
              <w:rPr>
                <w:color w:val="000000"/>
              </w:rPr>
              <w:t>Multiple Links</w:t>
            </w:r>
          </w:p>
        </w:tc>
        <w:tc>
          <w:tcPr>
            <w:tcW w:w="664" w:type="pct"/>
            <w:shd w:val="clear" w:color="auto" w:fill="auto"/>
            <w:noWrap/>
            <w:tcMar>
              <w:left w:w="0" w:type="dxa"/>
              <w:right w:w="0" w:type="dxa"/>
            </w:tcMar>
            <w:vAlign w:val="center"/>
          </w:tcPr>
          <w:p w14:paraId="73EF6F3B" w14:textId="77777777" w:rsidR="005E6B7C" w:rsidRPr="00585293" w:rsidRDefault="005E6B7C" w:rsidP="005E6B7C">
            <w:pPr>
              <w:spacing w:after="160"/>
              <w:jc w:val="center"/>
              <w:rPr>
                <w:color w:val="000000"/>
              </w:rPr>
            </w:pPr>
            <w:r w:rsidRPr="00585293">
              <w:rPr>
                <w:color w:val="000000"/>
              </w:rPr>
              <w:t>NO</w:t>
            </w:r>
          </w:p>
        </w:tc>
        <w:tc>
          <w:tcPr>
            <w:tcW w:w="562" w:type="pct"/>
            <w:shd w:val="clear" w:color="auto" w:fill="auto"/>
            <w:noWrap/>
            <w:tcMar>
              <w:left w:w="0" w:type="dxa"/>
              <w:right w:w="0" w:type="dxa"/>
            </w:tcMar>
            <w:vAlign w:val="center"/>
          </w:tcPr>
          <w:p w14:paraId="438B1FBC" w14:textId="77777777" w:rsidR="005E6B7C" w:rsidRPr="00585293" w:rsidRDefault="005E6B7C" w:rsidP="005E6B7C">
            <w:pPr>
              <w:spacing w:after="160"/>
              <w:jc w:val="center"/>
              <w:rPr>
                <w:color w:val="000000"/>
              </w:rPr>
            </w:pPr>
            <w:r w:rsidRPr="00585293">
              <w:rPr>
                <w:color w:val="000000"/>
              </w:rPr>
              <w:t>YES</w:t>
            </w:r>
          </w:p>
        </w:tc>
        <w:tc>
          <w:tcPr>
            <w:tcW w:w="664" w:type="pct"/>
            <w:shd w:val="clear" w:color="auto" w:fill="auto"/>
            <w:noWrap/>
            <w:tcMar>
              <w:left w:w="0" w:type="dxa"/>
              <w:right w:w="0" w:type="dxa"/>
            </w:tcMar>
            <w:vAlign w:val="center"/>
          </w:tcPr>
          <w:p w14:paraId="6E2C9EB2" w14:textId="77777777" w:rsidR="005E6B7C" w:rsidRPr="00585293" w:rsidRDefault="005E6B7C" w:rsidP="005E6B7C">
            <w:pPr>
              <w:spacing w:after="160"/>
              <w:jc w:val="center"/>
              <w:rPr>
                <w:color w:val="000000"/>
              </w:rPr>
            </w:pPr>
            <w:r w:rsidRPr="00585293">
              <w:rPr>
                <w:color w:val="000000"/>
              </w:rPr>
              <w:t>NO</w:t>
            </w:r>
          </w:p>
        </w:tc>
        <w:tc>
          <w:tcPr>
            <w:tcW w:w="562" w:type="pct"/>
            <w:shd w:val="clear" w:color="auto" w:fill="auto"/>
            <w:noWrap/>
            <w:tcMar>
              <w:left w:w="0" w:type="dxa"/>
              <w:right w:w="0" w:type="dxa"/>
            </w:tcMar>
            <w:vAlign w:val="center"/>
          </w:tcPr>
          <w:p w14:paraId="40D1083A" w14:textId="77777777" w:rsidR="005E6B7C" w:rsidRPr="00585293" w:rsidRDefault="005E6B7C" w:rsidP="005E6B7C">
            <w:pPr>
              <w:spacing w:after="160"/>
              <w:jc w:val="center"/>
              <w:rPr>
                <w:color w:val="000000"/>
              </w:rPr>
            </w:pPr>
            <w:r w:rsidRPr="00585293">
              <w:rPr>
                <w:color w:val="000000"/>
              </w:rPr>
              <w:t>YES</w:t>
            </w:r>
          </w:p>
        </w:tc>
        <w:tc>
          <w:tcPr>
            <w:tcW w:w="664" w:type="pct"/>
            <w:shd w:val="clear" w:color="auto" w:fill="auto"/>
            <w:noWrap/>
            <w:tcMar>
              <w:left w:w="0" w:type="dxa"/>
              <w:right w:w="0" w:type="dxa"/>
            </w:tcMar>
            <w:vAlign w:val="center"/>
          </w:tcPr>
          <w:p w14:paraId="53806693" w14:textId="77777777" w:rsidR="005E6B7C" w:rsidRPr="00585293" w:rsidRDefault="005E6B7C" w:rsidP="005E6B7C">
            <w:pPr>
              <w:spacing w:after="160"/>
              <w:jc w:val="center"/>
              <w:rPr>
                <w:color w:val="000000"/>
              </w:rPr>
            </w:pPr>
            <w:r w:rsidRPr="00585293">
              <w:rPr>
                <w:color w:val="000000"/>
              </w:rPr>
              <w:t>NO</w:t>
            </w:r>
          </w:p>
        </w:tc>
        <w:tc>
          <w:tcPr>
            <w:tcW w:w="663" w:type="pct"/>
            <w:shd w:val="clear" w:color="auto" w:fill="auto"/>
            <w:noWrap/>
            <w:tcMar>
              <w:left w:w="0" w:type="dxa"/>
              <w:right w:w="0" w:type="dxa"/>
            </w:tcMar>
            <w:vAlign w:val="center"/>
          </w:tcPr>
          <w:p w14:paraId="7FEBF708" w14:textId="77777777" w:rsidR="005E6B7C" w:rsidRPr="00585293" w:rsidRDefault="005E6B7C" w:rsidP="005E6B7C">
            <w:pPr>
              <w:spacing w:after="160"/>
              <w:jc w:val="center"/>
              <w:rPr>
                <w:color w:val="000000"/>
              </w:rPr>
            </w:pPr>
            <w:r w:rsidRPr="00585293">
              <w:rPr>
                <w:color w:val="000000"/>
              </w:rPr>
              <w:t>YES</w:t>
            </w:r>
          </w:p>
        </w:tc>
      </w:tr>
      <w:tr w:rsidR="005E6B7C" w:rsidRPr="00585293" w14:paraId="21CC2163" w14:textId="77777777" w:rsidTr="00057B50">
        <w:trPr>
          <w:trHeight w:hRule="exact" w:val="397"/>
          <w:jc w:val="center"/>
        </w:trPr>
        <w:tc>
          <w:tcPr>
            <w:tcW w:w="1220" w:type="pct"/>
            <w:shd w:val="clear" w:color="auto" w:fill="auto"/>
            <w:noWrap/>
            <w:tcMar>
              <w:left w:w="0" w:type="dxa"/>
              <w:right w:w="0" w:type="dxa"/>
            </w:tcMar>
            <w:vAlign w:val="center"/>
          </w:tcPr>
          <w:p w14:paraId="17D1ACA5" w14:textId="77777777" w:rsidR="005E6B7C" w:rsidRPr="00585293" w:rsidRDefault="005E6B7C" w:rsidP="005E6B7C">
            <w:pPr>
              <w:spacing w:after="160"/>
              <w:rPr>
                <w:color w:val="000000"/>
              </w:rPr>
            </w:pPr>
          </w:p>
        </w:tc>
        <w:tc>
          <w:tcPr>
            <w:tcW w:w="664" w:type="pct"/>
            <w:shd w:val="clear" w:color="auto" w:fill="auto"/>
            <w:noWrap/>
            <w:tcMar>
              <w:left w:w="0" w:type="dxa"/>
              <w:right w:w="0" w:type="dxa"/>
            </w:tcMar>
            <w:vAlign w:val="center"/>
          </w:tcPr>
          <w:p w14:paraId="61D8E49F" w14:textId="77777777" w:rsidR="005E6B7C" w:rsidRPr="00585293" w:rsidRDefault="005E6B7C" w:rsidP="005E6B7C">
            <w:pPr>
              <w:spacing w:after="160"/>
              <w:jc w:val="center"/>
              <w:rPr>
                <w:color w:val="000000"/>
              </w:rPr>
            </w:pPr>
          </w:p>
        </w:tc>
        <w:tc>
          <w:tcPr>
            <w:tcW w:w="562" w:type="pct"/>
            <w:shd w:val="clear" w:color="auto" w:fill="auto"/>
            <w:noWrap/>
            <w:tcMar>
              <w:left w:w="0" w:type="dxa"/>
              <w:right w:w="0" w:type="dxa"/>
            </w:tcMar>
            <w:vAlign w:val="center"/>
          </w:tcPr>
          <w:p w14:paraId="58C787D2" w14:textId="77777777" w:rsidR="005E6B7C" w:rsidRPr="00585293" w:rsidRDefault="005E6B7C" w:rsidP="005E6B7C">
            <w:pPr>
              <w:spacing w:after="160"/>
              <w:jc w:val="center"/>
              <w:rPr>
                <w:color w:val="000000"/>
              </w:rPr>
            </w:pPr>
          </w:p>
        </w:tc>
        <w:tc>
          <w:tcPr>
            <w:tcW w:w="664" w:type="pct"/>
            <w:shd w:val="clear" w:color="auto" w:fill="auto"/>
            <w:noWrap/>
            <w:tcMar>
              <w:left w:w="0" w:type="dxa"/>
              <w:right w:w="0" w:type="dxa"/>
            </w:tcMar>
            <w:vAlign w:val="center"/>
          </w:tcPr>
          <w:p w14:paraId="49E255B6" w14:textId="77777777" w:rsidR="005E6B7C" w:rsidRPr="00585293" w:rsidRDefault="005E6B7C" w:rsidP="005E6B7C">
            <w:pPr>
              <w:spacing w:after="160"/>
              <w:jc w:val="center"/>
              <w:rPr>
                <w:color w:val="000000"/>
              </w:rPr>
            </w:pPr>
          </w:p>
        </w:tc>
        <w:tc>
          <w:tcPr>
            <w:tcW w:w="562" w:type="pct"/>
            <w:shd w:val="clear" w:color="auto" w:fill="auto"/>
            <w:noWrap/>
            <w:tcMar>
              <w:left w:w="0" w:type="dxa"/>
              <w:right w:w="0" w:type="dxa"/>
            </w:tcMar>
            <w:vAlign w:val="center"/>
          </w:tcPr>
          <w:p w14:paraId="0AFF1471" w14:textId="77777777" w:rsidR="005E6B7C" w:rsidRPr="00585293" w:rsidRDefault="005E6B7C" w:rsidP="005E6B7C">
            <w:pPr>
              <w:spacing w:after="160"/>
              <w:jc w:val="center"/>
              <w:rPr>
                <w:color w:val="000000"/>
              </w:rPr>
            </w:pPr>
          </w:p>
        </w:tc>
        <w:tc>
          <w:tcPr>
            <w:tcW w:w="664" w:type="pct"/>
            <w:shd w:val="clear" w:color="auto" w:fill="auto"/>
            <w:noWrap/>
            <w:tcMar>
              <w:left w:w="0" w:type="dxa"/>
              <w:right w:w="0" w:type="dxa"/>
            </w:tcMar>
            <w:vAlign w:val="center"/>
          </w:tcPr>
          <w:p w14:paraId="3B0FB9CF" w14:textId="77777777" w:rsidR="005E6B7C" w:rsidRPr="00585293" w:rsidRDefault="005E6B7C" w:rsidP="005E6B7C">
            <w:pPr>
              <w:spacing w:after="160"/>
              <w:jc w:val="center"/>
              <w:rPr>
                <w:color w:val="000000"/>
              </w:rPr>
            </w:pPr>
          </w:p>
        </w:tc>
        <w:tc>
          <w:tcPr>
            <w:tcW w:w="663" w:type="pct"/>
            <w:shd w:val="clear" w:color="auto" w:fill="auto"/>
            <w:noWrap/>
            <w:tcMar>
              <w:left w:w="0" w:type="dxa"/>
              <w:right w:w="0" w:type="dxa"/>
            </w:tcMar>
            <w:vAlign w:val="center"/>
          </w:tcPr>
          <w:p w14:paraId="65581D2D" w14:textId="77777777" w:rsidR="005E6B7C" w:rsidRPr="00585293" w:rsidRDefault="005E6B7C" w:rsidP="005E6B7C">
            <w:pPr>
              <w:spacing w:after="160"/>
              <w:jc w:val="center"/>
              <w:rPr>
                <w:color w:val="000000"/>
              </w:rPr>
            </w:pPr>
          </w:p>
        </w:tc>
      </w:tr>
      <w:tr w:rsidR="005E6B7C" w:rsidRPr="00585293" w14:paraId="38C3A926" w14:textId="77777777" w:rsidTr="00057B50">
        <w:trPr>
          <w:trHeight w:hRule="exact" w:val="397"/>
          <w:jc w:val="center"/>
        </w:trPr>
        <w:tc>
          <w:tcPr>
            <w:tcW w:w="1220" w:type="pct"/>
            <w:shd w:val="clear" w:color="auto" w:fill="auto"/>
            <w:noWrap/>
            <w:tcMar>
              <w:left w:w="0" w:type="dxa"/>
              <w:right w:w="0" w:type="dxa"/>
            </w:tcMar>
            <w:vAlign w:val="center"/>
          </w:tcPr>
          <w:p w14:paraId="2F29A889" w14:textId="77777777" w:rsidR="005E6B7C" w:rsidRPr="00585293" w:rsidRDefault="005E6B7C" w:rsidP="005E6B7C">
            <w:pPr>
              <w:spacing w:after="160"/>
              <w:rPr>
                <w:color w:val="000000"/>
              </w:rPr>
            </w:pPr>
            <w:r w:rsidRPr="00585293">
              <w:rPr>
                <w:i/>
                <w:iCs/>
                <w:color w:val="000000"/>
              </w:rPr>
              <w:t>N</w:t>
            </w:r>
          </w:p>
        </w:tc>
        <w:tc>
          <w:tcPr>
            <w:tcW w:w="664" w:type="pct"/>
            <w:shd w:val="clear" w:color="auto" w:fill="auto"/>
            <w:noWrap/>
            <w:tcMar>
              <w:left w:w="0" w:type="dxa"/>
              <w:right w:w="0" w:type="dxa"/>
            </w:tcMar>
            <w:vAlign w:val="center"/>
          </w:tcPr>
          <w:p w14:paraId="6C336243" w14:textId="77777777" w:rsidR="005E6B7C" w:rsidRPr="00585293" w:rsidRDefault="005E6B7C" w:rsidP="005E6B7C">
            <w:pPr>
              <w:spacing w:after="160"/>
              <w:jc w:val="center"/>
              <w:rPr>
                <w:color w:val="000000"/>
              </w:rPr>
            </w:pPr>
            <w:r w:rsidRPr="00585293">
              <w:rPr>
                <w:color w:val="000000"/>
              </w:rPr>
              <w:t>257,844</w:t>
            </w:r>
          </w:p>
        </w:tc>
        <w:tc>
          <w:tcPr>
            <w:tcW w:w="562" w:type="pct"/>
            <w:shd w:val="clear" w:color="auto" w:fill="auto"/>
            <w:noWrap/>
            <w:tcMar>
              <w:left w:w="0" w:type="dxa"/>
              <w:right w:w="0" w:type="dxa"/>
            </w:tcMar>
            <w:vAlign w:val="center"/>
          </w:tcPr>
          <w:p w14:paraId="0A4DA405" w14:textId="77777777" w:rsidR="005E6B7C" w:rsidRPr="00585293" w:rsidRDefault="005E6B7C" w:rsidP="005E6B7C">
            <w:pPr>
              <w:spacing w:after="160"/>
              <w:jc w:val="center"/>
              <w:rPr>
                <w:color w:val="000000"/>
              </w:rPr>
            </w:pPr>
            <w:r w:rsidRPr="00585293">
              <w:rPr>
                <w:color w:val="000000"/>
              </w:rPr>
              <w:t>66,965</w:t>
            </w:r>
          </w:p>
        </w:tc>
        <w:tc>
          <w:tcPr>
            <w:tcW w:w="664" w:type="pct"/>
            <w:shd w:val="clear" w:color="auto" w:fill="auto"/>
            <w:noWrap/>
            <w:tcMar>
              <w:left w:w="0" w:type="dxa"/>
              <w:right w:w="0" w:type="dxa"/>
            </w:tcMar>
            <w:vAlign w:val="center"/>
          </w:tcPr>
          <w:p w14:paraId="360D77C7" w14:textId="77777777" w:rsidR="005E6B7C" w:rsidRPr="00585293" w:rsidRDefault="005E6B7C" w:rsidP="005E6B7C">
            <w:pPr>
              <w:spacing w:after="160"/>
              <w:jc w:val="center"/>
              <w:rPr>
                <w:color w:val="000000"/>
              </w:rPr>
            </w:pPr>
            <w:r w:rsidRPr="00585293">
              <w:rPr>
                <w:color w:val="000000"/>
              </w:rPr>
              <w:t>267,089</w:t>
            </w:r>
          </w:p>
        </w:tc>
        <w:tc>
          <w:tcPr>
            <w:tcW w:w="562" w:type="pct"/>
            <w:shd w:val="clear" w:color="auto" w:fill="auto"/>
            <w:noWrap/>
            <w:tcMar>
              <w:left w:w="0" w:type="dxa"/>
              <w:right w:w="0" w:type="dxa"/>
            </w:tcMar>
            <w:vAlign w:val="center"/>
          </w:tcPr>
          <w:p w14:paraId="3DB8D8E5" w14:textId="77777777" w:rsidR="005E6B7C" w:rsidRPr="00585293" w:rsidRDefault="005E6B7C" w:rsidP="005E6B7C">
            <w:pPr>
              <w:spacing w:after="160"/>
              <w:jc w:val="center"/>
              <w:rPr>
                <w:color w:val="000000"/>
              </w:rPr>
            </w:pPr>
            <w:r w:rsidRPr="00585293">
              <w:rPr>
                <w:color w:val="000000"/>
              </w:rPr>
              <w:t>84,097</w:t>
            </w:r>
          </w:p>
        </w:tc>
        <w:tc>
          <w:tcPr>
            <w:tcW w:w="664" w:type="pct"/>
            <w:shd w:val="clear" w:color="auto" w:fill="auto"/>
            <w:noWrap/>
            <w:tcMar>
              <w:left w:w="0" w:type="dxa"/>
              <w:right w:w="0" w:type="dxa"/>
            </w:tcMar>
            <w:vAlign w:val="center"/>
          </w:tcPr>
          <w:p w14:paraId="12C18959" w14:textId="77777777" w:rsidR="005E6B7C" w:rsidRPr="00585293" w:rsidRDefault="005E6B7C" w:rsidP="005E6B7C">
            <w:pPr>
              <w:spacing w:after="160"/>
              <w:jc w:val="center"/>
              <w:rPr>
                <w:color w:val="000000"/>
              </w:rPr>
            </w:pPr>
            <w:r w:rsidRPr="00585293">
              <w:rPr>
                <w:color w:val="000000"/>
              </w:rPr>
              <w:t>597,517</w:t>
            </w:r>
          </w:p>
        </w:tc>
        <w:tc>
          <w:tcPr>
            <w:tcW w:w="663" w:type="pct"/>
            <w:shd w:val="clear" w:color="auto" w:fill="auto"/>
            <w:noWrap/>
            <w:tcMar>
              <w:left w:w="0" w:type="dxa"/>
              <w:right w:w="0" w:type="dxa"/>
            </w:tcMar>
            <w:vAlign w:val="center"/>
          </w:tcPr>
          <w:p w14:paraId="25BEC8D1" w14:textId="77777777" w:rsidR="005E6B7C" w:rsidRPr="00585293" w:rsidRDefault="005E6B7C" w:rsidP="005E6B7C">
            <w:pPr>
              <w:spacing w:after="160"/>
              <w:jc w:val="center"/>
              <w:rPr>
                <w:color w:val="000000"/>
              </w:rPr>
            </w:pPr>
            <w:r w:rsidRPr="00585293">
              <w:rPr>
                <w:color w:val="000000"/>
              </w:rPr>
              <w:t>161,568</w:t>
            </w:r>
          </w:p>
        </w:tc>
      </w:tr>
    </w:tbl>
    <w:p w14:paraId="6105B848" w14:textId="649B640C" w:rsidR="00500295" w:rsidRPr="00585293" w:rsidRDefault="001F520E" w:rsidP="00500295">
      <w:pPr>
        <w:spacing w:after="160" w:line="480" w:lineRule="auto"/>
        <w:jc w:val="both"/>
        <w:rPr>
          <w:iCs/>
        </w:rPr>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w:t>
      </w:r>
    </w:p>
    <w:p w14:paraId="3048099F" w14:textId="77777777" w:rsidR="005E6B7C" w:rsidRPr="00585293" w:rsidRDefault="005E6B7C" w:rsidP="00500295">
      <w:pPr>
        <w:spacing w:after="160" w:line="480" w:lineRule="auto"/>
        <w:jc w:val="both"/>
        <w:rPr>
          <w:iCs/>
        </w:rPr>
      </w:pPr>
    </w:p>
    <w:p w14:paraId="73C4709F" w14:textId="77777777" w:rsidR="00647E1A" w:rsidRPr="00585293" w:rsidRDefault="00647E1A">
      <w:pPr>
        <w:spacing w:after="160" w:line="259" w:lineRule="auto"/>
        <w:rPr>
          <w:rFonts w:eastAsiaTheme="majorEastAsia"/>
          <w:b/>
          <w:bCs/>
          <w:sz w:val="28"/>
          <w:szCs w:val="28"/>
        </w:rPr>
      </w:pPr>
      <w:r w:rsidRPr="00585293">
        <w:rPr>
          <w:b/>
          <w:bCs/>
          <w:sz w:val="28"/>
          <w:szCs w:val="28"/>
        </w:rPr>
        <w:br w:type="page"/>
      </w:r>
    </w:p>
    <w:p w14:paraId="30696ACE" w14:textId="4C1AB4F8" w:rsidR="00500295" w:rsidRPr="00585293" w:rsidRDefault="00DB20B7" w:rsidP="00500295">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H</w:t>
      </w:r>
      <w:r w:rsidR="00DE5DFF" w:rsidRPr="00585293">
        <w:rPr>
          <w:rFonts w:ascii="Times New Roman" w:hAnsi="Times New Roman" w:cs="Times New Roman"/>
          <w:b/>
          <w:bCs/>
          <w:color w:val="auto"/>
          <w:sz w:val="28"/>
          <w:szCs w:val="28"/>
        </w:rPr>
        <w:tab/>
      </w:r>
      <w:r w:rsidR="00500295" w:rsidRPr="00585293">
        <w:rPr>
          <w:rFonts w:ascii="Times New Roman" w:hAnsi="Times New Roman" w:cs="Times New Roman"/>
          <w:b/>
          <w:bCs/>
          <w:color w:val="auto"/>
          <w:sz w:val="28"/>
          <w:szCs w:val="28"/>
        </w:rPr>
        <w:t>Life-Cycle Effects on IGE</w:t>
      </w:r>
    </w:p>
    <w:p w14:paraId="57333BA6" w14:textId="2ADD2231" w:rsidR="00500295" w:rsidRPr="00585293" w:rsidRDefault="007A1542" w:rsidP="00500295">
      <w:pPr>
        <w:spacing w:after="160" w:line="480" w:lineRule="auto"/>
        <w:jc w:val="both"/>
        <w:rPr>
          <w:iCs/>
        </w:rPr>
      </w:pPr>
      <w:r w:rsidRPr="00585293">
        <w:rPr>
          <w:iCs/>
        </w:rPr>
        <w:t xml:space="preserve">Additional </w:t>
      </w:r>
      <w:r w:rsidR="00B1267E" w:rsidRPr="00585293">
        <w:rPr>
          <w:iCs/>
        </w:rPr>
        <w:t xml:space="preserve">checks were conducted to determine whether </w:t>
      </w:r>
      <w:r w:rsidR="00B95212" w:rsidRPr="00585293">
        <w:rPr>
          <w:iCs/>
        </w:rPr>
        <w:t xml:space="preserve">life-cycle effects had an impact on the IGE estimated. </w:t>
      </w:r>
      <w:r w:rsidR="00225BAF" w:rsidRPr="00585293">
        <w:rPr>
          <w:iCs/>
        </w:rPr>
        <w:t xml:space="preserve">The first set of checks – </w:t>
      </w:r>
      <w:r w:rsidR="00865AD8">
        <w:rPr>
          <w:iCs/>
        </w:rPr>
        <w:t>“</w:t>
      </w:r>
      <w:r w:rsidR="00225BAF" w:rsidRPr="00585293">
        <w:rPr>
          <w:iCs/>
        </w:rPr>
        <w:t>age controls</w:t>
      </w:r>
      <w:r w:rsidR="00865AD8">
        <w:rPr>
          <w:iCs/>
        </w:rPr>
        <w:t>”</w:t>
      </w:r>
      <w:r w:rsidR="00225BAF" w:rsidRPr="00585293">
        <w:rPr>
          <w:iCs/>
        </w:rPr>
        <w:t xml:space="preserve"> – involve running </w:t>
      </w:r>
      <w:r w:rsidR="00A72656" w:rsidRPr="00585293">
        <w:rPr>
          <w:iCs/>
        </w:rPr>
        <w:t xml:space="preserve">the OLS and IV regressions with </w:t>
      </w:r>
      <w:r w:rsidR="007D70D6" w:rsidRPr="00585293">
        <w:rPr>
          <w:iCs/>
        </w:rPr>
        <w:t>the</w:t>
      </w:r>
      <w:r w:rsidR="00A72656" w:rsidRPr="00585293">
        <w:rPr>
          <w:iCs/>
        </w:rPr>
        <w:t xml:space="preserve"> sons’ and fathers’ age and their square terms</w:t>
      </w:r>
      <w:r w:rsidR="007D70D6" w:rsidRPr="00585293">
        <w:rPr>
          <w:iCs/>
        </w:rPr>
        <w:t xml:space="preserve"> as controls</w:t>
      </w:r>
      <w:r w:rsidR="00A72656" w:rsidRPr="00585293">
        <w:rPr>
          <w:iCs/>
        </w:rPr>
        <w:t xml:space="preserve">. This had virtually </w:t>
      </w:r>
      <w:r w:rsidR="009367F1" w:rsidRPr="00585293">
        <w:rPr>
          <w:iCs/>
        </w:rPr>
        <w:t xml:space="preserve">no impact on the size of </w:t>
      </w:r>
      <w:r w:rsidR="009367F1" w:rsidRPr="00585293">
        <w:rPr>
          <w:i/>
        </w:rPr>
        <w:t>β</w:t>
      </w:r>
      <w:r w:rsidR="009367F1" w:rsidRPr="00585293">
        <w:rPr>
          <w:iCs/>
        </w:rPr>
        <w:t>. The same was true</w:t>
      </w:r>
      <w:r w:rsidR="0075124D" w:rsidRPr="00585293">
        <w:rPr>
          <w:iCs/>
        </w:rPr>
        <w:t xml:space="preserve"> after narrowing down the age range of the fathers</w:t>
      </w:r>
      <w:r w:rsidR="0013325F" w:rsidRPr="00585293">
        <w:rPr>
          <w:iCs/>
        </w:rPr>
        <w:t xml:space="preserve">, which meant using </w:t>
      </w:r>
      <w:r w:rsidR="00964D45" w:rsidRPr="00585293">
        <w:rPr>
          <w:iCs/>
        </w:rPr>
        <w:t xml:space="preserve">only father-son pairs where the fathers were aged 35 to 45 </w:t>
      </w:r>
      <w:r w:rsidR="000E078B" w:rsidRPr="00585293">
        <w:rPr>
          <w:iCs/>
        </w:rPr>
        <w:t>at the start of the period</w:t>
      </w:r>
      <w:r w:rsidR="0013325F" w:rsidRPr="00585293">
        <w:rPr>
          <w:iCs/>
        </w:rPr>
        <w:t xml:space="preserve"> (hence in the similar age range as the sons when their occupational statuses are taken)</w:t>
      </w:r>
      <w:r w:rsidR="00AC175D" w:rsidRPr="00585293">
        <w:rPr>
          <w:iCs/>
        </w:rPr>
        <w:t>.</w:t>
      </w:r>
    </w:p>
    <w:p w14:paraId="3C8DC547" w14:textId="7D46538F" w:rsidR="00E85BDC" w:rsidRPr="00585293" w:rsidRDefault="00AC175D" w:rsidP="00500295">
      <w:pPr>
        <w:spacing w:after="160" w:line="480" w:lineRule="auto"/>
        <w:jc w:val="both"/>
        <w:rPr>
          <w:iCs/>
        </w:rPr>
      </w:pPr>
      <w:r w:rsidRPr="00585293">
        <w:rPr>
          <w:iCs/>
        </w:rPr>
        <w:tab/>
        <w:t xml:space="preserve">Since </w:t>
      </w:r>
      <w:r w:rsidR="009340E4" w:rsidRPr="00585293">
        <w:rPr>
          <w:iCs/>
        </w:rPr>
        <w:t xml:space="preserve">sons are linked across multiple censuses, it is also possible to estimate an IGE for each stage of their occupational trajectory. </w:t>
      </w:r>
      <w:r w:rsidR="004E192B" w:rsidRPr="00585293">
        <w:rPr>
          <w:iCs/>
        </w:rPr>
        <w:t xml:space="preserve">Taking the 1881-1911 sample as an example, the </w:t>
      </w:r>
      <w:r w:rsidR="00865AD8">
        <w:rPr>
          <w:iCs/>
        </w:rPr>
        <w:t>“</w:t>
      </w:r>
      <w:r w:rsidR="004E192B" w:rsidRPr="00585293">
        <w:rPr>
          <w:iCs/>
        </w:rPr>
        <w:t>early</w:t>
      </w:r>
      <w:r w:rsidR="00EB0002" w:rsidRPr="00585293">
        <w:rPr>
          <w:iCs/>
        </w:rPr>
        <w:t>-</w:t>
      </w:r>
      <w:r w:rsidR="004E192B" w:rsidRPr="00585293">
        <w:rPr>
          <w:iCs/>
        </w:rPr>
        <w:t>career</w:t>
      </w:r>
      <w:r w:rsidR="00865AD8">
        <w:rPr>
          <w:iCs/>
        </w:rPr>
        <w:t>”</w:t>
      </w:r>
      <w:r w:rsidR="004E192B" w:rsidRPr="00585293">
        <w:rPr>
          <w:iCs/>
        </w:rPr>
        <w:t xml:space="preserve"> </w:t>
      </w:r>
      <w:r w:rsidR="004E192B" w:rsidRPr="00585293">
        <w:rPr>
          <w:i/>
        </w:rPr>
        <w:t>β</w:t>
      </w:r>
      <w:r w:rsidR="004E192B" w:rsidRPr="00585293">
        <w:rPr>
          <w:iCs/>
        </w:rPr>
        <w:t xml:space="preserve"> is estimated based on the sons’ occupational scores </w:t>
      </w:r>
      <w:r w:rsidR="00231588" w:rsidRPr="00585293">
        <w:rPr>
          <w:iCs/>
        </w:rPr>
        <w:t xml:space="preserve">10 years after their first census year (1891); the </w:t>
      </w:r>
      <w:r w:rsidR="00865AD8">
        <w:rPr>
          <w:iCs/>
        </w:rPr>
        <w:t>“</w:t>
      </w:r>
      <w:r w:rsidR="00231588" w:rsidRPr="00585293">
        <w:rPr>
          <w:iCs/>
        </w:rPr>
        <w:t>mid</w:t>
      </w:r>
      <w:r w:rsidR="00EB0002" w:rsidRPr="00585293">
        <w:rPr>
          <w:iCs/>
        </w:rPr>
        <w:t>-</w:t>
      </w:r>
      <w:r w:rsidR="00231588" w:rsidRPr="00585293">
        <w:rPr>
          <w:iCs/>
        </w:rPr>
        <w:t>career</w:t>
      </w:r>
      <w:r w:rsidR="00865AD8">
        <w:rPr>
          <w:iCs/>
        </w:rPr>
        <w:t>”</w:t>
      </w:r>
      <w:r w:rsidR="00231588" w:rsidRPr="00585293">
        <w:rPr>
          <w:iCs/>
        </w:rPr>
        <w:t xml:space="preserve"> </w:t>
      </w:r>
      <w:r w:rsidR="00231588" w:rsidRPr="00585293">
        <w:rPr>
          <w:i/>
        </w:rPr>
        <w:t>β</w:t>
      </w:r>
      <w:r w:rsidR="00231588" w:rsidRPr="00585293">
        <w:rPr>
          <w:iCs/>
        </w:rPr>
        <w:t xml:space="preserve"> is estimated 20 years after their first census year</w:t>
      </w:r>
      <w:r w:rsidR="00E85BDC" w:rsidRPr="00585293">
        <w:rPr>
          <w:iCs/>
        </w:rPr>
        <w:t xml:space="preserve">; the </w:t>
      </w:r>
      <w:r w:rsidR="00865AD8">
        <w:rPr>
          <w:iCs/>
        </w:rPr>
        <w:t>“</w:t>
      </w:r>
      <w:r w:rsidR="00E85BDC" w:rsidRPr="00585293">
        <w:rPr>
          <w:iCs/>
        </w:rPr>
        <w:t>peak</w:t>
      </w:r>
      <w:r w:rsidR="00865AD8">
        <w:rPr>
          <w:iCs/>
        </w:rPr>
        <w:t>”</w:t>
      </w:r>
      <w:r w:rsidR="00E85BDC" w:rsidRPr="00585293">
        <w:rPr>
          <w:iCs/>
        </w:rPr>
        <w:t xml:space="preserve"> </w:t>
      </w:r>
      <w:r w:rsidR="00E85BDC" w:rsidRPr="00585293">
        <w:rPr>
          <w:i/>
        </w:rPr>
        <w:t xml:space="preserve">β </w:t>
      </w:r>
      <w:r w:rsidR="00E85BDC" w:rsidRPr="00585293">
        <w:rPr>
          <w:iCs/>
        </w:rPr>
        <w:t xml:space="preserve">is the benchmark chosen for this paper </w:t>
      </w:r>
      <w:r w:rsidR="00EB0002" w:rsidRPr="00585293">
        <w:rPr>
          <w:iCs/>
        </w:rPr>
        <w:t>–</w:t>
      </w:r>
      <w:r w:rsidR="00E85BDC" w:rsidRPr="00585293">
        <w:rPr>
          <w:iCs/>
        </w:rPr>
        <w:t xml:space="preserve"> </w:t>
      </w:r>
      <w:r w:rsidR="00EB0002" w:rsidRPr="00585293">
        <w:rPr>
          <w:iCs/>
        </w:rPr>
        <w:t>30 years after their first census year, when the sons are aged 35 to 45.</w:t>
      </w:r>
    </w:p>
    <w:p w14:paraId="5876BEDC" w14:textId="08C554BA" w:rsidR="00647E1A" w:rsidRPr="00585293" w:rsidRDefault="00647E1A" w:rsidP="00647E1A">
      <w:pPr>
        <w:spacing w:after="160" w:line="480" w:lineRule="auto"/>
        <w:ind w:firstLine="720"/>
        <w:jc w:val="both"/>
        <w:rPr>
          <w:iCs/>
        </w:rPr>
      </w:pPr>
      <w:r w:rsidRPr="00585293">
        <w:rPr>
          <w:iCs/>
        </w:rPr>
        <w:t xml:space="preserve">The results in Table </w:t>
      </w:r>
      <w:r w:rsidR="00DB20B7" w:rsidRPr="00585293">
        <w:rPr>
          <w:iCs/>
        </w:rPr>
        <w:t xml:space="preserve">H1 </w:t>
      </w:r>
      <w:r w:rsidRPr="00585293">
        <w:rPr>
          <w:iCs/>
        </w:rPr>
        <w:t xml:space="preserve">suggests that there may be some modest life-cycle effects depending on the sons’ age. Existing findings on life-cycle bias in intergenerational (permanent) income elasticities suggest that using annual incomes from sons at younger ages will lead to an attenuation bias on </w:t>
      </w:r>
      <w:r w:rsidRPr="00585293">
        <w:rPr>
          <w:i/>
        </w:rPr>
        <w:t>β</w:t>
      </w:r>
      <w:r w:rsidRPr="00585293">
        <w:rPr>
          <w:iCs/>
        </w:rPr>
        <w:t xml:space="preserve"> while using annual incomes from sons at older ages will lead to an amplification bias </w:t>
      </w:r>
      <w:sdt>
        <w:sdtPr>
          <w:rPr>
            <w:iCs/>
            <w:color w:val="000000"/>
          </w:rPr>
          <w:tag w:val="MENDELEY_CITATION_v3_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"/>
          <w:id w:val="-714340247"/>
          <w:placeholder>
            <w:docPart w:val="47F352448D444BF6AB49B6340D951C4C"/>
          </w:placeholder>
        </w:sdtPr>
        <w:sdtEndPr/>
        <w:sdtContent>
          <w:r w:rsidRPr="00585293">
            <w:rPr>
              <w:iCs/>
              <w:color w:val="000000"/>
            </w:rPr>
            <w:t>(Haider and Solon, 2006)</w:t>
          </w:r>
        </w:sdtContent>
      </w:sdt>
      <w:r w:rsidRPr="00585293">
        <w:rPr>
          <w:iCs/>
        </w:rPr>
        <w:t xml:space="preserve">. On the contrary, my results suggest that for occupational status, there may be an amplification bias from using the occupations of sons at younger ages, if we take the </w:t>
      </w:r>
      <w:r w:rsidRPr="00585293">
        <w:rPr>
          <w:i/>
        </w:rPr>
        <w:t xml:space="preserve">β </w:t>
      </w:r>
      <w:r w:rsidRPr="00585293">
        <w:rPr>
          <w:iCs/>
        </w:rPr>
        <w:t xml:space="preserve">estimated at around age 40 as the true level. In any case, any life-cycle bias observed here </w:t>
      </w:r>
      <w:r w:rsidR="00D37655" w:rsidRPr="00585293">
        <w:rPr>
          <w:iCs/>
        </w:rPr>
        <w:t>appears</w:t>
      </w:r>
      <w:r w:rsidRPr="00585293">
        <w:rPr>
          <w:iCs/>
        </w:rPr>
        <w:t xml:space="preserve"> to be modest and there is no indication that my preferred estimates are under-estimating intergenerational mobility due to life-cycle effects.</w:t>
      </w:r>
    </w:p>
    <w:p w14:paraId="19151296" w14:textId="77777777" w:rsidR="00647E1A" w:rsidRPr="00585293" w:rsidRDefault="00647E1A" w:rsidP="00500295">
      <w:pPr>
        <w:spacing w:after="160" w:line="480" w:lineRule="auto"/>
        <w:jc w:val="both"/>
        <w:rPr>
          <w:iCs/>
        </w:rPr>
      </w:pPr>
    </w:p>
    <w:p w14:paraId="1A03B16F" w14:textId="3A1E553A" w:rsidR="004B23D6" w:rsidRPr="00585293" w:rsidRDefault="004B23D6" w:rsidP="004B23D6">
      <w:pPr>
        <w:pStyle w:val="Caption"/>
        <w:keepNext/>
        <w:jc w:val="center"/>
        <w:rPr>
          <w:i w:val="0"/>
          <w:iCs w:val="0"/>
          <w:color w:val="auto"/>
          <w:sz w:val="24"/>
          <w:szCs w:val="24"/>
        </w:rPr>
      </w:pPr>
      <w:r w:rsidRPr="003653CA">
        <w:rPr>
          <w:i w:val="0"/>
          <w:iCs w:val="0"/>
          <w:color w:val="auto"/>
          <w:sz w:val="24"/>
          <w:szCs w:val="24"/>
        </w:rPr>
        <w:lastRenderedPageBreak/>
        <w:t xml:space="preserve">Table </w:t>
      </w:r>
      <w:r w:rsidR="00DB20B7" w:rsidRPr="003653CA">
        <w:rPr>
          <w:i w:val="0"/>
          <w:iCs w:val="0"/>
          <w:color w:val="auto"/>
          <w:sz w:val="24"/>
          <w:szCs w:val="24"/>
        </w:rPr>
        <w:t>H</w:t>
      </w:r>
      <w:r w:rsidR="00DB20B7" w:rsidRPr="003653CA">
        <w:rPr>
          <w:i w:val="0"/>
          <w:iCs w:val="0"/>
          <w:color w:val="auto"/>
          <w:sz w:val="24"/>
          <w:szCs w:val="24"/>
        </w:rPr>
        <w:fldChar w:fldCharType="begin"/>
      </w:r>
      <w:r w:rsidR="00DB20B7" w:rsidRPr="003653CA">
        <w:rPr>
          <w:i w:val="0"/>
          <w:iCs w:val="0"/>
          <w:color w:val="auto"/>
          <w:sz w:val="24"/>
          <w:szCs w:val="24"/>
        </w:rPr>
        <w:instrText xml:space="preserve"> SEQ Table_G \* ARABIC </w:instrText>
      </w:r>
      <w:r w:rsidR="00DB20B7" w:rsidRPr="003653CA">
        <w:rPr>
          <w:i w:val="0"/>
          <w:iCs w:val="0"/>
          <w:color w:val="auto"/>
          <w:sz w:val="24"/>
          <w:szCs w:val="24"/>
        </w:rPr>
        <w:fldChar w:fldCharType="separate"/>
      </w:r>
      <w:r w:rsidR="00DB20B7" w:rsidRPr="003653CA">
        <w:rPr>
          <w:i w:val="0"/>
          <w:iCs w:val="0"/>
          <w:color w:val="auto"/>
          <w:sz w:val="24"/>
          <w:szCs w:val="24"/>
        </w:rPr>
        <w:t>1</w:t>
      </w:r>
      <w:r w:rsidR="00DB20B7" w:rsidRPr="003653CA">
        <w:rPr>
          <w:i w:val="0"/>
          <w:iCs w:val="0"/>
          <w:color w:val="auto"/>
          <w:sz w:val="24"/>
          <w:szCs w:val="24"/>
        </w:rPr>
        <w:fldChar w:fldCharType="end"/>
      </w:r>
      <w:r w:rsidRPr="00585293">
        <w:rPr>
          <w:i w:val="0"/>
          <w:iCs w:val="0"/>
          <w:color w:val="auto"/>
          <w:sz w:val="24"/>
          <w:szCs w:val="24"/>
        </w:rPr>
        <w:t xml:space="preserve">: Life-Cycle Effects on </w:t>
      </w:r>
      <w:r w:rsidRPr="00585293">
        <w:rPr>
          <w:color w:val="auto"/>
          <w:sz w:val="24"/>
          <w:szCs w:val="24"/>
        </w:rPr>
        <w:t>β</w:t>
      </w:r>
    </w:p>
    <w:tbl>
      <w:tblPr>
        <w:tblW w:w="5000" w:type="pct"/>
        <w:tblBorders>
          <w:top w:val="double" w:sz="4" w:space="0" w:color="auto"/>
          <w:bottom w:val="double" w:sz="4" w:space="0" w:color="auto"/>
        </w:tblBorders>
        <w:tblLook w:val="04A0" w:firstRow="1" w:lastRow="0" w:firstColumn="1" w:lastColumn="0" w:noHBand="0" w:noVBand="1"/>
      </w:tblPr>
      <w:tblGrid>
        <w:gridCol w:w="2839"/>
        <w:gridCol w:w="1030"/>
        <w:gridCol w:w="1033"/>
        <w:gridCol w:w="1033"/>
        <w:gridCol w:w="1031"/>
        <w:gridCol w:w="1033"/>
        <w:gridCol w:w="1027"/>
      </w:tblGrid>
      <w:tr w:rsidR="006E6D29" w:rsidRPr="00585293" w14:paraId="50FA2315" w14:textId="77777777" w:rsidTr="004B23D6">
        <w:trPr>
          <w:trHeight w:val="290"/>
        </w:trPr>
        <w:tc>
          <w:tcPr>
            <w:tcW w:w="1573" w:type="pct"/>
            <w:shd w:val="clear" w:color="auto" w:fill="auto"/>
            <w:noWrap/>
            <w:tcMar>
              <w:left w:w="0" w:type="dxa"/>
              <w:right w:w="0" w:type="dxa"/>
            </w:tcMar>
            <w:vAlign w:val="center"/>
            <w:hideMark/>
          </w:tcPr>
          <w:p w14:paraId="79199723" w14:textId="77777777" w:rsidR="006E6D29" w:rsidRPr="00585293" w:rsidRDefault="006E6D29" w:rsidP="00805634">
            <w:pPr>
              <w:spacing w:after="160"/>
            </w:pPr>
          </w:p>
        </w:tc>
        <w:tc>
          <w:tcPr>
            <w:tcW w:w="1715" w:type="pct"/>
            <w:gridSpan w:val="3"/>
            <w:tcBorders>
              <w:top w:val="double" w:sz="4" w:space="0" w:color="auto"/>
              <w:bottom w:val="single" w:sz="12" w:space="0" w:color="auto"/>
            </w:tcBorders>
            <w:shd w:val="clear" w:color="auto" w:fill="auto"/>
            <w:noWrap/>
            <w:tcMar>
              <w:left w:w="0" w:type="dxa"/>
              <w:right w:w="0" w:type="dxa"/>
            </w:tcMar>
            <w:vAlign w:val="center"/>
            <w:hideMark/>
          </w:tcPr>
          <w:p w14:paraId="65C811E6" w14:textId="77777777" w:rsidR="006E6D29" w:rsidRPr="00585293" w:rsidRDefault="006E6D29" w:rsidP="00805634">
            <w:pPr>
              <w:spacing w:after="160"/>
              <w:jc w:val="center"/>
              <w:rPr>
                <w:color w:val="000000"/>
              </w:rPr>
            </w:pPr>
            <w:r w:rsidRPr="00585293">
              <w:rPr>
                <w:color w:val="000000"/>
              </w:rPr>
              <w:t>OLS</w:t>
            </w:r>
          </w:p>
        </w:tc>
        <w:tc>
          <w:tcPr>
            <w:tcW w:w="1712" w:type="pct"/>
            <w:gridSpan w:val="3"/>
            <w:tcBorders>
              <w:top w:val="double" w:sz="4" w:space="0" w:color="auto"/>
              <w:bottom w:val="single" w:sz="12" w:space="0" w:color="auto"/>
            </w:tcBorders>
            <w:shd w:val="clear" w:color="auto" w:fill="auto"/>
            <w:noWrap/>
            <w:tcMar>
              <w:left w:w="0" w:type="dxa"/>
              <w:right w:w="0" w:type="dxa"/>
            </w:tcMar>
            <w:vAlign w:val="center"/>
            <w:hideMark/>
          </w:tcPr>
          <w:p w14:paraId="47638BE1" w14:textId="77777777" w:rsidR="006E6D29" w:rsidRPr="00585293" w:rsidRDefault="006E6D29" w:rsidP="00805634">
            <w:pPr>
              <w:spacing w:after="160"/>
              <w:jc w:val="center"/>
              <w:rPr>
                <w:color w:val="000000"/>
              </w:rPr>
            </w:pPr>
            <w:r w:rsidRPr="00585293">
              <w:rPr>
                <w:color w:val="000000"/>
              </w:rPr>
              <w:t>IV</w:t>
            </w:r>
          </w:p>
        </w:tc>
      </w:tr>
      <w:tr w:rsidR="00C83308" w:rsidRPr="00585293" w14:paraId="78A83374" w14:textId="77777777" w:rsidTr="004B23D6">
        <w:trPr>
          <w:trHeight w:val="290"/>
        </w:trPr>
        <w:tc>
          <w:tcPr>
            <w:tcW w:w="1573" w:type="pct"/>
            <w:tcBorders>
              <w:bottom w:val="single" w:sz="4" w:space="0" w:color="auto"/>
            </w:tcBorders>
            <w:shd w:val="clear" w:color="auto" w:fill="auto"/>
            <w:noWrap/>
            <w:tcMar>
              <w:left w:w="0" w:type="dxa"/>
              <w:right w:w="0" w:type="dxa"/>
            </w:tcMar>
            <w:vAlign w:val="center"/>
            <w:hideMark/>
          </w:tcPr>
          <w:p w14:paraId="2720CF7F" w14:textId="77777777" w:rsidR="006E6D29" w:rsidRPr="00585293" w:rsidRDefault="006E6D29" w:rsidP="00805634">
            <w:pPr>
              <w:spacing w:after="160"/>
              <w:jc w:val="center"/>
              <w:rPr>
                <w:color w:val="000000"/>
              </w:rPr>
            </w:pPr>
          </w:p>
        </w:tc>
        <w:tc>
          <w:tcPr>
            <w:tcW w:w="571" w:type="pct"/>
            <w:tcBorders>
              <w:top w:val="single" w:sz="12" w:space="0" w:color="auto"/>
              <w:bottom w:val="single" w:sz="4" w:space="0" w:color="auto"/>
            </w:tcBorders>
            <w:shd w:val="clear" w:color="auto" w:fill="auto"/>
            <w:noWrap/>
            <w:tcMar>
              <w:left w:w="0" w:type="dxa"/>
              <w:right w:w="0" w:type="dxa"/>
            </w:tcMar>
            <w:vAlign w:val="center"/>
            <w:hideMark/>
          </w:tcPr>
          <w:p w14:paraId="30C50012" w14:textId="77777777" w:rsidR="006E6D29" w:rsidRPr="00585293" w:rsidRDefault="006E6D29" w:rsidP="00805634">
            <w:pPr>
              <w:spacing w:after="160"/>
              <w:jc w:val="center"/>
              <w:rPr>
                <w:i/>
                <w:iCs/>
                <w:color w:val="000000"/>
              </w:rPr>
            </w:pPr>
            <w:r w:rsidRPr="00585293">
              <w:rPr>
                <w:i/>
                <w:iCs/>
                <w:color w:val="000000"/>
              </w:rPr>
              <w:t>β</w:t>
            </w:r>
          </w:p>
        </w:tc>
        <w:tc>
          <w:tcPr>
            <w:tcW w:w="572" w:type="pct"/>
            <w:tcBorders>
              <w:top w:val="single" w:sz="12" w:space="0" w:color="auto"/>
              <w:bottom w:val="single" w:sz="4" w:space="0" w:color="auto"/>
            </w:tcBorders>
            <w:shd w:val="clear" w:color="auto" w:fill="auto"/>
            <w:noWrap/>
            <w:tcMar>
              <w:left w:w="0" w:type="dxa"/>
              <w:right w:w="0" w:type="dxa"/>
            </w:tcMar>
            <w:vAlign w:val="center"/>
            <w:hideMark/>
          </w:tcPr>
          <w:p w14:paraId="10A09094" w14:textId="77777777" w:rsidR="006E6D29" w:rsidRPr="00585293" w:rsidRDefault="006E6D29" w:rsidP="00805634">
            <w:pPr>
              <w:spacing w:after="160"/>
              <w:jc w:val="center"/>
              <w:rPr>
                <w:color w:val="000000"/>
              </w:rPr>
            </w:pPr>
            <w:r w:rsidRPr="00585293">
              <w:rPr>
                <w:color w:val="000000"/>
              </w:rPr>
              <w:t>SE</w:t>
            </w:r>
          </w:p>
        </w:tc>
        <w:tc>
          <w:tcPr>
            <w:tcW w:w="572" w:type="pct"/>
            <w:tcBorders>
              <w:top w:val="single" w:sz="12" w:space="0" w:color="auto"/>
              <w:bottom w:val="single" w:sz="4" w:space="0" w:color="auto"/>
            </w:tcBorders>
            <w:shd w:val="clear" w:color="auto" w:fill="auto"/>
            <w:noWrap/>
            <w:tcMar>
              <w:left w:w="0" w:type="dxa"/>
              <w:right w:w="0" w:type="dxa"/>
            </w:tcMar>
            <w:vAlign w:val="center"/>
            <w:hideMark/>
          </w:tcPr>
          <w:p w14:paraId="7AD72FAA" w14:textId="77777777" w:rsidR="006E6D29" w:rsidRPr="00585293" w:rsidRDefault="006E6D29" w:rsidP="00805634">
            <w:pPr>
              <w:spacing w:after="160"/>
              <w:jc w:val="center"/>
              <w:rPr>
                <w:i/>
                <w:iCs/>
                <w:color w:val="000000"/>
              </w:rPr>
            </w:pPr>
            <w:r w:rsidRPr="00585293">
              <w:rPr>
                <w:i/>
                <w:iCs/>
                <w:color w:val="000000"/>
              </w:rPr>
              <w:t>N</w:t>
            </w:r>
          </w:p>
        </w:tc>
        <w:tc>
          <w:tcPr>
            <w:tcW w:w="571" w:type="pct"/>
            <w:tcBorders>
              <w:top w:val="single" w:sz="12" w:space="0" w:color="auto"/>
              <w:bottom w:val="single" w:sz="4" w:space="0" w:color="auto"/>
            </w:tcBorders>
            <w:shd w:val="clear" w:color="auto" w:fill="auto"/>
            <w:noWrap/>
            <w:tcMar>
              <w:left w:w="0" w:type="dxa"/>
              <w:right w:w="0" w:type="dxa"/>
            </w:tcMar>
            <w:vAlign w:val="center"/>
            <w:hideMark/>
          </w:tcPr>
          <w:p w14:paraId="2C4C8BEA" w14:textId="77777777" w:rsidR="006E6D29" w:rsidRPr="00585293" w:rsidRDefault="006E6D29" w:rsidP="00805634">
            <w:pPr>
              <w:spacing w:after="160"/>
              <w:jc w:val="center"/>
              <w:rPr>
                <w:color w:val="000000"/>
              </w:rPr>
            </w:pPr>
            <w:r w:rsidRPr="00585293">
              <w:rPr>
                <w:i/>
                <w:iCs/>
                <w:color w:val="000000"/>
              </w:rPr>
              <w:t>β</w:t>
            </w:r>
          </w:p>
        </w:tc>
        <w:tc>
          <w:tcPr>
            <w:tcW w:w="572" w:type="pct"/>
            <w:tcBorders>
              <w:top w:val="single" w:sz="12" w:space="0" w:color="auto"/>
              <w:bottom w:val="single" w:sz="4" w:space="0" w:color="auto"/>
            </w:tcBorders>
            <w:shd w:val="clear" w:color="auto" w:fill="auto"/>
            <w:noWrap/>
            <w:tcMar>
              <w:left w:w="0" w:type="dxa"/>
              <w:right w:w="0" w:type="dxa"/>
            </w:tcMar>
            <w:vAlign w:val="center"/>
            <w:hideMark/>
          </w:tcPr>
          <w:p w14:paraId="0FA04CEE" w14:textId="77777777" w:rsidR="006E6D29" w:rsidRPr="00585293" w:rsidRDefault="006E6D29" w:rsidP="00805634">
            <w:pPr>
              <w:spacing w:after="160"/>
              <w:jc w:val="center"/>
              <w:rPr>
                <w:color w:val="000000"/>
              </w:rPr>
            </w:pPr>
            <w:r w:rsidRPr="00585293">
              <w:rPr>
                <w:color w:val="000000"/>
              </w:rPr>
              <w:t>SE</w:t>
            </w:r>
          </w:p>
        </w:tc>
        <w:tc>
          <w:tcPr>
            <w:tcW w:w="569" w:type="pct"/>
            <w:tcBorders>
              <w:top w:val="single" w:sz="12" w:space="0" w:color="auto"/>
              <w:bottom w:val="single" w:sz="4" w:space="0" w:color="auto"/>
            </w:tcBorders>
            <w:shd w:val="clear" w:color="auto" w:fill="auto"/>
            <w:noWrap/>
            <w:tcMar>
              <w:left w:w="0" w:type="dxa"/>
              <w:right w:w="0" w:type="dxa"/>
            </w:tcMar>
            <w:vAlign w:val="center"/>
            <w:hideMark/>
          </w:tcPr>
          <w:p w14:paraId="13B3ED6D" w14:textId="77777777" w:rsidR="006E6D29" w:rsidRPr="00585293" w:rsidRDefault="006E6D29" w:rsidP="00805634">
            <w:pPr>
              <w:spacing w:after="160"/>
              <w:jc w:val="center"/>
              <w:rPr>
                <w:i/>
                <w:iCs/>
                <w:color w:val="000000"/>
              </w:rPr>
            </w:pPr>
            <w:r w:rsidRPr="00585293">
              <w:rPr>
                <w:i/>
                <w:iCs/>
                <w:color w:val="000000"/>
              </w:rPr>
              <w:t>N</w:t>
            </w:r>
          </w:p>
        </w:tc>
      </w:tr>
      <w:tr w:rsidR="00C83308" w:rsidRPr="00585293" w14:paraId="282FA6F4" w14:textId="77777777" w:rsidTr="004B23D6">
        <w:trPr>
          <w:trHeight w:val="290"/>
        </w:trPr>
        <w:tc>
          <w:tcPr>
            <w:tcW w:w="1573" w:type="pct"/>
            <w:tcBorders>
              <w:top w:val="single" w:sz="4" w:space="0" w:color="auto"/>
            </w:tcBorders>
            <w:shd w:val="clear" w:color="auto" w:fill="auto"/>
            <w:noWrap/>
            <w:tcMar>
              <w:left w:w="0" w:type="dxa"/>
              <w:right w:w="0" w:type="dxa"/>
            </w:tcMar>
            <w:vAlign w:val="center"/>
            <w:hideMark/>
          </w:tcPr>
          <w:p w14:paraId="67CAE692" w14:textId="77777777" w:rsidR="006E6D29" w:rsidRPr="00585293" w:rsidRDefault="006E6D29" w:rsidP="00805634">
            <w:pPr>
              <w:spacing w:after="160"/>
              <w:rPr>
                <w:b/>
                <w:bCs/>
                <w:color w:val="000000"/>
              </w:rPr>
            </w:pPr>
            <w:r w:rsidRPr="00585293">
              <w:rPr>
                <w:b/>
                <w:bCs/>
                <w:color w:val="000000"/>
              </w:rPr>
              <w:t>1851-1881</w:t>
            </w:r>
          </w:p>
        </w:tc>
        <w:tc>
          <w:tcPr>
            <w:tcW w:w="571" w:type="pct"/>
            <w:tcBorders>
              <w:top w:val="single" w:sz="4" w:space="0" w:color="auto"/>
            </w:tcBorders>
            <w:shd w:val="clear" w:color="auto" w:fill="auto"/>
            <w:noWrap/>
            <w:tcMar>
              <w:left w:w="0" w:type="dxa"/>
              <w:right w:w="0" w:type="dxa"/>
            </w:tcMar>
            <w:vAlign w:val="center"/>
            <w:hideMark/>
          </w:tcPr>
          <w:p w14:paraId="6DFC4B93" w14:textId="77777777" w:rsidR="006E6D29" w:rsidRPr="00585293" w:rsidRDefault="006E6D29" w:rsidP="00805634">
            <w:pPr>
              <w:spacing w:after="160"/>
              <w:jc w:val="center"/>
              <w:rPr>
                <w:color w:val="000000"/>
              </w:rPr>
            </w:pPr>
          </w:p>
        </w:tc>
        <w:tc>
          <w:tcPr>
            <w:tcW w:w="572" w:type="pct"/>
            <w:tcBorders>
              <w:top w:val="single" w:sz="4" w:space="0" w:color="auto"/>
            </w:tcBorders>
            <w:shd w:val="clear" w:color="auto" w:fill="auto"/>
            <w:noWrap/>
            <w:tcMar>
              <w:left w:w="0" w:type="dxa"/>
              <w:right w:w="0" w:type="dxa"/>
            </w:tcMar>
            <w:vAlign w:val="center"/>
            <w:hideMark/>
          </w:tcPr>
          <w:p w14:paraId="02EC2CC2" w14:textId="77777777" w:rsidR="006E6D29" w:rsidRPr="00585293" w:rsidRDefault="006E6D29" w:rsidP="00805634">
            <w:pPr>
              <w:spacing w:after="160"/>
              <w:jc w:val="center"/>
            </w:pPr>
          </w:p>
        </w:tc>
        <w:tc>
          <w:tcPr>
            <w:tcW w:w="572" w:type="pct"/>
            <w:tcBorders>
              <w:top w:val="single" w:sz="4" w:space="0" w:color="auto"/>
            </w:tcBorders>
            <w:shd w:val="clear" w:color="auto" w:fill="auto"/>
            <w:noWrap/>
            <w:tcMar>
              <w:left w:w="0" w:type="dxa"/>
              <w:right w:w="0" w:type="dxa"/>
            </w:tcMar>
            <w:vAlign w:val="center"/>
            <w:hideMark/>
          </w:tcPr>
          <w:p w14:paraId="397DC6C0" w14:textId="77777777" w:rsidR="006E6D29" w:rsidRPr="00585293" w:rsidRDefault="006E6D29" w:rsidP="00805634">
            <w:pPr>
              <w:spacing w:after="160"/>
              <w:jc w:val="center"/>
            </w:pPr>
          </w:p>
        </w:tc>
        <w:tc>
          <w:tcPr>
            <w:tcW w:w="571" w:type="pct"/>
            <w:tcBorders>
              <w:top w:val="single" w:sz="4" w:space="0" w:color="auto"/>
            </w:tcBorders>
            <w:shd w:val="clear" w:color="auto" w:fill="auto"/>
            <w:noWrap/>
            <w:tcMar>
              <w:left w:w="0" w:type="dxa"/>
              <w:right w:w="0" w:type="dxa"/>
            </w:tcMar>
            <w:vAlign w:val="center"/>
            <w:hideMark/>
          </w:tcPr>
          <w:p w14:paraId="293E770A" w14:textId="77777777" w:rsidR="006E6D29" w:rsidRPr="00585293" w:rsidRDefault="006E6D29" w:rsidP="00805634">
            <w:pPr>
              <w:spacing w:after="160"/>
              <w:jc w:val="center"/>
            </w:pPr>
          </w:p>
        </w:tc>
        <w:tc>
          <w:tcPr>
            <w:tcW w:w="572" w:type="pct"/>
            <w:tcBorders>
              <w:top w:val="single" w:sz="4" w:space="0" w:color="auto"/>
            </w:tcBorders>
            <w:shd w:val="clear" w:color="auto" w:fill="auto"/>
            <w:noWrap/>
            <w:tcMar>
              <w:left w:w="0" w:type="dxa"/>
              <w:right w:w="0" w:type="dxa"/>
            </w:tcMar>
            <w:vAlign w:val="center"/>
            <w:hideMark/>
          </w:tcPr>
          <w:p w14:paraId="5C698975" w14:textId="77777777" w:rsidR="006E6D29" w:rsidRPr="00585293" w:rsidRDefault="006E6D29" w:rsidP="00805634">
            <w:pPr>
              <w:spacing w:after="160"/>
              <w:jc w:val="center"/>
            </w:pPr>
          </w:p>
        </w:tc>
        <w:tc>
          <w:tcPr>
            <w:tcW w:w="569" w:type="pct"/>
            <w:tcBorders>
              <w:top w:val="single" w:sz="4" w:space="0" w:color="auto"/>
            </w:tcBorders>
            <w:shd w:val="clear" w:color="auto" w:fill="auto"/>
            <w:noWrap/>
            <w:tcMar>
              <w:left w:w="0" w:type="dxa"/>
              <w:right w:w="0" w:type="dxa"/>
            </w:tcMar>
            <w:vAlign w:val="center"/>
            <w:hideMark/>
          </w:tcPr>
          <w:p w14:paraId="57CB2AA3" w14:textId="77777777" w:rsidR="006E6D29" w:rsidRPr="00585293" w:rsidRDefault="006E6D29" w:rsidP="00805634">
            <w:pPr>
              <w:spacing w:after="160"/>
              <w:jc w:val="center"/>
            </w:pPr>
          </w:p>
        </w:tc>
      </w:tr>
      <w:tr w:rsidR="00C83308" w:rsidRPr="00585293" w14:paraId="203BEF91" w14:textId="77777777" w:rsidTr="004B23D6">
        <w:trPr>
          <w:trHeight w:val="290"/>
        </w:trPr>
        <w:tc>
          <w:tcPr>
            <w:tcW w:w="1573" w:type="pct"/>
            <w:shd w:val="clear" w:color="auto" w:fill="auto"/>
            <w:noWrap/>
            <w:tcMar>
              <w:left w:w="113" w:type="dxa"/>
              <w:right w:w="0" w:type="dxa"/>
            </w:tcMar>
            <w:vAlign w:val="center"/>
          </w:tcPr>
          <w:p w14:paraId="47249C28" w14:textId="3AF902CA" w:rsidR="005A0E34" w:rsidRPr="00585293" w:rsidRDefault="005A0E34" w:rsidP="005A0E34">
            <w:pPr>
              <w:spacing w:after="160"/>
              <w:rPr>
                <w:color w:val="000000"/>
              </w:rPr>
            </w:pPr>
            <w:r w:rsidRPr="00585293">
              <w:rPr>
                <w:color w:val="000000"/>
              </w:rPr>
              <w:t>Age Controls</w:t>
            </w:r>
          </w:p>
        </w:tc>
        <w:tc>
          <w:tcPr>
            <w:tcW w:w="571" w:type="pct"/>
            <w:shd w:val="clear" w:color="auto" w:fill="auto"/>
            <w:noWrap/>
            <w:tcMar>
              <w:left w:w="0" w:type="dxa"/>
              <w:right w:w="0" w:type="dxa"/>
            </w:tcMar>
            <w:vAlign w:val="center"/>
          </w:tcPr>
          <w:p w14:paraId="6287893D" w14:textId="02D1CBD2" w:rsidR="005A0E34" w:rsidRPr="00585293" w:rsidRDefault="005A0E34" w:rsidP="005A0E34">
            <w:pPr>
              <w:spacing w:after="160"/>
              <w:jc w:val="center"/>
              <w:rPr>
                <w:color w:val="000000"/>
              </w:rPr>
            </w:pPr>
            <w:r w:rsidRPr="00585293">
              <w:rPr>
                <w:color w:val="000000"/>
              </w:rPr>
              <w:t>0.414</w:t>
            </w:r>
          </w:p>
        </w:tc>
        <w:tc>
          <w:tcPr>
            <w:tcW w:w="572" w:type="pct"/>
            <w:shd w:val="clear" w:color="auto" w:fill="auto"/>
            <w:noWrap/>
            <w:tcMar>
              <w:left w:w="0" w:type="dxa"/>
              <w:right w:w="0" w:type="dxa"/>
            </w:tcMar>
            <w:vAlign w:val="center"/>
          </w:tcPr>
          <w:p w14:paraId="04A8D9C8" w14:textId="19515A4F" w:rsidR="005A0E34" w:rsidRPr="00585293" w:rsidRDefault="005A0E34" w:rsidP="005A0E34">
            <w:pPr>
              <w:spacing w:after="160"/>
              <w:jc w:val="center"/>
              <w:rPr>
                <w:color w:val="000000"/>
              </w:rPr>
            </w:pPr>
            <w:r w:rsidRPr="00585293">
              <w:rPr>
                <w:color w:val="000000"/>
              </w:rPr>
              <w:t>(0.004)</w:t>
            </w:r>
          </w:p>
        </w:tc>
        <w:tc>
          <w:tcPr>
            <w:tcW w:w="572" w:type="pct"/>
            <w:shd w:val="clear" w:color="auto" w:fill="auto"/>
            <w:noWrap/>
            <w:tcMar>
              <w:left w:w="0" w:type="dxa"/>
              <w:right w:w="0" w:type="dxa"/>
            </w:tcMar>
            <w:vAlign w:val="center"/>
          </w:tcPr>
          <w:p w14:paraId="5CB7815B" w14:textId="2ED0F041" w:rsidR="005A0E34" w:rsidRPr="00585293" w:rsidRDefault="005A0E34" w:rsidP="005A0E34">
            <w:pPr>
              <w:spacing w:after="160"/>
              <w:jc w:val="center"/>
              <w:rPr>
                <w:color w:val="000000"/>
              </w:rPr>
            </w:pPr>
            <w:r w:rsidRPr="00585293">
              <w:rPr>
                <w:color w:val="000000"/>
              </w:rPr>
              <w:t>66,965</w:t>
            </w:r>
          </w:p>
        </w:tc>
        <w:tc>
          <w:tcPr>
            <w:tcW w:w="571" w:type="pct"/>
            <w:shd w:val="clear" w:color="auto" w:fill="auto"/>
            <w:noWrap/>
            <w:tcMar>
              <w:left w:w="0" w:type="dxa"/>
              <w:right w:w="0" w:type="dxa"/>
            </w:tcMar>
            <w:vAlign w:val="center"/>
          </w:tcPr>
          <w:p w14:paraId="06EA66A4" w14:textId="5B7312EE" w:rsidR="005A0E34" w:rsidRPr="00585293" w:rsidRDefault="005A0E34" w:rsidP="005A0E34">
            <w:pPr>
              <w:spacing w:after="160"/>
              <w:jc w:val="center"/>
              <w:rPr>
                <w:color w:val="000000"/>
              </w:rPr>
            </w:pPr>
            <w:r w:rsidRPr="00585293">
              <w:rPr>
                <w:color w:val="000000"/>
              </w:rPr>
              <w:t>0.679</w:t>
            </w:r>
          </w:p>
        </w:tc>
        <w:tc>
          <w:tcPr>
            <w:tcW w:w="572" w:type="pct"/>
            <w:shd w:val="clear" w:color="auto" w:fill="auto"/>
            <w:noWrap/>
            <w:tcMar>
              <w:left w:w="0" w:type="dxa"/>
              <w:right w:w="0" w:type="dxa"/>
            </w:tcMar>
            <w:vAlign w:val="center"/>
          </w:tcPr>
          <w:p w14:paraId="6970483D" w14:textId="608E7F26" w:rsidR="005A0E34" w:rsidRPr="00585293" w:rsidRDefault="005A0E34" w:rsidP="005A0E34">
            <w:pPr>
              <w:spacing w:after="160"/>
              <w:jc w:val="center"/>
              <w:rPr>
                <w:color w:val="000000"/>
              </w:rPr>
            </w:pPr>
            <w:r w:rsidRPr="00585293">
              <w:rPr>
                <w:color w:val="000000"/>
              </w:rPr>
              <w:t>(0.007)</w:t>
            </w:r>
          </w:p>
        </w:tc>
        <w:tc>
          <w:tcPr>
            <w:tcW w:w="569" w:type="pct"/>
            <w:shd w:val="clear" w:color="auto" w:fill="auto"/>
            <w:noWrap/>
            <w:tcMar>
              <w:left w:w="0" w:type="dxa"/>
              <w:right w:w="0" w:type="dxa"/>
            </w:tcMar>
            <w:vAlign w:val="center"/>
          </w:tcPr>
          <w:p w14:paraId="139041E0" w14:textId="79C37819" w:rsidR="005A0E34" w:rsidRPr="00585293" w:rsidRDefault="005A0E34" w:rsidP="005A0E34">
            <w:pPr>
              <w:spacing w:after="160"/>
              <w:jc w:val="center"/>
              <w:rPr>
                <w:color w:val="000000"/>
              </w:rPr>
            </w:pPr>
            <w:r w:rsidRPr="00585293">
              <w:rPr>
                <w:color w:val="000000"/>
              </w:rPr>
              <w:t>65,700</w:t>
            </w:r>
          </w:p>
        </w:tc>
      </w:tr>
      <w:tr w:rsidR="00C83308" w:rsidRPr="00585293" w14:paraId="19632B2E" w14:textId="77777777" w:rsidTr="004B23D6">
        <w:trPr>
          <w:trHeight w:val="290"/>
        </w:trPr>
        <w:tc>
          <w:tcPr>
            <w:tcW w:w="1573" w:type="pct"/>
            <w:shd w:val="clear" w:color="auto" w:fill="auto"/>
            <w:noWrap/>
            <w:tcMar>
              <w:left w:w="113" w:type="dxa"/>
              <w:right w:w="0" w:type="dxa"/>
            </w:tcMar>
            <w:vAlign w:val="center"/>
          </w:tcPr>
          <w:p w14:paraId="36624234" w14:textId="5BC11E0F" w:rsidR="005A0E34" w:rsidRPr="00585293" w:rsidRDefault="005A0E34" w:rsidP="005A0E34">
            <w:pPr>
              <w:spacing w:after="160"/>
              <w:rPr>
                <w:color w:val="000000"/>
              </w:rPr>
            </w:pPr>
            <w:r w:rsidRPr="00585293">
              <w:rPr>
                <w:color w:val="000000"/>
              </w:rPr>
              <w:t>Narrower Father Age Range</w:t>
            </w:r>
          </w:p>
        </w:tc>
        <w:tc>
          <w:tcPr>
            <w:tcW w:w="571" w:type="pct"/>
            <w:shd w:val="clear" w:color="auto" w:fill="auto"/>
            <w:noWrap/>
            <w:tcMar>
              <w:left w:w="0" w:type="dxa"/>
              <w:right w:w="0" w:type="dxa"/>
            </w:tcMar>
            <w:vAlign w:val="center"/>
          </w:tcPr>
          <w:p w14:paraId="72928507" w14:textId="301B8882" w:rsidR="005A0E34" w:rsidRPr="00585293" w:rsidRDefault="005A0E34" w:rsidP="005A0E34">
            <w:pPr>
              <w:spacing w:after="160"/>
              <w:jc w:val="center"/>
              <w:rPr>
                <w:color w:val="000000"/>
              </w:rPr>
            </w:pPr>
            <w:r w:rsidRPr="00585293">
              <w:rPr>
                <w:color w:val="000000"/>
              </w:rPr>
              <w:t>0.411</w:t>
            </w:r>
          </w:p>
        </w:tc>
        <w:tc>
          <w:tcPr>
            <w:tcW w:w="572" w:type="pct"/>
            <w:shd w:val="clear" w:color="auto" w:fill="auto"/>
            <w:noWrap/>
            <w:tcMar>
              <w:left w:w="0" w:type="dxa"/>
              <w:right w:w="0" w:type="dxa"/>
            </w:tcMar>
            <w:vAlign w:val="center"/>
          </w:tcPr>
          <w:p w14:paraId="7A0649F6" w14:textId="52BCEEFF" w:rsidR="005A0E34" w:rsidRPr="00585293" w:rsidRDefault="005A0E34" w:rsidP="005A0E34">
            <w:pPr>
              <w:spacing w:after="160"/>
              <w:jc w:val="center"/>
              <w:rPr>
                <w:color w:val="000000"/>
              </w:rPr>
            </w:pPr>
            <w:r w:rsidRPr="00585293">
              <w:rPr>
                <w:color w:val="000000"/>
              </w:rPr>
              <w:t>(0.006)</w:t>
            </w:r>
          </w:p>
        </w:tc>
        <w:tc>
          <w:tcPr>
            <w:tcW w:w="572" w:type="pct"/>
            <w:shd w:val="clear" w:color="auto" w:fill="auto"/>
            <w:noWrap/>
            <w:tcMar>
              <w:left w:w="0" w:type="dxa"/>
              <w:right w:w="0" w:type="dxa"/>
            </w:tcMar>
            <w:vAlign w:val="center"/>
          </w:tcPr>
          <w:p w14:paraId="5E505C46" w14:textId="13B17829" w:rsidR="005A0E34" w:rsidRPr="00585293" w:rsidRDefault="005A0E34" w:rsidP="005A0E34">
            <w:pPr>
              <w:spacing w:after="160"/>
              <w:jc w:val="center"/>
              <w:rPr>
                <w:color w:val="000000"/>
              </w:rPr>
            </w:pPr>
            <w:r w:rsidRPr="00585293">
              <w:rPr>
                <w:color w:val="000000"/>
              </w:rPr>
              <w:t>38,317</w:t>
            </w:r>
          </w:p>
        </w:tc>
        <w:tc>
          <w:tcPr>
            <w:tcW w:w="571" w:type="pct"/>
            <w:shd w:val="clear" w:color="auto" w:fill="auto"/>
            <w:noWrap/>
            <w:tcMar>
              <w:left w:w="0" w:type="dxa"/>
              <w:right w:w="0" w:type="dxa"/>
            </w:tcMar>
            <w:vAlign w:val="center"/>
          </w:tcPr>
          <w:p w14:paraId="4BF0D7A6" w14:textId="435702A3" w:rsidR="005A0E34" w:rsidRPr="00585293" w:rsidRDefault="005A0E34" w:rsidP="005A0E34">
            <w:pPr>
              <w:spacing w:after="160"/>
              <w:jc w:val="center"/>
              <w:rPr>
                <w:color w:val="000000"/>
              </w:rPr>
            </w:pPr>
            <w:r w:rsidRPr="00585293">
              <w:rPr>
                <w:color w:val="000000"/>
              </w:rPr>
              <w:t>0.669</w:t>
            </w:r>
          </w:p>
        </w:tc>
        <w:tc>
          <w:tcPr>
            <w:tcW w:w="572" w:type="pct"/>
            <w:shd w:val="clear" w:color="auto" w:fill="auto"/>
            <w:noWrap/>
            <w:tcMar>
              <w:left w:w="0" w:type="dxa"/>
              <w:right w:w="0" w:type="dxa"/>
            </w:tcMar>
            <w:vAlign w:val="center"/>
          </w:tcPr>
          <w:p w14:paraId="718DDC8F" w14:textId="1A8C60A6" w:rsidR="005A0E34" w:rsidRPr="00585293" w:rsidRDefault="005A0E34" w:rsidP="005A0E34">
            <w:pPr>
              <w:spacing w:after="160"/>
              <w:jc w:val="center"/>
              <w:rPr>
                <w:color w:val="000000"/>
              </w:rPr>
            </w:pPr>
            <w:r w:rsidRPr="00585293">
              <w:rPr>
                <w:color w:val="000000"/>
              </w:rPr>
              <w:t>(0.010)</w:t>
            </w:r>
          </w:p>
        </w:tc>
        <w:tc>
          <w:tcPr>
            <w:tcW w:w="569" w:type="pct"/>
            <w:shd w:val="clear" w:color="auto" w:fill="auto"/>
            <w:noWrap/>
            <w:tcMar>
              <w:left w:w="0" w:type="dxa"/>
              <w:right w:w="0" w:type="dxa"/>
            </w:tcMar>
            <w:vAlign w:val="center"/>
          </w:tcPr>
          <w:p w14:paraId="6A53514F" w14:textId="27334BE6" w:rsidR="005A0E34" w:rsidRPr="00585293" w:rsidRDefault="005A0E34" w:rsidP="005A0E34">
            <w:pPr>
              <w:spacing w:after="160"/>
              <w:jc w:val="center"/>
              <w:rPr>
                <w:color w:val="000000"/>
              </w:rPr>
            </w:pPr>
            <w:r w:rsidRPr="00585293">
              <w:rPr>
                <w:color w:val="000000"/>
              </w:rPr>
              <w:t>37,611</w:t>
            </w:r>
          </w:p>
        </w:tc>
      </w:tr>
      <w:tr w:rsidR="00C83308" w:rsidRPr="00585293" w14:paraId="569E77B2" w14:textId="77777777" w:rsidTr="004B23D6">
        <w:trPr>
          <w:trHeight w:val="290"/>
        </w:trPr>
        <w:tc>
          <w:tcPr>
            <w:tcW w:w="1573" w:type="pct"/>
            <w:shd w:val="clear" w:color="auto" w:fill="auto"/>
            <w:noWrap/>
            <w:tcMar>
              <w:left w:w="113" w:type="dxa"/>
              <w:right w:w="0" w:type="dxa"/>
            </w:tcMar>
            <w:vAlign w:val="center"/>
            <w:hideMark/>
          </w:tcPr>
          <w:p w14:paraId="0C7C3145" w14:textId="00F96F01" w:rsidR="005A0E34" w:rsidRPr="00585293" w:rsidRDefault="005A0E34" w:rsidP="005A0E34">
            <w:pPr>
              <w:spacing w:after="160"/>
              <w:rPr>
                <w:color w:val="000000"/>
              </w:rPr>
            </w:pPr>
            <w:r w:rsidRPr="00585293">
              <w:rPr>
                <w:color w:val="000000"/>
              </w:rPr>
              <w:t>Early</w:t>
            </w:r>
            <w:r w:rsidR="00EB0002" w:rsidRPr="00585293">
              <w:rPr>
                <w:color w:val="000000"/>
              </w:rPr>
              <w:t>-</w:t>
            </w:r>
            <w:r w:rsidRPr="00585293">
              <w:rPr>
                <w:color w:val="000000"/>
              </w:rPr>
              <w:t>Career</w:t>
            </w:r>
          </w:p>
        </w:tc>
        <w:tc>
          <w:tcPr>
            <w:tcW w:w="571" w:type="pct"/>
            <w:shd w:val="clear" w:color="auto" w:fill="auto"/>
            <w:noWrap/>
            <w:tcMar>
              <w:left w:w="0" w:type="dxa"/>
              <w:right w:w="0" w:type="dxa"/>
            </w:tcMar>
            <w:vAlign w:val="center"/>
            <w:hideMark/>
          </w:tcPr>
          <w:p w14:paraId="137AE854" w14:textId="381EBEF9" w:rsidR="005A0E34" w:rsidRPr="00585293" w:rsidRDefault="005A0E34" w:rsidP="005A0E34">
            <w:pPr>
              <w:spacing w:after="160"/>
              <w:jc w:val="center"/>
              <w:rPr>
                <w:color w:val="000000"/>
              </w:rPr>
            </w:pPr>
            <w:r w:rsidRPr="00585293">
              <w:rPr>
                <w:color w:val="000000"/>
              </w:rPr>
              <w:t>0.392</w:t>
            </w:r>
          </w:p>
        </w:tc>
        <w:tc>
          <w:tcPr>
            <w:tcW w:w="572" w:type="pct"/>
            <w:shd w:val="clear" w:color="auto" w:fill="auto"/>
            <w:noWrap/>
            <w:tcMar>
              <w:left w:w="0" w:type="dxa"/>
              <w:right w:w="0" w:type="dxa"/>
            </w:tcMar>
            <w:vAlign w:val="center"/>
            <w:hideMark/>
          </w:tcPr>
          <w:p w14:paraId="6D2FA432" w14:textId="731363FC" w:rsidR="005A0E34" w:rsidRPr="00585293" w:rsidRDefault="005A0E34" w:rsidP="005A0E34">
            <w:pPr>
              <w:spacing w:after="160"/>
              <w:jc w:val="center"/>
              <w:rPr>
                <w:color w:val="000000"/>
              </w:rPr>
            </w:pPr>
            <w:r w:rsidRPr="00585293">
              <w:rPr>
                <w:color w:val="000000"/>
              </w:rPr>
              <w:t>(0.004)</w:t>
            </w:r>
          </w:p>
        </w:tc>
        <w:tc>
          <w:tcPr>
            <w:tcW w:w="572" w:type="pct"/>
            <w:shd w:val="clear" w:color="auto" w:fill="auto"/>
            <w:noWrap/>
            <w:tcMar>
              <w:left w:w="0" w:type="dxa"/>
              <w:right w:w="0" w:type="dxa"/>
            </w:tcMar>
            <w:vAlign w:val="center"/>
            <w:hideMark/>
          </w:tcPr>
          <w:p w14:paraId="57BB0F85" w14:textId="0C5DAF31" w:rsidR="005A0E34" w:rsidRPr="00585293" w:rsidRDefault="005A0E34" w:rsidP="005A0E34">
            <w:pPr>
              <w:spacing w:after="160"/>
              <w:jc w:val="center"/>
              <w:rPr>
                <w:color w:val="000000"/>
              </w:rPr>
            </w:pPr>
            <w:r w:rsidRPr="00585293">
              <w:rPr>
                <w:color w:val="000000"/>
              </w:rPr>
              <w:t>60,512</w:t>
            </w:r>
          </w:p>
        </w:tc>
        <w:tc>
          <w:tcPr>
            <w:tcW w:w="571" w:type="pct"/>
            <w:shd w:val="clear" w:color="auto" w:fill="auto"/>
            <w:noWrap/>
            <w:tcMar>
              <w:left w:w="0" w:type="dxa"/>
              <w:right w:w="0" w:type="dxa"/>
            </w:tcMar>
            <w:vAlign w:val="center"/>
            <w:hideMark/>
          </w:tcPr>
          <w:p w14:paraId="3E4F36CF" w14:textId="5B2A8251" w:rsidR="005A0E34" w:rsidRPr="00585293" w:rsidRDefault="005A0E34" w:rsidP="005A0E34">
            <w:pPr>
              <w:spacing w:after="160"/>
              <w:jc w:val="center"/>
              <w:rPr>
                <w:color w:val="000000"/>
              </w:rPr>
            </w:pPr>
            <w:r w:rsidRPr="00585293">
              <w:rPr>
                <w:color w:val="000000"/>
              </w:rPr>
              <w:t>0.716</w:t>
            </w:r>
          </w:p>
        </w:tc>
        <w:tc>
          <w:tcPr>
            <w:tcW w:w="572" w:type="pct"/>
            <w:shd w:val="clear" w:color="auto" w:fill="auto"/>
            <w:noWrap/>
            <w:tcMar>
              <w:left w:w="0" w:type="dxa"/>
              <w:right w:w="0" w:type="dxa"/>
            </w:tcMar>
            <w:vAlign w:val="center"/>
            <w:hideMark/>
          </w:tcPr>
          <w:p w14:paraId="7FF686B3" w14:textId="20FE3BB5" w:rsidR="005A0E34" w:rsidRPr="00585293" w:rsidRDefault="005A0E34" w:rsidP="005A0E34">
            <w:pPr>
              <w:spacing w:after="160"/>
              <w:jc w:val="center"/>
              <w:rPr>
                <w:color w:val="000000"/>
              </w:rPr>
            </w:pPr>
            <w:r w:rsidRPr="00585293">
              <w:rPr>
                <w:color w:val="000000"/>
              </w:rPr>
              <w:t>(0.007)</w:t>
            </w:r>
          </w:p>
        </w:tc>
        <w:tc>
          <w:tcPr>
            <w:tcW w:w="569" w:type="pct"/>
            <w:shd w:val="clear" w:color="auto" w:fill="auto"/>
            <w:noWrap/>
            <w:tcMar>
              <w:left w:w="0" w:type="dxa"/>
              <w:right w:w="0" w:type="dxa"/>
            </w:tcMar>
            <w:vAlign w:val="center"/>
            <w:hideMark/>
          </w:tcPr>
          <w:p w14:paraId="2F9A899F" w14:textId="01B40FF8" w:rsidR="005A0E34" w:rsidRPr="00585293" w:rsidRDefault="005A0E34" w:rsidP="005A0E34">
            <w:pPr>
              <w:spacing w:after="160"/>
              <w:jc w:val="center"/>
              <w:rPr>
                <w:color w:val="000000"/>
              </w:rPr>
            </w:pPr>
            <w:r w:rsidRPr="00585293">
              <w:rPr>
                <w:color w:val="000000"/>
              </w:rPr>
              <w:t>59,526</w:t>
            </w:r>
          </w:p>
        </w:tc>
      </w:tr>
      <w:tr w:rsidR="00327286" w:rsidRPr="00585293" w14:paraId="6B26A54F" w14:textId="77777777" w:rsidTr="00327286">
        <w:trPr>
          <w:trHeight w:val="290"/>
        </w:trPr>
        <w:tc>
          <w:tcPr>
            <w:tcW w:w="1573" w:type="pct"/>
            <w:shd w:val="clear" w:color="auto" w:fill="auto"/>
            <w:noWrap/>
            <w:tcMar>
              <w:left w:w="113" w:type="dxa"/>
              <w:right w:w="0" w:type="dxa"/>
            </w:tcMar>
            <w:vAlign w:val="center"/>
            <w:hideMark/>
          </w:tcPr>
          <w:p w14:paraId="1862C6D3" w14:textId="110A3A9A" w:rsidR="00327286" w:rsidRPr="00585293" w:rsidRDefault="00327286" w:rsidP="005A0E34">
            <w:pPr>
              <w:spacing w:after="160"/>
              <w:rPr>
                <w:color w:val="000000"/>
              </w:rPr>
            </w:pPr>
            <w:r w:rsidRPr="00585293">
              <w:rPr>
                <w:color w:val="000000"/>
              </w:rPr>
              <w:t>Mid</w:t>
            </w:r>
            <w:r w:rsidR="00EB0002" w:rsidRPr="00585293">
              <w:rPr>
                <w:color w:val="000000"/>
              </w:rPr>
              <w:t>-</w:t>
            </w:r>
            <w:r w:rsidRPr="00585293">
              <w:rPr>
                <w:color w:val="000000"/>
              </w:rPr>
              <w:t>Career</w:t>
            </w:r>
          </w:p>
        </w:tc>
        <w:tc>
          <w:tcPr>
            <w:tcW w:w="3427" w:type="pct"/>
            <w:gridSpan w:val="6"/>
            <w:shd w:val="clear" w:color="auto" w:fill="auto"/>
            <w:noWrap/>
            <w:tcMar>
              <w:left w:w="0" w:type="dxa"/>
              <w:right w:w="0" w:type="dxa"/>
            </w:tcMar>
            <w:vAlign w:val="center"/>
            <w:hideMark/>
          </w:tcPr>
          <w:p w14:paraId="417CC88D" w14:textId="5EEA4030" w:rsidR="00327286" w:rsidRPr="00585293" w:rsidRDefault="00237046" w:rsidP="00237046">
            <w:pPr>
              <w:spacing w:after="160"/>
              <w:jc w:val="center"/>
              <w:rPr>
                <w:color w:val="000000"/>
              </w:rPr>
            </w:pPr>
            <w:r w:rsidRPr="00585293">
              <w:rPr>
                <w:color w:val="000000"/>
              </w:rPr>
              <w:t>No Data</w:t>
            </w:r>
            <w:r w:rsidR="00034E89" w:rsidRPr="00585293">
              <w:rPr>
                <w:color w:val="000000"/>
              </w:rPr>
              <w:t xml:space="preserve"> – 1871 Census not available</w:t>
            </w:r>
          </w:p>
        </w:tc>
      </w:tr>
      <w:tr w:rsidR="00C83308" w:rsidRPr="00585293" w14:paraId="665FBF92" w14:textId="77777777" w:rsidTr="004B23D6">
        <w:trPr>
          <w:trHeight w:val="290"/>
        </w:trPr>
        <w:tc>
          <w:tcPr>
            <w:tcW w:w="1573" w:type="pct"/>
            <w:shd w:val="clear" w:color="auto" w:fill="auto"/>
            <w:noWrap/>
            <w:tcMar>
              <w:left w:w="113" w:type="dxa"/>
              <w:right w:w="0" w:type="dxa"/>
            </w:tcMar>
            <w:vAlign w:val="center"/>
            <w:hideMark/>
          </w:tcPr>
          <w:p w14:paraId="44A0AA9B" w14:textId="0B3E263A" w:rsidR="005A0E34" w:rsidRPr="00585293" w:rsidRDefault="005A0E34" w:rsidP="005A0E34">
            <w:pPr>
              <w:spacing w:after="160"/>
              <w:rPr>
                <w:color w:val="000000"/>
              </w:rPr>
            </w:pPr>
            <w:r w:rsidRPr="00585293">
              <w:rPr>
                <w:color w:val="000000"/>
              </w:rPr>
              <w:t>Peak</w:t>
            </w:r>
          </w:p>
        </w:tc>
        <w:tc>
          <w:tcPr>
            <w:tcW w:w="571" w:type="pct"/>
            <w:shd w:val="clear" w:color="auto" w:fill="auto"/>
            <w:noWrap/>
            <w:tcMar>
              <w:left w:w="0" w:type="dxa"/>
              <w:right w:w="0" w:type="dxa"/>
            </w:tcMar>
            <w:vAlign w:val="center"/>
            <w:hideMark/>
          </w:tcPr>
          <w:p w14:paraId="62BDCD28" w14:textId="314DB75D" w:rsidR="005A0E34" w:rsidRPr="00585293" w:rsidRDefault="005A0E34" w:rsidP="005A0E34">
            <w:pPr>
              <w:spacing w:after="160"/>
              <w:jc w:val="center"/>
              <w:rPr>
                <w:color w:val="000000"/>
              </w:rPr>
            </w:pPr>
            <w:r w:rsidRPr="00585293">
              <w:rPr>
                <w:color w:val="000000"/>
              </w:rPr>
              <w:t>0.379</w:t>
            </w:r>
          </w:p>
        </w:tc>
        <w:tc>
          <w:tcPr>
            <w:tcW w:w="572" w:type="pct"/>
            <w:shd w:val="clear" w:color="auto" w:fill="auto"/>
            <w:noWrap/>
            <w:tcMar>
              <w:left w:w="0" w:type="dxa"/>
              <w:right w:w="0" w:type="dxa"/>
            </w:tcMar>
            <w:vAlign w:val="center"/>
            <w:hideMark/>
          </w:tcPr>
          <w:p w14:paraId="267450FF" w14:textId="0D681934" w:rsidR="005A0E34" w:rsidRPr="00585293" w:rsidRDefault="005A0E34" w:rsidP="005A0E34">
            <w:pPr>
              <w:spacing w:after="160"/>
              <w:jc w:val="center"/>
              <w:rPr>
                <w:color w:val="000000"/>
              </w:rPr>
            </w:pPr>
            <w:r w:rsidRPr="00585293">
              <w:rPr>
                <w:color w:val="000000"/>
              </w:rPr>
              <w:t>(0.005)</w:t>
            </w:r>
          </w:p>
        </w:tc>
        <w:tc>
          <w:tcPr>
            <w:tcW w:w="572" w:type="pct"/>
            <w:shd w:val="clear" w:color="auto" w:fill="auto"/>
            <w:noWrap/>
            <w:tcMar>
              <w:left w:w="0" w:type="dxa"/>
              <w:right w:w="0" w:type="dxa"/>
            </w:tcMar>
            <w:vAlign w:val="center"/>
            <w:hideMark/>
          </w:tcPr>
          <w:p w14:paraId="57541BD4" w14:textId="075F8D12" w:rsidR="005A0E34" w:rsidRPr="00585293" w:rsidRDefault="005A0E34" w:rsidP="005A0E34">
            <w:pPr>
              <w:spacing w:after="160"/>
              <w:jc w:val="center"/>
              <w:rPr>
                <w:color w:val="000000"/>
              </w:rPr>
            </w:pPr>
            <w:r w:rsidRPr="00585293">
              <w:rPr>
                <w:color w:val="000000"/>
              </w:rPr>
              <w:t>60,512</w:t>
            </w:r>
          </w:p>
        </w:tc>
        <w:tc>
          <w:tcPr>
            <w:tcW w:w="571" w:type="pct"/>
            <w:shd w:val="clear" w:color="auto" w:fill="auto"/>
            <w:noWrap/>
            <w:tcMar>
              <w:left w:w="0" w:type="dxa"/>
              <w:right w:w="0" w:type="dxa"/>
            </w:tcMar>
            <w:vAlign w:val="center"/>
            <w:hideMark/>
          </w:tcPr>
          <w:p w14:paraId="50BC8202" w14:textId="40A3313B" w:rsidR="005A0E34" w:rsidRPr="00585293" w:rsidRDefault="005A0E34" w:rsidP="005A0E34">
            <w:pPr>
              <w:spacing w:after="160"/>
              <w:jc w:val="center"/>
              <w:rPr>
                <w:color w:val="000000"/>
              </w:rPr>
            </w:pPr>
            <w:r w:rsidRPr="00585293">
              <w:rPr>
                <w:color w:val="000000"/>
              </w:rPr>
              <w:t>0.652</w:t>
            </w:r>
          </w:p>
        </w:tc>
        <w:tc>
          <w:tcPr>
            <w:tcW w:w="572" w:type="pct"/>
            <w:shd w:val="clear" w:color="auto" w:fill="auto"/>
            <w:noWrap/>
            <w:tcMar>
              <w:left w:w="0" w:type="dxa"/>
              <w:right w:w="0" w:type="dxa"/>
            </w:tcMar>
            <w:vAlign w:val="center"/>
            <w:hideMark/>
          </w:tcPr>
          <w:p w14:paraId="6AD47971" w14:textId="7214B18D" w:rsidR="005A0E34" w:rsidRPr="00585293" w:rsidRDefault="005A0E34" w:rsidP="005A0E34">
            <w:pPr>
              <w:spacing w:after="160"/>
              <w:jc w:val="center"/>
              <w:rPr>
                <w:color w:val="000000"/>
              </w:rPr>
            </w:pPr>
            <w:r w:rsidRPr="00585293">
              <w:rPr>
                <w:color w:val="000000"/>
              </w:rPr>
              <w:t>(0.008)</w:t>
            </w:r>
          </w:p>
        </w:tc>
        <w:tc>
          <w:tcPr>
            <w:tcW w:w="569" w:type="pct"/>
            <w:shd w:val="clear" w:color="auto" w:fill="auto"/>
            <w:noWrap/>
            <w:tcMar>
              <w:left w:w="0" w:type="dxa"/>
              <w:right w:w="0" w:type="dxa"/>
            </w:tcMar>
            <w:vAlign w:val="center"/>
            <w:hideMark/>
          </w:tcPr>
          <w:p w14:paraId="7443C169" w14:textId="6D27766E" w:rsidR="005A0E34" w:rsidRPr="00585293" w:rsidRDefault="005A0E34" w:rsidP="005A0E34">
            <w:pPr>
              <w:spacing w:after="160"/>
              <w:jc w:val="center"/>
              <w:rPr>
                <w:color w:val="000000"/>
              </w:rPr>
            </w:pPr>
            <w:r w:rsidRPr="00585293">
              <w:rPr>
                <w:color w:val="000000"/>
              </w:rPr>
              <w:t>59.526</w:t>
            </w:r>
          </w:p>
        </w:tc>
      </w:tr>
      <w:tr w:rsidR="00C83308" w:rsidRPr="00585293" w14:paraId="07C3B627" w14:textId="77777777" w:rsidTr="004B23D6">
        <w:trPr>
          <w:trHeight w:val="290"/>
        </w:trPr>
        <w:tc>
          <w:tcPr>
            <w:tcW w:w="1573" w:type="pct"/>
            <w:shd w:val="clear" w:color="auto" w:fill="auto"/>
            <w:noWrap/>
            <w:tcMar>
              <w:left w:w="0" w:type="dxa"/>
              <w:right w:w="0" w:type="dxa"/>
            </w:tcMar>
            <w:vAlign w:val="center"/>
            <w:hideMark/>
          </w:tcPr>
          <w:p w14:paraId="02452992" w14:textId="77777777" w:rsidR="006E6D29" w:rsidRPr="00585293" w:rsidRDefault="006E6D29" w:rsidP="00805634">
            <w:pPr>
              <w:spacing w:after="160"/>
              <w:rPr>
                <w:b/>
                <w:bCs/>
                <w:color w:val="000000"/>
              </w:rPr>
            </w:pPr>
            <w:r w:rsidRPr="00585293">
              <w:rPr>
                <w:b/>
                <w:bCs/>
                <w:color w:val="000000"/>
              </w:rPr>
              <w:t>1861-1881</w:t>
            </w:r>
          </w:p>
        </w:tc>
        <w:tc>
          <w:tcPr>
            <w:tcW w:w="571" w:type="pct"/>
            <w:shd w:val="clear" w:color="auto" w:fill="auto"/>
            <w:noWrap/>
            <w:tcMar>
              <w:left w:w="0" w:type="dxa"/>
              <w:right w:w="0" w:type="dxa"/>
            </w:tcMar>
            <w:vAlign w:val="center"/>
            <w:hideMark/>
          </w:tcPr>
          <w:p w14:paraId="32587E3D" w14:textId="77777777" w:rsidR="006E6D29" w:rsidRPr="00585293" w:rsidRDefault="006E6D29" w:rsidP="00805634">
            <w:pPr>
              <w:spacing w:after="160"/>
              <w:jc w:val="center"/>
              <w:rPr>
                <w:color w:val="000000"/>
              </w:rPr>
            </w:pPr>
          </w:p>
        </w:tc>
        <w:tc>
          <w:tcPr>
            <w:tcW w:w="572" w:type="pct"/>
            <w:shd w:val="clear" w:color="auto" w:fill="auto"/>
            <w:noWrap/>
            <w:tcMar>
              <w:left w:w="0" w:type="dxa"/>
              <w:right w:w="0" w:type="dxa"/>
            </w:tcMar>
            <w:vAlign w:val="center"/>
            <w:hideMark/>
          </w:tcPr>
          <w:p w14:paraId="07EFA67C" w14:textId="77777777" w:rsidR="006E6D29" w:rsidRPr="00585293" w:rsidRDefault="006E6D29" w:rsidP="00805634">
            <w:pPr>
              <w:spacing w:after="160"/>
              <w:jc w:val="center"/>
            </w:pPr>
          </w:p>
        </w:tc>
        <w:tc>
          <w:tcPr>
            <w:tcW w:w="572" w:type="pct"/>
            <w:shd w:val="clear" w:color="auto" w:fill="auto"/>
            <w:noWrap/>
            <w:tcMar>
              <w:left w:w="0" w:type="dxa"/>
              <w:right w:w="0" w:type="dxa"/>
            </w:tcMar>
            <w:vAlign w:val="center"/>
            <w:hideMark/>
          </w:tcPr>
          <w:p w14:paraId="0FD28FA2" w14:textId="77777777" w:rsidR="006E6D29" w:rsidRPr="00585293" w:rsidRDefault="006E6D29" w:rsidP="00805634">
            <w:pPr>
              <w:spacing w:after="160"/>
              <w:jc w:val="center"/>
            </w:pPr>
          </w:p>
        </w:tc>
        <w:tc>
          <w:tcPr>
            <w:tcW w:w="571" w:type="pct"/>
            <w:shd w:val="clear" w:color="auto" w:fill="auto"/>
            <w:noWrap/>
            <w:tcMar>
              <w:left w:w="0" w:type="dxa"/>
              <w:right w:w="0" w:type="dxa"/>
            </w:tcMar>
            <w:vAlign w:val="center"/>
            <w:hideMark/>
          </w:tcPr>
          <w:p w14:paraId="1BDCF041" w14:textId="77777777" w:rsidR="006E6D29" w:rsidRPr="00585293" w:rsidRDefault="006E6D29" w:rsidP="00805634">
            <w:pPr>
              <w:spacing w:after="160"/>
              <w:jc w:val="center"/>
            </w:pPr>
          </w:p>
        </w:tc>
        <w:tc>
          <w:tcPr>
            <w:tcW w:w="572" w:type="pct"/>
            <w:shd w:val="clear" w:color="auto" w:fill="auto"/>
            <w:noWrap/>
            <w:tcMar>
              <w:left w:w="0" w:type="dxa"/>
              <w:right w:w="0" w:type="dxa"/>
            </w:tcMar>
            <w:vAlign w:val="center"/>
            <w:hideMark/>
          </w:tcPr>
          <w:p w14:paraId="05F99C26" w14:textId="77777777" w:rsidR="006E6D29" w:rsidRPr="00585293" w:rsidRDefault="006E6D29" w:rsidP="00805634">
            <w:pPr>
              <w:spacing w:after="160"/>
              <w:jc w:val="center"/>
            </w:pPr>
          </w:p>
        </w:tc>
        <w:tc>
          <w:tcPr>
            <w:tcW w:w="569" w:type="pct"/>
            <w:shd w:val="clear" w:color="auto" w:fill="auto"/>
            <w:noWrap/>
            <w:tcMar>
              <w:left w:w="0" w:type="dxa"/>
              <w:right w:w="0" w:type="dxa"/>
            </w:tcMar>
            <w:vAlign w:val="center"/>
            <w:hideMark/>
          </w:tcPr>
          <w:p w14:paraId="53E80990" w14:textId="77777777" w:rsidR="006E6D29" w:rsidRPr="00585293" w:rsidRDefault="006E6D29" w:rsidP="00805634">
            <w:pPr>
              <w:spacing w:after="160"/>
              <w:jc w:val="center"/>
            </w:pPr>
          </w:p>
        </w:tc>
      </w:tr>
      <w:tr w:rsidR="00C83308" w:rsidRPr="00585293" w14:paraId="07C082C6" w14:textId="77777777" w:rsidTr="004B23D6">
        <w:trPr>
          <w:trHeight w:val="290"/>
        </w:trPr>
        <w:tc>
          <w:tcPr>
            <w:tcW w:w="1573" w:type="pct"/>
            <w:shd w:val="clear" w:color="auto" w:fill="auto"/>
            <w:noWrap/>
            <w:tcMar>
              <w:left w:w="113" w:type="dxa"/>
              <w:right w:w="0" w:type="dxa"/>
            </w:tcMar>
            <w:vAlign w:val="center"/>
          </w:tcPr>
          <w:p w14:paraId="7A2FABAA" w14:textId="2CAAFA5E" w:rsidR="004B23D6" w:rsidRPr="00585293" w:rsidRDefault="004B23D6" w:rsidP="004B23D6">
            <w:pPr>
              <w:spacing w:after="160"/>
              <w:rPr>
                <w:color w:val="000000"/>
              </w:rPr>
            </w:pPr>
            <w:r w:rsidRPr="00585293">
              <w:rPr>
                <w:color w:val="000000"/>
              </w:rPr>
              <w:t>Age Controls</w:t>
            </w:r>
          </w:p>
        </w:tc>
        <w:tc>
          <w:tcPr>
            <w:tcW w:w="571" w:type="pct"/>
            <w:shd w:val="clear" w:color="auto" w:fill="auto"/>
            <w:noWrap/>
            <w:tcMar>
              <w:left w:w="0" w:type="dxa"/>
              <w:right w:w="0" w:type="dxa"/>
            </w:tcMar>
            <w:vAlign w:val="center"/>
          </w:tcPr>
          <w:p w14:paraId="11D98D20" w14:textId="43DEB442" w:rsidR="004B23D6" w:rsidRPr="00585293" w:rsidRDefault="004B23D6" w:rsidP="004B23D6">
            <w:pPr>
              <w:spacing w:after="160"/>
              <w:jc w:val="center"/>
              <w:rPr>
                <w:color w:val="000000"/>
              </w:rPr>
            </w:pPr>
            <w:r w:rsidRPr="00585293">
              <w:rPr>
                <w:color w:val="000000"/>
              </w:rPr>
              <w:t>0.405</w:t>
            </w:r>
          </w:p>
        </w:tc>
        <w:tc>
          <w:tcPr>
            <w:tcW w:w="572" w:type="pct"/>
            <w:shd w:val="clear" w:color="auto" w:fill="auto"/>
            <w:noWrap/>
            <w:tcMar>
              <w:left w:w="0" w:type="dxa"/>
              <w:right w:w="0" w:type="dxa"/>
            </w:tcMar>
            <w:vAlign w:val="center"/>
          </w:tcPr>
          <w:p w14:paraId="6207BB8C" w14:textId="5319A226" w:rsidR="004B23D6" w:rsidRPr="00585293" w:rsidRDefault="004B23D6" w:rsidP="004B23D6">
            <w:pPr>
              <w:spacing w:after="160"/>
              <w:jc w:val="center"/>
              <w:rPr>
                <w:color w:val="000000"/>
              </w:rPr>
            </w:pPr>
            <w:r w:rsidRPr="00585293">
              <w:rPr>
                <w:color w:val="000000"/>
              </w:rPr>
              <w:t>(0.004)</w:t>
            </w:r>
          </w:p>
        </w:tc>
        <w:tc>
          <w:tcPr>
            <w:tcW w:w="572" w:type="pct"/>
            <w:shd w:val="clear" w:color="auto" w:fill="auto"/>
            <w:noWrap/>
            <w:tcMar>
              <w:left w:w="0" w:type="dxa"/>
              <w:right w:w="0" w:type="dxa"/>
            </w:tcMar>
            <w:vAlign w:val="center"/>
          </w:tcPr>
          <w:p w14:paraId="5DB2C92B" w14:textId="3CD66A40" w:rsidR="004B23D6" w:rsidRPr="00585293" w:rsidRDefault="004B23D6" w:rsidP="004B23D6">
            <w:pPr>
              <w:spacing w:after="160"/>
              <w:jc w:val="center"/>
              <w:rPr>
                <w:color w:val="000000"/>
              </w:rPr>
            </w:pPr>
            <w:r w:rsidRPr="00585293">
              <w:rPr>
                <w:color w:val="000000"/>
              </w:rPr>
              <w:t>84,097</w:t>
            </w:r>
          </w:p>
        </w:tc>
        <w:tc>
          <w:tcPr>
            <w:tcW w:w="571" w:type="pct"/>
            <w:shd w:val="clear" w:color="auto" w:fill="auto"/>
            <w:noWrap/>
            <w:tcMar>
              <w:left w:w="0" w:type="dxa"/>
              <w:right w:w="0" w:type="dxa"/>
            </w:tcMar>
            <w:vAlign w:val="center"/>
          </w:tcPr>
          <w:p w14:paraId="2EDC5243" w14:textId="6C119C9D" w:rsidR="004B23D6" w:rsidRPr="00585293" w:rsidRDefault="004B23D6" w:rsidP="004B23D6">
            <w:pPr>
              <w:spacing w:after="160"/>
              <w:jc w:val="center"/>
              <w:rPr>
                <w:color w:val="000000"/>
              </w:rPr>
            </w:pPr>
            <w:r w:rsidRPr="00585293">
              <w:rPr>
                <w:color w:val="000000"/>
              </w:rPr>
              <w:t>0.647</w:t>
            </w:r>
          </w:p>
        </w:tc>
        <w:tc>
          <w:tcPr>
            <w:tcW w:w="572" w:type="pct"/>
            <w:shd w:val="clear" w:color="auto" w:fill="auto"/>
            <w:noWrap/>
            <w:tcMar>
              <w:left w:w="0" w:type="dxa"/>
              <w:right w:w="0" w:type="dxa"/>
            </w:tcMar>
            <w:vAlign w:val="center"/>
          </w:tcPr>
          <w:p w14:paraId="554C8D6F" w14:textId="1F14578D" w:rsidR="004B23D6" w:rsidRPr="00585293" w:rsidRDefault="004B23D6" w:rsidP="004B23D6">
            <w:pPr>
              <w:spacing w:after="160"/>
              <w:jc w:val="center"/>
              <w:rPr>
                <w:color w:val="000000"/>
              </w:rPr>
            </w:pPr>
            <w:r w:rsidRPr="00585293">
              <w:rPr>
                <w:color w:val="000000"/>
              </w:rPr>
              <w:t>(0.006)</w:t>
            </w:r>
          </w:p>
        </w:tc>
        <w:tc>
          <w:tcPr>
            <w:tcW w:w="569" w:type="pct"/>
            <w:shd w:val="clear" w:color="auto" w:fill="auto"/>
            <w:noWrap/>
            <w:tcMar>
              <w:left w:w="0" w:type="dxa"/>
              <w:right w:w="0" w:type="dxa"/>
            </w:tcMar>
            <w:vAlign w:val="center"/>
          </w:tcPr>
          <w:p w14:paraId="74DAC4E5" w14:textId="51D7A3C8" w:rsidR="004B23D6" w:rsidRPr="00585293" w:rsidRDefault="004B23D6" w:rsidP="004B23D6">
            <w:pPr>
              <w:spacing w:after="160"/>
              <w:jc w:val="center"/>
              <w:rPr>
                <w:color w:val="000000"/>
              </w:rPr>
            </w:pPr>
            <w:r w:rsidRPr="00585293">
              <w:rPr>
                <w:color w:val="000000"/>
              </w:rPr>
              <w:t>83,095</w:t>
            </w:r>
          </w:p>
        </w:tc>
      </w:tr>
      <w:tr w:rsidR="00C83308" w:rsidRPr="00585293" w14:paraId="1C82D334" w14:textId="77777777" w:rsidTr="004B23D6">
        <w:trPr>
          <w:trHeight w:val="290"/>
        </w:trPr>
        <w:tc>
          <w:tcPr>
            <w:tcW w:w="1573" w:type="pct"/>
            <w:shd w:val="clear" w:color="auto" w:fill="auto"/>
            <w:noWrap/>
            <w:tcMar>
              <w:left w:w="113" w:type="dxa"/>
              <w:right w:w="0" w:type="dxa"/>
            </w:tcMar>
            <w:vAlign w:val="center"/>
          </w:tcPr>
          <w:p w14:paraId="7F65A9E3" w14:textId="6A0F8152" w:rsidR="004B23D6" w:rsidRPr="00585293" w:rsidRDefault="004B23D6" w:rsidP="004B23D6">
            <w:pPr>
              <w:spacing w:after="160"/>
              <w:rPr>
                <w:color w:val="000000"/>
              </w:rPr>
            </w:pPr>
            <w:r w:rsidRPr="00585293">
              <w:rPr>
                <w:color w:val="000000"/>
              </w:rPr>
              <w:t>Narrower Father Age Range</w:t>
            </w:r>
          </w:p>
        </w:tc>
        <w:tc>
          <w:tcPr>
            <w:tcW w:w="571" w:type="pct"/>
            <w:shd w:val="clear" w:color="auto" w:fill="auto"/>
            <w:noWrap/>
            <w:tcMar>
              <w:left w:w="0" w:type="dxa"/>
              <w:right w:w="0" w:type="dxa"/>
            </w:tcMar>
            <w:vAlign w:val="center"/>
          </w:tcPr>
          <w:p w14:paraId="7A336000" w14:textId="28BC1150" w:rsidR="004B23D6" w:rsidRPr="00585293" w:rsidRDefault="004B23D6" w:rsidP="004B23D6">
            <w:pPr>
              <w:spacing w:after="160"/>
              <w:jc w:val="center"/>
              <w:rPr>
                <w:color w:val="000000"/>
              </w:rPr>
            </w:pPr>
            <w:r w:rsidRPr="00585293">
              <w:rPr>
                <w:color w:val="000000"/>
              </w:rPr>
              <w:t>0.405</w:t>
            </w:r>
          </w:p>
        </w:tc>
        <w:tc>
          <w:tcPr>
            <w:tcW w:w="572" w:type="pct"/>
            <w:shd w:val="clear" w:color="auto" w:fill="auto"/>
            <w:noWrap/>
            <w:tcMar>
              <w:left w:w="0" w:type="dxa"/>
              <w:right w:w="0" w:type="dxa"/>
            </w:tcMar>
            <w:vAlign w:val="center"/>
          </w:tcPr>
          <w:p w14:paraId="1FF6C7A1" w14:textId="247A9A40" w:rsidR="004B23D6" w:rsidRPr="00585293" w:rsidRDefault="004B23D6" w:rsidP="004B23D6">
            <w:pPr>
              <w:spacing w:after="160"/>
              <w:jc w:val="center"/>
              <w:rPr>
                <w:color w:val="000000"/>
              </w:rPr>
            </w:pPr>
            <w:r w:rsidRPr="00585293">
              <w:rPr>
                <w:color w:val="000000"/>
              </w:rPr>
              <w:t>(0.005)</w:t>
            </w:r>
          </w:p>
        </w:tc>
        <w:tc>
          <w:tcPr>
            <w:tcW w:w="572" w:type="pct"/>
            <w:shd w:val="clear" w:color="auto" w:fill="auto"/>
            <w:noWrap/>
            <w:tcMar>
              <w:left w:w="0" w:type="dxa"/>
              <w:right w:w="0" w:type="dxa"/>
            </w:tcMar>
            <w:vAlign w:val="center"/>
          </w:tcPr>
          <w:p w14:paraId="5955270E" w14:textId="5104284A" w:rsidR="004B23D6" w:rsidRPr="00585293" w:rsidRDefault="004B23D6" w:rsidP="004B23D6">
            <w:pPr>
              <w:spacing w:after="160"/>
              <w:jc w:val="center"/>
              <w:rPr>
                <w:color w:val="000000"/>
              </w:rPr>
            </w:pPr>
            <w:r w:rsidRPr="00585293">
              <w:rPr>
                <w:color w:val="000000"/>
              </w:rPr>
              <w:t>47,549</w:t>
            </w:r>
          </w:p>
        </w:tc>
        <w:tc>
          <w:tcPr>
            <w:tcW w:w="571" w:type="pct"/>
            <w:shd w:val="clear" w:color="auto" w:fill="auto"/>
            <w:noWrap/>
            <w:tcMar>
              <w:left w:w="0" w:type="dxa"/>
              <w:right w:w="0" w:type="dxa"/>
            </w:tcMar>
            <w:vAlign w:val="center"/>
          </w:tcPr>
          <w:p w14:paraId="32C82D70" w14:textId="09A47C16" w:rsidR="004B23D6" w:rsidRPr="00585293" w:rsidRDefault="004B23D6" w:rsidP="004B23D6">
            <w:pPr>
              <w:spacing w:after="160"/>
              <w:jc w:val="center"/>
              <w:rPr>
                <w:color w:val="000000"/>
              </w:rPr>
            </w:pPr>
            <w:r w:rsidRPr="00585293">
              <w:rPr>
                <w:color w:val="000000"/>
              </w:rPr>
              <w:t>0.659</w:t>
            </w:r>
          </w:p>
        </w:tc>
        <w:tc>
          <w:tcPr>
            <w:tcW w:w="572" w:type="pct"/>
            <w:shd w:val="clear" w:color="auto" w:fill="auto"/>
            <w:noWrap/>
            <w:tcMar>
              <w:left w:w="0" w:type="dxa"/>
              <w:right w:w="0" w:type="dxa"/>
            </w:tcMar>
            <w:vAlign w:val="center"/>
          </w:tcPr>
          <w:p w14:paraId="4483E400" w14:textId="541B1C0B" w:rsidR="004B23D6" w:rsidRPr="00585293" w:rsidRDefault="004B23D6" w:rsidP="004B23D6">
            <w:pPr>
              <w:spacing w:after="160"/>
              <w:jc w:val="center"/>
              <w:rPr>
                <w:color w:val="000000"/>
              </w:rPr>
            </w:pPr>
            <w:r w:rsidRPr="00585293">
              <w:rPr>
                <w:color w:val="000000"/>
              </w:rPr>
              <w:t>(0.008)</w:t>
            </w:r>
          </w:p>
        </w:tc>
        <w:tc>
          <w:tcPr>
            <w:tcW w:w="569" w:type="pct"/>
            <w:shd w:val="clear" w:color="auto" w:fill="auto"/>
            <w:noWrap/>
            <w:tcMar>
              <w:left w:w="0" w:type="dxa"/>
              <w:right w:w="0" w:type="dxa"/>
            </w:tcMar>
            <w:vAlign w:val="center"/>
          </w:tcPr>
          <w:p w14:paraId="12CEA454" w14:textId="07C9FC36" w:rsidR="004B23D6" w:rsidRPr="00585293" w:rsidRDefault="004B23D6" w:rsidP="004B23D6">
            <w:pPr>
              <w:spacing w:after="160"/>
              <w:jc w:val="center"/>
              <w:rPr>
                <w:color w:val="000000"/>
              </w:rPr>
            </w:pPr>
            <w:r w:rsidRPr="00585293">
              <w:rPr>
                <w:color w:val="000000"/>
              </w:rPr>
              <w:t>47,067</w:t>
            </w:r>
          </w:p>
        </w:tc>
      </w:tr>
      <w:tr w:rsidR="00552FE5" w:rsidRPr="00585293" w14:paraId="02B36E49" w14:textId="77777777" w:rsidTr="00552FE5">
        <w:trPr>
          <w:trHeight w:val="290"/>
        </w:trPr>
        <w:tc>
          <w:tcPr>
            <w:tcW w:w="1573" w:type="pct"/>
            <w:shd w:val="clear" w:color="auto" w:fill="auto"/>
            <w:noWrap/>
            <w:tcMar>
              <w:left w:w="113" w:type="dxa"/>
              <w:right w:w="0" w:type="dxa"/>
            </w:tcMar>
            <w:vAlign w:val="center"/>
          </w:tcPr>
          <w:p w14:paraId="61ED3D91" w14:textId="7DDE2F1B" w:rsidR="00552FE5" w:rsidRPr="00585293" w:rsidRDefault="00552FE5" w:rsidP="004B23D6">
            <w:pPr>
              <w:spacing w:after="160"/>
              <w:rPr>
                <w:color w:val="000000"/>
              </w:rPr>
            </w:pPr>
            <w:r w:rsidRPr="00585293">
              <w:rPr>
                <w:color w:val="000000"/>
              </w:rPr>
              <w:t>Early</w:t>
            </w:r>
            <w:r w:rsidR="00EB0002" w:rsidRPr="00585293">
              <w:rPr>
                <w:color w:val="000000"/>
              </w:rPr>
              <w:t>-</w:t>
            </w:r>
            <w:r w:rsidRPr="00585293">
              <w:rPr>
                <w:color w:val="000000"/>
              </w:rPr>
              <w:t>Career</w:t>
            </w:r>
          </w:p>
        </w:tc>
        <w:tc>
          <w:tcPr>
            <w:tcW w:w="3427" w:type="pct"/>
            <w:gridSpan w:val="6"/>
            <w:shd w:val="clear" w:color="auto" w:fill="auto"/>
            <w:noWrap/>
            <w:tcMar>
              <w:left w:w="0" w:type="dxa"/>
              <w:right w:w="0" w:type="dxa"/>
            </w:tcMar>
            <w:vAlign w:val="center"/>
          </w:tcPr>
          <w:p w14:paraId="075C8052" w14:textId="1EF55ADA" w:rsidR="00552FE5" w:rsidRPr="00585293" w:rsidRDefault="00552FE5" w:rsidP="004B23D6">
            <w:pPr>
              <w:spacing w:after="160"/>
              <w:jc w:val="center"/>
              <w:rPr>
                <w:color w:val="000000"/>
              </w:rPr>
            </w:pPr>
            <w:r w:rsidRPr="00585293">
              <w:rPr>
                <w:color w:val="000000"/>
              </w:rPr>
              <w:t>No Data – 1871 Census not available</w:t>
            </w:r>
          </w:p>
        </w:tc>
      </w:tr>
      <w:tr w:rsidR="00C83308" w:rsidRPr="00585293" w14:paraId="2BE9414F" w14:textId="77777777" w:rsidTr="004B23D6">
        <w:trPr>
          <w:trHeight w:val="290"/>
        </w:trPr>
        <w:tc>
          <w:tcPr>
            <w:tcW w:w="1573" w:type="pct"/>
            <w:shd w:val="clear" w:color="auto" w:fill="auto"/>
            <w:noWrap/>
            <w:tcMar>
              <w:left w:w="113" w:type="dxa"/>
              <w:right w:w="0" w:type="dxa"/>
            </w:tcMar>
            <w:vAlign w:val="center"/>
            <w:hideMark/>
          </w:tcPr>
          <w:p w14:paraId="389A853E" w14:textId="63CDD79D" w:rsidR="004B23D6" w:rsidRPr="00585293" w:rsidRDefault="004B23D6" w:rsidP="004B23D6">
            <w:pPr>
              <w:spacing w:after="160"/>
              <w:rPr>
                <w:color w:val="000000"/>
              </w:rPr>
            </w:pPr>
            <w:r w:rsidRPr="00585293">
              <w:rPr>
                <w:color w:val="000000"/>
              </w:rPr>
              <w:t>Mid</w:t>
            </w:r>
            <w:r w:rsidR="00EB0002" w:rsidRPr="00585293">
              <w:rPr>
                <w:color w:val="000000"/>
              </w:rPr>
              <w:t>-</w:t>
            </w:r>
            <w:r w:rsidRPr="00585293">
              <w:rPr>
                <w:color w:val="000000"/>
              </w:rPr>
              <w:t>Career</w:t>
            </w:r>
          </w:p>
        </w:tc>
        <w:tc>
          <w:tcPr>
            <w:tcW w:w="571" w:type="pct"/>
            <w:shd w:val="clear" w:color="auto" w:fill="auto"/>
            <w:noWrap/>
            <w:tcMar>
              <w:left w:w="0" w:type="dxa"/>
              <w:right w:w="0" w:type="dxa"/>
            </w:tcMar>
            <w:vAlign w:val="center"/>
            <w:hideMark/>
          </w:tcPr>
          <w:p w14:paraId="1AF66123" w14:textId="7C5780F0" w:rsidR="004B23D6" w:rsidRPr="00585293" w:rsidRDefault="004B23D6" w:rsidP="004B23D6">
            <w:pPr>
              <w:spacing w:after="160"/>
              <w:jc w:val="center"/>
              <w:rPr>
                <w:color w:val="000000"/>
              </w:rPr>
            </w:pPr>
            <w:r w:rsidRPr="00585293">
              <w:rPr>
                <w:color w:val="000000"/>
              </w:rPr>
              <w:t>0.424</w:t>
            </w:r>
          </w:p>
        </w:tc>
        <w:tc>
          <w:tcPr>
            <w:tcW w:w="572" w:type="pct"/>
            <w:shd w:val="clear" w:color="auto" w:fill="auto"/>
            <w:noWrap/>
            <w:tcMar>
              <w:left w:w="0" w:type="dxa"/>
              <w:right w:w="0" w:type="dxa"/>
            </w:tcMar>
            <w:vAlign w:val="center"/>
            <w:hideMark/>
          </w:tcPr>
          <w:p w14:paraId="78F93C60" w14:textId="788422F0" w:rsidR="004B23D6" w:rsidRPr="00585293" w:rsidRDefault="004B23D6" w:rsidP="004B23D6">
            <w:pPr>
              <w:spacing w:after="160"/>
              <w:jc w:val="center"/>
              <w:rPr>
                <w:color w:val="000000"/>
              </w:rPr>
            </w:pPr>
            <w:r w:rsidRPr="00585293">
              <w:rPr>
                <w:color w:val="000000"/>
              </w:rPr>
              <w:t>(0.004)</w:t>
            </w:r>
          </w:p>
        </w:tc>
        <w:tc>
          <w:tcPr>
            <w:tcW w:w="572" w:type="pct"/>
            <w:shd w:val="clear" w:color="auto" w:fill="auto"/>
            <w:noWrap/>
            <w:tcMar>
              <w:left w:w="0" w:type="dxa"/>
              <w:right w:w="0" w:type="dxa"/>
            </w:tcMar>
            <w:vAlign w:val="center"/>
            <w:hideMark/>
          </w:tcPr>
          <w:p w14:paraId="0C8E25B7" w14:textId="496B720A" w:rsidR="004B23D6" w:rsidRPr="00585293" w:rsidRDefault="004B23D6" w:rsidP="004B23D6">
            <w:pPr>
              <w:spacing w:after="160"/>
              <w:jc w:val="center"/>
              <w:rPr>
                <w:color w:val="000000"/>
              </w:rPr>
            </w:pPr>
            <w:r w:rsidRPr="00585293">
              <w:rPr>
                <w:color w:val="000000"/>
              </w:rPr>
              <w:t>83,163</w:t>
            </w:r>
          </w:p>
        </w:tc>
        <w:tc>
          <w:tcPr>
            <w:tcW w:w="571" w:type="pct"/>
            <w:shd w:val="clear" w:color="auto" w:fill="auto"/>
            <w:noWrap/>
            <w:tcMar>
              <w:left w:w="0" w:type="dxa"/>
              <w:right w:w="0" w:type="dxa"/>
            </w:tcMar>
            <w:vAlign w:val="center"/>
            <w:hideMark/>
          </w:tcPr>
          <w:p w14:paraId="44499441" w14:textId="192B60D5" w:rsidR="004B23D6" w:rsidRPr="00585293" w:rsidRDefault="004B23D6" w:rsidP="004B23D6">
            <w:pPr>
              <w:spacing w:after="160"/>
              <w:jc w:val="center"/>
              <w:rPr>
                <w:color w:val="000000"/>
              </w:rPr>
            </w:pPr>
            <w:r w:rsidRPr="00585293">
              <w:rPr>
                <w:color w:val="000000"/>
              </w:rPr>
              <w:t>0.677</w:t>
            </w:r>
          </w:p>
        </w:tc>
        <w:tc>
          <w:tcPr>
            <w:tcW w:w="572" w:type="pct"/>
            <w:shd w:val="clear" w:color="auto" w:fill="auto"/>
            <w:noWrap/>
            <w:tcMar>
              <w:left w:w="0" w:type="dxa"/>
              <w:right w:w="0" w:type="dxa"/>
            </w:tcMar>
            <w:vAlign w:val="center"/>
            <w:hideMark/>
          </w:tcPr>
          <w:p w14:paraId="55C952FC" w14:textId="073A95E4" w:rsidR="004B23D6" w:rsidRPr="00585293" w:rsidRDefault="004B23D6" w:rsidP="004B23D6">
            <w:pPr>
              <w:spacing w:after="160"/>
              <w:jc w:val="center"/>
              <w:rPr>
                <w:color w:val="000000"/>
              </w:rPr>
            </w:pPr>
            <w:r w:rsidRPr="00585293">
              <w:rPr>
                <w:color w:val="000000"/>
              </w:rPr>
              <w:t>(0.006)</w:t>
            </w:r>
          </w:p>
        </w:tc>
        <w:tc>
          <w:tcPr>
            <w:tcW w:w="569" w:type="pct"/>
            <w:shd w:val="clear" w:color="auto" w:fill="auto"/>
            <w:noWrap/>
            <w:tcMar>
              <w:left w:w="0" w:type="dxa"/>
              <w:right w:w="0" w:type="dxa"/>
            </w:tcMar>
            <w:vAlign w:val="center"/>
            <w:hideMark/>
          </w:tcPr>
          <w:p w14:paraId="2781716E" w14:textId="0A0A2E61" w:rsidR="004B23D6" w:rsidRPr="00585293" w:rsidRDefault="004B23D6" w:rsidP="004B23D6">
            <w:pPr>
              <w:spacing w:after="160"/>
              <w:jc w:val="center"/>
              <w:rPr>
                <w:color w:val="000000"/>
              </w:rPr>
            </w:pPr>
            <w:r w:rsidRPr="00585293">
              <w:rPr>
                <w:color w:val="000000"/>
              </w:rPr>
              <w:t>82,181</w:t>
            </w:r>
          </w:p>
        </w:tc>
      </w:tr>
      <w:tr w:rsidR="00C83308" w:rsidRPr="00585293" w14:paraId="193E9FB9" w14:textId="77777777" w:rsidTr="004B23D6">
        <w:trPr>
          <w:trHeight w:val="290"/>
        </w:trPr>
        <w:tc>
          <w:tcPr>
            <w:tcW w:w="1573" w:type="pct"/>
            <w:shd w:val="clear" w:color="auto" w:fill="auto"/>
            <w:noWrap/>
            <w:tcMar>
              <w:left w:w="113" w:type="dxa"/>
              <w:right w:w="0" w:type="dxa"/>
            </w:tcMar>
            <w:vAlign w:val="center"/>
            <w:hideMark/>
          </w:tcPr>
          <w:p w14:paraId="2E7B3DF4" w14:textId="3802DB7B" w:rsidR="004B23D6" w:rsidRPr="00585293" w:rsidRDefault="004B23D6" w:rsidP="004B23D6">
            <w:pPr>
              <w:spacing w:after="160"/>
              <w:rPr>
                <w:color w:val="000000"/>
              </w:rPr>
            </w:pPr>
            <w:r w:rsidRPr="00585293">
              <w:rPr>
                <w:color w:val="000000"/>
              </w:rPr>
              <w:t>Peak</w:t>
            </w:r>
          </w:p>
        </w:tc>
        <w:tc>
          <w:tcPr>
            <w:tcW w:w="571" w:type="pct"/>
            <w:shd w:val="clear" w:color="auto" w:fill="auto"/>
            <w:noWrap/>
            <w:tcMar>
              <w:left w:w="0" w:type="dxa"/>
              <w:right w:w="0" w:type="dxa"/>
            </w:tcMar>
            <w:vAlign w:val="center"/>
            <w:hideMark/>
          </w:tcPr>
          <w:p w14:paraId="490493B4" w14:textId="1201A50C" w:rsidR="004B23D6" w:rsidRPr="00585293" w:rsidRDefault="004B23D6" w:rsidP="004B23D6">
            <w:pPr>
              <w:spacing w:after="160"/>
              <w:jc w:val="center"/>
              <w:rPr>
                <w:color w:val="000000"/>
              </w:rPr>
            </w:pPr>
            <w:r w:rsidRPr="00585293">
              <w:rPr>
                <w:color w:val="000000"/>
              </w:rPr>
              <w:t>0.402</w:t>
            </w:r>
          </w:p>
        </w:tc>
        <w:tc>
          <w:tcPr>
            <w:tcW w:w="572" w:type="pct"/>
            <w:shd w:val="clear" w:color="auto" w:fill="auto"/>
            <w:noWrap/>
            <w:tcMar>
              <w:left w:w="0" w:type="dxa"/>
              <w:right w:w="0" w:type="dxa"/>
            </w:tcMar>
            <w:vAlign w:val="center"/>
            <w:hideMark/>
          </w:tcPr>
          <w:p w14:paraId="4FA346F8" w14:textId="0F0FA942" w:rsidR="004B23D6" w:rsidRPr="00585293" w:rsidRDefault="004B23D6" w:rsidP="004B23D6">
            <w:pPr>
              <w:spacing w:after="160"/>
              <w:jc w:val="center"/>
              <w:rPr>
                <w:color w:val="000000"/>
              </w:rPr>
            </w:pPr>
            <w:r w:rsidRPr="00585293">
              <w:rPr>
                <w:color w:val="000000"/>
              </w:rPr>
              <w:t>(0.004)</w:t>
            </w:r>
          </w:p>
        </w:tc>
        <w:tc>
          <w:tcPr>
            <w:tcW w:w="572" w:type="pct"/>
            <w:shd w:val="clear" w:color="auto" w:fill="auto"/>
            <w:noWrap/>
            <w:tcMar>
              <w:left w:w="0" w:type="dxa"/>
              <w:right w:w="0" w:type="dxa"/>
            </w:tcMar>
            <w:vAlign w:val="center"/>
            <w:hideMark/>
          </w:tcPr>
          <w:p w14:paraId="45E6651F" w14:textId="469FC1E2" w:rsidR="004B23D6" w:rsidRPr="00585293" w:rsidRDefault="004B23D6" w:rsidP="004B23D6">
            <w:pPr>
              <w:spacing w:after="160"/>
              <w:jc w:val="center"/>
              <w:rPr>
                <w:color w:val="000000"/>
              </w:rPr>
            </w:pPr>
            <w:r w:rsidRPr="00585293">
              <w:rPr>
                <w:color w:val="000000"/>
              </w:rPr>
              <w:t>83,163</w:t>
            </w:r>
          </w:p>
        </w:tc>
        <w:tc>
          <w:tcPr>
            <w:tcW w:w="571" w:type="pct"/>
            <w:shd w:val="clear" w:color="auto" w:fill="auto"/>
            <w:noWrap/>
            <w:tcMar>
              <w:left w:w="0" w:type="dxa"/>
              <w:right w:w="0" w:type="dxa"/>
            </w:tcMar>
            <w:vAlign w:val="center"/>
            <w:hideMark/>
          </w:tcPr>
          <w:p w14:paraId="32C2259D" w14:textId="4C8FC69F" w:rsidR="004B23D6" w:rsidRPr="00585293" w:rsidRDefault="004B23D6" w:rsidP="004B23D6">
            <w:pPr>
              <w:spacing w:after="160"/>
              <w:jc w:val="center"/>
              <w:rPr>
                <w:color w:val="000000"/>
              </w:rPr>
            </w:pPr>
            <w:r w:rsidRPr="00585293">
              <w:rPr>
                <w:color w:val="000000"/>
              </w:rPr>
              <w:t>0.646</w:t>
            </w:r>
          </w:p>
        </w:tc>
        <w:tc>
          <w:tcPr>
            <w:tcW w:w="572" w:type="pct"/>
            <w:shd w:val="clear" w:color="auto" w:fill="auto"/>
            <w:noWrap/>
            <w:tcMar>
              <w:left w:w="0" w:type="dxa"/>
              <w:right w:w="0" w:type="dxa"/>
            </w:tcMar>
            <w:vAlign w:val="center"/>
            <w:hideMark/>
          </w:tcPr>
          <w:p w14:paraId="5D29B939" w14:textId="65CAADE4" w:rsidR="004B23D6" w:rsidRPr="00585293" w:rsidRDefault="004B23D6" w:rsidP="004B23D6">
            <w:pPr>
              <w:spacing w:after="160"/>
              <w:jc w:val="center"/>
              <w:rPr>
                <w:color w:val="000000"/>
              </w:rPr>
            </w:pPr>
            <w:r w:rsidRPr="00585293">
              <w:rPr>
                <w:color w:val="000000"/>
              </w:rPr>
              <w:t>(0.006)</w:t>
            </w:r>
          </w:p>
        </w:tc>
        <w:tc>
          <w:tcPr>
            <w:tcW w:w="569" w:type="pct"/>
            <w:shd w:val="clear" w:color="auto" w:fill="auto"/>
            <w:noWrap/>
            <w:tcMar>
              <w:left w:w="0" w:type="dxa"/>
              <w:right w:w="0" w:type="dxa"/>
            </w:tcMar>
            <w:vAlign w:val="center"/>
            <w:hideMark/>
          </w:tcPr>
          <w:p w14:paraId="24B39A99" w14:textId="18FDE028" w:rsidR="004B23D6" w:rsidRPr="00585293" w:rsidRDefault="004B23D6" w:rsidP="004B23D6">
            <w:pPr>
              <w:spacing w:after="160"/>
              <w:jc w:val="center"/>
              <w:rPr>
                <w:color w:val="000000"/>
              </w:rPr>
            </w:pPr>
            <w:r w:rsidRPr="00585293">
              <w:rPr>
                <w:color w:val="000000"/>
              </w:rPr>
              <w:t>82,181</w:t>
            </w:r>
          </w:p>
        </w:tc>
      </w:tr>
      <w:tr w:rsidR="00C83308" w:rsidRPr="00585293" w14:paraId="21049CB1" w14:textId="77777777" w:rsidTr="004B23D6">
        <w:trPr>
          <w:trHeight w:val="290"/>
        </w:trPr>
        <w:tc>
          <w:tcPr>
            <w:tcW w:w="1573" w:type="pct"/>
            <w:shd w:val="clear" w:color="auto" w:fill="auto"/>
            <w:noWrap/>
            <w:tcMar>
              <w:left w:w="0" w:type="dxa"/>
              <w:right w:w="0" w:type="dxa"/>
            </w:tcMar>
            <w:vAlign w:val="center"/>
            <w:hideMark/>
          </w:tcPr>
          <w:p w14:paraId="12824245" w14:textId="77777777" w:rsidR="006E6D29" w:rsidRPr="00585293" w:rsidRDefault="006E6D29" w:rsidP="00805634">
            <w:pPr>
              <w:spacing w:after="160"/>
              <w:rPr>
                <w:b/>
                <w:bCs/>
                <w:color w:val="000000"/>
              </w:rPr>
            </w:pPr>
            <w:r w:rsidRPr="00585293">
              <w:rPr>
                <w:b/>
                <w:bCs/>
                <w:color w:val="000000"/>
              </w:rPr>
              <w:t>1881-1911</w:t>
            </w:r>
          </w:p>
        </w:tc>
        <w:tc>
          <w:tcPr>
            <w:tcW w:w="571" w:type="pct"/>
            <w:shd w:val="clear" w:color="auto" w:fill="auto"/>
            <w:noWrap/>
            <w:tcMar>
              <w:left w:w="0" w:type="dxa"/>
              <w:right w:w="0" w:type="dxa"/>
            </w:tcMar>
            <w:vAlign w:val="center"/>
            <w:hideMark/>
          </w:tcPr>
          <w:p w14:paraId="2A34FE2D" w14:textId="77777777" w:rsidR="006E6D29" w:rsidRPr="00585293" w:rsidRDefault="006E6D29" w:rsidP="00805634">
            <w:pPr>
              <w:spacing w:after="160"/>
              <w:jc w:val="center"/>
              <w:rPr>
                <w:color w:val="000000"/>
              </w:rPr>
            </w:pPr>
          </w:p>
        </w:tc>
        <w:tc>
          <w:tcPr>
            <w:tcW w:w="572" w:type="pct"/>
            <w:shd w:val="clear" w:color="auto" w:fill="auto"/>
            <w:noWrap/>
            <w:tcMar>
              <w:left w:w="0" w:type="dxa"/>
              <w:right w:w="0" w:type="dxa"/>
            </w:tcMar>
            <w:vAlign w:val="center"/>
            <w:hideMark/>
          </w:tcPr>
          <w:p w14:paraId="4E07C529" w14:textId="77777777" w:rsidR="006E6D29" w:rsidRPr="00585293" w:rsidRDefault="006E6D29" w:rsidP="00805634">
            <w:pPr>
              <w:spacing w:after="160"/>
              <w:jc w:val="center"/>
            </w:pPr>
          </w:p>
        </w:tc>
        <w:tc>
          <w:tcPr>
            <w:tcW w:w="572" w:type="pct"/>
            <w:shd w:val="clear" w:color="auto" w:fill="auto"/>
            <w:noWrap/>
            <w:tcMar>
              <w:left w:w="0" w:type="dxa"/>
              <w:right w:w="0" w:type="dxa"/>
            </w:tcMar>
            <w:vAlign w:val="center"/>
            <w:hideMark/>
          </w:tcPr>
          <w:p w14:paraId="1B23944F" w14:textId="77777777" w:rsidR="006E6D29" w:rsidRPr="00585293" w:rsidRDefault="006E6D29" w:rsidP="00805634">
            <w:pPr>
              <w:spacing w:after="160"/>
              <w:jc w:val="center"/>
            </w:pPr>
          </w:p>
        </w:tc>
        <w:tc>
          <w:tcPr>
            <w:tcW w:w="571" w:type="pct"/>
            <w:shd w:val="clear" w:color="auto" w:fill="auto"/>
            <w:noWrap/>
            <w:tcMar>
              <w:left w:w="0" w:type="dxa"/>
              <w:right w:w="0" w:type="dxa"/>
            </w:tcMar>
            <w:vAlign w:val="center"/>
            <w:hideMark/>
          </w:tcPr>
          <w:p w14:paraId="3EFD4915" w14:textId="77777777" w:rsidR="006E6D29" w:rsidRPr="00585293" w:rsidRDefault="006E6D29" w:rsidP="00805634">
            <w:pPr>
              <w:spacing w:after="160"/>
              <w:jc w:val="center"/>
            </w:pPr>
          </w:p>
        </w:tc>
        <w:tc>
          <w:tcPr>
            <w:tcW w:w="572" w:type="pct"/>
            <w:shd w:val="clear" w:color="auto" w:fill="auto"/>
            <w:noWrap/>
            <w:tcMar>
              <w:left w:w="0" w:type="dxa"/>
              <w:right w:w="0" w:type="dxa"/>
            </w:tcMar>
            <w:vAlign w:val="center"/>
            <w:hideMark/>
          </w:tcPr>
          <w:p w14:paraId="15E96ED1" w14:textId="77777777" w:rsidR="006E6D29" w:rsidRPr="00585293" w:rsidRDefault="006E6D29" w:rsidP="00805634">
            <w:pPr>
              <w:spacing w:after="160"/>
              <w:jc w:val="center"/>
            </w:pPr>
          </w:p>
        </w:tc>
        <w:tc>
          <w:tcPr>
            <w:tcW w:w="569" w:type="pct"/>
            <w:shd w:val="clear" w:color="auto" w:fill="auto"/>
            <w:noWrap/>
            <w:tcMar>
              <w:left w:w="0" w:type="dxa"/>
              <w:right w:w="0" w:type="dxa"/>
            </w:tcMar>
            <w:vAlign w:val="center"/>
            <w:hideMark/>
          </w:tcPr>
          <w:p w14:paraId="374D06A4" w14:textId="77777777" w:rsidR="006E6D29" w:rsidRPr="00585293" w:rsidRDefault="006E6D29" w:rsidP="00805634">
            <w:pPr>
              <w:spacing w:after="160"/>
              <w:jc w:val="center"/>
            </w:pPr>
          </w:p>
        </w:tc>
      </w:tr>
      <w:tr w:rsidR="00C83308" w:rsidRPr="00585293" w14:paraId="3076CD06" w14:textId="77777777" w:rsidTr="004B23D6">
        <w:trPr>
          <w:trHeight w:val="290"/>
        </w:trPr>
        <w:tc>
          <w:tcPr>
            <w:tcW w:w="1573" w:type="pct"/>
            <w:shd w:val="clear" w:color="auto" w:fill="auto"/>
            <w:noWrap/>
            <w:tcMar>
              <w:left w:w="113" w:type="dxa"/>
              <w:right w:w="0" w:type="dxa"/>
            </w:tcMar>
            <w:vAlign w:val="center"/>
          </w:tcPr>
          <w:p w14:paraId="48FC0758" w14:textId="6C77CDAB" w:rsidR="004B23D6" w:rsidRPr="00585293" w:rsidRDefault="004B23D6" w:rsidP="004B23D6">
            <w:pPr>
              <w:spacing w:after="160"/>
              <w:rPr>
                <w:color w:val="000000"/>
              </w:rPr>
            </w:pPr>
            <w:r w:rsidRPr="00585293">
              <w:rPr>
                <w:color w:val="000000"/>
              </w:rPr>
              <w:t>Age Controls</w:t>
            </w:r>
          </w:p>
        </w:tc>
        <w:tc>
          <w:tcPr>
            <w:tcW w:w="571" w:type="pct"/>
            <w:shd w:val="clear" w:color="auto" w:fill="auto"/>
            <w:noWrap/>
            <w:tcMar>
              <w:left w:w="0" w:type="dxa"/>
              <w:right w:w="0" w:type="dxa"/>
            </w:tcMar>
            <w:vAlign w:val="center"/>
          </w:tcPr>
          <w:p w14:paraId="07B29B08" w14:textId="3FF49D62" w:rsidR="004B23D6" w:rsidRPr="00585293" w:rsidRDefault="004B23D6" w:rsidP="004B23D6">
            <w:pPr>
              <w:spacing w:after="160"/>
              <w:jc w:val="center"/>
              <w:rPr>
                <w:color w:val="000000"/>
              </w:rPr>
            </w:pPr>
            <w:r w:rsidRPr="00585293">
              <w:rPr>
                <w:color w:val="000000"/>
              </w:rPr>
              <w:t>0.408</w:t>
            </w:r>
          </w:p>
        </w:tc>
        <w:tc>
          <w:tcPr>
            <w:tcW w:w="572" w:type="pct"/>
            <w:shd w:val="clear" w:color="auto" w:fill="auto"/>
            <w:noWrap/>
            <w:tcMar>
              <w:left w:w="0" w:type="dxa"/>
              <w:right w:w="0" w:type="dxa"/>
            </w:tcMar>
            <w:vAlign w:val="center"/>
          </w:tcPr>
          <w:p w14:paraId="69F23023" w14:textId="7DE559C7" w:rsidR="004B23D6" w:rsidRPr="00585293" w:rsidRDefault="004B23D6" w:rsidP="004B23D6">
            <w:pPr>
              <w:spacing w:after="160"/>
              <w:jc w:val="center"/>
              <w:rPr>
                <w:color w:val="000000"/>
              </w:rPr>
            </w:pPr>
            <w:r w:rsidRPr="00585293">
              <w:rPr>
                <w:color w:val="000000"/>
              </w:rPr>
              <w:t>(0.003)</w:t>
            </w:r>
          </w:p>
        </w:tc>
        <w:tc>
          <w:tcPr>
            <w:tcW w:w="572" w:type="pct"/>
            <w:shd w:val="clear" w:color="auto" w:fill="auto"/>
            <w:noWrap/>
            <w:tcMar>
              <w:left w:w="0" w:type="dxa"/>
              <w:right w:w="0" w:type="dxa"/>
            </w:tcMar>
            <w:vAlign w:val="center"/>
          </w:tcPr>
          <w:p w14:paraId="0B2D8B54" w14:textId="67266A5E" w:rsidR="004B23D6" w:rsidRPr="00585293" w:rsidRDefault="004B23D6" w:rsidP="004B23D6">
            <w:pPr>
              <w:spacing w:after="160"/>
              <w:jc w:val="center"/>
              <w:rPr>
                <w:color w:val="000000"/>
              </w:rPr>
            </w:pPr>
            <w:r w:rsidRPr="00585293">
              <w:rPr>
                <w:color w:val="000000"/>
              </w:rPr>
              <w:t>161,568</w:t>
            </w:r>
          </w:p>
        </w:tc>
        <w:tc>
          <w:tcPr>
            <w:tcW w:w="571" w:type="pct"/>
            <w:shd w:val="clear" w:color="auto" w:fill="auto"/>
            <w:noWrap/>
            <w:tcMar>
              <w:left w:w="0" w:type="dxa"/>
              <w:right w:w="0" w:type="dxa"/>
            </w:tcMar>
            <w:vAlign w:val="center"/>
          </w:tcPr>
          <w:p w14:paraId="6D46DC78" w14:textId="665EC05C" w:rsidR="004B23D6" w:rsidRPr="00585293" w:rsidRDefault="004B23D6" w:rsidP="004B23D6">
            <w:pPr>
              <w:spacing w:after="160"/>
              <w:jc w:val="center"/>
              <w:rPr>
                <w:color w:val="000000"/>
              </w:rPr>
            </w:pPr>
            <w:r w:rsidRPr="00585293">
              <w:rPr>
                <w:color w:val="000000"/>
              </w:rPr>
              <w:t>0.624</w:t>
            </w:r>
          </w:p>
        </w:tc>
        <w:tc>
          <w:tcPr>
            <w:tcW w:w="572" w:type="pct"/>
            <w:shd w:val="clear" w:color="auto" w:fill="auto"/>
            <w:noWrap/>
            <w:tcMar>
              <w:left w:w="0" w:type="dxa"/>
              <w:right w:w="0" w:type="dxa"/>
            </w:tcMar>
            <w:vAlign w:val="center"/>
          </w:tcPr>
          <w:p w14:paraId="5284E852" w14:textId="7F708C99" w:rsidR="004B23D6" w:rsidRPr="00585293" w:rsidRDefault="004B23D6" w:rsidP="004B23D6">
            <w:pPr>
              <w:spacing w:after="160"/>
              <w:jc w:val="center"/>
              <w:rPr>
                <w:color w:val="000000"/>
              </w:rPr>
            </w:pPr>
            <w:r w:rsidRPr="00585293">
              <w:rPr>
                <w:color w:val="000000"/>
              </w:rPr>
              <w:t>(0.004)</w:t>
            </w:r>
          </w:p>
        </w:tc>
        <w:tc>
          <w:tcPr>
            <w:tcW w:w="569" w:type="pct"/>
            <w:shd w:val="clear" w:color="auto" w:fill="auto"/>
            <w:noWrap/>
            <w:tcMar>
              <w:left w:w="0" w:type="dxa"/>
              <w:right w:w="0" w:type="dxa"/>
            </w:tcMar>
            <w:vAlign w:val="center"/>
          </w:tcPr>
          <w:p w14:paraId="4FD16E06" w14:textId="679B9047" w:rsidR="004B23D6" w:rsidRPr="00585293" w:rsidRDefault="004B23D6" w:rsidP="004B23D6">
            <w:pPr>
              <w:spacing w:after="160"/>
              <w:jc w:val="center"/>
              <w:rPr>
                <w:color w:val="000000"/>
              </w:rPr>
            </w:pPr>
            <w:r w:rsidRPr="00585293">
              <w:rPr>
                <w:color w:val="000000"/>
              </w:rPr>
              <w:t>159,723</w:t>
            </w:r>
          </w:p>
        </w:tc>
      </w:tr>
      <w:tr w:rsidR="00C83308" w:rsidRPr="00585293" w14:paraId="2C6C0982" w14:textId="77777777" w:rsidTr="004B23D6">
        <w:trPr>
          <w:trHeight w:val="290"/>
        </w:trPr>
        <w:tc>
          <w:tcPr>
            <w:tcW w:w="1573" w:type="pct"/>
            <w:shd w:val="clear" w:color="auto" w:fill="auto"/>
            <w:noWrap/>
            <w:tcMar>
              <w:left w:w="113" w:type="dxa"/>
              <w:right w:w="0" w:type="dxa"/>
            </w:tcMar>
            <w:vAlign w:val="center"/>
          </w:tcPr>
          <w:p w14:paraId="58A427C9" w14:textId="15E58107" w:rsidR="004B23D6" w:rsidRPr="00585293" w:rsidRDefault="004B23D6" w:rsidP="004B23D6">
            <w:pPr>
              <w:spacing w:after="160"/>
              <w:rPr>
                <w:color w:val="000000"/>
              </w:rPr>
            </w:pPr>
            <w:r w:rsidRPr="00585293">
              <w:rPr>
                <w:color w:val="000000"/>
              </w:rPr>
              <w:t>Narrower Father Age Range</w:t>
            </w:r>
          </w:p>
        </w:tc>
        <w:tc>
          <w:tcPr>
            <w:tcW w:w="571" w:type="pct"/>
            <w:shd w:val="clear" w:color="auto" w:fill="auto"/>
            <w:noWrap/>
            <w:tcMar>
              <w:left w:w="0" w:type="dxa"/>
              <w:right w:w="0" w:type="dxa"/>
            </w:tcMar>
            <w:vAlign w:val="center"/>
          </w:tcPr>
          <w:p w14:paraId="2C97243C" w14:textId="5E094BCD" w:rsidR="004B23D6" w:rsidRPr="00585293" w:rsidRDefault="004B23D6" w:rsidP="004B23D6">
            <w:pPr>
              <w:spacing w:after="160"/>
              <w:jc w:val="center"/>
              <w:rPr>
                <w:color w:val="000000"/>
              </w:rPr>
            </w:pPr>
            <w:r w:rsidRPr="00585293">
              <w:rPr>
                <w:color w:val="000000"/>
              </w:rPr>
              <w:t>0.406</w:t>
            </w:r>
          </w:p>
        </w:tc>
        <w:tc>
          <w:tcPr>
            <w:tcW w:w="572" w:type="pct"/>
            <w:shd w:val="clear" w:color="auto" w:fill="auto"/>
            <w:noWrap/>
            <w:tcMar>
              <w:left w:w="0" w:type="dxa"/>
              <w:right w:w="0" w:type="dxa"/>
            </w:tcMar>
            <w:vAlign w:val="center"/>
          </w:tcPr>
          <w:p w14:paraId="3D55DFF3" w14:textId="19774DE6" w:rsidR="004B23D6" w:rsidRPr="00585293" w:rsidRDefault="004B23D6" w:rsidP="004B23D6">
            <w:pPr>
              <w:spacing w:after="160"/>
              <w:jc w:val="center"/>
              <w:rPr>
                <w:color w:val="000000"/>
              </w:rPr>
            </w:pPr>
            <w:r w:rsidRPr="00585293">
              <w:rPr>
                <w:color w:val="000000"/>
              </w:rPr>
              <w:t>(0.003)</w:t>
            </w:r>
          </w:p>
        </w:tc>
        <w:tc>
          <w:tcPr>
            <w:tcW w:w="572" w:type="pct"/>
            <w:shd w:val="clear" w:color="auto" w:fill="auto"/>
            <w:noWrap/>
            <w:tcMar>
              <w:left w:w="0" w:type="dxa"/>
              <w:right w:w="0" w:type="dxa"/>
            </w:tcMar>
            <w:vAlign w:val="center"/>
          </w:tcPr>
          <w:p w14:paraId="227D3210" w14:textId="03EE57DD" w:rsidR="004B23D6" w:rsidRPr="00585293" w:rsidRDefault="004B23D6" w:rsidP="004B23D6">
            <w:pPr>
              <w:spacing w:after="160"/>
              <w:jc w:val="center"/>
              <w:rPr>
                <w:color w:val="000000"/>
              </w:rPr>
            </w:pPr>
            <w:r w:rsidRPr="00585293">
              <w:rPr>
                <w:color w:val="000000"/>
              </w:rPr>
              <w:t>92,768</w:t>
            </w:r>
          </w:p>
        </w:tc>
        <w:tc>
          <w:tcPr>
            <w:tcW w:w="571" w:type="pct"/>
            <w:shd w:val="clear" w:color="auto" w:fill="auto"/>
            <w:noWrap/>
            <w:tcMar>
              <w:left w:w="0" w:type="dxa"/>
              <w:right w:w="0" w:type="dxa"/>
            </w:tcMar>
            <w:vAlign w:val="center"/>
          </w:tcPr>
          <w:p w14:paraId="37F65FE9" w14:textId="3C1B730F" w:rsidR="004B23D6" w:rsidRPr="00585293" w:rsidRDefault="004B23D6" w:rsidP="004B23D6">
            <w:pPr>
              <w:spacing w:after="160"/>
              <w:jc w:val="center"/>
              <w:rPr>
                <w:color w:val="000000"/>
              </w:rPr>
            </w:pPr>
            <w:r w:rsidRPr="00585293">
              <w:rPr>
                <w:color w:val="000000"/>
              </w:rPr>
              <w:t>0.626</w:t>
            </w:r>
          </w:p>
        </w:tc>
        <w:tc>
          <w:tcPr>
            <w:tcW w:w="572" w:type="pct"/>
            <w:shd w:val="clear" w:color="auto" w:fill="auto"/>
            <w:noWrap/>
            <w:tcMar>
              <w:left w:w="0" w:type="dxa"/>
              <w:right w:w="0" w:type="dxa"/>
            </w:tcMar>
            <w:vAlign w:val="center"/>
          </w:tcPr>
          <w:p w14:paraId="01CA4E28" w14:textId="6C574FBD" w:rsidR="004B23D6" w:rsidRPr="00585293" w:rsidRDefault="004B23D6" w:rsidP="004B23D6">
            <w:pPr>
              <w:spacing w:after="160"/>
              <w:jc w:val="center"/>
              <w:rPr>
                <w:color w:val="000000"/>
              </w:rPr>
            </w:pPr>
            <w:r w:rsidRPr="00585293">
              <w:rPr>
                <w:color w:val="000000"/>
              </w:rPr>
              <w:t>(0.005)</w:t>
            </w:r>
          </w:p>
        </w:tc>
        <w:tc>
          <w:tcPr>
            <w:tcW w:w="569" w:type="pct"/>
            <w:shd w:val="clear" w:color="auto" w:fill="auto"/>
            <w:noWrap/>
            <w:tcMar>
              <w:left w:w="0" w:type="dxa"/>
              <w:right w:w="0" w:type="dxa"/>
            </w:tcMar>
            <w:vAlign w:val="center"/>
          </w:tcPr>
          <w:p w14:paraId="49250635" w14:textId="0F937FC3" w:rsidR="004B23D6" w:rsidRPr="00585293" w:rsidRDefault="004B23D6" w:rsidP="004B23D6">
            <w:pPr>
              <w:spacing w:after="160"/>
              <w:jc w:val="center"/>
              <w:rPr>
                <w:color w:val="000000"/>
              </w:rPr>
            </w:pPr>
            <w:r w:rsidRPr="00585293">
              <w:rPr>
                <w:color w:val="000000"/>
              </w:rPr>
              <w:t>91,988</w:t>
            </w:r>
          </w:p>
        </w:tc>
      </w:tr>
      <w:tr w:rsidR="00C83308" w:rsidRPr="00585293" w14:paraId="54BBA1A2" w14:textId="77777777" w:rsidTr="004B23D6">
        <w:trPr>
          <w:trHeight w:val="290"/>
        </w:trPr>
        <w:tc>
          <w:tcPr>
            <w:tcW w:w="1573" w:type="pct"/>
            <w:shd w:val="clear" w:color="auto" w:fill="auto"/>
            <w:noWrap/>
            <w:tcMar>
              <w:left w:w="113" w:type="dxa"/>
              <w:right w:w="0" w:type="dxa"/>
            </w:tcMar>
            <w:vAlign w:val="center"/>
          </w:tcPr>
          <w:p w14:paraId="47B57A12" w14:textId="1C935FD0" w:rsidR="004B23D6" w:rsidRPr="00585293" w:rsidRDefault="004B23D6" w:rsidP="004B23D6">
            <w:pPr>
              <w:spacing w:after="160"/>
              <w:rPr>
                <w:color w:val="000000"/>
              </w:rPr>
            </w:pPr>
            <w:r w:rsidRPr="00585293">
              <w:rPr>
                <w:color w:val="000000"/>
              </w:rPr>
              <w:t>Early</w:t>
            </w:r>
            <w:r w:rsidR="00EB0002" w:rsidRPr="00585293">
              <w:rPr>
                <w:color w:val="000000"/>
              </w:rPr>
              <w:t>-</w:t>
            </w:r>
            <w:r w:rsidRPr="00585293">
              <w:rPr>
                <w:color w:val="000000"/>
              </w:rPr>
              <w:t>Career</w:t>
            </w:r>
          </w:p>
        </w:tc>
        <w:tc>
          <w:tcPr>
            <w:tcW w:w="571" w:type="pct"/>
            <w:shd w:val="clear" w:color="auto" w:fill="auto"/>
            <w:noWrap/>
            <w:tcMar>
              <w:left w:w="0" w:type="dxa"/>
              <w:right w:w="0" w:type="dxa"/>
            </w:tcMar>
            <w:vAlign w:val="center"/>
          </w:tcPr>
          <w:p w14:paraId="1818E713" w14:textId="6446BCB7" w:rsidR="004B23D6" w:rsidRPr="00585293" w:rsidRDefault="004B23D6" w:rsidP="004B23D6">
            <w:pPr>
              <w:spacing w:after="160"/>
              <w:jc w:val="center"/>
              <w:rPr>
                <w:color w:val="000000"/>
              </w:rPr>
            </w:pPr>
            <w:r w:rsidRPr="00585293">
              <w:rPr>
                <w:color w:val="000000"/>
              </w:rPr>
              <w:t>0.411</w:t>
            </w:r>
          </w:p>
        </w:tc>
        <w:tc>
          <w:tcPr>
            <w:tcW w:w="572" w:type="pct"/>
            <w:shd w:val="clear" w:color="auto" w:fill="auto"/>
            <w:noWrap/>
            <w:tcMar>
              <w:left w:w="0" w:type="dxa"/>
              <w:right w:w="0" w:type="dxa"/>
            </w:tcMar>
            <w:vAlign w:val="center"/>
          </w:tcPr>
          <w:p w14:paraId="0E6571E9" w14:textId="2E0387FA" w:rsidR="004B23D6" w:rsidRPr="00585293" w:rsidRDefault="004B23D6" w:rsidP="004B23D6">
            <w:pPr>
              <w:spacing w:after="160"/>
              <w:jc w:val="center"/>
              <w:rPr>
                <w:color w:val="000000"/>
              </w:rPr>
            </w:pPr>
            <w:r w:rsidRPr="00585293">
              <w:rPr>
                <w:color w:val="000000"/>
              </w:rPr>
              <w:t>(0.002)</w:t>
            </w:r>
          </w:p>
        </w:tc>
        <w:tc>
          <w:tcPr>
            <w:tcW w:w="572" w:type="pct"/>
            <w:shd w:val="clear" w:color="auto" w:fill="auto"/>
            <w:noWrap/>
            <w:tcMar>
              <w:left w:w="0" w:type="dxa"/>
              <w:right w:w="0" w:type="dxa"/>
            </w:tcMar>
            <w:vAlign w:val="center"/>
          </w:tcPr>
          <w:p w14:paraId="64CFBF59" w14:textId="65D7956E" w:rsidR="004B23D6" w:rsidRPr="00585293" w:rsidRDefault="004B23D6" w:rsidP="004B23D6">
            <w:pPr>
              <w:spacing w:after="160"/>
              <w:jc w:val="center"/>
              <w:rPr>
                <w:color w:val="000000"/>
              </w:rPr>
            </w:pPr>
            <w:r w:rsidRPr="00585293">
              <w:rPr>
                <w:color w:val="000000"/>
              </w:rPr>
              <w:t>151,864</w:t>
            </w:r>
          </w:p>
        </w:tc>
        <w:tc>
          <w:tcPr>
            <w:tcW w:w="571" w:type="pct"/>
            <w:shd w:val="clear" w:color="auto" w:fill="auto"/>
            <w:noWrap/>
            <w:tcMar>
              <w:left w:w="0" w:type="dxa"/>
              <w:right w:w="0" w:type="dxa"/>
            </w:tcMar>
            <w:vAlign w:val="center"/>
          </w:tcPr>
          <w:p w14:paraId="10ECB305" w14:textId="1DC13997" w:rsidR="004B23D6" w:rsidRPr="00585293" w:rsidRDefault="004B23D6" w:rsidP="004B23D6">
            <w:pPr>
              <w:spacing w:after="160"/>
              <w:jc w:val="center"/>
              <w:rPr>
                <w:color w:val="000000"/>
              </w:rPr>
            </w:pPr>
            <w:r w:rsidRPr="00585293">
              <w:rPr>
                <w:color w:val="000000"/>
              </w:rPr>
              <w:t>0.666</w:t>
            </w:r>
          </w:p>
        </w:tc>
        <w:tc>
          <w:tcPr>
            <w:tcW w:w="572" w:type="pct"/>
            <w:shd w:val="clear" w:color="auto" w:fill="auto"/>
            <w:noWrap/>
            <w:tcMar>
              <w:left w:w="0" w:type="dxa"/>
              <w:right w:w="0" w:type="dxa"/>
            </w:tcMar>
            <w:vAlign w:val="center"/>
          </w:tcPr>
          <w:p w14:paraId="639C79B1" w14:textId="42037E9A" w:rsidR="004B23D6" w:rsidRPr="00585293" w:rsidRDefault="004B23D6" w:rsidP="004B23D6">
            <w:pPr>
              <w:spacing w:after="160"/>
              <w:jc w:val="center"/>
              <w:rPr>
                <w:color w:val="000000"/>
              </w:rPr>
            </w:pPr>
            <w:r w:rsidRPr="00585293">
              <w:rPr>
                <w:color w:val="000000"/>
              </w:rPr>
              <w:t>(0.004)</w:t>
            </w:r>
          </w:p>
        </w:tc>
        <w:tc>
          <w:tcPr>
            <w:tcW w:w="569" w:type="pct"/>
            <w:shd w:val="clear" w:color="auto" w:fill="auto"/>
            <w:noWrap/>
            <w:tcMar>
              <w:left w:w="0" w:type="dxa"/>
              <w:right w:w="0" w:type="dxa"/>
            </w:tcMar>
            <w:vAlign w:val="center"/>
          </w:tcPr>
          <w:p w14:paraId="04F561F5" w14:textId="34C8931C" w:rsidR="004B23D6" w:rsidRPr="00585293" w:rsidRDefault="004B23D6" w:rsidP="004B23D6">
            <w:pPr>
              <w:spacing w:after="160"/>
              <w:jc w:val="center"/>
              <w:rPr>
                <w:color w:val="000000"/>
              </w:rPr>
            </w:pPr>
            <w:r w:rsidRPr="00585293">
              <w:rPr>
                <w:color w:val="000000"/>
              </w:rPr>
              <w:t>150,219</w:t>
            </w:r>
          </w:p>
        </w:tc>
      </w:tr>
      <w:tr w:rsidR="00C83308" w:rsidRPr="00585293" w14:paraId="3FD3DCB3" w14:textId="77777777" w:rsidTr="004B23D6">
        <w:trPr>
          <w:trHeight w:val="290"/>
        </w:trPr>
        <w:tc>
          <w:tcPr>
            <w:tcW w:w="1573" w:type="pct"/>
            <w:shd w:val="clear" w:color="auto" w:fill="auto"/>
            <w:noWrap/>
            <w:tcMar>
              <w:left w:w="113" w:type="dxa"/>
              <w:right w:w="0" w:type="dxa"/>
            </w:tcMar>
            <w:vAlign w:val="center"/>
            <w:hideMark/>
          </w:tcPr>
          <w:p w14:paraId="3D34B571" w14:textId="1FCAB370" w:rsidR="004B23D6" w:rsidRPr="00585293" w:rsidRDefault="004B23D6" w:rsidP="004B23D6">
            <w:pPr>
              <w:spacing w:after="160"/>
              <w:rPr>
                <w:color w:val="000000"/>
              </w:rPr>
            </w:pPr>
            <w:r w:rsidRPr="00585293">
              <w:rPr>
                <w:color w:val="000000"/>
              </w:rPr>
              <w:t>Mid</w:t>
            </w:r>
            <w:r w:rsidR="00EB0002" w:rsidRPr="00585293">
              <w:rPr>
                <w:color w:val="000000"/>
              </w:rPr>
              <w:t>-</w:t>
            </w:r>
            <w:r w:rsidRPr="00585293">
              <w:rPr>
                <w:color w:val="000000"/>
              </w:rPr>
              <w:t>Career</w:t>
            </w:r>
          </w:p>
        </w:tc>
        <w:tc>
          <w:tcPr>
            <w:tcW w:w="571" w:type="pct"/>
            <w:shd w:val="clear" w:color="auto" w:fill="auto"/>
            <w:noWrap/>
            <w:tcMar>
              <w:left w:w="0" w:type="dxa"/>
              <w:right w:w="0" w:type="dxa"/>
            </w:tcMar>
            <w:vAlign w:val="center"/>
            <w:hideMark/>
          </w:tcPr>
          <w:p w14:paraId="2A2197FA" w14:textId="51E499EC" w:rsidR="004B23D6" w:rsidRPr="00585293" w:rsidRDefault="004B23D6" w:rsidP="004B23D6">
            <w:pPr>
              <w:spacing w:after="160"/>
              <w:jc w:val="center"/>
              <w:rPr>
                <w:color w:val="000000"/>
              </w:rPr>
            </w:pPr>
            <w:r w:rsidRPr="00585293">
              <w:rPr>
                <w:color w:val="000000"/>
              </w:rPr>
              <w:t>0.385</w:t>
            </w:r>
          </w:p>
        </w:tc>
        <w:tc>
          <w:tcPr>
            <w:tcW w:w="572" w:type="pct"/>
            <w:shd w:val="clear" w:color="auto" w:fill="auto"/>
            <w:noWrap/>
            <w:tcMar>
              <w:left w:w="0" w:type="dxa"/>
              <w:right w:w="0" w:type="dxa"/>
            </w:tcMar>
            <w:vAlign w:val="center"/>
            <w:hideMark/>
          </w:tcPr>
          <w:p w14:paraId="65D0292F" w14:textId="5B4AC032" w:rsidR="004B23D6" w:rsidRPr="00585293" w:rsidRDefault="004B23D6" w:rsidP="004B23D6">
            <w:pPr>
              <w:spacing w:after="160"/>
              <w:jc w:val="center"/>
              <w:rPr>
                <w:color w:val="000000"/>
              </w:rPr>
            </w:pPr>
            <w:r w:rsidRPr="00585293">
              <w:rPr>
                <w:color w:val="000000"/>
              </w:rPr>
              <w:t>(0.003)</w:t>
            </w:r>
          </w:p>
        </w:tc>
        <w:tc>
          <w:tcPr>
            <w:tcW w:w="572" w:type="pct"/>
            <w:shd w:val="clear" w:color="auto" w:fill="auto"/>
            <w:noWrap/>
            <w:tcMar>
              <w:left w:w="0" w:type="dxa"/>
              <w:right w:w="0" w:type="dxa"/>
            </w:tcMar>
            <w:vAlign w:val="center"/>
            <w:hideMark/>
          </w:tcPr>
          <w:p w14:paraId="7DC8E855" w14:textId="153F2109" w:rsidR="004B23D6" w:rsidRPr="00585293" w:rsidRDefault="004B23D6" w:rsidP="004B23D6">
            <w:pPr>
              <w:spacing w:after="160"/>
              <w:jc w:val="center"/>
              <w:rPr>
                <w:color w:val="000000"/>
              </w:rPr>
            </w:pPr>
            <w:r w:rsidRPr="00585293">
              <w:rPr>
                <w:color w:val="000000"/>
              </w:rPr>
              <w:t>151,864</w:t>
            </w:r>
          </w:p>
        </w:tc>
        <w:tc>
          <w:tcPr>
            <w:tcW w:w="571" w:type="pct"/>
            <w:shd w:val="clear" w:color="auto" w:fill="auto"/>
            <w:noWrap/>
            <w:tcMar>
              <w:left w:w="0" w:type="dxa"/>
              <w:right w:w="0" w:type="dxa"/>
            </w:tcMar>
            <w:vAlign w:val="center"/>
            <w:hideMark/>
          </w:tcPr>
          <w:p w14:paraId="1F85F32D" w14:textId="7101D323" w:rsidR="004B23D6" w:rsidRPr="00585293" w:rsidRDefault="004B23D6" w:rsidP="004B23D6">
            <w:pPr>
              <w:spacing w:after="160"/>
              <w:jc w:val="center"/>
              <w:rPr>
                <w:color w:val="000000"/>
              </w:rPr>
            </w:pPr>
            <w:r w:rsidRPr="00585293">
              <w:rPr>
                <w:color w:val="000000"/>
              </w:rPr>
              <w:t>0.608</w:t>
            </w:r>
          </w:p>
        </w:tc>
        <w:tc>
          <w:tcPr>
            <w:tcW w:w="572" w:type="pct"/>
            <w:shd w:val="clear" w:color="auto" w:fill="auto"/>
            <w:noWrap/>
            <w:tcMar>
              <w:left w:w="0" w:type="dxa"/>
              <w:right w:w="0" w:type="dxa"/>
            </w:tcMar>
            <w:vAlign w:val="center"/>
            <w:hideMark/>
          </w:tcPr>
          <w:p w14:paraId="70CEC735" w14:textId="26233B28" w:rsidR="004B23D6" w:rsidRPr="00585293" w:rsidRDefault="004B23D6" w:rsidP="004B23D6">
            <w:pPr>
              <w:spacing w:after="160"/>
              <w:jc w:val="center"/>
              <w:rPr>
                <w:color w:val="000000"/>
              </w:rPr>
            </w:pPr>
            <w:r w:rsidRPr="00585293">
              <w:rPr>
                <w:color w:val="000000"/>
              </w:rPr>
              <w:t>(0.004)</w:t>
            </w:r>
          </w:p>
        </w:tc>
        <w:tc>
          <w:tcPr>
            <w:tcW w:w="569" w:type="pct"/>
            <w:shd w:val="clear" w:color="auto" w:fill="auto"/>
            <w:noWrap/>
            <w:tcMar>
              <w:left w:w="0" w:type="dxa"/>
              <w:right w:w="0" w:type="dxa"/>
            </w:tcMar>
            <w:vAlign w:val="center"/>
            <w:hideMark/>
          </w:tcPr>
          <w:p w14:paraId="47BD2F7E" w14:textId="30AA1955" w:rsidR="004B23D6" w:rsidRPr="00585293" w:rsidRDefault="004B23D6" w:rsidP="004B23D6">
            <w:pPr>
              <w:spacing w:after="160"/>
              <w:jc w:val="center"/>
              <w:rPr>
                <w:color w:val="000000"/>
              </w:rPr>
            </w:pPr>
            <w:r w:rsidRPr="00585293">
              <w:rPr>
                <w:color w:val="000000"/>
              </w:rPr>
              <w:t>150,219</w:t>
            </w:r>
          </w:p>
        </w:tc>
      </w:tr>
      <w:tr w:rsidR="00C83308" w:rsidRPr="00585293" w14:paraId="0464CF07" w14:textId="77777777" w:rsidTr="004B23D6">
        <w:trPr>
          <w:trHeight w:val="290"/>
        </w:trPr>
        <w:tc>
          <w:tcPr>
            <w:tcW w:w="1573" w:type="pct"/>
            <w:shd w:val="clear" w:color="auto" w:fill="auto"/>
            <w:noWrap/>
            <w:tcMar>
              <w:left w:w="113" w:type="dxa"/>
              <w:right w:w="0" w:type="dxa"/>
            </w:tcMar>
            <w:vAlign w:val="center"/>
            <w:hideMark/>
          </w:tcPr>
          <w:p w14:paraId="3DC69665" w14:textId="2C8773E3" w:rsidR="004B23D6" w:rsidRPr="00585293" w:rsidRDefault="004B23D6" w:rsidP="004B23D6">
            <w:pPr>
              <w:spacing w:after="160"/>
              <w:rPr>
                <w:color w:val="000000"/>
              </w:rPr>
            </w:pPr>
            <w:r w:rsidRPr="00585293">
              <w:rPr>
                <w:color w:val="000000"/>
              </w:rPr>
              <w:t>Peak</w:t>
            </w:r>
          </w:p>
        </w:tc>
        <w:tc>
          <w:tcPr>
            <w:tcW w:w="571" w:type="pct"/>
            <w:shd w:val="clear" w:color="auto" w:fill="auto"/>
            <w:noWrap/>
            <w:tcMar>
              <w:left w:w="0" w:type="dxa"/>
              <w:right w:w="0" w:type="dxa"/>
            </w:tcMar>
            <w:vAlign w:val="center"/>
            <w:hideMark/>
          </w:tcPr>
          <w:p w14:paraId="06847298" w14:textId="2E852A5C" w:rsidR="004B23D6" w:rsidRPr="00585293" w:rsidRDefault="004B23D6" w:rsidP="004B23D6">
            <w:pPr>
              <w:spacing w:after="160"/>
              <w:jc w:val="center"/>
              <w:rPr>
                <w:color w:val="000000"/>
              </w:rPr>
            </w:pPr>
            <w:r w:rsidRPr="00585293">
              <w:rPr>
                <w:color w:val="000000"/>
              </w:rPr>
              <w:t>0.378</w:t>
            </w:r>
          </w:p>
        </w:tc>
        <w:tc>
          <w:tcPr>
            <w:tcW w:w="572" w:type="pct"/>
            <w:shd w:val="clear" w:color="auto" w:fill="auto"/>
            <w:noWrap/>
            <w:tcMar>
              <w:left w:w="0" w:type="dxa"/>
              <w:right w:w="0" w:type="dxa"/>
            </w:tcMar>
            <w:vAlign w:val="center"/>
            <w:hideMark/>
          </w:tcPr>
          <w:p w14:paraId="222CD2CA" w14:textId="14524F58" w:rsidR="004B23D6" w:rsidRPr="00585293" w:rsidRDefault="004B23D6" w:rsidP="004B23D6">
            <w:pPr>
              <w:spacing w:after="160"/>
              <w:jc w:val="center"/>
              <w:rPr>
                <w:color w:val="000000"/>
              </w:rPr>
            </w:pPr>
            <w:r w:rsidRPr="00585293">
              <w:rPr>
                <w:color w:val="000000"/>
              </w:rPr>
              <w:t>(0.003)</w:t>
            </w:r>
          </w:p>
        </w:tc>
        <w:tc>
          <w:tcPr>
            <w:tcW w:w="572" w:type="pct"/>
            <w:shd w:val="clear" w:color="auto" w:fill="auto"/>
            <w:noWrap/>
            <w:tcMar>
              <w:left w:w="0" w:type="dxa"/>
              <w:right w:w="0" w:type="dxa"/>
            </w:tcMar>
            <w:vAlign w:val="center"/>
            <w:hideMark/>
          </w:tcPr>
          <w:p w14:paraId="2C9F513F" w14:textId="74B76A42" w:rsidR="004B23D6" w:rsidRPr="00585293" w:rsidRDefault="004B23D6" w:rsidP="004B23D6">
            <w:pPr>
              <w:spacing w:after="160"/>
              <w:jc w:val="center"/>
              <w:rPr>
                <w:color w:val="000000"/>
              </w:rPr>
            </w:pPr>
            <w:r w:rsidRPr="00585293">
              <w:rPr>
                <w:color w:val="000000"/>
              </w:rPr>
              <w:t>151,864</w:t>
            </w:r>
          </w:p>
        </w:tc>
        <w:tc>
          <w:tcPr>
            <w:tcW w:w="571" w:type="pct"/>
            <w:shd w:val="clear" w:color="auto" w:fill="auto"/>
            <w:noWrap/>
            <w:tcMar>
              <w:left w:w="0" w:type="dxa"/>
              <w:right w:w="0" w:type="dxa"/>
            </w:tcMar>
            <w:vAlign w:val="center"/>
            <w:hideMark/>
          </w:tcPr>
          <w:p w14:paraId="76FCAAC3" w14:textId="7764B3CA" w:rsidR="004B23D6" w:rsidRPr="00585293" w:rsidRDefault="004B23D6" w:rsidP="004B23D6">
            <w:pPr>
              <w:spacing w:after="160"/>
              <w:jc w:val="center"/>
              <w:rPr>
                <w:color w:val="000000"/>
              </w:rPr>
            </w:pPr>
            <w:r w:rsidRPr="00585293">
              <w:rPr>
                <w:color w:val="000000"/>
              </w:rPr>
              <w:t>0.604</w:t>
            </w:r>
          </w:p>
        </w:tc>
        <w:tc>
          <w:tcPr>
            <w:tcW w:w="572" w:type="pct"/>
            <w:shd w:val="clear" w:color="auto" w:fill="auto"/>
            <w:noWrap/>
            <w:tcMar>
              <w:left w:w="0" w:type="dxa"/>
              <w:right w:w="0" w:type="dxa"/>
            </w:tcMar>
            <w:vAlign w:val="center"/>
            <w:hideMark/>
          </w:tcPr>
          <w:p w14:paraId="562FE29D" w14:textId="065CEA2E" w:rsidR="004B23D6" w:rsidRPr="00585293" w:rsidRDefault="004B23D6" w:rsidP="004B23D6">
            <w:pPr>
              <w:spacing w:after="160"/>
              <w:jc w:val="center"/>
              <w:rPr>
                <w:color w:val="000000"/>
              </w:rPr>
            </w:pPr>
            <w:r w:rsidRPr="00585293">
              <w:rPr>
                <w:color w:val="000000"/>
              </w:rPr>
              <w:t>(0.004)</w:t>
            </w:r>
          </w:p>
        </w:tc>
        <w:tc>
          <w:tcPr>
            <w:tcW w:w="569" w:type="pct"/>
            <w:shd w:val="clear" w:color="auto" w:fill="auto"/>
            <w:noWrap/>
            <w:tcMar>
              <w:left w:w="0" w:type="dxa"/>
              <w:right w:w="0" w:type="dxa"/>
            </w:tcMar>
            <w:vAlign w:val="center"/>
            <w:hideMark/>
          </w:tcPr>
          <w:p w14:paraId="061590E8" w14:textId="08DC6514" w:rsidR="004B23D6" w:rsidRPr="00585293" w:rsidRDefault="004B23D6" w:rsidP="004B23D6">
            <w:pPr>
              <w:spacing w:after="160"/>
              <w:jc w:val="center"/>
              <w:rPr>
                <w:color w:val="000000"/>
              </w:rPr>
            </w:pPr>
            <w:r w:rsidRPr="00585293">
              <w:rPr>
                <w:color w:val="000000"/>
              </w:rPr>
              <w:t>150,219</w:t>
            </w:r>
          </w:p>
        </w:tc>
      </w:tr>
      <w:tr w:rsidR="00C83308" w:rsidRPr="00585293" w14:paraId="54D43239" w14:textId="77777777" w:rsidTr="004B23D6">
        <w:trPr>
          <w:trHeight w:hRule="exact" w:val="28"/>
        </w:trPr>
        <w:tc>
          <w:tcPr>
            <w:tcW w:w="1573" w:type="pct"/>
            <w:shd w:val="clear" w:color="auto" w:fill="auto"/>
            <w:noWrap/>
            <w:tcMar>
              <w:left w:w="113" w:type="dxa"/>
              <w:right w:w="0" w:type="dxa"/>
            </w:tcMar>
            <w:vAlign w:val="center"/>
          </w:tcPr>
          <w:p w14:paraId="59106863" w14:textId="77777777" w:rsidR="006E6D29" w:rsidRPr="00585293" w:rsidRDefault="006E6D29" w:rsidP="00805634">
            <w:pPr>
              <w:spacing w:after="160"/>
              <w:rPr>
                <w:color w:val="000000"/>
              </w:rPr>
            </w:pPr>
          </w:p>
        </w:tc>
        <w:tc>
          <w:tcPr>
            <w:tcW w:w="571" w:type="pct"/>
            <w:shd w:val="clear" w:color="auto" w:fill="auto"/>
            <w:noWrap/>
            <w:tcMar>
              <w:left w:w="0" w:type="dxa"/>
              <w:right w:w="0" w:type="dxa"/>
            </w:tcMar>
            <w:vAlign w:val="center"/>
          </w:tcPr>
          <w:p w14:paraId="658182E4" w14:textId="77777777" w:rsidR="006E6D29" w:rsidRPr="00585293" w:rsidRDefault="006E6D29" w:rsidP="00805634">
            <w:pPr>
              <w:spacing w:after="160"/>
              <w:jc w:val="center"/>
              <w:rPr>
                <w:color w:val="000000"/>
              </w:rPr>
            </w:pPr>
          </w:p>
        </w:tc>
        <w:tc>
          <w:tcPr>
            <w:tcW w:w="572" w:type="pct"/>
            <w:shd w:val="clear" w:color="auto" w:fill="auto"/>
            <w:noWrap/>
            <w:tcMar>
              <w:left w:w="0" w:type="dxa"/>
              <w:right w:w="0" w:type="dxa"/>
            </w:tcMar>
            <w:vAlign w:val="center"/>
          </w:tcPr>
          <w:p w14:paraId="3487585E" w14:textId="77777777" w:rsidR="006E6D29" w:rsidRPr="00585293" w:rsidRDefault="006E6D29" w:rsidP="00805634">
            <w:pPr>
              <w:spacing w:after="160"/>
              <w:jc w:val="center"/>
              <w:rPr>
                <w:color w:val="000000"/>
              </w:rPr>
            </w:pPr>
          </w:p>
        </w:tc>
        <w:tc>
          <w:tcPr>
            <w:tcW w:w="572" w:type="pct"/>
            <w:shd w:val="clear" w:color="auto" w:fill="auto"/>
            <w:noWrap/>
            <w:tcMar>
              <w:left w:w="0" w:type="dxa"/>
              <w:right w:w="0" w:type="dxa"/>
            </w:tcMar>
            <w:vAlign w:val="center"/>
          </w:tcPr>
          <w:p w14:paraId="4755EB6F" w14:textId="77777777" w:rsidR="006E6D29" w:rsidRPr="00585293" w:rsidRDefault="006E6D29" w:rsidP="00805634">
            <w:pPr>
              <w:spacing w:after="160"/>
              <w:jc w:val="center"/>
              <w:rPr>
                <w:color w:val="000000"/>
              </w:rPr>
            </w:pPr>
          </w:p>
        </w:tc>
        <w:tc>
          <w:tcPr>
            <w:tcW w:w="571" w:type="pct"/>
            <w:shd w:val="clear" w:color="auto" w:fill="auto"/>
            <w:noWrap/>
            <w:tcMar>
              <w:left w:w="0" w:type="dxa"/>
              <w:right w:w="0" w:type="dxa"/>
            </w:tcMar>
            <w:vAlign w:val="center"/>
          </w:tcPr>
          <w:p w14:paraId="4635E0A2" w14:textId="77777777" w:rsidR="006E6D29" w:rsidRPr="00585293" w:rsidRDefault="006E6D29" w:rsidP="00805634">
            <w:pPr>
              <w:spacing w:after="160"/>
              <w:jc w:val="center"/>
              <w:rPr>
                <w:color w:val="000000"/>
              </w:rPr>
            </w:pPr>
          </w:p>
        </w:tc>
        <w:tc>
          <w:tcPr>
            <w:tcW w:w="572" w:type="pct"/>
            <w:shd w:val="clear" w:color="auto" w:fill="auto"/>
            <w:noWrap/>
            <w:tcMar>
              <w:left w:w="0" w:type="dxa"/>
              <w:right w:w="0" w:type="dxa"/>
            </w:tcMar>
            <w:vAlign w:val="center"/>
          </w:tcPr>
          <w:p w14:paraId="1BF7827E" w14:textId="77777777" w:rsidR="006E6D29" w:rsidRPr="00585293" w:rsidRDefault="006E6D29" w:rsidP="00805634">
            <w:pPr>
              <w:spacing w:after="160"/>
              <w:jc w:val="center"/>
              <w:rPr>
                <w:color w:val="000000"/>
              </w:rPr>
            </w:pPr>
          </w:p>
        </w:tc>
        <w:tc>
          <w:tcPr>
            <w:tcW w:w="569" w:type="pct"/>
            <w:shd w:val="clear" w:color="auto" w:fill="auto"/>
            <w:noWrap/>
            <w:tcMar>
              <w:left w:w="0" w:type="dxa"/>
              <w:right w:w="0" w:type="dxa"/>
            </w:tcMar>
            <w:vAlign w:val="center"/>
          </w:tcPr>
          <w:p w14:paraId="0155D4DF" w14:textId="77777777" w:rsidR="006E6D29" w:rsidRPr="00585293" w:rsidRDefault="006E6D29" w:rsidP="00805634">
            <w:pPr>
              <w:spacing w:after="160"/>
              <w:jc w:val="center"/>
              <w:rPr>
                <w:color w:val="000000"/>
              </w:rPr>
            </w:pPr>
          </w:p>
        </w:tc>
      </w:tr>
    </w:tbl>
    <w:p w14:paraId="1F9D8590" w14:textId="72E559E6" w:rsidR="006E6D29" w:rsidRPr="00585293" w:rsidRDefault="006E6D29" w:rsidP="00500295">
      <w:pPr>
        <w:spacing w:after="160" w:line="480" w:lineRule="auto"/>
        <w:jc w:val="both"/>
        <w:rPr>
          <w:iCs/>
        </w:rPr>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w:t>
      </w:r>
    </w:p>
    <w:p w14:paraId="7A876A8A" w14:textId="14318BA2" w:rsidR="00BB6FC5" w:rsidRPr="00585293" w:rsidRDefault="00BB6FC5" w:rsidP="00BB6FC5">
      <w:pPr>
        <w:spacing w:after="160" w:line="480" w:lineRule="auto"/>
        <w:jc w:val="both"/>
        <w:rPr>
          <w:iCs/>
        </w:rPr>
      </w:pPr>
      <w:r w:rsidRPr="00585293">
        <w:rPr>
          <w:iCs/>
        </w:rPr>
        <w:tab/>
      </w:r>
    </w:p>
    <w:p w14:paraId="5C475425" w14:textId="77777777" w:rsidR="00500295" w:rsidRPr="00585293" w:rsidRDefault="00500295" w:rsidP="00500295">
      <w:pPr>
        <w:spacing w:after="160" w:line="480" w:lineRule="auto"/>
        <w:jc w:val="both"/>
        <w:rPr>
          <w:iCs/>
        </w:rPr>
      </w:pPr>
    </w:p>
    <w:p w14:paraId="483D4E66" w14:textId="77777777" w:rsidR="00647E1A" w:rsidRPr="00585293" w:rsidRDefault="00647E1A">
      <w:pPr>
        <w:spacing w:after="160" w:line="259" w:lineRule="auto"/>
        <w:rPr>
          <w:rFonts w:eastAsiaTheme="majorEastAsia"/>
          <w:b/>
          <w:bCs/>
          <w:sz w:val="28"/>
          <w:szCs w:val="28"/>
        </w:rPr>
      </w:pPr>
      <w:r w:rsidRPr="00585293">
        <w:rPr>
          <w:b/>
          <w:bCs/>
          <w:sz w:val="28"/>
          <w:szCs w:val="28"/>
        </w:rPr>
        <w:br w:type="page"/>
      </w:r>
    </w:p>
    <w:p w14:paraId="105878BB" w14:textId="38B85522" w:rsidR="006E625F" w:rsidRPr="00585293" w:rsidRDefault="00DB20B7" w:rsidP="006E625F">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I</w:t>
      </w:r>
      <w:r w:rsidR="006E625F" w:rsidRPr="00585293">
        <w:rPr>
          <w:rFonts w:ascii="Times New Roman" w:hAnsi="Times New Roman" w:cs="Times New Roman"/>
          <w:b/>
          <w:bCs/>
          <w:color w:val="auto"/>
          <w:sz w:val="28"/>
          <w:szCs w:val="28"/>
        </w:rPr>
        <w:tab/>
        <w:t>Quantile Regression Results</w:t>
      </w:r>
    </w:p>
    <w:p w14:paraId="54961394" w14:textId="12A6C2A2" w:rsidR="006E625F" w:rsidRPr="00585293" w:rsidRDefault="00E47725" w:rsidP="00500295">
      <w:pPr>
        <w:spacing w:after="160" w:line="480" w:lineRule="auto"/>
        <w:jc w:val="both"/>
        <w:rPr>
          <w:iCs/>
        </w:rPr>
      </w:pPr>
      <w:r w:rsidRPr="00585293">
        <w:rPr>
          <w:iCs/>
        </w:rPr>
        <w:t xml:space="preserve">Figure </w:t>
      </w:r>
      <w:r w:rsidR="00DB20B7" w:rsidRPr="00585293">
        <w:rPr>
          <w:iCs/>
        </w:rPr>
        <w:t xml:space="preserve">I1 </w:t>
      </w:r>
      <w:r w:rsidRPr="00585293">
        <w:rPr>
          <w:iCs/>
        </w:rPr>
        <w:t>shows the father-son association in occupational status from quantile regressions at the tenth, twenty-fifth, fiftieth, seventy-fifth, and ninetieth percentiles.</w:t>
      </w:r>
      <w:r w:rsidR="00450504" w:rsidRPr="00585293">
        <w:rPr>
          <w:iCs/>
        </w:rPr>
        <w:t xml:space="preserve"> The results suggest that the transmission of status is stronger between high-status fathers and sons than between their low-status counterparts. This may be explained by the fact that high-status families have more resources and avenues to protect the socioeconomic status of their future generations.</w:t>
      </w:r>
    </w:p>
    <w:p w14:paraId="33EEBC82" w14:textId="22858D0E" w:rsidR="00450504" w:rsidRPr="00585293" w:rsidRDefault="00450504" w:rsidP="00450504">
      <w:pPr>
        <w:pStyle w:val="Caption"/>
        <w:keepNext/>
        <w:jc w:val="center"/>
        <w:rPr>
          <w:i w:val="0"/>
          <w:iCs w:val="0"/>
          <w:color w:val="auto"/>
          <w:sz w:val="24"/>
          <w:szCs w:val="24"/>
        </w:rPr>
      </w:pPr>
      <w:r w:rsidRPr="003653CA">
        <w:rPr>
          <w:i w:val="0"/>
          <w:iCs w:val="0"/>
          <w:color w:val="auto"/>
          <w:sz w:val="24"/>
          <w:szCs w:val="24"/>
        </w:rPr>
        <w:t xml:space="preserve">Figure </w:t>
      </w:r>
      <w:r w:rsidR="00DB20B7" w:rsidRPr="003653CA">
        <w:rPr>
          <w:i w:val="0"/>
          <w:iCs w:val="0"/>
          <w:color w:val="auto"/>
          <w:sz w:val="24"/>
          <w:szCs w:val="24"/>
        </w:rPr>
        <w:t>I1</w:t>
      </w:r>
      <w:r w:rsidRPr="00585293">
        <w:rPr>
          <w:b/>
          <w:bCs/>
          <w:i w:val="0"/>
          <w:iCs w:val="0"/>
          <w:color w:val="auto"/>
          <w:sz w:val="24"/>
          <w:szCs w:val="24"/>
        </w:rPr>
        <w:t>:</w:t>
      </w:r>
      <w:r w:rsidRPr="00585293">
        <w:rPr>
          <w:i w:val="0"/>
          <w:iCs w:val="0"/>
          <w:color w:val="auto"/>
          <w:sz w:val="24"/>
          <w:szCs w:val="24"/>
        </w:rPr>
        <w:t xml:space="preserve"> Quantile regression results, 1851-1911</w:t>
      </w:r>
    </w:p>
    <w:p w14:paraId="43B6A63A" w14:textId="5D54CEF5" w:rsidR="006E625F" w:rsidRPr="00585293" w:rsidRDefault="00450504" w:rsidP="00EB0F23">
      <w:pPr>
        <w:jc w:val="center"/>
        <w:rPr>
          <w:iCs/>
        </w:rPr>
      </w:pPr>
      <w:r w:rsidRPr="00C356F9">
        <w:rPr>
          <w:iCs/>
          <w:noProof/>
        </w:rPr>
        <w:drawing>
          <wp:inline distT="0" distB="0" distL="0" distR="0" wp14:anchorId="199479BA" wp14:editId="0E8A9E9E">
            <wp:extent cx="5400000" cy="4050897"/>
            <wp:effectExtent l="0" t="0" r="0" b="6985"/>
            <wp:docPr id="1737045085" name="Picture 1737045085"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45085" name="Picture 7" descr="A picture containing text, line, diagram, pl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0" cy="4050897"/>
                    </a:xfrm>
                    <a:prstGeom prst="rect">
                      <a:avLst/>
                    </a:prstGeom>
                  </pic:spPr>
                </pic:pic>
              </a:graphicData>
            </a:graphic>
          </wp:inline>
        </w:drawing>
      </w:r>
    </w:p>
    <w:p w14:paraId="742AFC51" w14:textId="74281F42" w:rsidR="00450504" w:rsidRPr="00585293" w:rsidRDefault="00EB0F23" w:rsidP="00EB0F23">
      <w:pPr>
        <w:spacing w:after="160"/>
        <w:jc w:val="center"/>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00C2FC57" w14:textId="77777777" w:rsidR="006E625F" w:rsidRPr="00585293" w:rsidRDefault="006E625F" w:rsidP="00500295">
      <w:pPr>
        <w:spacing w:after="160" w:line="480" w:lineRule="auto"/>
        <w:jc w:val="both"/>
        <w:rPr>
          <w:iCs/>
        </w:rPr>
      </w:pPr>
    </w:p>
    <w:p w14:paraId="4D7F429F" w14:textId="77777777" w:rsidR="00647E1A" w:rsidRPr="00585293" w:rsidRDefault="00647E1A">
      <w:pPr>
        <w:spacing w:after="160" w:line="259" w:lineRule="auto"/>
        <w:rPr>
          <w:rFonts w:eastAsiaTheme="majorEastAsia"/>
          <w:b/>
          <w:bCs/>
          <w:sz w:val="28"/>
          <w:szCs w:val="28"/>
        </w:rPr>
      </w:pPr>
      <w:r w:rsidRPr="00585293">
        <w:rPr>
          <w:b/>
          <w:bCs/>
          <w:sz w:val="28"/>
          <w:szCs w:val="28"/>
        </w:rPr>
        <w:br w:type="page"/>
      </w:r>
    </w:p>
    <w:p w14:paraId="7940930C" w14:textId="78812182" w:rsidR="006E625F" w:rsidRPr="00585293" w:rsidRDefault="00DB20B7" w:rsidP="006E625F">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J</w:t>
      </w:r>
      <w:r w:rsidR="006E625F" w:rsidRPr="00585293">
        <w:rPr>
          <w:rFonts w:ascii="Times New Roman" w:hAnsi="Times New Roman" w:cs="Times New Roman"/>
          <w:b/>
          <w:bCs/>
          <w:color w:val="auto"/>
          <w:sz w:val="28"/>
          <w:szCs w:val="28"/>
        </w:rPr>
        <w:tab/>
        <w:t>Simulation of Minimum IGE</w:t>
      </w:r>
    </w:p>
    <w:p w14:paraId="62FB7536" w14:textId="0CEF66C0" w:rsidR="006E625F" w:rsidRPr="00585293" w:rsidRDefault="00050BE5" w:rsidP="00500295">
      <w:pPr>
        <w:spacing w:after="160" w:line="480" w:lineRule="auto"/>
        <w:jc w:val="both"/>
        <w:rPr>
          <w:iCs/>
        </w:rPr>
      </w:pPr>
      <w:r w:rsidRPr="00585293">
        <w:rPr>
          <w:iCs/>
        </w:rPr>
        <w:t xml:space="preserve">Table </w:t>
      </w:r>
      <w:r w:rsidR="00DB20B7" w:rsidRPr="00585293">
        <w:rPr>
          <w:iCs/>
        </w:rPr>
        <w:t xml:space="preserve">J1 </w:t>
      </w:r>
      <w:r w:rsidRPr="00585293">
        <w:rPr>
          <w:iCs/>
        </w:rPr>
        <w:t xml:space="preserve">shows the mean </w:t>
      </w:r>
      <w:r w:rsidRPr="00585293">
        <w:rPr>
          <w:i/>
        </w:rPr>
        <w:t>β</w:t>
      </w:r>
      <w:r w:rsidRPr="00585293">
        <w:rPr>
          <w:iCs/>
        </w:rPr>
        <w:t xml:space="preserve"> and standard errors from 1,000 OLS regressions on samples of randomly matched fathers and sons. For each period, the samples used are the same pool of fathers and sons as the ML linked sample but with random matching of fathers and sons. A total of 1,000 random samples were constructed for each period using this method. The mean </w:t>
      </w:r>
      <w:r w:rsidRPr="00585293">
        <w:rPr>
          <w:i/>
        </w:rPr>
        <w:t>β</w:t>
      </w:r>
      <w:r w:rsidRPr="00585293">
        <w:rPr>
          <w:iCs/>
        </w:rPr>
        <w:t xml:space="preserve"> is therefore the minimum level of father-son association possible, and is very close to zero.</w:t>
      </w:r>
    </w:p>
    <w:p w14:paraId="030F7446" w14:textId="5745843A" w:rsidR="00AE0031" w:rsidRPr="00585293" w:rsidRDefault="00AE0031" w:rsidP="00AE0031">
      <w:pPr>
        <w:pStyle w:val="Caption"/>
        <w:keepNext/>
        <w:jc w:val="center"/>
        <w:rPr>
          <w:i w:val="0"/>
          <w:iCs w:val="0"/>
          <w:color w:val="auto"/>
          <w:sz w:val="24"/>
          <w:szCs w:val="24"/>
        </w:rPr>
      </w:pPr>
      <w:r w:rsidRPr="003653CA">
        <w:rPr>
          <w:i w:val="0"/>
          <w:iCs w:val="0"/>
          <w:color w:val="auto"/>
          <w:sz w:val="24"/>
          <w:szCs w:val="24"/>
        </w:rPr>
        <w:t xml:space="preserve">Table </w:t>
      </w:r>
      <w:r w:rsidR="00DB20B7" w:rsidRPr="003653CA">
        <w:rPr>
          <w:i w:val="0"/>
          <w:iCs w:val="0"/>
          <w:color w:val="auto"/>
          <w:sz w:val="24"/>
          <w:szCs w:val="24"/>
        </w:rPr>
        <w:t>J1</w:t>
      </w:r>
      <w:r w:rsidRPr="00585293">
        <w:rPr>
          <w:b/>
          <w:bCs/>
          <w:i w:val="0"/>
          <w:iCs w:val="0"/>
          <w:color w:val="auto"/>
          <w:sz w:val="24"/>
          <w:szCs w:val="24"/>
        </w:rPr>
        <w:t xml:space="preserve">: </w:t>
      </w:r>
      <w:r w:rsidR="00553737" w:rsidRPr="00585293">
        <w:rPr>
          <w:i w:val="0"/>
          <w:iCs w:val="0"/>
          <w:color w:val="auto"/>
          <w:sz w:val="24"/>
          <w:szCs w:val="24"/>
        </w:rPr>
        <w:t>IGE estimates from randomly matching fathers and sons</w:t>
      </w:r>
    </w:p>
    <w:tbl>
      <w:tblPr>
        <w:tblW w:w="8000" w:type="dxa"/>
        <w:jc w:val="center"/>
        <w:tblLook w:val="04A0" w:firstRow="1" w:lastRow="0" w:firstColumn="1" w:lastColumn="0" w:noHBand="0" w:noVBand="1"/>
      </w:tblPr>
      <w:tblGrid>
        <w:gridCol w:w="2000"/>
        <w:gridCol w:w="2000"/>
        <w:gridCol w:w="2000"/>
        <w:gridCol w:w="2000"/>
      </w:tblGrid>
      <w:tr w:rsidR="00861452" w:rsidRPr="00585293" w14:paraId="72324AAD" w14:textId="77777777" w:rsidTr="00861452">
        <w:trPr>
          <w:trHeight w:val="310"/>
          <w:jc w:val="center"/>
        </w:trPr>
        <w:tc>
          <w:tcPr>
            <w:tcW w:w="2000" w:type="dxa"/>
            <w:tcBorders>
              <w:top w:val="double" w:sz="4" w:space="0" w:color="auto"/>
              <w:left w:val="nil"/>
              <w:bottom w:val="single" w:sz="4" w:space="0" w:color="auto"/>
              <w:right w:val="nil"/>
            </w:tcBorders>
            <w:shd w:val="clear" w:color="auto" w:fill="auto"/>
            <w:noWrap/>
            <w:vAlign w:val="bottom"/>
            <w:hideMark/>
          </w:tcPr>
          <w:p w14:paraId="2CCA9BF8" w14:textId="77777777" w:rsidR="00861452" w:rsidRPr="00585293" w:rsidRDefault="00861452">
            <w:pPr>
              <w:jc w:val="center"/>
              <w:rPr>
                <w:color w:val="000000"/>
              </w:rPr>
            </w:pPr>
            <w:r w:rsidRPr="00585293">
              <w:rPr>
                <w:color w:val="000000"/>
              </w:rPr>
              <w:t> </w:t>
            </w:r>
          </w:p>
        </w:tc>
        <w:tc>
          <w:tcPr>
            <w:tcW w:w="2000" w:type="dxa"/>
            <w:tcBorders>
              <w:top w:val="double" w:sz="4" w:space="0" w:color="auto"/>
              <w:left w:val="nil"/>
              <w:bottom w:val="single" w:sz="4" w:space="0" w:color="auto"/>
              <w:right w:val="nil"/>
            </w:tcBorders>
            <w:shd w:val="clear" w:color="auto" w:fill="auto"/>
            <w:noWrap/>
            <w:vAlign w:val="bottom"/>
            <w:hideMark/>
          </w:tcPr>
          <w:p w14:paraId="73CE395B" w14:textId="77777777" w:rsidR="00861452" w:rsidRPr="00585293" w:rsidRDefault="00861452">
            <w:pPr>
              <w:jc w:val="center"/>
              <w:rPr>
                <w:color w:val="000000"/>
              </w:rPr>
            </w:pPr>
            <w:r w:rsidRPr="00585293">
              <w:rPr>
                <w:color w:val="000000"/>
              </w:rPr>
              <w:t>1851-1881</w:t>
            </w:r>
          </w:p>
        </w:tc>
        <w:tc>
          <w:tcPr>
            <w:tcW w:w="2000" w:type="dxa"/>
            <w:tcBorders>
              <w:top w:val="double" w:sz="4" w:space="0" w:color="auto"/>
              <w:left w:val="nil"/>
              <w:bottom w:val="single" w:sz="4" w:space="0" w:color="auto"/>
              <w:right w:val="nil"/>
            </w:tcBorders>
            <w:shd w:val="clear" w:color="auto" w:fill="auto"/>
            <w:noWrap/>
            <w:vAlign w:val="bottom"/>
            <w:hideMark/>
          </w:tcPr>
          <w:p w14:paraId="497B52A4" w14:textId="77777777" w:rsidR="00861452" w:rsidRPr="00585293" w:rsidRDefault="00861452">
            <w:pPr>
              <w:jc w:val="center"/>
              <w:rPr>
                <w:color w:val="000000"/>
              </w:rPr>
            </w:pPr>
            <w:r w:rsidRPr="00585293">
              <w:rPr>
                <w:color w:val="000000"/>
              </w:rPr>
              <w:t>1861-1891</w:t>
            </w:r>
          </w:p>
        </w:tc>
        <w:tc>
          <w:tcPr>
            <w:tcW w:w="2000" w:type="dxa"/>
            <w:tcBorders>
              <w:top w:val="double" w:sz="4" w:space="0" w:color="auto"/>
              <w:left w:val="nil"/>
              <w:bottom w:val="single" w:sz="4" w:space="0" w:color="auto"/>
              <w:right w:val="nil"/>
            </w:tcBorders>
            <w:shd w:val="clear" w:color="auto" w:fill="auto"/>
            <w:noWrap/>
            <w:vAlign w:val="bottom"/>
            <w:hideMark/>
          </w:tcPr>
          <w:p w14:paraId="1B1E3DB7" w14:textId="77777777" w:rsidR="00861452" w:rsidRPr="00585293" w:rsidRDefault="00861452">
            <w:pPr>
              <w:jc w:val="center"/>
              <w:rPr>
                <w:color w:val="000000"/>
              </w:rPr>
            </w:pPr>
            <w:r w:rsidRPr="00585293">
              <w:rPr>
                <w:color w:val="000000"/>
              </w:rPr>
              <w:t>1881-1911</w:t>
            </w:r>
          </w:p>
        </w:tc>
      </w:tr>
      <w:tr w:rsidR="00861452" w:rsidRPr="00585293" w14:paraId="537FBEDF" w14:textId="77777777" w:rsidTr="00861452">
        <w:trPr>
          <w:trHeight w:val="310"/>
          <w:jc w:val="center"/>
        </w:trPr>
        <w:tc>
          <w:tcPr>
            <w:tcW w:w="2000" w:type="dxa"/>
            <w:tcBorders>
              <w:top w:val="nil"/>
              <w:left w:val="nil"/>
              <w:bottom w:val="nil"/>
              <w:right w:val="nil"/>
            </w:tcBorders>
            <w:shd w:val="clear" w:color="auto" w:fill="auto"/>
            <w:noWrap/>
            <w:vAlign w:val="bottom"/>
            <w:hideMark/>
          </w:tcPr>
          <w:p w14:paraId="0E67CDB4" w14:textId="77777777" w:rsidR="00861452" w:rsidRPr="00585293" w:rsidRDefault="00861452">
            <w:pPr>
              <w:rPr>
                <w:i/>
                <w:iCs/>
                <w:color w:val="000000"/>
              </w:rPr>
            </w:pPr>
            <w:r w:rsidRPr="00585293">
              <w:rPr>
                <w:i/>
                <w:iCs/>
                <w:color w:val="000000"/>
              </w:rPr>
              <w:t>β</w:t>
            </w:r>
          </w:p>
        </w:tc>
        <w:tc>
          <w:tcPr>
            <w:tcW w:w="2000" w:type="dxa"/>
            <w:tcBorders>
              <w:top w:val="nil"/>
              <w:left w:val="nil"/>
              <w:bottom w:val="nil"/>
              <w:right w:val="nil"/>
            </w:tcBorders>
            <w:shd w:val="clear" w:color="auto" w:fill="auto"/>
            <w:noWrap/>
            <w:vAlign w:val="bottom"/>
            <w:hideMark/>
          </w:tcPr>
          <w:p w14:paraId="3F4B39CC" w14:textId="77777777" w:rsidR="00861452" w:rsidRPr="00585293" w:rsidRDefault="00861452">
            <w:pPr>
              <w:jc w:val="center"/>
              <w:rPr>
                <w:color w:val="000000"/>
              </w:rPr>
            </w:pPr>
            <w:r w:rsidRPr="00585293">
              <w:rPr>
                <w:color w:val="000000"/>
              </w:rPr>
              <w:t>0.000086</w:t>
            </w:r>
          </w:p>
        </w:tc>
        <w:tc>
          <w:tcPr>
            <w:tcW w:w="2000" w:type="dxa"/>
            <w:tcBorders>
              <w:top w:val="nil"/>
              <w:left w:val="nil"/>
              <w:bottom w:val="nil"/>
              <w:right w:val="nil"/>
            </w:tcBorders>
            <w:shd w:val="clear" w:color="auto" w:fill="auto"/>
            <w:noWrap/>
            <w:vAlign w:val="bottom"/>
            <w:hideMark/>
          </w:tcPr>
          <w:p w14:paraId="43F524EB" w14:textId="77777777" w:rsidR="00861452" w:rsidRPr="00585293" w:rsidRDefault="00861452">
            <w:pPr>
              <w:jc w:val="center"/>
              <w:rPr>
                <w:color w:val="000000"/>
              </w:rPr>
            </w:pPr>
            <w:r w:rsidRPr="00585293">
              <w:rPr>
                <w:color w:val="000000"/>
              </w:rPr>
              <w:t>0.000012</w:t>
            </w:r>
          </w:p>
        </w:tc>
        <w:tc>
          <w:tcPr>
            <w:tcW w:w="2000" w:type="dxa"/>
            <w:tcBorders>
              <w:top w:val="nil"/>
              <w:left w:val="nil"/>
              <w:bottom w:val="nil"/>
              <w:right w:val="nil"/>
            </w:tcBorders>
            <w:shd w:val="clear" w:color="auto" w:fill="auto"/>
            <w:noWrap/>
            <w:vAlign w:val="bottom"/>
            <w:hideMark/>
          </w:tcPr>
          <w:p w14:paraId="2E963519" w14:textId="77777777" w:rsidR="00861452" w:rsidRPr="00585293" w:rsidRDefault="00861452">
            <w:pPr>
              <w:jc w:val="center"/>
              <w:rPr>
                <w:color w:val="000000"/>
              </w:rPr>
            </w:pPr>
            <w:r w:rsidRPr="00585293">
              <w:rPr>
                <w:color w:val="000000"/>
              </w:rPr>
              <w:t>0.000092</w:t>
            </w:r>
          </w:p>
        </w:tc>
      </w:tr>
      <w:tr w:rsidR="00861452" w:rsidRPr="00585293" w14:paraId="00F88B24" w14:textId="77777777" w:rsidTr="00AE0031">
        <w:trPr>
          <w:trHeight w:val="310"/>
          <w:jc w:val="center"/>
        </w:trPr>
        <w:tc>
          <w:tcPr>
            <w:tcW w:w="2000" w:type="dxa"/>
            <w:tcBorders>
              <w:top w:val="nil"/>
              <w:left w:val="nil"/>
              <w:right w:val="nil"/>
            </w:tcBorders>
            <w:shd w:val="clear" w:color="auto" w:fill="auto"/>
            <w:noWrap/>
            <w:vAlign w:val="bottom"/>
            <w:hideMark/>
          </w:tcPr>
          <w:p w14:paraId="66CA5317" w14:textId="77777777" w:rsidR="00861452" w:rsidRPr="00585293" w:rsidRDefault="00861452">
            <w:pPr>
              <w:rPr>
                <w:color w:val="000000"/>
              </w:rPr>
            </w:pPr>
            <w:r w:rsidRPr="00585293">
              <w:rPr>
                <w:color w:val="000000"/>
              </w:rPr>
              <w:t>Standard Error</w:t>
            </w:r>
          </w:p>
        </w:tc>
        <w:tc>
          <w:tcPr>
            <w:tcW w:w="2000" w:type="dxa"/>
            <w:tcBorders>
              <w:top w:val="nil"/>
              <w:left w:val="nil"/>
              <w:right w:val="nil"/>
            </w:tcBorders>
            <w:shd w:val="clear" w:color="auto" w:fill="auto"/>
            <w:noWrap/>
            <w:vAlign w:val="bottom"/>
            <w:hideMark/>
          </w:tcPr>
          <w:p w14:paraId="7AE290A3" w14:textId="77777777" w:rsidR="00861452" w:rsidRPr="00585293" w:rsidRDefault="00861452">
            <w:pPr>
              <w:jc w:val="center"/>
              <w:rPr>
                <w:color w:val="000000"/>
              </w:rPr>
            </w:pPr>
            <w:r w:rsidRPr="00585293">
              <w:rPr>
                <w:color w:val="000000"/>
              </w:rPr>
              <w:t>(0.004561)</w:t>
            </w:r>
          </w:p>
        </w:tc>
        <w:tc>
          <w:tcPr>
            <w:tcW w:w="2000" w:type="dxa"/>
            <w:tcBorders>
              <w:top w:val="nil"/>
              <w:left w:val="nil"/>
              <w:right w:val="nil"/>
            </w:tcBorders>
            <w:shd w:val="clear" w:color="auto" w:fill="auto"/>
            <w:noWrap/>
            <w:vAlign w:val="bottom"/>
            <w:hideMark/>
          </w:tcPr>
          <w:p w14:paraId="60D3C402" w14:textId="77777777" w:rsidR="00861452" w:rsidRPr="00585293" w:rsidRDefault="00861452">
            <w:pPr>
              <w:jc w:val="center"/>
              <w:rPr>
                <w:color w:val="000000"/>
              </w:rPr>
            </w:pPr>
            <w:r w:rsidRPr="00585293">
              <w:rPr>
                <w:color w:val="000000"/>
              </w:rPr>
              <w:t>(0.003968)</w:t>
            </w:r>
          </w:p>
        </w:tc>
        <w:tc>
          <w:tcPr>
            <w:tcW w:w="2000" w:type="dxa"/>
            <w:tcBorders>
              <w:top w:val="nil"/>
              <w:left w:val="nil"/>
              <w:right w:val="nil"/>
            </w:tcBorders>
            <w:shd w:val="clear" w:color="auto" w:fill="auto"/>
            <w:noWrap/>
            <w:vAlign w:val="bottom"/>
            <w:hideMark/>
          </w:tcPr>
          <w:p w14:paraId="3713783D" w14:textId="77777777" w:rsidR="00861452" w:rsidRPr="00585293" w:rsidRDefault="00861452">
            <w:pPr>
              <w:jc w:val="center"/>
              <w:rPr>
                <w:color w:val="000000"/>
              </w:rPr>
            </w:pPr>
            <w:r w:rsidRPr="00585293">
              <w:rPr>
                <w:color w:val="000000"/>
              </w:rPr>
              <w:t>(0.002825)</w:t>
            </w:r>
          </w:p>
        </w:tc>
      </w:tr>
      <w:tr w:rsidR="00861452" w:rsidRPr="00585293" w14:paraId="2BD036D8" w14:textId="77777777" w:rsidTr="00AE0031">
        <w:trPr>
          <w:trHeight w:val="310"/>
          <w:jc w:val="center"/>
        </w:trPr>
        <w:tc>
          <w:tcPr>
            <w:tcW w:w="2000" w:type="dxa"/>
            <w:tcBorders>
              <w:top w:val="nil"/>
              <w:left w:val="nil"/>
              <w:bottom w:val="double" w:sz="4" w:space="0" w:color="auto"/>
              <w:right w:val="nil"/>
            </w:tcBorders>
            <w:shd w:val="clear" w:color="auto" w:fill="auto"/>
            <w:noWrap/>
            <w:vAlign w:val="bottom"/>
            <w:hideMark/>
          </w:tcPr>
          <w:p w14:paraId="59FE826C" w14:textId="77777777" w:rsidR="00861452" w:rsidRPr="00585293" w:rsidRDefault="00861452">
            <w:pPr>
              <w:rPr>
                <w:i/>
                <w:iCs/>
                <w:color w:val="000000"/>
              </w:rPr>
            </w:pPr>
            <w:r w:rsidRPr="00585293">
              <w:rPr>
                <w:i/>
                <w:iCs/>
                <w:color w:val="000000"/>
              </w:rPr>
              <w:t>N</w:t>
            </w:r>
          </w:p>
        </w:tc>
        <w:tc>
          <w:tcPr>
            <w:tcW w:w="2000" w:type="dxa"/>
            <w:tcBorders>
              <w:top w:val="nil"/>
              <w:left w:val="nil"/>
              <w:bottom w:val="double" w:sz="4" w:space="0" w:color="auto"/>
              <w:right w:val="nil"/>
            </w:tcBorders>
            <w:shd w:val="clear" w:color="auto" w:fill="auto"/>
            <w:noWrap/>
            <w:vAlign w:val="bottom"/>
            <w:hideMark/>
          </w:tcPr>
          <w:p w14:paraId="13DE58BB" w14:textId="77777777" w:rsidR="00861452" w:rsidRPr="00585293" w:rsidRDefault="00861452">
            <w:pPr>
              <w:jc w:val="center"/>
              <w:rPr>
                <w:color w:val="000000"/>
              </w:rPr>
            </w:pPr>
            <w:r w:rsidRPr="00585293">
              <w:rPr>
                <w:color w:val="000000"/>
              </w:rPr>
              <w:t>66,965</w:t>
            </w:r>
          </w:p>
        </w:tc>
        <w:tc>
          <w:tcPr>
            <w:tcW w:w="2000" w:type="dxa"/>
            <w:tcBorders>
              <w:top w:val="nil"/>
              <w:left w:val="nil"/>
              <w:bottom w:val="double" w:sz="4" w:space="0" w:color="auto"/>
              <w:right w:val="nil"/>
            </w:tcBorders>
            <w:shd w:val="clear" w:color="auto" w:fill="auto"/>
            <w:noWrap/>
            <w:vAlign w:val="bottom"/>
            <w:hideMark/>
          </w:tcPr>
          <w:p w14:paraId="53FEC7AA" w14:textId="77777777" w:rsidR="00861452" w:rsidRPr="00585293" w:rsidRDefault="00861452">
            <w:pPr>
              <w:jc w:val="center"/>
              <w:rPr>
                <w:color w:val="000000"/>
              </w:rPr>
            </w:pPr>
            <w:r w:rsidRPr="00585293">
              <w:rPr>
                <w:color w:val="000000"/>
              </w:rPr>
              <w:t>84,097</w:t>
            </w:r>
          </w:p>
        </w:tc>
        <w:tc>
          <w:tcPr>
            <w:tcW w:w="2000" w:type="dxa"/>
            <w:tcBorders>
              <w:top w:val="nil"/>
              <w:left w:val="nil"/>
              <w:bottom w:val="double" w:sz="4" w:space="0" w:color="auto"/>
              <w:right w:val="nil"/>
            </w:tcBorders>
            <w:shd w:val="clear" w:color="auto" w:fill="auto"/>
            <w:noWrap/>
            <w:vAlign w:val="bottom"/>
            <w:hideMark/>
          </w:tcPr>
          <w:p w14:paraId="703E9467" w14:textId="77777777" w:rsidR="00861452" w:rsidRPr="00585293" w:rsidRDefault="00861452">
            <w:pPr>
              <w:jc w:val="center"/>
              <w:rPr>
                <w:color w:val="000000"/>
              </w:rPr>
            </w:pPr>
            <w:r w:rsidRPr="00585293">
              <w:rPr>
                <w:color w:val="000000"/>
              </w:rPr>
              <w:t>161,568</w:t>
            </w:r>
          </w:p>
        </w:tc>
      </w:tr>
      <w:tr w:rsidR="00AE0031" w:rsidRPr="00585293" w14:paraId="02EE52F2" w14:textId="77777777" w:rsidTr="00805634">
        <w:trPr>
          <w:trHeight w:val="310"/>
          <w:jc w:val="center"/>
        </w:trPr>
        <w:tc>
          <w:tcPr>
            <w:tcW w:w="8000" w:type="dxa"/>
            <w:gridSpan w:val="4"/>
            <w:tcBorders>
              <w:top w:val="double" w:sz="4" w:space="0" w:color="auto"/>
              <w:left w:val="nil"/>
              <w:right w:val="nil"/>
            </w:tcBorders>
            <w:shd w:val="clear" w:color="auto" w:fill="auto"/>
            <w:noWrap/>
            <w:vAlign w:val="bottom"/>
          </w:tcPr>
          <w:p w14:paraId="5A3478A4" w14:textId="4B5804C4" w:rsidR="00AE0031" w:rsidRPr="00585293" w:rsidRDefault="00AE0031" w:rsidP="00AE0031">
            <w:pPr>
              <w:spacing w:after="160"/>
              <w:rPr>
                <w:iCs/>
                <w:sz w:val="20"/>
                <w:szCs w:val="20"/>
              </w:rPr>
            </w:pPr>
            <w:r w:rsidRPr="003653CA">
              <w:rPr>
                <w:i/>
                <w:sz w:val="20"/>
                <w:szCs w:val="20"/>
              </w:rPr>
              <w:t>Sources</w:t>
            </w:r>
            <w:r w:rsidRPr="00585293">
              <w:rPr>
                <w:iCs/>
                <w:sz w:val="20"/>
                <w:szCs w:val="20"/>
              </w:rPr>
              <w:t xml:space="preserve">: author’s analysis of I-CeM (UKDA, SN 7481) and I-CeM Names and Addresses (UKDA, </w:t>
            </w:r>
            <w:r w:rsidR="00D3777B">
              <w:rPr>
                <w:iCs/>
                <w:sz w:val="20"/>
                <w:szCs w:val="20"/>
              </w:rPr>
              <w:t>SN 7856</w:t>
            </w:r>
            <w:r w:rsidRPr="00585293">
              <w:rPr>
                <w:iCs/>
                <w:sz w:val="20"/>
                <w:szCs w:val="20"/>
              </w:rPr>
              <w:t>).</w:t>
            </w:r>
          </w:p>
          <w:p w14:paraId="4695FBEB" w14:textId="77777777" w:rsidR="00AE0031" w:rsidRPr="00585293" w:rsidRDefault="00AE0031">
            <w:pPr>
              <w:jc w:val="center"/>
              <w:rPr>
                <w:color w:val="000000"/>
              </w:rPr>
            </w:pPr>
          </w:p>
        </w:tc>
      </w:tr>
    </w:tbl>
    <w:p w14:paraId="743EF34F" w14:textId="77777777" w:rsidR="00050BE5" w:rsidRPr="00585293" w:rsidRDefault="00050BE5" w:rsidP="00500295">
      <w:pPr>
        <w:spacing w:after="160" w:line="480" w:lineRule="auto"/>
        <w:jc w:val="both"/>
        <w:rPr>
          <w:iCs/>
        </w:rPr>
      </w:pPr>
    </w:p>
    <w:p w14:paraId="374F6D28" w14:textId="77777777" w:rsidR="006E625F" w:rsidRPr="00585293" w:rsidRDefault="006E625F" w:rsidP="00500295">
      <w:pPr>
        <w:spacing w:after="160" w:line="480" w:lineRule="auto"/>
        <w:jc w:val="both"/>
        <w:rPr>
          <w:iCs/>
        </w:rPr>
      </w:pPr>
    </w:p>
    <w:p w14:paraId="2015A3FB" w14:textId="77777777" w:rsidR="006E625F" w:rsidRPr="00585293" w:rsidRDefault="006E625F" w:rsidP="00500295">
      <w:pPr>
        <w:spacing w:after="160" w:line="480" w:lineRule="auto"/>
        <w:jc w:val="both"/>
        <w:rPr>
          <w:iCs/>
        </w:rPr>
      </w:pPr>
    </w:p>
    <w:p w14:paraId="764D73A5" w14:textId="77777777" w:rsidR="00647E1A" w:rsidRPr="00585293" w:rsidRDefault="00647E1A">
      <w:pPr>
        <w:spacing w:after="160" w:line="259" w:lineRule="auto"/>
        <w:rPr>
          <w:rFonts w:eastAsiaTheme="majorEastAsia"/>
          <w:b/>
          <w:bCs/>
          <w:sz w:val="28"/>
          <w:szCs w:val="28"/>
        </w:rPr>
      </w:pPr>
      <w:r w:rsidRPr="00585293">
        <w:rPr>
          <w:b/>
          <w:bCs/>
          <w:sz w:val="28"/>
          <w:szCs w:val="28"/>
        </w:rPr>
        <w:br w:type="page"/>
      </w:r>
    </w:p>
    <w:p w14:paraId="29D7D312" w14:textId="62065025" w:rsidR="0065097C" w:rsidRPr="00585293" w:rsidRDefault="00DB20B7" w:rsidP="003653CA">
      <w:pPr>
        <w:pStyle w:val="Heading2"/>
      </w:pPr>
      <w:r w:rsidRPr="00585293">
        <w:rPr>
          <w:rFonts w:ascii="Times New Roman" w:hAnsi="Times New Roman" w:cs="Times New Roman"/>
          <w:b/>
          <w:bCs/>
          <w:color w:val="auto"/>
          <w:sz w:val="28"/>
          <w:szCs w:val="28"/>
        </w:rPr>
        <w:lastRenderedPageBreak/>
        <w:t>K</w:t>
      </w:r>
      <w:r w:rsidR="0069090C" w:rsidRPr="00585293">
        <w:rPr>
          <w:rFonts w:ascii="Times New Roman" w:hAnsi="Times New Roman" w:cs="Times New Roman"/>
          <w:b/>
          <w:bCs/>
          <w:color w:val="auto"/>
          <w:sz w:val="28"/>
          <w:szCs w:val="28"/>
        </w:rPr>
        <w:tab/>
      </w:r>
      <w:r w:rsidR="00FC5FEC" w:rsidRPr="00585293">
        <w:rPr>
          <w:rFonts w:ascii="Times New Roman" w:hAnsi="Times New Roman" w:cs="Times New Roman"/>
          <w:b/>
          <w:bCs/>
          <w:color w:val="auto"/>
          <w:sz w:val="28"/>
          <w:szCs w:val="28"/>
        </w:rPr>
        <w:t xml:space="preserve">Transition Matrices for </w:t>
      </w:r>
      <w:r w:rsidR="003C1AEE" w:rsidRPr="00585293">
        <w:rPr>
          <w:rFonts w:ascii="Times New Roman" w:hAnsi="Times New Roman" w:cs="Times New Roman"/>
          <w:b/>
          <w:bCs/>
          <w:color w:val="auto"/>
          <w:sz w:val="28"/>
          <w:szCs w:val="28"/>
        </w:rPr>
        <w:t>Altham Statistics</w:t>
      </w:r>
    </w:p>
    <w:p w14:paraId="7E5E6B63" w14:textId="77777777" w:rsidR="0065097C" w:rsidRPr="00585293" w:rsidRDefault="0065097C" w:rsidP="0065097C"/>
    <w:p w14:paraId="31149A2D" w14:textId="273D91D4" w:rsidR="00C35293" w:rsidRPr="00585293" w:rsidRDefault="00C35293" w:rsidP="00BE38B5">
      <w:pPr>
        <w:pStyle w:val="Caption"/>
        <w:keepNext/>
        <w:spacing w:after="160"/>
        <w:jc w:val="center"/>
        <w:rPr>
          <w:i w:val="0"/>
          <w:iCs w:val="0"/>
          <w:color w:val="auto"/>
          <w:sz w:val="24"/>
          <w:szCs w:val="24"/>
        </w:rPr>
      </w:pPr>
      <w:r w:rsidRPr="003653CA">
        <w:rPr>
          <w:i w:val="0"/>
          <w:iCs w:val="0"/>
          <w:color w:val="auto"/>
          <w:sz w:val="24"/>
          <w:szCs w:val="24"/>
        </w:rPr>
        <w:t xml:space="preserve">Table </w:t>
      </w:r>
      <w:r w:rsidR="00DB20B7" w:rsidRPr="003653CA">
        <w:rPr>
          <w:i w:val="0"/>
          <w:iCs w:val="0"/>
          <w:color w:val="auto"/>
          <w:sz w:val="24"/>
          <w:szCs w:val="24"/>
        </w:rPr>
        <w:t>K</w:t>
      </w:r>
      <w:r w:rsidR="00FC5FEC" w:rsidRPr="003653CA">
        <w:rPr>
          <w:i w:val="0"/>
          <w:iCs w:val="0"/>
          <w:color w:val="auto"/>
          <w:sz w:val="24"/>
          <w:szCs w:val="24"/>
        </w:rPr>
        <w:t>1</w:t>
      </w:r>
      <w:r w:rsidRPr="00585293">
        <w:rPr>
          <w:i w:val="0"/>
          <w:iCs w:val="0"/>
          <w:color w:val="auto"/>
          <w:sz w:val="24"/>
          <w:szCs w:val="24"/>
        </w:rPr>
        <w:t xml:space="preserve">: </w:t>
      </w:r>
      <w:r w:rsidR="004E7144" w:rsidRPr="00585293">
        <w:rPr>
          <w:i w:val="0"/>
          <w:iCs w:val="0"/>
          <w:color w:val="auto"/>
          <w:sz w:val="24"/>
          <w:szCs w:val="24"/>
        </w:rPr>
        <w:t>Intergenerational Mobility Table for 1851-1881</w:t>
      </w:r>
    </w:p>
    <w:tbl>
      <w:tblPr>
        <w:tblW w:w="5000" w:type="pct"/>
        <w:tblCellMar>
          <w:left w:w="0" w:type="dxa"/>
          <w:right w:w="0" w:type="dxa"/>
        </w:tblCellMar>
        <w:tblLook w:val="0600" w:firstRow="0" w:lastRow="0" w:firstColumn="0" w:lastColumn="0" w:noHBand="1" w:noVBand="1"/>
      </w:tblPr>
      <w:tblGrid>
        <w:gridCol w:w="1727"/>
        <w:gridCol w:w="1219"/>
        <w:gridCol w:w="1217"/>
        <w:gridCol w:w="1217"/>
        <w:gridCol w:w="1220"/>
        <w:gridCol w:w="1217"/>
        <w:gridCol w:w="1209"/>
      </w:tblGrid>
      <w:tr w:rsidR="00E22CF4" w:rsidRPr="00585293" w14:paraId="6BA9EC4A" w14:textId="77777777" w:rsidTr="00AA0592">
        <w:trPr>
          <w:trHeight w:hRule="exact" w:val="397"/>
        </w:trPr>
        <w:tc>
          <w:tcPr>
            <w:tcW w:w="957"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3C7AB8EF" w14:textId="77777777" w:rsidR="00E22CF4" w:rsidRPr="00585293" w:rsidRDefault="00E22CF4" w:rsidP="00BE38B5">
            <w:pPr>
              <w:spacing w:after="160" w:line="480" w:lineRule="auto"/>
              <w:jc w:val="both"/>
              <w:rPr>
                <w:rFonts w:eastAsiaTheme="minorEastAsia"/>
                <w:iCs/>
              </w:rPr>
            </w:pPr>
            <w:r w:rsidRPr="00585293">
              <w:rPr>
                <w:rFonts w:eastAsiaTheme="minorEastAsia"/>
                <w:iCs/>
              </w:rPr>
              <w:t>Son's Class</w:t>
            </w:r>
          </w:p>
        </w:tc>
        <w:tc>
          <w:tcPr>
            <w:tcW w:w="2699" w:type="pct"/>
            <w:gridSpan w:val="4"/>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1CC6E86B" w14:textId="106E7D53" w:rsidR="00E22CF4" w:rsidRPr="00585293" w:rsidRDefault="00E22CF4" w:rsidP="00BE38B5">
            <w:pPr>
              <w:spacing w:after="160" w:line="480" w:lineRule="auto"/>
              <w:jc w:val="both"/>
              <w:rPr>
                <w:rFonts w:eastAsiaTheme="minorEastAsia"/>
                <w:iCs/>
              </w:rPr>
            </w:pPr>
            <w:r w:rsidRPr="00585293">
              <w:rPr>
                <w:rFonts w:eastAsiaTheme="minorEastAsia"/>
                <w:iCs/>
              </w:rPr>
              <w:t>Father's Class in 1851</w:t>
            </w:r>
          </w:p>
        </w:tc>
        <w:tc>
          <w:tcPr>
            <w:tcW w:w="674"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0FE70C1A" w14:textId="77777777" w:rsidR="00E22CF4" w:rsidRPr="00585293" w:rsidRDefault="00E22CF4" w:rsidP="00BE38B5">
            <w:pPr>
              <w:spacing w:after="160" w:line="480" w:lineRule="auto"/>
              <w:jc w:val="both"/>
              <w:rPr>
                <w:rFonts w:eastAsiaTheme="minorEastAsia"/>
                <w:iCs/>
              </w:rPr>
            </w:pPr>
            <w:r w:rsidRPr="00585293">
              <w:rPr>
                <w:rFonts w:eastAsiaTheme="minorEastAsia"/>
                <w:iCs/>
              </w:rPr>
              <w:t>Total</w:t>
            </w:r>
          </w:p>
        </w:tc>
        <w:tc>
          <w:tcPr>
            <w:tcW w:w="670"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2DC7F90B" w14:textId="77777777" w:rsidR="00E22CF4" w:rsidRPr="00585293" w:rsidRDefault="00E22CF4" w:rsidP="00BE38B5">
            <w:pPr>
              <w:spacing w:after="160" w:line="480" w:lineRule="auto"/>
              <w:jc w:val="both"/>
              <w:rPr>
                <w:rFonts w:eastAsiaTheme="minorEastAsia"/>
                <w:iCs/>
              </w:rPr>
            </w:pPr>
            <w:r w:rsidRPr="00585293">
              <w:rPr>
                <w:rFonts w:eastAsiaTheme="minorEastAsia"/>
                <w:i/>
                <w:iCs/>
              </w:rPr>
              <w:t>N</w:t>
            </w:r>
          </w:p>
        </w:tc>
      </w:tr>
      <w:tr w:rsidR="00E22CF4" w:rsidRPr="00585293" w14:paraId="785FA346" w14:textId="77777777" w:rsidTr="00AA0592">
        <w:trPr>
          <w:trHeight w:hRule="exact" w:val="397"/>
        </w:trPr>
        <w:tc>
          <w:tcPr>
            <w:tcW w:w="957"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70DAD628" w14:textId="77777777" w:rsidR="00E22CF4" w:rsidRPr="00585293" w:rsidRDefault="00E22CF4" w:rsidP="00BE38B5">
            <w:pPr>
              <w:spacing w:after="160" w:line="480" w:lineRule="auto"/>
              <w:jc w:val="both"/>
              <w:rPr>
                <w:rFonts w:eastAsiaTheme="minorEastAsia"/>
                <w:iCs/>
              </w:rPr>
            </w:pPr>
            <w:r w:rsidRPr="00585293">
              <w:rPr>
                <w:rFonts w:eastAsiaTheme="minorEastAsia"/>
                <w:iCs/>
              </w:rPr>
              <w:t>1881</w:t>
            </w:r>
          </w:p>
        </w:tc>
        <w:tc>
          <w:tcPr>
            <w:tcW w:w="67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16569F5D" w14:textId="19F01070" w:rsidR="00E22CF4" w:rsidRPr="00585293" w:rsidRDefault="00265197" w:rsidP="00BE38B5">
            <w:pPr>
              <w:spacing w:after="160" w:line="480" w:lineRule="auto"/>
              <w:jc w:val="both"/>
              <w:rPr>
                <w:rFonts w:eastAsiaTheme="minorEastAsia"/>
                <w:iCs/>
              </w:rPr>
            </w:pPr>
            <w:r w:rsidRPr="00585293">
              <w:rPr>
                <w:rFonts w:eastAsiaTheme="minorEastAsia"/>
                <w:iCs/>
              </w:rPr>
              <w:t>W</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142C7CBE" w14:textId="72DF7500" w:rsidR="00E22CF4" w:rsidRPr="00585293" w:rsidRDefault="002C7FFD" w:rsidP="00BE38B5">
            <w:pPr>
              <w:spacing w:after="160" w:line="480" w:lineRule="auto"/>
              <w:jc w:val="both"/>
              <w:rPr>
                <w:rFonts w:eastAsiaTheme="minorEastAsia"/>
                <w:iCs/>
              </w:rPr>
            </w:pPr>
            <w:r w:rsidRPr="00585293">
              <w:rPr>
                <w:rFonts w:eastAsiaTheme="minorEastAsia"/>
                <w:iCs/>
              </w:rPr>
              <w:t>S</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09BA4338" w14:textId="4E320CA5" w:rsidR="00E22CF4" w:rsidRPr="00585293" w:rsidRDefault="002C7FFD" w:rsidP="00BE38B5">
            <w:pPr>
              <w:spacing w:after="160" w:line="480" w:lineRule="auto"/>
              <w:jc w:val="both"/>
              <w:rPr>
                <w:rFonts w:eastAsiaTheme="minorEastAsia"/>
                <w:iCs/>
              </w:rPr>
            </w:pPr>
            <w:r w:rsidRPr="00585293">
              <w:rPr>
                <w:rFonts w:eastAsiaTheme="minorEastAsia"/>
                <w:iCs/>
              </w:rPr>
              <w:t>F</w:t>
            </w:r>
          </w:p>
        </w:tc>
        <w:tc>
          <w:tcPr>
            <w:tcW w:w="676"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49B165AE" w14:textId="5A34ACFC" w:rsidR="00E22CF4" w:rsidRPr="00585293" w:rsidRDefault="002C7FFD" w:rsidP="00BE38B5">
            <w:pPr>
              <w:spacing w:after="160" w:line="480" w:lineRule="auto"/>
              <w:jc w:val="both"/>
              <w:rPr>
                <w:rFonts w:eastAsiaTheme="minorEastAsia"/>
                <w:iCs/>
              </w:rPr>
            </w:pPr>
            <w:r w:rsidRPr="00585293">
              <w:rPr>
                <w:rFonts w:eastAsiaTheme="minorEastAsia"/>
                <w:iCs/>
              </w:rPr>
              <w:t>U</w:t>
            </w:r>
          </w:p>
        </w:tc>
        <w:tc>
          <w:tcPr>
            <w:tcW w:w="674"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6C152318" w14:textId="77777777" w:rsidR="00E22CF4" w:rsidRPr="00585293" w:rsidRDefault="00E22CF4" w:rsidP="00BE38B5">
            <w:pPr>
              <w:spacing w:after="160" w:line="480" w:lineRule="auto"/>
              <w:jc w:val="both"/>
              <w:rPr>
                <w:rFonts w:eastAsiaTheme="minorEastAsia"/>
                <w:iCs/>
              </w:rPr>
            </w:pPr>
          </w:p>
        </w:tc>
        <w:tc>
          <w:tcPr>
            <w:tcW w:w="670"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01F03CF8" w14:textId="77777777" w:rsidR="00E22CF4" w:rsidRPr="00585293" w:rsidRDefault="00E22CF4" w:rsidP="00BE38B5">
            <w:pPr>
              <w:spacing w:after="160" w:line="480" w:lineRule="auto"/>
              <w:jc w:val="both"/>
              <w:rPr>
                <w:rFonts w:eastAsiaTheme="minorEastAsia"/>
                <w:iCs/>
              </w:rPr>
            </w:pPr>
          </w:p>
        </w:tc>
      </w:tr>
      <w:tr w:rsidR="00120A6F" w:rsidRPr="00585293" w14:paraId="4BA69CB7" w14:textId="77777777" w:rsidTr="00AA0592">
        <w:trPr>
          <w:trHeight w:hRule="exact" w:val="397"/>
        </w:trPr>
        <w:tc>
          <w:tcPr>
            <w:tcW w:w="957"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0807A295" w14:textId="0E178F1E" w:rsidR="00120A6F" w:rsidRPr="00585293" w:rsidRDefault="002C7FFD" w:rsidP="00BE38B5">
            <w:pPr>
              <w:spacing w:after="160" w:line="480" w:lineRule="auto"/>
              <w:jc w:val="both"/>
              <w:rPr>
                <w:rFonts w:eastAsiaTheme="minorEastAsia"/>
                <w:iCs/>
              </w:rPr>
            </w:pPr>
            <w:r w:rsidRPr="00585293">
              <w:rPr>
                <w:rFonts w:eastAsiaTheme="minorEastAsia"/>
                <w:iCs/>
              </w:rPr>
              <w:t>W</w:t>
            </w:r>
          </w:p>
        </w:tc>
        <w:tc>
          <w:tcPr>
            <w:tcW w:w="675" w:type="pct"/>
            <w:tcBorders>
              <w:top w:val="single" w:sz="8" w:space="0" w:color="000000"/>
              <w:left w:val="nil"/>
              <w:bottom w:val="nil"/>
              <w:right w:val="nil"/>
            </w:tcBorders>
            <w:shd w:val="clear" w:color="auto" w:fill="D9D9D9"/>
            <w:tcMar>
              <w:top w:w="10" w:type="dxa"/>
              <w:left w:w="10" w:type="dxa"/>
              <w:bottom w:w="0" w:type="dxa"/>
              <w:right w:w="10" w:type="dxa"/>
            </w:tcMar>
            <w:vAlign w:val="center"/>
            <w:hideMark/>
          </w:tcPr>
          <w:p w14:paraId="27F4D2C5" w14:textId="2E41EAF6" w:rsidR="00120A6F" w:rsidRPr="00585293" w:rsidRDefault="00120A6F" w:rsidP="00BE38B5">
            <w:pPr>
              <w:spacing w:after="160" w:line="480" w:lineRule="auto"/>
              <w:jc w:val="both"/>
              <w:rPr>
                <w:rFonts w:eastAsiaTheme="minorEastAsia"/>
                <w:iCs/>
              </w:rPr>
            </w:pPr>
            <w:r w:rsidRPr="00585293">
              <w:rPr>
                <w:color w:val="000000"/>
              </w:rPr>
              <w:t>45.39</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7646A295" w14:textId="6B643F5E" w:rsidR="00120A6F" w:rsidRPr="00585293" w:rsidRDefault="00120A6F" w:rsidP="00BE38B5">
            <w:pPr>
              <w:spacing w:after="160" w:line="480" w:lineRule="auto"/>
              <w:jc w:val="both"/>
              <w:rPr>
                <w:rFonts w:eastAsiaTheme="minorEastAsia"/>
                <w:iCs/>
              </w:rPr>
            </w:pPr>
            <w:r w:rsidRPr="00585293">
              <w:rPr>
                <w:color w:val="000000"/>
              </w:rPr>
              <w:t>16.81</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0ED8383A" w14:textId="4D00B3CB" w:rsidR="00120A6F" w:rsidRPr="00585293" w:rsidRDefault="00120A6F" w:rsidP="00BE38B5">
            <w:pPr>
              <w:spacing w:after="160" w:line="480" w:lineRule="auto"/>
              <w:jc w:val="both"/>
              <w:rPr>
                <w:rFonts w:eastAsiaTheme="minorEastAsia"/>
                <w:iCs/>
              </w:rPr>
            </w:pPr>
            <w:r w:rsidRPr="00585293">
              <w:rPr>
                <w:color w:val="000000"/>
              </w:rPr>
              <w:t>17.97</w:t>
            </w:r>
          </w:p>
        </w:tc>
        <w:tc>
          <w:tcPr>
            <w:tcW w:w="676"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17F1B38F" w14:textId="6AB0807A" w:rsidR="00120A6F" w:rsidRPr="00585293" w:rsidRDefault="00120A6F" w:rsidP="00BE38B5">
            <w:pPr>
              <w:spacing w:after="160" w:line="480" w:lineRule="auto"/>
              <w:jc w:val="both"/>
              <w:rPr>
                <w:rFonts w:eastAsiaTheme="minorEastAsia"/>
                <w:iCs/>
              </w:rPr>
            </w:pPr>
            <w:r w:rsidRPr="00585293">
              <w:rPr>
                <w:color w:val="000000"/>
              </w:rPr>
              <w:t>11.73</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52474FEA" w14:textId="28910469" w:rsidR="00120A6F" w:rsidRPr="00585293" w:rsidRDefault="00120A6F" w:rsidP="00BE38B5">
            <w:pPr>
              <w:spacing w:after="160" w:line="480" w:lineRule="auto"/>
              <w:jc w:val="both"/>
              <w:rPr>
                <w:rFonts w:eastAsiaTheme="minorEastAsia"/>
                <w:iCs/>
              </w:rPr>
            </w:pPr>
            <w:r w:rsidRPr="00585293">
              <w:rPr>
                <w:color w:val="000000"/>
              </w:rPr>
              <w:t>22.97</w:t>
            </w:r>
          </w:p>
        </w:tc>
        <w:tc>
          <w:tcPr>
            <w:tcW w:w="670"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14D1B201" w14:textId="6AFD0E59" w:rsidR="00120A6F" w:rsidRPr="00585293" w:rsidRDefault="00120A6F" w:rsidP="00BE38B5">
            <w:pPr>
              <w:spacing w:after="160" w:line="480" w:lineRule="auto"/>
              <w:jc w:val="both"/>
              <w:rPr>
                <w:rFonts w:eastAsiaTheme="minorEastAsia"/>
                <w:iCs/>
              </w:rPr>
            </w:pPr>
            <w:r w:rsidRPr="00585293">
              <w:rPr>
                <w:color w:val="000000"/>
              </w:rPr>
              <w:t>12,291</w:t>
            </w:r>
          </w:p>
        </w:tc>
      </w:tr>
      <w:tr w:rsidR="00120A6F" w:rsidRPr="00585293" w14:paraId="6EDF61DC"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51D6F5D7" w14:textId="24DB59E9" w:rsidR="00120A6F" w:rsidRPr="00585293" w:rsidRDefault="002C7FFD" w:rsidP="00BE38B5">
            <w:pPr>
              <w:spacing w:after="160" w:line="480" w:lineRule="auto"/>
              <w:jc w:val="both"/>
              <w:rPr>
                <w:rFonts w:eastAsiaTheme="minorEastAsia"/>
                <w:iCs/>
              </w:rPr>
            </w:pPr>
            <w:r w:rsidRPr="00585293">
              <w:rPr>
                <w:rFonts w:eastAsiaTheme="minorEastAsia"/>
                <w:iCs/>
              </w:rPr>
              <w:t>S</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3EA21F62" w14:textId="17E1E177" w:rsidR="00120A6F" w:rsidRPr="00585293" w:rsidRDefault="00120A6F" w:rsidP="00BE38B5">
            <w:pPr>
              <w:spacing w:after="160" w:line="480" w:lineRule="auto"/>
              <w:jc w:val="both"/>
              <w:rPr>
                <w:rFonts w:eastAsiaTheme="minorEastAsia"/>
                <w:iCs/>
              </w:rPr>
            </w:pPr>
            <w:r w:rsidRPr="00585293">
              <w:rPr>
                <w:color w:val="000000"/>
              </w:rPr>
              <w:t>37.85</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6C9ACA1E" w14:textId="5FEBC22A" w:rsidR="00120A6F" w:rsidRPr="00585293" w:rsidRDefault="00120A6F" w:rsidP="00BE38B5">
            <w:pPr>
              <w:spacing w:after="160" w:line="480" w:lineRule="auto"/>
              <w:jc w:val="both"/>
              <w:rPr>
                <w:rFonts w:eastAsiaTheme="minorEastAsia"/>
                <w:iCs/>
              </w:rPr>
            </w:pPr>
            <w:r w:rsidRPr="00585293">
              <w:rPr>
                <w:color w:val="000000"/>
              </w:rPr>
              <w:t>69.55</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0948C0BC" w14:textId="694AA08A" w:rsidR="00120A6F" w:rsidRPr="00585293" w:rsidRDefault="00120A6F" w:rsidP="00BE38B5">
            <w:pPr>
              <w:spacing w:after="160" w:line="480" w:lineRule="auto"/>
              <w:jc w:val="both"/>
              <w:rPr>
                <w:rFonts w:eastAsiaTheme="minorEastAsia"/>
                <w:iCs/>
              </w:rPr>
            </w:pPr>
            <w:r w:rsidRPr="00585293">
              <w:rPr>
                <w:color w:val="000000"/>
              </w:rPr>
              <w:t>19.01</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4716AC10" w14:textId="16BCAF21" w:rsidR="00120A6F" w:rsidRPr="00585293" w:rsidRDefault="00120A6F" w:rsidP="00BE38B5">
            <w:pPr>
              <w:spacing w:after="160" w:line="480" w:lineRule="auto"/>
              <w:jc w:val="both"/>
              <w:rPr>
                <w:rFonts w:eastAsiaTheme="minorEastAsia"/>
                <w:iCs/>
              </w:rPr>
            </w:pPr>
            <w:r w:rsidRPr="00585293">
              <w:rPr>
                <w:color w:val="000000"/>
              </w:rPr>
              <w:t>32.99</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12630368" w14:textId="47C57A3F" w:rsidR="00120A6F" w:rsidRPr="00585293" w:rsidRDefault="00120A6F" w:rsidP="00BE38B5">
            <w:pPr>
              <w:spacing w:after="160" w:line="480" w:lineRule="auto"/>
              <w:jc w:val="both"/>
              <w:rPr>
                <w:rFonts w:eastAsiaTheme="minorEastAsia"/>
                <w:iCs/>
              </w:rPr>
            </w:pPr>
            <w:r w:rsidRPr="00585293">
              <w:rPr>
                <w:color w:val="000000"/>
              </w:rPr>
              <w:t>39.85</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7B866BB8" w14:textId="1DCDEB86" w:rsidR="00120A6F" w:rsidRPr="00585293" w:rsidRDefault="00120A6F" w:rsidP="00BE38B5">
            <w:pPr>
              <w:spacing w:after="160" w:line="480" w:lineRule="auto"/>
              <w:jc w:val="both"/>
              <w:rPr>
                <w:rFonts w:eastAsiaTheme="minorEastAsia"/>
                <w:iCs/>
              </w:rPr>
            </w:pPr>
            <w:r w:rsidRPr="00585293">
              <w:rPr>
                <w:color w:val="000000"/>
              </w:rPr>
              <w:t>32,598</w:t>
            </w:r>
          </w:p>
        </w:tc>
      </w:tr>
      <w:tr w:rsidR="00120A6F" w:rsidRPr="00585293" w14:paraId="3A6C3091"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0ABA240B" w14:textId="569728B9" w:rsidR="00120A6F" w:rsidRPr="00585293" w:rsidRDefault="002C7FFD" w:rsidP="00BE38B5">
            <w:pPr>
              <w:spacing w:after="160" w:line="480" w:lineRule="auto"/>
              <w:jc w:val="both"/>
              <w:rPr>
                <w:rFonts w:eastAsiaTheme="minorEastAsia"/>
                <w:iCs/>
              </w:rPr>
            </w:pPr>
            <w:r w:rsidRPr="00585293">
              <w:rPr>
                <w:rFonts w:eastAsiaTheme="minorEastAsia"/>
                <w:iCs/>
              </w:rPr>
              <w:t>F</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22057BDC" w14:textId="6D0E9539" w:rsidR="00120A6F" w:rsidRPr="00585293" w:rsidRDefault="00120A6F" w:rsidP="00BE38B5">
            <w:pPr>
              <w:spacing w:after="160" w:line="480" w:lineRule="auto"/>
              <w:jc w:val="both"/>
              <w:rPr>
                <w:rFonts w:eastAsiaTheme="minorEastAsia"/>
                <w:iCs/>
              </w:rPr>
            </w:pPr>
            <w:r w:rsidRPr="00585293">
              <w:rPr>
                <w:color w:val="000000"/>
              </w:rPr>
              <w:t>4.19</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476D73CC" w14:textId="301607E1" w:rsidR="00120A6F" w:rsidRPr="00585293" w:rsidRDefault="00120A6F" w:rsidP="00BE38B5">
            <w:pPr>
              <w:spacing w:after="160" w:line="480" w:lineRule="auto"/>
              <w:jc w:val="both"/>
              <w:rPr>
                <w:rFonts w:eastAsiaTheme="minorEastAsia"/>
                <w:iCs/>
              </w:rPr>
            </w:pPr>
            <w:r w:rsidRPr="00585293">
              <w:rPr>
                <w:color w:val="000000"/>
              </w:rPr>
              <w:t>2.11</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4D0040E2" w14:textId="22BF434B" w:rsidR="00120A6F" w:rsidRPr="00585293" w:rsidRDefault="00120A6F" w:rsidP="00BE38B5">
            <w:pPr>
              <w:spacing w:after="160" w:line="480" w:lineRule="auto"/>
              <w:jc w:val="both"/>
              <w:rPr>
                <w:rFonts w:eastAsiaTheme="minorEastAsia"/>
                <w:iCs/>
              </w:rPr>
            </w:pPr>
            <w:r w:rsidRPr="00585293">
              <w:rPr>
                <w:color w:val="000000"/>
              </w:rPr>
              <w:t>40.59</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1DC60DE6" w14:textId="7B622743" w:rsidR="00120A6F" w:rsidRPr="00585293" w:rsidRDefault="00120A6F" w:rsidP="00BE38B5">
            <w:pPr>
              <w:spacing w:after="160" w:line="480" w:lineRule="auto"/>
              <w:jc w:val="both"/>
              <w:rPr>
                <w:rFonts w:eastAsiaTheme="minorEastAsia"/>
                <w:iCs/>
              </w:rPr>
            </w:pPr>
            <w:r w:rsidRPr="00585293">
              <w:rPr>
                <w:color w:val="000000"/>
              </w:rPr>
              <w:t>2.20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46B75810" w14:textId="4CFA9147" w:rsidR="00120A6F" w:rsidRPr="00585293" w:rsidRDefault="00120A6F" w:rsidP="00BE38B5">
            <w:pPr>
              <w:spacing w:after="160" w:line="480" w:lineRule="auto"/>
              <w:jc w:val="both"/>
              <w:rPr>
                <w:rFonts w:eastAsiaTheme="minorEastAsia"/>
                <w:iCs/>
              </w:rPr>
            </w:pPr>
            <w:r w:rsidRPr="00585293">
              <w:rPr>
                <w:color w:val="000000"/>
              </w:rPr>
              <w:t>12.27</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02BA26B9" w14:textId="16AF9182" w:rsidR="00120A6F" w:rsidRPr="00585293" w:rsidRDefault="00120A6F" w:rsidP="00BE38B5">
            <w:pPr>
              <w:spacing w:after="160" w:line="480" w:lineRule="auto"/>
              <w:jc w:val="both"/>
              <w:rPr>
                <w:rFonts w:eastAsiaTheme="minorEastAsia"/>
                <w:iCs/>
              </w:rPr>
            </w:pPr>
            <w:r w:rsidRPr="00585293">
              <w:rPr>
                <w:color w:val="000000"/>
              </w:rPr>
              <w:t>3,952</w:t>
            </w:r>
          </w:p>
        </w:tc>
      </w:tr>
      <w:tr w:rsidR="00120A6F" w:rsidRPr="00585293" w14:paraId="12776F57"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63900EB5" w14:textId="6DF69475" w:rsidR="00120A6F" w:rsidRPr="00585293" w:rsidRDefault="002C7FFD" w:rsidP="00BE38B5">
            <w:pPr>
              <w:spacing w:after="160" w:line="480" w:lineRule="auto"/>
              <w:jc w:val="both"/>
              <w:rPr>
                <w:rFonts w:eastAsiaTheme="minorEastAsia"/>
                <w:iCs/>
              </w:rPr>
            </w:pPr>
            <w:r w:rsidRPr="00585293">
              <w:rPr>
                <w:rFonts w:eastAsiaTheme="minorEastAsia"/>
                <w:iCs/>
              </w:rPr>
              <w:t>U</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2891130B" w14:textId="09DC735C" w:rsidR="00120A6F" w:rsidRPr="00585293" w:rsidRDefault="00120A6F" w:rsidP="00BE38B5">
            <w:pPr>
              <w:spacing w:after="160" w:line="480" w:lineRule="auto"/>
              <w:jc w:val="both"/>
              <w:rPr>
                <w:rFonts w:eastAsiaTheme="minorEastAsia"/>
                <w:iCs/>
              </w:rPr>
            </w:pPr>
            <w:r w:rsidRPr="00585293">
              <w:rPr>
                <w:color w:val="000000"/>
              </w:rPr>
              <w:t>12.57</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609445F1" w14:textId="2BFA79D6" w:rsidR="00120A6F" w:rsidRPr="00585293" w:rsidRDefault="00120A6F" w:rsidP="00BE38B5">
            <w:pPr>
              <w:spacing w:after="160" w:line="480" w:lineRule="auto"/>
              <w:jc w:val="both"/>
              <w:rPr>
                <w:rFonts w:eastAsiaTheme="minorEastAsia"/>
                <w:iCs/>
              </w:rPr>
            </w:pPr>
            <w:r w:rsidRPr="00585293">
              <w:rPr>
                <w:color w:val="000000"/>
              </w:rPr>
              <w:t>11.53</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334C0A30" w14:textId="5B1036F1" w:rsidR="00120A6F" w:rsidRPr="00585293" w:rsidRDefault="00120A6F" w:rsidP="00BE38B5">
            <w:pPr>
              <w:spacing w:after="160" w:line="480" w:lineRule="auto"/>
              <w:jc w:val="both"/>
              <w:rPr>
                <w:rFonts w:eastAsiaTheme="minorEastAsia"/>
                <w:iCs/>
              </w:rPr>
            </w:pPr>
            <w:r w:rsidRPr="00585293">
              <w:rPr>
                <w:color w:val="000000"/>
              </w:rPr>
              <w:t>22.43</w:t>
            </w:r>
          </w:p>
        </w:tc>
        <w:tc>
          <w:tcPr>
            <w:tcW w:w="676" w:type="pct"/>
            <w:tcBorders>
              <w:top w:val="nil"/>
              <w:left w:val="nil"/>
              <w:bottom w:val="nil"/>
              <w:right w:val="nil"/>
            </w:tcBorders>
            <w:shd w:val="clear" w:color="auto" w:fill="D9D9D9"/>
            <w:tcMar>
              <w:top w:w="10" w:type="dxa"/>
              <w:left w:w="10" w:type="dxa"/>
              <w:bottom w:w="0" w:type="dxa"/>
              <w:right w:w="10" w:type="dxa"/>
            </w:tcMar>
            <w:vAlign w:val="center"/>
            <w:hideMark/>
          </w:tcPr>
          <w:p w14:paraId="072FB2E6" w14:textId="06CDF976" w:rsidR="00120A6F" w:rsidRPr="00585293" w:rsidRDefault="00120A6F" w:rsidP="00BE38B5">
            <w:pPr>
              <w:spacing w:after="160" w:line="480" w:lineRule="auto"/>
              <w:jc w:val="both"/>
              <w:rPr>
                <w:rFonts w:eastAsiaTheme="minorEastAsia"/>
                <w:iCs/>
              </w:rPr>
            </w:pPr>
            <w:r w:rsidRPr="00585293">
              <w:rPr>
                <w:color w:val="000000"/>
              </w:rPr>
              <w:t>53.08</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26CB0A6C" w14:textId="2A33FA80" w:rsidR="00120A6F" w:rsidRPr="00585293" w:rsidRDefault="00120A6F" w:rsidP="00BE38B5">
            <w:pPr>
              <w:spacing w:after="160" w:line="480" w:lineRule="auto"/>
              <w:jc w:val="both"/>
              <w:rPr>
                <w:rFonts w:eastAsiaTheme="minorEastAsia"/>
                <w:iCs/>
              </w:rPr>
            </w:pPr>
            <w:r w:rsidRPr="00585293">
              <w:rPr>
                <w:color w:val="000000"/>
              </w:rPr>
              <w:t>24.90</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565B9531" w14:textId="59309E75" w:rsidR="00120A6F" w:rsidRPr="00585293" w:rsidRDefault="00120A6F" w:rsidP="00BE38B5">
            <w:pPr>
              <w:spacing w:after="160" w:line="480" w:lineRule="auto"/>
              <w:jc w:val="both"/>
              <w:rPr>
                <w:rFonts w:eastAsiaTheme="minorEastAsia"/>
                <w:iCs/>
              </w:rPr>
            </w:pPr>
            <w:r w:rsidRPr="00585293">
              <w:rPr>
                <w:color w:val="000000"/>
              </w:rPr>
              <w:t>18,124</w:t>
            </w:r>
          </w:p>
        </w:tc>
      </w:tr>
      <w:tr w:rsidR="00B45B69" w:rsidRPr="00585293" w14:paraId="652A2E13"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26380575" w14:textId="77777777" w:rsidR="00B45B69" w:rsidRPr="00585293" w:rsidRDefault="00B45B69" w:rsidP="00BE38B5">
            <w:pPr>
              <w:spacing w:after="160" w:line="480" w:lineRule="auto"/>
              <w:jc w:val="both"/>
              <w:rPr>
                <w:rFonts w:eastAsiaTheme="minorEastAsia"/>
                <w:iCs/>
              </w:rPr>
            </w:pPr>
            <w:r w:rsidRPr="00585293">
              <w:rPr>
                <w:rFonts w:eastAsiaTheme="minorEastAsia"/>
                <w:iCs/>
              </w:rPr>
              <w:t>Total</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4E361991" w14:textId="3D2BE5DA" w:rsidR="00B45B69" w:rsidRPr="00585293" w:rsidRDefault="00B45B69"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0C7FB522" w14:textId="0367F0C7" w:rsidR="00B45B69" w:rsidRPr="00585293" w:rsidRDefault="00B45B69"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1A548A95" w14:textId="42935353" w:rsidR="00B45B69" w:rsidRPr="00585293" w:rsidRDefault="00B45B69" w:rsidP="00BE38B5">
            <w:pPr>
              <w:spacing w:after="160" w:line="480" w:lineRule="auto"/>
              <w:jc w:val="both"/>
              <w:rPr>
                <w:rFonts w:eastAsiaTheme="minorEastAsia"/>
                <w:iCs/>
              </w:rPr>
            </w:pPr>
            <w:r w:rsidRPr="00585293">
              <w:rPr>
                <w:color w:val="000000"/>
              </w:rPr>
              <w:t>100.00</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38553691" w14:textId="2AA19828" w:rsidR="00B45B69" w:rsidRPr="00585293" w:rsidRDefault="00B45B69"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07A435A9" w14:textId="77777777" w:rsidR="00B45B69" w:rsidRPr="00585293" w:rsidRDefault="00B45B69" w:rsidP="00BE38B5">
            <w:pPr>
              <w:spacing w:after="160" w:line="480" w:lineRule="auto"/>
              <w:jc w:val="both"/>
              <w:rPr>
                <w:rFonts w:eastAsiaTheme="minorEastAsia"/>
                <w:iCs/>
              </w:rPr>
            </w:pP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41AB56B5" w14:textId="77777777" w:rsidR="00B45B69" w:rsidRPr="00585293" w:rsidRDefault="00B45B69" w:rsidP="00BE38B5">
            <w:pPr>
              <w:spacing w:after="160" w:line="480" w:lineRule="auto"/>
              <w:jc w:val="both"/>
              <w:rPr>
                <w:rFonts w:eastAsiaTheme="minorEastAsia"/>
                <w:iCs/>
              </w:rPr>
            </w:pPr>
          </w:p>
        </w:tc>
      </w:tr>
      <w:tr w:rsidR="00D6133E" w:rsidRPr="00585293" w14:paraId="24C81D4D" w14:textId="77777777" w:rsidTr="00AA0592">
        <w:trPr>
          <w:trHeight w:hRule="exact" w:val="397"/>
        </w:trPr>
        <w:tc>
          <w:tcPr>
            <w:tcW w:w="957"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1E368451" w14:textId="77777777" w:rsidR="00D6133E" w:rsidRPr="00585293" w:rsidRDefault="00D6133E" w:rsidP="00BE38B5">
            <w:pPr>
              <w:spacing w:after="160" w:line="480" w:lineRule="auto"/>
              <w:jc w:val="both"/>
              <w:rPr>
                <w:rFonts w:eastAsiaTheme="minorEastAsia"/>
                <w:iCs/>
              </w:rPr>
            </w:pPr>
            <w:r w:rsidRPr="00585293">
              <w:rPr>
                <w:rFonts w:eastAsiaTheme="minorEastAsia"/>
                <w:i/>
                <w:iCs/>
              </w:rPr>
              <w:t>N</w:t>
            </w:r>
          </w:p>
        </w:tc>
        <w:tc>
          <w:tcPr>
            <w:tcW w:w="675"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2C7EE31B" w14:textId="4BCFC5C3" w:rsidR="00D6133E" w:rsidRPr="00585293" w:rsidRDefault="00D6133E" w:rsidP="00BE38B5">
            <w:pPr>
              <w:spacing w:after="160" w:line="480" w:lineRule="auto"/>
              <w:jc w:val="both"/>
              <w:rPr>
                <w:rFonts w:eastAsiaTheme="minorEastAsia"/>
                <w:iCs/>
              </w:rPr>
            </w:pPr>
            <w:r w:rsidRPr="00585293">
              <w:rPr>
                <w:color w:val="000000"/>
              </w:rPr>
              <w:t>7,501</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1ADB47D2" w14:textId="203D7E66" w:rsidR="00D6133E" w:rsidRPr="00585293" w:rsidRDefault="00D6133E" w:rsidP="00BE38B5">
            <w:pPr>
              <w:spacing w:after="160" w:line="480" w:lineRule="auto"/>
              <w:jc w:val="both"/>
              <w:rPr>
                <w:rFonts w:eastAsiaTheme="minorEastAsia"/>
                <w:iCs/>
              </w:rPr>
            </w:pPr>
            <w:r w:rsidRPr="00585293">
              <w:rPr>
                <w:color w:val="000000"/>
              </w:rPr>
              <w:t>30,086</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695F01ED" w14:textId="56E18BF8" w:rsidR="00D6133E" w:rsidRPr="00585293" w:rsidRDefault="00D6133E" w:rsidP="00BE38B5">
            <w:pPr>
              <w:spacing w:after="160" w:line="480" w:lineRule="auto"/>
              <w:jc w:val="both"/>
              <w:rPr>
                <w:rFonts w:eastAsiaTheme="minorEastAsia"/>
                <w:iCs/>
              </w:rPr>
            </w:pPr>
            <w:r w:rsidRPr="00585293">
              <w:rPr>
                <w:color w:val="000000"/>
              </w:rPr>
              <w:t>6,139</w:t>
            </w:r>
          </w:p>
        </w:tc>
        <w:tc>
          <w:tcPr>
            <w:tcW w:w="676"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CD9DB9A" w14:textId="5B573BE8" w:rsidR="00D6133E" w:rsidRPr="00585293" w:rsidRDefault="00D6133E" w:rsidP="00BE38B5">
            <w:pPr>
              <w:spacing w:after="160" w:line="480" w:lineRule="auto"/>
              <w:jc w:val="both"/>
              <w:rPr>
                <w:rFonts w:eastAsiaTheme="minorEastAsia"/>
                <w:iCs/>
              </w:rPr>
            </w:pPr>
            <w:r w:rsidRPr="00585293">
              <w:rPr>
                <w:color w:val="000000"/>
              </w:rPr>
              <w:t>23,239</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14C7DBCB" w14:textId="77777777" w:rsidR="00D6133E" w:rsidRPr="00585293" w:rsidRDefault="00D6133E" w:rsidP="00BE38B5">
            <w:pPr>
              <w:spacing w:after="160" w:line="480" w:lineRule="auto"/>
              <w:jc w:val="both"/>
              <w:rPr>
                <w:rFonts w:eastAsiaTheme="minorEastAsia"/>
                <w:iCs/>
              </w:rPr>
            </w:pPr>
          </w:p>
        </w:tc>
        <w:tc>
          <w:tcPr>
            <w:tcW w:w="670"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5247BA6F" w14:textId="77777777" w:rsidR="00D6133E" w:rsidRPr="00585293" w:rsidRDefault="00D6133E" w:rsidP="00BE38B5">
            <w:pPr>
              <w:spacing w:after="160" w:line="480" w:lineRule="auto"/>
              <w:jc w:val="both"/>
              <w:rPr>
                <w:rFonts w:eastAsiaTheme="minorEastAsia"/>
                <w:iCs/>
              </w:rPr>
            </w:pPr>
            <w:r w:rsidRPr="00585293">
              <w:rPr>
                <w:rFonts w:eastAsiaTheme="minorEastAsia"/>
                <w:iCs/>
              </w:rPr>
              <w:t>66,965</w:t>
            </w:r>
          </w:p>
        </w:tc>
      </w:tr>
    </w:tbl>
    <w:p w14:paraId="779E4B32" w14:textId="77777777" w:rsidR="00865AD8" w:rsidRDefault="00C75921" w:rsidP="003653CA">
      <w:pPr>
        <w:jc w:val="both"/>
        <w:rPr>
          <w:sz w:val="20"/>
          <w:szCs w:val="20"/>
        </w:rPr>
      </w:pPr>
      <w:r w:rsidRPr="003653CA">
        <w:rPr>
          <w:i/>
          <w:iCs/>
          <w:sz w:val="20"/>
          <w:szCs w:val="20"/>
        </w:rPr>
        <w:t>Notes</w:t>
      </w:r>
      <w:r w:rsidRPr="00585293">
        <w:rPr>
          <w:sz w:val="20"/>
          <w:szCs w:val="20"/>
        </w:rPr>
        <w:t xml:space="preserve">: W = white collar; S = skilled and semi-skilled; F = farmer; U = unskilled. </w:t>
      </w:r>
    </w:p>
    <w:p w14:paraId="665D4916" w14:textId="5D20EE36" w:rsidR="004E7144" w:rsidRPr="00585293" w:rsidRDefault="004E7144" w:rsidP="00BE38B5">
      <w:pPr>
        <w:spacing w:after="160"/>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w:t>
      </w:r>
      <w:r w:rsidR="007D7853" w:rsidRPr="00585293">
        <w:rPr>
          <w:sz w:val="20"/>
          <w:szCs w:val="20"/>
        </w:rPr>
        <w:t xml:space="preserve"> </w:t>
      </w:r>
    </w:p>
    <w:p w14:paraId="4F4F1522" w14:textId="0C2F62C0" w:rsidR="00D76E6F" w:rsidRPr="00585293" w:rsidRDefault="00D76E6F" w:rsidP="00D76E6F">
      <w:pPr>
        <w:pStyle w:val="Caption"/>
        <w:keepNext/>
        <w:spacing w:after="160"/>
        <w:jc w:val="center"/>
        <w:rPr>
          <w:i w:val="0"/>
          <w:iCs w:val="0"/>
          <w:color w:val="auto"/>
          <w:sz w:val="24"/>
          <w:szCs w:val="24"/>
        </w:rPr>
      </w:pPr>
      <w:r w:rsidRPr="003653CA">
        <w:rPr>
          <w:i w:val="0"/>
          <w:iCs w:val="0"/>
          <w:color w:val="auto"/>
          <w:sz w:val="24"/>
          <w:szCs w:val="24"/>
        </w:rPr>
        <w:t xml:space="preserve">Table </w:t>
      </w:r>
      <w:r w:rsidR="00DB20B7" w:rsidRPr="003653CA">
        <w:rPr>
          <w:i w:val="0"/>
          <w:iCs w:val="0"/>
          <w:color w:val="auto"/>
          <w:sz w:val="24"/>
          <w:szCs w:val="24"/>
        </w:rPr>
        <w:t>K2</w:t>
      </w:r>
      <w:r w:rsidRPr="00585293">
        <w:rPr>
          <w:i w:val="0"/>
          <w:iCs w:val="0"/>
          <w:color w:val="auto"/>
          <w:sz w:val="24"/>
          <w:szCs w:val="24"/>
        </w:rPr>
        <w:t>: Intergenerational Mobility Table for 1881-1911</w:t>
      </w:r>
    </w:p>
    <w:tbl>
      <w:tblPr>
        <w:tblW w:w="5000" w:type="pct"/>
        <w:tblCellMar>
          <w:left w:w="0" w:type="dxa"/>
          <w:right w:w="0" w:type="dxa"/>
        </w:tblCellMar>
        <w:tblLook w:val="0600" w:firstRow="0" w:lastRow="0" w:firstColumn="0" w:lastColumn="0" w:noHBand="1" w:noVBand="1"/>
      </w:tblPr>
      <w:tblGrid>
        <w:gridCol w:w="1727"/>
        <w:gridCol w:w="1219"/>
        <w:gridCol w:w="1217"/>
        <w:gridCol w:w="1217"/>
        <w:gridCol w:w="1220"/>
        <w:gridCol w:w="1217"/>
        <w:gridCol w:w="1209"/>
      </w:tblGrid>
      <w:tr w:rsidR="00D76E6F" w:rsidRPr="00585293" w14:paraId="5F98C39F" w14:textId="77777777" w:rsidTr="00805634">
        <w:trPr>
          <w:trHeight w:hRule="exact" w:val="397"/>
        </w:trPr>
        <w:tc>
          <w:tcPr>
            <w:tcW w:w="957"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27EA96A4" w14:textId="77777777" w:rsidR="00D76E6F" w:rsidRPr="00585293" w:rsidRDefault="00D76E6F" w:rsidP="00805634">
            <w:pPr>
              <w:spacing w:after="160" w:line="480" w:lineRule="auto"/>
              <w:jc w:val="both"/>
              <w:rPr>
                <w:rFonts w:eastAsiaTheme="minorEastAsia"/>
                <w:iCs/>
              </w:rPr>
            </w:pPr>
            <w:r w:rsidRPr="00585293">
              <w:rPr>
                <w:rFonts w:eastAsiaTheme="minorEastAsia"/>
                <w:iCs/>
              </w:rPr>
              <w:t>Son's Class</w:t>
            </w:r>
          </w:p>
        </w:tc>
        <w:tc>
          <w:tcPr>
            <w:tcW w:w="2699" w:type="pct"/>
            <w:gridSpan w:val="4"/>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6DA1CA85" w14:textId="77777777" w:rsidR="00D76E6F" w:rsidRPr="00585293" w:rsidRDefault="00D76E6F" w:rsidP="00805634">
            <w:pPr>
              <w:spacing w:after="160" w:line="480" w:lineRule="auto"/>
              <w:jc w:val="both"/>
              <w:rPr>
                <w:rFonts w:eastAsiaTheme="minorEastAsia"/>
                <w:iCs/>
              </w:rPr>
            </w:pPr>
            <w:r w:rsidRPr="00585293">
              <w:rPr>
                <w:rFonts w:eastAsiaTheme="minorEastAsia"/>
                <w:iCs/>
              </w:rPr>
              <w:t>Father's Class in 1881</w:t>
            </w:r>
          </w:p>
        </w:tc>
        <w:tc>
          <w:tcPr>
            <w:tcW w:w="674"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72E35250" w14:textId="77777777" w:rsidR="00D76E6F" w:rsidRPr="00585293" w:rsidRDefault="00D76E6F" w:rsidP="00805634">
            <w:pPr>
              <w:spacing w:after="160" w:line="480" w:lineRule="auto"/>
              <w:jc w:val="both"/>
              <w:rPr>
                <w:rFonts w:eastAsiaTheme="minorEastAsia"/>
                <w:iCs/>
              </w:rPr>
            </w:pPr>
            <w:r w:rsidRPr="00585293">
              <w:rPr>
                <w:rFonts w:eastAsiaTheme="minorEastAsia"/>
                <w:iCs/>
              </w:rPr>
              <w:t>Total</w:t>
            </w:r>
          </w:p>
        </w:tc>
        <w:tc>
          <w:tcPr>
            <w:tcW w:w="670"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15D9CCF6" w14:textId="77777777" w:rsidR="00D76E6F" w:rsidRPr="00585293" w:rsidRDefault="00D76E6F" w:rsidP="00805634">
            <w:pPr>
              <w:spacing w:after="160" w:line="480" w:lineRule="auto"/>
              <w:jc w:val="both"/>
              <w:rPr>
                <w:rFonts w:eastAsiaTheme="minorEastAsia"/>
                <w:iCs/>
              </w:rPr>
            </w:pPr>
            <w:r w:rsidRPr="00585293">
              <w:rPr>
                <w:rFonts w:eastAsiaTheme="minorEastAsia"/>
                <w:i/>
                <w:iCs/>
              </w:rPr>
              <w:t>N</w:t>
            </w:r>
          </w:p>
        </w:tc>
      </w:tr>
      <w:tr w:rsidR="00D76E6F" w:rsidRPr="00585293" w14:paraId="1E79B5B0" w14:textId="77777777" w:rsidTr="00805634">
        <w:trPr>
          <w:trHeight w:hRule="exact" w:val="397"/>
        </w:trPr>
        <w:tc>
          <w:tcPr>
            <w:tcW w:w="957"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029584D4" w14:textId="77777777" w:rsidR="00D76E6F" w:rsidRPr="00585293" w:rsidRDefault="00D76E6F" w:rsidP="00805634">
            <w:pPr>
              <w:spacing w:after="160" w:line="480" w:lineRule="auto"/>
              <w:jc w:val="both"/>
              <w:rPr>
                <w:rFonts w:eastAsiaTheme="minorEastAsia"/>
                <w:iCs/>
              </w:rPr>
            </w:pPr>
            <w:r w:rsidRPr="00585293">
              <w:rPr>
                <w:rFonts w:eastAsiaTheme="minorEastAsia"/>
                <w:iCs/>
              </w:rPr>
              <w:t>1911</w:t>
            </w:r>
          </w:p>
          <w:p w14:paraId="3D15793B" w14:textId="77777777" w:rsidR="00D76E6F" w:rsidRPr="00585293" w:rsidRDefault="00D76E6F" w:rsidP="00805634">
            <w:pPr>
              <w:spacing w:after="160" w:line="480" w:lineRule="auto"/>
              <w:jc w:val="both"/>
              <w:rPr>
                <w:rFonts w:eastAsiaTheme="minorEastAsia"/>
                <w:iCs/>
              </w:rPr>
            </w:pPr>
            <w:r w:rsidRPr="00585293">
              <w:rPr>
                <w:rFonts w:eastAsiaTheme="minorEastAsia"/>
                <w:iCs/>
              </w:rPr>
              <w:t>911</w:t>
            </w:r>
          </w:p>
        </w:tc>
        <w:tc>
          <w:tcPr>
            <w:tcW w:w="67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7BD89975" w14:textId="77777777" w:rsidR="00D76E6F" w:rsidRPr="00585293" w:rsidRDefault="00D76E6F" w:rsidP="00805634">
            <w:pPr>
              <w:spacing w:after="160" w:line="480" w:lineRule="auto"/>
              <w:jc w:val="both"/>
              <w:rPr>
                <w:rFonts w:eastAsiaTheme="minorEastAsia"/>
                <w:iCs/>
              </w:rPr>
            </w:pPr>
            <w:r w:rsidRPr="00585293">
              <w:rPr>
                <w:rFonts w:eastAsiaTheme="minorEastAsia"/>
                <w:iCs/>
              </w:rPr>
              <w:t>W</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3F842A38" w14:textId="77777777" w:rsidR="00D76E6F" w:rsidRPr="00585293" w:rsidRDefault="00D76E6F" w:rsidP="00805634">
            <w:pPr>
              <w:spacing w:after="160" w:line="480" w:lineRule="auto"/>
              <w:jc w:val="both"/>
              <w:rPr>
                <w:rFonts w:eastAsiaTheme="minorEastAsia"/>
                <w:iCs/>
              </w:rPr>
            </w:pPr>
            <w:r w:rsidRPr="00585293">
              <w:rPr>
                <w:rFonts w:eastAsiaTheme="minorEastAsia"/>
                <w:iCs/>
              </w:rPr>
              <w:t>S</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4C5484FA" w14:textId="77777777" w:rsidR="00D76E6F" w:rsidRPr="00585293" w:rsidRDefault="00D76E6F" w:rsidP="00805634">
            <w:pPr>
              <w:spacing w:after="160" w:line="480" w:lineRule="auto"/>
              <w:jc w:val="both"/>
              <w:rPr>
                <w:rFonts w:eastAsiaTheme="minorEastAsia"/>
                <w:iCs/>
              </w:rPr>
            </w:pPr>
            <w:r w:rsidRPr="00585293">
              <w:rPr>
                <w:rFonts w:eastAsiaTheme="minorEastAsia"/>
                <w:iCs/>
              </w:rPr>
              <w:t>F</w:t>
            </w:r>
          </w:p>
        </w:tc>
        <w:tc>
          <w:tcPr>
            <w:tcW w:w="676"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617E5478" w14:textId="77777777" w:rsidR="00D76E6F" w:rsidRPr="00585293" w:rsidRDefault="00D76E6F" w:rsidP="00805634">
            <w:pPr>
              <w:spacing w:after="160" w:line="480" w:lineRule="auto"/>
              <w:jc w:val="both"/>
              <w:rPr>
                <w:rFonts w:eastAsiaTheme="minorEastAsia"/>
                <w:iCs/>
              </w:rPr>
            </w:pPr>
            <w:r w:rsidRPr="00585293">
              <w:rPr>
                <w:rFonts w:eastAsiaTheme="minorEastAsia"/>
                <w:iCs/>
              </w:rPr>
              <w:t>U</w:t>
            </w:r>
          </w:p>
        </w:tc>
        <w:tc>
          <w:tcPr>
            <w:tcW w:w="674"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467B5DC7" w14:textId="77777777" w:rsidR="00D76E6F" w:rsidRPr="00585293" w:rsidRDefault="00D76E6F" w:rsidP="00805634">
            <w:pPr>
              <w:spacing w:after="160" w:line="480" w:lineRule="auto"/>
              <w:jc w:val="both"/>
              <w:rPr>
                <w:rFonts w:eastAsiaTheme="minorEastAsia"/>
                <w:iCs/>
              </w:rPr>
            </w:pPr>
          </w:p>
        </w:tc>
        <w:tc>
          <w:tcPr>
            <w:tcW w:w="670"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05C98180" w14:textId="77777777" w:rsidR="00D76E6F" w:rsidRPr="00585293" w:rsidRDefault="00D76E6F" w:rsidP="00805634">
            <w:pPr>
              <w:spacing w:after="160" w:line="480" w:lineRule="auto"/>
              <w:jc w:val="both"/>
              <w:rPr>
                <w:rFonts w:eastAsiaTheme="minorEastAsia"/>
                <w:iCs/>
              </w:rPr>
            </w:pPr>
          </w:p>
        </w:tc>
      </w:tr>
      <w:tr w:rsidR="00D76E6F" w:rsidRPr="00585293" w14:paraId="2FA980B9" w14:textId="77777777" w:rsidTr="00805634">
        <w:trPr>
          <w:trHeight w:hRule="exact" w:val="397"/>
        </w:trPr>
        <w:tc>
          <w:tcPr>
            <w:tcW w:w="957"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3E3BDE87" w14:textId="77777777" w:rsidR="00D76E6F" w:rsidRPr="00585293" w:rsidRDefault="00D76E6F" w:rsidP="00805634">
            <w:pPr>
              <w:spacing w:after="160" w:line="480" w:lineRule="auto"/>
              <w:jc w:val="both"/>
              <w:rPr>
                <w:rFonts w:eastAsiaTheme="minorEastAsia"/>
                <w:iCs/>
              </w:rPr>
            </w:pPr>
            <w:r w:rsidRPr="00585293">
              <w:rPr>
                <w:rFonts w:eastAsiaTheme="minorEastAsia"/>
                <w:iCs/>
              </w:rPr>
              <w:t>W</w:t>
            </w:r>
          </w:p>
        </w:tc>
        <w:tc>
          <w:tcPr>
            <w:tcW w:w="675" w:type="pct"/>
            <w:tcBorders>
              <w:top w:val="single" w:sz="8" w:space="0" w:color="000000"/>
              <w:left w:val="nil"/>
              <w:bottom w:val="nil"/>
              <w:right w:val="nil"/>
            </w:tcBorders>
            <w:shd w:val="clear" w:color="auto" w:fill="D9D9D9"/>
            <w:tcMar>
              <w:top w:w="10" w:type="dxa"/>
              <w:left w:w="10" w:type="dxa"/>
              <w:bottom w:w="0" w:type="dxa"/>
              <w:right w:w="10" w:type="dxa"/>
            </w:tcMar>
            <w:vAlign w:val="center"/>
            <w:hideMark/>
          </w:tcPr>
          <w:p w14:paraId="19D4C6B9" w14:textId="77777777" w:rsidR="00D76E6F" w:rsidRPr="00585293" w:rsidRDefault="00D76E6F" w:rsidP="00805634">
            <w:pPr>
              <w:spacing w:after="160" w:line="480" w:lineRule="auto"/>
              <w:jc w:val="both"/>
              <w:rPr>
                <w:rFonts w:eastAsiaTheme="minorEastAsia"/>
                <w:iCs/>
              </w:rPr>
            </w:pPr>
            <w:r w:rsidRPr="00585293">
              <w:rPr>
                <w:color w:val="000000"/>
              </w:rPr>
              <w:t>53.76</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12D86D58" w14:textId="77777777" w:rsidR="00D76E6F" w:rsidRPr="00585293" w:rsidRDefault="00D76E6F" w:rsidP="00805634">
            <w:pPr>
              <w:spacing w:after="160" w:line="480" w:lineRule="auto"/>
              <w:jc w:val="both"/>
              <w:rPr>
                <w:rFonts w:eastAsiaTheme="minorEastAsia"/>
                <w:iCs/>
              </w:rPr>
            </w:pPr>
            <w:r w:rsidRPr="00585293">
              <w:rPr>
                <w:color w:val="000000"/>
              </w:rPr>
              <w:t>21.51</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13E77D0C" w14:textId="77777777" w:rsidR="00D76E6F" w:rsidRPr="00585293" w:rsidRDefault="00D76E6F" w:rsidP="00805634">
            <w:pPr>
              <w:spacing w:after="160" w:line="480" w:lineRule="auto"/>
              <w:jc w:val="both"/>
              <w:rPr>
                <w:rFonts w:eastAsiaTheme="minorEastAsia"/>
                <w:iCs/>
              </w:rPr>
            </w:pPr>
            <w:r w:rsidRPr="00585293">
              <w:rPr>
                <w:color w:val="000000"/>
              </w:rPr>
              <w:t>20.02</w:t>
            </w:r>
          </w:p>
        </w:tc>
        <w:tc>
          <w:tcPr>
            <w:tcW w:w="676"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32B4F20D" w14:textId="77777777" w:rsidR="00D76E6F" w:rsidRPr="00585293" w:rsidRDefault="00D76E6F" w:rsidP="00805634">
            <w:pPr>
              <w:spacing w:after="160" w:line="480" w:lineRule="auto"/>
              <w:jc w:val="both"/>
              <w:rPr>
                <w:rFonts w:eastAsiaTheme="minorEastAsia"/>
                <w:iCs/>
              </w:rPr>
            </w:pPr>
            <w:r w:rsidRPr="00585293">
              <w:rPr>
                <w:color w:val="000000"/>
              </w:rPr>
              <w:t>15.68</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62B6BB81" w14:textId="77777777" w:rsidR="00D76E6F" w:rsidRPr="00585293" w:rsidRDefault="00D76E6F" w:rsidP="00805634">
            <w:pPr>
              <w:spacing w:after="160" w:line="480" w:lineRule="auto"/>
              <w:jc w:val="both"/>
              <w:rPr>
                <w:rFonts w:eastAsiaTheme="minorEastAsia"/>
                <w:iCs/>
              </w:rPr>
            </w:pPr>
            <w:r w:rsidRPr="00585293">
              <w:rPr>
                <w:color w:val="000000"/>
              </w:rPr>
              <w:t>27.74</w:t>
            </w:r>
          </w:p>
        </w:tc>
        <w:tc>
          <w:tcPr>
            <w:tcW w:w="670"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17443B74" w14:textId="77777777" w:rsidR="00D76E6F" w:rsidRPr="00585293" w:rsidRDefault="00D76E6F" w:rsidP="00805634">
            <w:pPr>
              <w:spacing w:after="160" w:line="480" w:lineRule="auto"/>
              <w:jc w:val="both"/>
              <w:rPr>
                <w:rFonts w:eastAsiaTheme="minorEastAsia"/>
                <w:iCs/>
              </w:rPr>
            </w:pPr>
            <w:r w:rsidRPr="00585293">
              <w:rPr>
                <w:color w:val="000000"/>
              </w:rPr>
              <w:t>40,417</w:t>
            </w:r>
          </w:p>
        </w:tc>
      </w:tr>
      <w:tr w:rsidR="00D76E6F" w:rsidRPr="00585293" w14:paraId="399BCE4E" w14:textId="77777777" w:rsidTr="00805634">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14BBF9CC" w14:textId="77777777" w:rsidR="00D76E6F" w:rsidRPr="00585293" w:rsidRDefault="00D76E6F" w:rsidP="00805634">
            <w:pPr>
              <w:spacing w:after="160" w:line="480" w:lineRule="auto"/>
              <w:jc w:val="both"/>
              <w:rPr>
                <w:rFonts w:eastAsiaTheme="minorEastAsia"/>
                <w:iCs/>
              </w:rPr>
            </w:pPr>
            <w:r w:rsidRPr="00585293">
              <w:rPr>
                <w:rFonts w:eastAsiaTheme="minorEastAsia"/>
                <w:iCs/>
              </w:rPr>
              <w:t>S</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0A6AD09E" w14:textId="77777777" w:rsidR="00D76E6F" w:rsidRPr="00585293" w:rsidRDefault="00D76E6F" w:rsidP="00805634">
            <w:pPr>
              <w:spacing w:after="160" w:line="480" w:lineRule="auto"/>
              <w:jc w:val="both"/>
              <w:rPr>
                <w:rFonts w:eastAsiaTheme="minorEastAsia"/>
                <w:iCs/>
              </w:rPr>
            </w:pPr>
            <w:r w:rsidRPr="00585293">
              <w:rPr>
                <w:color w:val="000000"/>
              </w:rPr>
              <w:t>33.67</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3ED1F825" w14:textId="77777777" w:rsidR="00D76E6F" w:rsidRPr="00585293" w:rsidRDefault="00D76E6F" w:rsidP="00805634">
            <w:pPr>
              <w:spacing w:after="160" w:line="480" w:lineRule="auto"/>
              <w:jc w:val="both"/>
              <w:rPr>
                <w:rFonts w:eastAsiaTheme="minorEastAsia"/>
                <w:iCs/>
              </w:rPr>
            </w:pPr>
            <w:r w:rsidRPr="00585293">
              <w:rPr>
                <w:color w:val="000000"/>
              </w:rPr>
              <w:t>64.98</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18296681" w14:textId="77777777" w:rsidR="00D76E6F" w:rsidRPr="00585293" w:rsidRDefault="00D76E6F" w:rsidP="00805634">
            <w:pPr>
              <w:spacing w:after="160" w:line="480" w:lineRule="auto"/>
              <w:jc w:val="both"/>
              <w:rPr>
                <w:rFonts w:eastAsiaTheme="minorEastAsia"/>
                <w:iCs/>
              </w:rPr>
            </w:pPr>
            <w:r w:rsidRPr="00585293">
              <w:rPr>
                <w:color w:val="000000"/>
              </w:rPr>
              <w:t>18.95</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074E2C26" w14:textId="77777777" w:rsidR="00D76E6F" w:rsidRPr="00585293" w:rsidRDefault="00D76E6F" w:rsidP="00805634">
            <w:pPr>
              <w:spacing w:after="160" w:line="480" w:lineRule="auto"/>
              <w:jc w:val="both"/>
              <w:rPr>
                <w:rFonts w:eastAsiaTheme="minorEastAsia"/>
                <w:iCs/>
              </w:rPr>
            </w:pPr>
            <w:r w:rsidRPr="00585293">
              <w:rPr>
                <w:color w:val="000000"/>
              </w:rPr>
              <w:t>36.36</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5D0053A4" w14:textId="77777777" w:rsidR="00D76E6F" w:rsidRPr="00585293" w:rsidRDefault="00D76E6F" w:rsidP="00805634">
            <w:pPr>
              <w:spacing w:after="160" w:line="480" w:lineRule="auto"/>
              <w:jc w:val="both"/>
              <w:rPr>
                <w:rFonts w:eastAsiaTheme="minorEastAsia"/>
                <w:iCs/>
              </w:rPr>
            </w:pPr>
            <w:r w:rsidRPr="00585293">
              <w:rPr>
                <w:color w:val="000000"/>
              </w:rPr>
              <w:t>38.49</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7095B05D" w14:textId="77777777" w:rsidR="00D76E6F" w:rsidRPr="00585293" w:rsidRDefault="00D76E6F" w:rsidP="00805634">
            <w:pPr>
              <w:spacing w:after="160" w:line="480" w:lineRule="auto"/>
              <w:jc w:val="both"/>
              <w:rPr>
                <w:rFonts w:eastAsiaTheme="minorEastAsia"/>
                <w:iCs/>
              </w:rPr>
            </w:pPr>
            <w:r w:rsidRPr="00585293">
              <w:rPr>
                <w:color w:val="000000"/>
              </w:rPr>
              <w:t>79,544</w:t>
            </w:r>
          </w:p>
        </w:tc>
      </w:tr>
      <w:tr w:rsidR="00D76E6F" w:rsidRPr="00585293" w14:paraId="73BA38EE" w14:textId="77777777" w:rsidTr="00805634">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29465D2E" w14:textId="77777777" w:rsidR="00D76E6F" w:rsidRPr="00585293" w:rsidRDefault="00D76E6F" w:rsidP="00805634">
            <w:pPr>
              <w:spacing w:after="160" w:line="480" w:lineRule="auto"/>
              <w:jc w:val="both"/>
              <w:rPr>
                <w:rFonts w:eastAsiaTheme="minorEastAsia"/>
                <w:iCs/>
              </w:rPr>
            </w:pPr>
            <w:r w:rsidRPr="00585293">
              <w:rPr>
                <w:rFonts w:eastAsiaTheme="minorEastAsia"/>
                <w:iCs/>
              </w:rPr>
              <w:t>F</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0B717532" w14:textId="77777777" w:rsidR="00D76E6F" w:rsidRPr="00585293" w:rsidRDefault="00D76E6F" w:rsidP="00805634">
            <w:pPr>
              <w:spacing w:after="160" w:line="480" w:lineRule="auto"/>
              <w:jc w:val="both"/>
              <w:rPr>
                <w:rFonts w:eastAsiaTheme="minorEastAsia"/>
                <w:iCs/>
              </w:rPr>
            </w:pPr>
            <w:r w:rsidRPr="00585293">
              <w:rPr>
                <w:color w:val="000000"/>
              </w:rPr>
              <w:t>2.33</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1AA9BD95" w14:textId="77777777" w:rsidR="00D76E6F" w:rsidRPr="00585293" w:rsidRDefault="00D76E6F" w:rsidP="00805634">
            <w:pPr>
              <w:spacing w:after="160" w:line="480" w:lineRule="auto"/>
              <w:jc w:val="both"/>
              <w:rPr>
                <w:rFonts w:eastAsiaTheme="minorEastAsia"/>
                <w:iCs/>
              </w:rPr>
            </w:pPr>
            <w:r w:rsidRPr="00585293">
              <w:rPr>
                <w:color w:val="000000"/>
              </w:rPr>
              <w:t>1.04</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7CDABC5D" w14:textId="77777777" w:rsidR="00D76E6F" w:rsidRPr="00585293" w:rsidRDefault="00D76E6F" w:rsidP="00805634">
            <w:pPr>
              <w:spacing w:after="160" w:line="480" w:lineRule="auto"/>
              <w:jc w:val="both"/>
              <w:rPr>
                <w:rFonts w:eastAsiaTheme="minorEastAsia"/>
                <w:iCs/>
              </w:rPr>
            </w:pPr>
            <w:r w:rsidRPr="00585293">
              <w:rPr>
                <w:color w:val="000000"/>
              </w:rPr>
              <w:t>38.43</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6E7947AC" w14:textId="77777777" w:rsidR="00D76E6F" w:rsidRPr="00585293" w:rsidRDefault="00D76E6F" w:rsidP="00805634">
            <w:pPr>
              <w:spacing w:after="160" w:line="480" w:lineRule="auto"/>
              <w:jc w:val="both"/>
              <w:rPr>
                <w:rFonts w:eastAsiaTheme="minorEastAsia"/>
                <w:iCs/>
              </w:rPr>
            </w:pPr>
            <w:r w:rsidRPr="00585293">
              <w:rPr>
                <w:color w:val="000000"/>
              </w:rPr>
              <w:t>2.36</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3DBF967C" w14:textId="77777777" w:rsidR="00D76E6F" w:rsidRPr="00585293" w:rsidRDefault="00D76E6F" w:rsidP="00805634">
            <w:pPr>
              <w:spacing w:after="160" w:line="480" w:lineRule="auto"/>
              <w:jc w:val="both"/>
              <w:rPr>
                <w:rFonts w:eastAsiaTheme="minorEastAsia"/>
                <w:iCs/>
              </w:rPr>
            </w:pPr>
            <w:r w:rsidRPr="00585293">
              <w:rPr>
                <w:color w:val="000000"/>
              </w:rPr>
              <w:t>11.04</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79FCD667" w14:textId="77777777" w:rsidR="00D76E6F" w:rsidRPr="00585293" w:rsidRDefault="00D76E6F" w:rsidP="00805634">
            <w:pPr>
              <w:spacing w:after="160" w:line="480" w:lineRule="auto"/>
              <w:jc w:val="both"/>
              <w:rPr>
                <w:rFonts w:eastAsiaTheme="minorEastAsia"/>
                <w:iCs/>
              </w:rPr>
            </w:pPr>
            <w:r w:rsidRPr="00585293">
              <w:rPr>
                <w:color w:val="000000"/>
              </w:rPr>
              <w:t>6,137</w:t>
            </w:r>
          </w:p>
        </w:tc>
      </w:tr>
      <w:tr w:rsidR="00D76E6F" w:rsidRPr="00585293" w14:paraId="59E642E4" w14:textId="77777777" w:rsidTr="00805634">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4A270B0E" w14:textId="77777777" w:rsidR="00D76E6F" w:rsidRPr="00585293" w:rsidRDefault="00D76E6F" w:rsidP="00805634">
            <w:pPr>
              <w:spacing w:after="160" w:line="480" w:lineRule="auto"/>
              <w:jc w:val="both"/>
              <w:rPr>
                <w:rFonts w:eastAsiaTheme="minorEastAsia"/>
                <w:iCs/>
              </w:rPr>
            </w:pPr>
            <w:r w:rsidRPr="00585293">
              <w:rPr>
                <w:rFonts w:eastAsiaTheme="minorEastAsia"/>
                <w:iCs/>
              </w:rPr>
              <w:t>U</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56DFF705" w14:textId="77777777" w:rsidR="00D76E6F" w:rsidRPr="00585293" w:rsidRDefault="00D76E6F" w:rsidP="00805634">
            <w:pPr>
              <w:spacing w:after="160" w:line="480" w:lineRule="auto"/>
              <w:jc w:val="both"/>
              <w:rPr>
                <w:rFonts w:eastAsiaTheme="minorEastAsia"/>
                <w:iCs/>
              </w:rPr>
            </w:pPr>
            <w:r w:rsidRPr="00585293">
              <w:rPr>
                <w:color w:val="000000"/>
              </w:rPr>
              <w:t>10.24</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691459F9" w14:textId="77777777" w:rsidR="00D76E6F" w:rsidRPr="00585293" w:rsidRDefault="00D76E6F" w:rsidP="00805634">
            <w:pPr>
              <w:spacing w:after="160" w:line="480" w:lineRule="auto"/>
              <w:jc w:val="both"/>
              <w:rPr>
                <w:rFonts w:eastAsiaTheme="minorEastAsia"/>
                <w:iCs/>
              </w:rPr>
            </w:pPr>
            <w:r w:rsidRPr="00585293">
              <w:rPr>
                <w:color w:val="000000"/>
              </w:rPr>
              <w:t>12.46</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4CCC9985" w14:textId="77777777" w:rsidR="00D76E6F" w:rsidRPr="00585293" w:rsidRDefault="00D76E6F" w:rsidP="00805634">
            <w:pPr>
              <w:spacing w:after="160" w:line="480" w:lineRule="auto"/>
              <w:jc w:val="both"/>
              <w:rPr>
                <w:rFonts w:eastAsiaTheme="minorEastAsia"/>
                <w:iCs/>
              </w:rPr>
            </w:pPr>
            <w:r w:rsidRPr="00585293">
              <w:rPr>
                <w:color w:val="000000"/>
              </w:rPr>
              <w:t>22.60</w:t>
            </w:r>
          </w:p>
        </w:tc>
        <w:tc>
          <w:tcPr>
            <w:tcW w:w="676" w:type="pct"/>
            <w:tcBorders>
              <w:top w:val="nil"/>
              <w:left w:val="nil"/>
              <w:bottom w:val="nil"/>
              <w:right w:val="nil"/>
            </w:tcBorders>
            <w:shd w:val="clear" w:color="auto" w:fill="D9D9D9"/>
            <w:tcMar>
              <w:top w:w="10" w:type="dxa"/>
              <w:left w:w="10" w:type="dxa"/>
              <w:bottom w:w="0" w:type="dxa"/>
              <w:right w:w="10" w:type="dxa"/>
            </w:tcMar>
            <w:vAlign w:val="center"/>
            <w:hideMark/>
          </w:tcPr>
          <w:p w14:paraId="602A6B04" w14:textId="77777777" w:rsidR="00D76E6F" w:rsidRPr="00585293" w:rsidRDefault="00D76E6F" w:rsidP="00805634">
            <w:pPr>
              <w:spacing w:after="160" w:line="480" w:lineRule="auto"/>
              <w:jc w:val="both"/>
              <w:rPr>
                <w:rFonts w:eastAsiaTheme="minorEastAsia"/>
                <w:iCs/>
              </w:rPr>
            </w:pPr>
            <w:r w:rsidRPr="00585293">
              <w:rPr>
                <w:color w:val="000000"/>
              </w:rPr>
              <w:t>45.61</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56586147" w14:textId="77777777" w:rsidR="00D76E6F" w:rsidRPr="00585293" w:rsidRDefault="00D76E6F" w:rsidP="00805634">
            <w:pPr>
              <w:spacing w:after="160" w:line="480" w:lineRule="auto"/>
              <w:jc w:val="both"/>
              <w:rPr>
                <w:rFonts w:eastAsiaTheme="minorEastAsia"/>
                <w:iCs/>
              </w:rPr>
            </w:pPr>
            <w:r w:rsidRPr="00585293">
              <w:rPr>
                <w:color w:val="000000"/>
              </w:rPr>
              <w:t>22.73</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1798BF0E" w14:textId="77777777" w:rsidR="00D76E6F" w:rsidRPr="00585293" w:rsidRDefault="00D76E6F" w:rsidP="00805634">
            <w:pPr>
              <w:spacing w:after="160" w:line="480" w:lineRule="auto"/>
              <w:jc w:val="both"/>
              <w:rPr>
                <w:rFonts w:eastAsiaTheme="minorEastAsia"/>
                <w:iCs/>
              </w:rPr>
            </w:pPr>
            <w:r w:rsidRPr="00585293">
              <w:rPr>
                <w:color w:val="000000"/>
              </w:rPr>
              <w:t>35,470</w:t>
            </w:r>
          </w:p>
        </w:tc>
      </w:tr>
      <w:tr w:rsidR="00D76E6F" w:rsidRPr="00585293" w14:paraId="7F0608CE" w14:textId="77777777" w:rsidTr="00805634">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71A1179E" w14:textId="77777777" w:rsidR="00D76E6F" w:rsidRPr="00585293" w:rsidRDefault="00D76E6F" w:rsidP="00805634">
            <w:pPr>
              <w:spacing w:after="160" w:line="480" w:lineRule="auto"/>
              <w:jc w:val="both"/>
              <w:rPr>
                <w:rFonts w:eastAsiaTheme="minorEastAsia"/>
                <w:iCs/>
              </w:rPr>
            </w:pPr>
            <w:r w:rsidRPr="00585293">
              <w:rPr>
                <w:rFonts w:eastAsiaTheme="minorEastAsia"/>
                <w:iCs/>
              </w:rPr>
              <w:t>Total</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4C13ECBA" w14:textId="77777777" w:rsidR="00D76E6F" w:rsidRPr="00585293" w:rsidRDefault="00D76E6F" w:rsidP="00805634">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336D7DCD" w14:textId="77777777" w:rsidR="00D76E6F" w:rsidRPr="00585293" w:rsidRDefault="00D76E6F" w:rsidP="00805634">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0A800056" w14:textId="77777777" w:rsidR="00D76E6F" w:rsidRPr="00585293" w:rsidRDefault="00D76E6F" w:rsidP="00805634">
            <w:pPr>
              <w:spacing w:after="160" w:line="480" w:lineRule="auto"/>
              <w:jc w:val="both"/>
              <w:rPr>
                <w:rFonts w:eastAsiaTheme="minorEastAsia"/>
                <w:iCs/>
              </w:rPr>
            </w:pPr>
            <w:r w:rsidRPr="00585293">
              <w:rPr>
                <w:color w:val="000000"/>
              </w:rPr>
              <w:t>100.00</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6B999511" w14:textId="77777777" w:rsidR="00D76E6F" w:rsidRPr="00585293" w:rsidRDefault="00D76E6F" w:rsidP="00805634">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DF8A55B" w14:textId="77777777" w:rsidR="00D76E6F" w:rsidRPr="00585293" w:rsidRDefault="00D76E6F" w:rsidP="00805634">
            <w:pPr>
              <w:spacing w:after="160" w:line="480" w:lineRule="auto"/>
              <w:jc w:val="both"/>
              <w:rPr>
                <w:rFonts w:eastAsiaTheme="minorEastAsia"/>
                <w:iCs/>
              </w:rPr>
            </w:pP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46ECA1BF" w14:textId="77777777" w:rsidR="00D76E6F" w:rsidRPr="00585293" w:rsidRDefault="00D76E6F" w:rsidP="00805634">
            <w:pPr>
              <w:spacing w:after="160" w:line="480" w:lineRule="auto"/>
              <w:jc w:val="both"/>
              <w:rPr>
                <w:rFonts w:eastAsiaTheme="minorEastAsia"/>
                <w:iCs/>
              </w:rPr>
            </w:pPr>
          </w:p>
        </w:tc>
      </w:tr>
      <w:tr w:rsidR="00D76E6F" w:rsidRPr="00585293" w14:paraId="3B456EBF" w14:textId="77777777" w:rsidTr="00805634">
        <w:trPr>
          <w:trHeight w:hRule="exact" w:val="397"/>
        </w:trPr>
        <w:tc>
          <w:tcPr>
            <w:tcW w:w="957"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258CC0AC" w14:textId="77777777" w:rsidR="00D76E6F" w:rsidRPr="00585293" w:rsidRDefault="00D76E6F" w:rsidP="00805634">
            <w:pPr>
              <w:spacing w:after="160" w:line="480" w:lineRule="auto"/>
              <w:jc w:val="both"/>
              <w:rPr>
                <w:rFonts w:eastAsiaTheme="minorEastAsia"/>
                <w:iCs/>
              </w:rPr>
            </w:pPr>
            <w:r w:rsidRPr="00585293">
              <w:rPr>
                <w:rFonts w:eastAsiaTheme="minorEastAsia"/>
                <w:i/>
                <w:iCs/>
              </w:rPr>
              <w:t>N</w:t>
            </w:r>
          </w:p>
        </w:tc>
        <w:tc>
          <w:tcPr>
            <w:tcW w:w="675"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23C84773" w14:textId="77777777" w:rsidR="00D76E6F" w:rsidRPr="00585293" w:rsidRDefault="00D76E6F" w:rsidP="00805634">
            <w:pPr>
              <w:spacing w:after="160" w:line="480" w:lineRule="auto"/>
              <w:jc w:val="both"/>
              <w:rPr>
                <w:rFonts w:eastAsiaTheme="minorEastAsia"/>
                <w:iCs/>
              </w:rPr>
            </w:pPr>
            <w:r w:rsidRPr="00585293">
              <w:rPr>
                <w:color w:val="000000"/>
              </w:rPr>
              <w:t>26,153</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5569CCC2" w14:textId="77777777" w:rsidR="00D76E6F" w:rsidRPr="00585293" w:rsidRDefault="00D76E6F" w:rsidP="00805634">
            <w:pPr>
              <w:spacing w:after="160" w:line="480" w:lineRule="auto"/>
              <w:jc w:val="both"/>
              <w:rPr>
                <w:rFonts w:eastAsiaTheme="minorEastAsia"/>
                <w:iCs/>
              </w:rPr>
            </w:pPr>
            <w:r w:rsidRPr="00585293">
              <w:rPr>
                <w:color w:val="000000"/>
              </w:rPr>
              <w:t>80,855</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56E12157" w14:textId="77777777" w:rsidR="00D76E6F" w:rsidRPr="00585293" w:rsidRDefault="00D76E6F" w:rsidP="00805634">
            <w:pPr>
              <w:spacing w:after="160" w:line="480" w:lineRule="auto"/>
              <w:jc w:val="both"/>
              <w:rPr>
                <w:rFonts w:eastAsiaTheme="minorEastAsia"/>
                <w:iCs/>
              </w:rPr>
            </w:pPr>
            <w:r w:rsidRPr="00585293">
              <w:rPr>
                <w:color w:val="000000"/>
              </w:rPr>
              <w:t>9,420</w:t>
            </w:r>
          </w:p>
        </w:tc>
        <w:tc>
          <w:tcPr>
            <w:tcW w:w="676"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15C8F1E8" w14:textId="77777777" w:rsidR="00D76E6F" w:rsidRPr="00585293" w:rsidRDefault="00D76E6F" w:rsidP="00805634">
            <w:pPr>
              <w:spacing w:after="160" w:line="480" w:lineRule="auto"/>
              <w:jc w:val="both"/>
              <w:rPr>
                <w:rFonts w:eastAsiaTheme="minorEastAsia"/>
                <w:iCs/>
              </w:rPr>
            </w:pPr>
            <w:r w:rsidRPr="00585293">
              <w:rPr>
                <w:color w:val="000000"/>
              </w:rPr>
              <w:t>45,140</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58F508F4" w14:textId="77777777" w:rsidR="00D76E6F" w:rsidRPr="00585293" w:rsidRDefault="00D76E6F" w:rsidP="00805634">
            <w:pPr>
              <w:spacing w:after="160" w:line="480" w:lineRule="auto"/>
              <w:jc w:val="both"/>
              <w:rPr>
                <w:rFonts w:eastAsiaTheme="minorEastAsia"/>
                <w:iCs/>
              </w:rPr>
            </w:pPr>
          </w:p>
        </w:tc>
        <w:tc>
          <w:tcPr>
            <w:tcW w:w="670"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4B6550E8" w14:textId="77777777" w:rsidR="00D76E6F" w:rsidRPr="00585293" w:rsidRDefault="00D76E6F" w:rsidP="00805634">
            <w:pPr>
              <w:spacing w:after="160"/>
              <w:jc w:val="both"/>
              <w:rPr>
                <w:color w:val="000000"/>
              </w:rPr>
            </w:pPr>
            <w:r w:rsidRPr="00585293">
              <w:rPr>
                <w:color w:val="000000"/>
              </w:rPr>
              <w:t>161,568</w:t>
            </w:r>
          </w:p>
          <w:p w14:paraId="08DDAD13" w14:textId="77777777" w:rsidR="00D76E6F" w:rsidRPr="00585293" w:rsidRDefault="00D76E6F" w:rsidP="00805634">
            <w:pPr>
              <w:spacing w:after="160" w:line="480" w:lineRule="auto"/>
              <w:jc w:val="both"/>
              <w:rPr>
                <w:rFonts w:eastAsiaTheme="minorEastAsia"/>
                <w:iCs/>
              </w:rPr>
            </w:pPr>
          </w:p>
        </w:tc>
      </w:tr>
    </w:tbl>
    <w:p w14:paraId="13DCFE32" w14:textId="77777777" w:rsidR="00865AD8" w:rsidRDefault="00C75921" w:rsidP="003653CA">
      <w:pPr>
        <w:jc w:val="both"/>
        <w:rPr>
          <w:sz w:val="20"/>
          <w:szCs w:val="20"/>
        </w:rPr>
      </w:pPr>
      <w:r w:rsidRPr="003653CA">
        <w:rPr>
          <w:i/>
          <w:iCs/>
          <w:sz w:val="20"/>
          <w:szCs w:val="20"/>
        </w:rPr>
        <w:t>Notes</w:t>
      </w:r>
      <w:r w:rsidRPr="00585293">
        <w:rPr>
          <w:sz w:val="20"/>
          <w:szCs w:val="20"/>
        </w:rPr>
        <w:t xml:space="preserve">: W = white collar; S = skilled and semi-skilled; F = farmer; U = unskilled. </w:t>
      </w:r>
    </w:p>
    <w:p w14:paraId="0F03FB3C" w14:textId="0DC328AC" w:rsidR="00C75921" w:rsidRPr="00585293" w:rsidRDefault="00C75921" w:rsidP="00C75921">
      <w:pPr>
        <w:spacing w:after="160"/>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 xml:space="preserve">). </w:t>
      </w:r>
    </w:p>
    <w:p w14:paraId="22411A59" w14:textId="6493C100" w:rsidR="00E3228E" w:rsidRPr="00585293" w:rsidRDefault="00E3228E" w:rsidP="00BE38B5">
      <w:pPr>
        <w:pStyle w:val="Caption"/>
        <w:keepNext/>
        <w:spacing w:after="160"/>
        <w:jc w:val="center"/>
        <w:rPr>
          <w:i w:val="0"/>
          <w:iCs w:val="0"/>
          <w:color w:val="auto"/>
          <w:sz w:val="24"/>
          <w:szCs w:val="24"/>
        </w:rPr>
      </w:pPr>
      <w:r w:rsidRPr="003653CA">
        <w:rPr>
          <w:i w:val="0"/>
          <w:iCs w:val="0"/>
          <w:color w:val="auto"/>
          <w:sz w:val="24"/>
          <w:szCs w:val="24"/>
        </w:rPr>
        <w:t xml:space="preserve">Table </w:t>
      </w:r>
      <w:r w:rsidR="00DB20B7" w:rsidRPr="003653CA">
        <w:rPr>
          <w:i w:val="0"/>
          <w:iCs w:val="0"/>
          <w:color w:val="auto"/>
          <w:sz w:val="24"/>
          <w:szCs w:val="24"/>
        </w:rPr>
        <w:t>K</w:t>
      </w:r>
      <w:r w:rsidR="00FC5FEC" w:rsidRPr="003653CA">
        <w:rPr>
          <w:i w:val="0"/>
          <w:iCs w:val="0"/>
          <w:color w:val="auto"/>
          <w:sz w:val="24"/>
          <w:szCs w:val="24"/>
        </w:rPr>
        <w:t>3</w:t>
      </w:r>
      <w:r w:rsidRPr="00585293">
        <w:rPr>
          <w:i w:val="0"/>
          <w:iCs w:val="0"/>
          <w:color w:val="auto"/>
          <w:sz w:val="24"/>
          <w:szCs w:val="24"/>
        </w:rPr>
        <w:t>: Intergenerational Mobility Table (Corrected) for 1851-1881</w:t>
      </w:r>
    </w:p>
    <w:tbl>
      <w:tblPr>
        <w:tblW w:w="5000" w:type="pct"/>
        <w:tblCellMar>
          <w:left w:w="0" w:type="dxa"/>
          <w:right w:w="0" w:type="dxa"/>
        </w:tblCellMar>
        <w:tblLook w:val="0600" w:firstRow="0" w:lastRow="0" w:firstColumn="0" w:lastColumn="0" w:noHBand="1" w:noVBand="1"/>
      </w:tblPr>
      <w:tblGrid>
        <w:gridCol w:w="1727"/>
        <w:gridCol w:w="1219"/>
        <w:gridCol w:w="1217"/>
        <w:gridCol w:w="1217"/>
        <w:gridCol w:w="1220"/>
        <w:gridCol w:w="1217"/>
        <w:gridCol w:w="1209"/>
      </w:tblGrid>
      <w:tr w:rsidR="00E3228E" w:rsidRPr="00585293" w14:paraId="3B147099" w14:textId="77777777" w:rsidTr="00AA0592">
        <w:trPr>
          <w:trHeight w:hRule="exact" w:val="397"/>
        </w:trPr>
        <w:tc>
          <w:tcPr>
            <w:tcW w:w="957"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369C9F53" w14:textId="77777777" w:rsidR="00E3228E" w:rsidRPr="00585293" w:rsidRDefault="00E3228E" w:rsidP="00BE38B5">
            <w:pPr>
              <w:spacing w:after="160" w:line="480" w:lineRule="auto"/>
              <w:jc w:val="both"/>
              <w:rPr>
                <w:rFonts w:eastAsiaTheme="minorEastAsia"/>
                <w:iCs/>
              </w:rPr>
            </w:pPr>
            <w:r w:rsidRPr="00585293">
              <w:rPr>
                <w:rFonts w:eastAsiaTheme="minorEastAsia"/>
                <w:iCs/>
              </w:rPr>
              <w:t>Son's Class</w:t>
            </w:r>
          </w:p>
        </w:tc>
        <w:tc>
          <w:tcPr>
            <w:tcW w:w="2699" w:type="pct"/>
            <w:gridSpan w:val="4"/>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31990892" w14:textId="77777777" w:rsidR="00E3228E" w:rsidRPr="00585293" w:rsidRDefault="00E3228E" w:rsidP="00BE38B5">
            <w:pPr>
              <w:spacing w:after="160" w:line="480" w:lineRule="auto"/>
              <w:jc w:val="both"/>
              <w:rPr>
                <w:rFonts w:eastAsiaTheme="minorEastAsia"/>
                <w:iCs/>
              </w:rPr>
            </w:pPr>
            <w:r w:rsidRPr="00585293">
              <w:rPr>
                <w:rFonts w:eastAsiaTheme="minorEastAsia"/>
                <w:iCs/>
              </w:rPr>
              <w:t>Father's Class in 1851</w:t>
            </w:r>
          </w:p>
        </w:tc>
        <w:tc>
          <w:tcPr>
            <w:tcW w:w="674"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56EAA593" w14:textId="77777777" w:rsidR="00E3228E" w:rsidRPr="00585293" w:rsidRDefault="00E3228E" w:rsidP="00BE38B5">
            <w:pPr>
              <w:spacing w:after="160" w:line="480" w:lineRule="auto"/>
              <w:jc w:val="both"/>
              <w:rPr>
                <w:rFonts w:eastAsiaTheme="minorEastAsia"/>
                <w:iCs/>
              </w:rPr>
            </w:pPr>
            <w:r w:rsidRPr="00585293">
              <w:rPr>
                <w:rFonts w:eastAsiaTheme="minorEastAsia"/>
                <w:iCs/>
              </w:rPr>
              <w:t>Total</w:t>
            </w:r>
          </w:p>
        </w:tc>
        <w:tc>
          <w:tcPr>
            <w:tcW w:w="670"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02DEDEC2" w14:textId="77777777" w:rsidR="00E3228E" w:rsidRPr="00585293" w:rsidRDefault="00E3228E" w:rsidP="00BE38B5">
            <w:pPr>
              <w:spacing w:after="160" w:line="480" w:lineRule="auto"/>
              <w:jc w:val="both"/>
              <w:rPr>
                <w:rFonts w:eastAsiaTheme="minorEastAsia"/>
                <w:iCs/>
              </w:rPr>
            </w:pPr>
            <w:r w:rsidRPr="00585293">
              <w:rPr>
                <w:rFonts w:eastAsiaTheme="minorEastAsia"/>
                <w:i/>
                <w:iCs/>
              </w:rPr>
              <w:t>N</w:t>
            </w:r>
          </w:p>
        </w:tc>
      </w:tr>
      <w:tr w:rsidR="00E3228E" w:rsidRPr="00585293" w14:paraId="652E9FC2" w14:textId="77777777" w:rsidTr="00AA0592">
        <w:trPr>
          <w:trHeight w:hRule="exact" w:val="397"/>
        </w:trPr>
        <w:tc>
          <w:tcPr>
            <w:tcW w:w="957"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1A30794D" w14:textId="77777777" w:rsidR="00E3228E" w:rsidRPr="00585293" w:rsidRDefault="00E3228E" w:rsidP="00BE38B5">
            <w:pPr>
              <w:spacing w:after="160" w:line="480" w:lineRule="auto"/>
              <w:jc w:val="both"/>
              <w:rPr>
                <w:rFonts w:eastAsiaTheme="minorEastAsia"/>
                <w:iCs/>
              </w:rPr>
            </w:pPr>
            <w:r w:rsidRPr="00585293">
              <w:rPr>
                <w:rFonts w:eastAsiaTheme="minorEastAsia"/>
                <w:iCs/>
              </w:rPr>
              <w:t>1881</w:t>
            </w:r>
          </w:p>
        </w:tc>
        <w:tc>
          <w:tcPr>
            <w:tcW w:w="67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50AA2FAD" w14:textId="48E0B739" w:rsidR="00E3228E" w:rsidRPr="00585293" w:rsidRDefault="002C7FFD" w:rsidP="00BE38B5">
            <w:pPr>
              <w:spacing w:after="160" w:line="480" w:lineRule="auto"/>
              <w:jc w:val="both"/>
              <w:rPr>
                <w:rFonts w:eastAsiaTheme="minorEastAsia"/>
                <w:iCs/>
              </w:rPr>
            </w:pPr>
            <w:r w:rsidRPr="00585293">
              <w:rPr>
                <w:rFonts w:eastAsiaTheme="minorEastAsia"/>
                <w:iCs/>
              </w:rPr>
              <w:t>W</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2BF3DC3C" w14:textId="3AC9FF5A" w:rsidR="00E3228E" w:rsidRPr="00585293" w:rsidRDefault="002C7FFD" w:rsidP="00BE38B5">
            <w:pPr>
              <w:spacing w:after="160" w:line="480" w:lineRule="auto"/>
              <w:jc w:val="both"/>
              <w:rPr>
                <w:rFonts w:eastAsiaTheme="minorEastAsia"/>
                <w:iCs/>
              </w:rPr>
            </w:pPr>
            <w:r w:rsidRPr="00585293">
              <w:rPr>
                <w:rFonts w:eastAsiaTheme="minorEastAsia"/>
                <w:iCs/>
              </w:rPr>
              <w:t>S</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4554C236" w14:textId="5D6083F0" w:rsidR="00E3228E" w:rsidRPr="00585293" w:rsidRDefault="002C7FFD" w:rsidP="00BE38B5">
            <w:pPr>
              <w:spacing w:after="160" w:line="480" w:lineRule="auto"/>
              <w:jc w:val="both"/>
              <w:rPr>
                <w:rFonts w:eastAsiaTheme="minorEastAsia"/>
                <w:iCs/>
              </w:rPr>
            </w:pPr>
            <w:r w:rsidRPr="00585293">
              <w:rPr>
                <w:rFonts w:eastAsiaTheme="minorEastAsia"/>
                <w:iCs/>
              </w:rPr>
              <w:t>F</w:t>
            </w:r>
          </w:p>
        </w:tc>
        <w:tc>
          <w:tcPr>
            <w:tcW w:w="676"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5FAB7858" w14:textId="78B14268" w:rsidR="00E3228E" w:rsidRPr="00585293" w:rsidRDefault="002C7FFD" w:rsidP="00BE38B5">
            <w:pPr>
              <w:spacing w:after="160" w:line="480" w:lineRule="auto"/>
              <w:jc w:val="both"/>
              <w:rPr>
                <w:rFonts w:eastAsiaTheme="minorEastAsia"/>
                <w:iCs/>
              </w:rPr>
            </w:pPr>
            <w:r w:rsidRPr="00585293">
              <w:rPr>
                <w:rFonts w:eastAsiaTheme="minorEastAsia"/>
                <w:iCs/>
              </w:rPr>
              <w:t>U</w:t>
            </w:r>
          </w:p>
        </w:tc>
        <w:tc>
          <w:tcPr>
            <w:tcW w:w="674"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5034A2EE" w14:textId="77777777" w:rsidR="00E3228E" w:rsidRPr="00585293" w:rsidRDefault="00E3228E" w:rsidP="00BE38B5">
            <w:pPr>
              <w:spacing w:after="160" w:line="480" w:lineRule="auto"/>
              <w:jc w:val="both"/>
              <w:rPr>
                <w:rFonts w:eastAsiaTheme="minorEastAsia"/>
                <w:iCs/>
              </w:rPr>
            </w:pPr>
          </w:p>
        </w:tc>
        <w:tc>
          <w:tcPr>
            <w:tcW w:w="670"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0E5B71EF" w14:textId="77777777" w:rsidR="00E3228E" w:rsidRPr="00585293" w:rsidRDefault="00E3228E" w:rsidP="00BE38B5">
            <w:pPr>
              <w:spacing w:after="160" w:line="480" w:lineRule="auto"/>
              <w:jc w:val="both"/>
              <w:rPr>
                <w:rFonts w:eastAsiaTheme="minorEastAsia"/>
                <w:iCs/>
              </w:rPr>
            </w:pPr>
          </w:p>
        </w:tc>
      </w:tr>
      <w:tr w:rsidR="00E3228E" w:rsidRPr="00585293" w14:paraId="7E01C6B8" w14:textId="77777777" w:rsidTr="00AA0592">
        <w:trPr>
          <w:trHeight w:hRule="exact" w:val="397"/>
        </w:trPr>
        <w:tc>
          <w:tcPr>
            <w:tcW w:w="957"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48B3CFAF" w14:textId="1026B90E" w:rsidR="00E3228E" w:rsidRPr="00585293" w:rsidRDefault="002C7FFD" w:rsidP="00BE38B5">
            <w:pPr>
              <w:spacing w:after="160" w:line="480" w:lineRule="auto"/>
              <w:jc w:val="both"/>
              <w:rPr>
                <w:rFonts w:eastAsiaTheme="minorEastAsia"/>
                <w:iCs/>
              </w:rPr>
            </w:pPr>
            <w:r w:rsidRPr="00585293">
              <w:rPr>
                <w:rFonts w:eastAsiaTheme="minorEastAsia"/>
                <w:iCs/>
              </w:rPr>
              <w:t>W</w:t>
            </w:r>
          </w:p>
        </w:tc>
        <w:tc>
          <w:tcPr>
            <w:tcW w:w="675" w:type="pct"/>
            <w:tcBorders>
              <w:top w:val="single" w:sz="8" w:space="0" w:color="000000"/>
              <w:left w:val="nil"/>
              <w:bottom w:val="nil"/>
              <w:right w:val="nil"/>
            </w:tcBorders>
            <w:shd w:val="clear" w:color="auto" w:fill="D9D9D9"/>
            <w:tcMar>
              <w:top w:w="10" w:type="dxa"/>
              <w:left w:w="10" w:type="dxa"/>
              <w:bottom w:w="0" w:type="dxa"/>
              <w:right w:w="10" w:type="dxa"/>
            </w:tcMar>
            <w:vAlign w:val="center"/>
            <w:hideMark/>
          </w:tcPr>
          <w:p w14:paraId="3533503B" w14:textId="77777777" w:rsidR="00E3228E" w:rsidRPr="00585293" w:rsidRDefault="00E3228E" w:rsidP="00BE38B5">
            <w:pPr>
              <w:spacing w:after="160" w:line="480" w:lineRule="auto"/>
              <w:jc w:val="both"/>
              <w:rPr>
                <w:rFonts w:eastAsiaTheme="minorEastAsia"/>
                <w:iCs/>
              </w:rPr>
            </w:pPr>
            <w:r w:rsidRPr="00585293">
              <w:rPr>
                <w:color w:val="000000"/>
              </w:rPr>
              <w:t>55.23</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0C99B13E" w14:textId="77777777" w:rsidR="00E3228E" w:rsidRPr="00585293" w:rsidRDefault="00E3228E" w:rsidP="00BE38B5">
            <w:pPr>
              <w:spacing w:after="160" w:line="480" w:lineRule="auto"/>
              <w:jc w:val="both"/>
              <w:rPr>
                <w:rFonts w:eastAsiaTheme="minorEastAsia"/>
                <w:iCs/>
              </w:rPr>
            </w:pPr>
            <w:r w:rsidRPr="00585293">
              <w:rPr>
                <w:color w:val="000000"/>
              </w:rPr>
              <w:t>15.49</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7F3147C6" w14:textId="77777777" w:rsidR="00E3228E" w:rsidRPr="00585293" w:rsidRDefault="00E3228E" w:rsidP="00BE38B5">
            <w:pPr>
              <w:spacing w:after="160" w:line="480" w:lineRule="auto"/>
              <w:jc w:val="both"/>
              <w:rPr>
                <w:rFonts w:eastAsiaTheme="minorEastAsia"/>
                <w:iCs/>
              </w:rPr>
            </w:pPr>
            <w:r w:rsidRPr="00585293">
              <w:rPr>
                <w:color w:val="000000"/>
              </w:rPr>
              <w:t>16.85</w:t>
            </w:r>
          </w:p>
        </w:tc>
        <w:tc>
          <w:tcPr>
            <w:tcW w:w="676"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209B763C" w14:textId="77777777" w:rsidR="00E3228E" w:rsidRPr="00585293" w:rsidRDefault="00E3228E" w:rsidP="00BE38B5">
            <w:pPr>
              <w:spacing w:after="160" w:line="480" w:lineRule="auto"/>
              <w:jc w:val="both"/>
              <w:rPr>
                <w:rFonts w:eastAsiaTheme="minorEastAsia"/>
                <w:iCs/>
              </w:rPr>
            </w:pPr>
            <w:r w:rsidRPr="00585293">
              <w:rPr>
                <w:color w:val="000000"/>
              </w:rPr>
              <w:t>10.70</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0713A6A7" w14:textId="77777777" w:rsidR="00E3228E" w:rsidRPr="00585293" w:rsidRDefault="00E3228E" w:rsidP="00BE38B5">
            <w:pPr>
              <w:spacing w:after="160" w:line="480" w:lineRule="auto"/>
              <w:jc w:val="both"/>
              <w:rPr>
                <w:rFonts w:eastAsiaTheme="minorEastAsia"/>
                <w:iCs/>
              </w:rPr>
            </w:pPr>
            <w:r w:rsidRPr="00585293">
              <w:rPr>
                <w:color w:val="000000"/>
              </w:rPr>
              <w:t>24.57</w:t>
            </w:r>
          </w:p>
        </w:tc>
        <w:tc>
          <w:tcPr>
            <w:tcW w:w="670"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17ED19C1" w14:textId="77777777" w:rsidR="00E3228E" w:rsidRPr="00585293" w:rsidRDefault="00E3228E" w:rsidP="00BE38B5">
            <w:pPr>
              <w:spacing w:after="160" w:line="480" w:lineRule="auto"/>
              <w:jc w:val="both"/>
              <w:rPr>
                <w:rFonts w:eastAsiaTheme="minorEastAsia"/>
                <w:iCs/>
              </w:rPr>
            </w:pPr>
            <w:r w:rsidRPr="00585293">
              <w:rPr>
                <w:color w:val="000000"/>
              </w:rPr>
              <w:t>9,206</w:t>
            </w:r>
          </w:p>
        </w:tc>
      </w:tr>
      <w:tr w:rsidR="00E3228E" w:rsidRPr="00585293" w14:paraId="209B7CFC"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2531773B" w14:textId="14A1593E" w:rsidR="00E3228E" w:rsidRPr="00585293" w:rsidRDefault="002C7FFD" w:rsidP="00BE38B5">
            <w:pPr>
              <w:spacing w:after="160" w:line="480" w:lineRule="auto"/>
              <w:jc w:val="both"/>
              <w:rPr>
                <w:rFonts w:eastAsiaTheme="minorEastAsia"/>
                <w:iCs/>
              </w:rPr>
            </w:pPr>
            <w:r w:rsidRPr="00585293">
              <w:rPr>
                <w:rFonts w:eastAsiaTheme="minorEastAsia"/>
                <w:iCs/>
              </w:rPr>
              <w:t>S</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75B7EBF8" w14:textId="77777777" w:rsidR="00E3228E" w:rsidRPr="00585293" w:rsidRDefault="00E3228E" w:rsidP="00BE38B5">
            <w:pPr>
              <w:spacing w:after="160" w:line="480" w:lineRule="auto"/>
              <w:jc w:val="both"/>
              <w:rPr>
                <w:rFonts w:eastAsiaTheme="minorEastAsia"/>
                <w:iCs/>
              </w:rPr>
            </w:pPr>
            <w:r w:rsidRPr="00585293">
              <w:rPr>
                <w:color w:val="000000"/>
              </w:rPr>
              <w:t>31.79</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2BE48B9F" w14:textId="77777777" w:rsidR="00E3228E" w:rsidRPr="00585293" w:rsidRDefault="00E3228E" w:rsidP="00BE38B5">
            <w:pPr>
              <w:spacing w:after="160" w:line="480" w:lineRule="auto"/>
              <w:jc w:val="both"/>
              <w:rPr>
                <w:rFonts w:eastAsiaTheme="minorEastAsia"/>
                <w:iCs/>
              </w:rPr>
            </w:pPr>
            <w:r w:rsidRPr="00585293">
              <w:rPr>
                <w:color w:val="000000"/>
              </w:rPr>
              <w:t>72.41</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9CD166B" w14:textId="77777777" w:rsidR="00E3228E" w:rsidRPr="00585293" w:rsidRDefault="00E3228E" w:rsidP="00BE38B5">
            <w:pPr>
              <w:spacing w:after="160" w:line="480" w:lineRule="auto"/>
              <w:jc w:val="both"/>
              <w:rPr>
                <w:rFonts w:eastAsiaTheme="minorEastAsia"/>
                <w:iCs/>
              </w:rPr>
            </w:pPr>
            <w:r w:rsidRPr="00585293">
              <w:rPr>
                <w:color w:val="000000"/>
              </w:rPr>
              <w:t>15.20</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4BE207E6" w14:textId="77777777" w:rsidR="00E3228E" w:rsidRPr="00585293" w:rsidRDefault="00E3228E" w:rsidP="00BE38B5">
            <w:pPr>
              <w:spacing w:after="160" w:line="480" w:lineRule="auto"/>
              <w:jc w:val="both"/>
              <w:rPr>
                <w:rFonts w:eastAsiaTheme="minorEastAsia"/>
                <w:iCs/>
              </w:rPr>
            </w:pPr>
            <w:r w:rsidRPr="00585293">
              <w:rPr>
                <w:color w:val="000000"/>
              </w:rPr>
              <w:t>30.44</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3955D44D" w14:textId="77777777" w:rsidR="00E3228E" w:rsidRPr="00585293" w:rsidRDefault="00E3228E" w:rsidP="00BE38B5">
            <w:pPr>
              <w:spacing w:after="160" w:line="480" w:lineRule="auto"/>
              <w:jc w:val="both"/>
              <w:rPr>
                <w:rFonts w:eastAsiaTheme="minorEastAsia"/>
                <w:iCs/>
              </w:rPr>
            </w:pPr>
            <w:r w:rsidRPr="00585293">
              <w:rPr>
                <w:color w:val="000000"/>
              </w:rPr>
              <w:t>37.46</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2CBE6E55" w14:textId="77777777" w:rsidR="00E3228E" w:rsidRPr="00585293" w:rsidRDefault="00E3228E" w:rsidP="00BE38B5">
            <w:pPr>
              <w:spacing w:after="160" w:line="480" w:lineRule="auto"/>
              <w:jc w:val="both"/>
              <w:rPr>
                <w:rFonts w:eastAsiaTheme="minorEastAsia"/>
                <w:iCs/>
              </w:rPr>
            </w:pPr>
            <w:r w:rsidRPr="00585293">
              <w:rPr>
                <w:color w:val="000000"/>
              </w:rPr>
              <w:t>25,776</w:t>
            </w:r>
          </w:p>
        </w:tc>
      </w:tr>
      <w:tr w:rsidR="00E3228E" w:rsidRPr="00585293" w14:paraId="665D0299"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08169BAE" w14:textId="153A7FEA" w:rsidR="00E3228E" w:rsidRPr="00585293" w:rsidRDefault="002C7FFD" w:rsidP="00BE38B5">
            <w:pPr>
              <w:spacing w:after="160" w:line="480" w:lineRule="auto"/>
              <w:jc w:val="both"/>
              <w:rPr>
                <w:rFonts w:eastAsiaTheme="minorEastAsia"/>
                <w:iCs/>
              </w:rPr>
            </w:pPr>
            <w:r w:rsidRPr="00585293">
              <w:rPr>
                <w:rFonts w:eastAsiaTheme="minorEastAsia"/>
                <w:iCs/>
              </w:rPr>
              <w:t>F</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665F044D" w14:textId="77777777" w:rsidR="00E3228E" w:rsidRPr="00585293" w:rsidRDefault="00E3228E" w:rsidP="00BE38B5">
            <w:pPr>
              <w:spacing w:after="160" w:line="480" w:lineRule="auto"/>
              <w:jc w:val="both"/>
              <w:rPr>
                <w:rFonts w:eastAsiaTheme="minorEastAsia"/>
                <w:iCs/>
              </w:rPr>
            </w:pPr>
            <w:r w:rsidRPr="00585293">
              <w:rPr>
                <w:color w:val="000000"/>
              </w:rPr>
              <w:t>3.02</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6634F09C" w14:textId="77777777" w:rsidR="00E3228E" w:rsidRPr="00585293" w:rsidRDefault="00E3228E" w:rsidP="00BE38B5">
            <w:pPr>
              <w:spacing w:after="160" w:line="480" w:lineRule="auto"/>
              <w:jc w:val="both"/>
              <w:rPr>
                <w:rFonts w:eastAsiaTheme="minorEastAsia"/>
                <w:iCs/>
              </w:rPr>
            </w:pPr>
            <w:r w:rsidRPr="00585293">
              <w:rPr>
                <w:color w:val="000000"/>
              </w:rPr>
              <w:t>1.58</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17FF8D6E" w14:textId="77777777" w:rsidR="00E3228E" w:rsidRPr="00585293" w:rsidRDefault="00E3228E" w:rsidP="00BE38B5">
            <w:pPr>
              <w:spacing w:after="160" w:line="480" w:lineRule="auto"/>
              <w:jc w:val="both"/>
              <w:rPr>
                <w:rFonts w:eastAsiaTheme="minorEastAsia"/>
                <w:iCs/>
              </w:rPr>
            </w:pPr>
            <w:r w:rsidRPr="00585293">
              <w:rPr>
                <w:color w:val="000000"/>
              </w:rPr>
              <w:t>45.96</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41E178FF" w14:textId="77777777" w:rsidR="00E3228E" w:rsidRPr="00585293" w:rsidRDefault="00E3228E" w:rsidP="00BE38B5">
            <w:pPr>
              <w:spacing w:after="160" w:line="480" w:lineRule="auto"/>
              <w:jc w:val="both"/>
              <w:rPr>
                <w:rFonts w:eastAsiaTheme="minorEastAsia"/>
                <w:iCs/>
              </w:rPr>
            </w:pPr>
            <w:r w:rsidRPr="00585293">
              <w:rPr>
                <w:color w:val="000000"/>
              </w:rPr>
              <w:t>1.55</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01EBA5C8" w14:textId="77777777" w:rsidR="00E3228E" w:rsidRPr="00585293" w:rsidRDefault="00E3228E" w:rsidP="00BE38B5">
            <w:pPr>
              <w:spacing w:after="160" w:line="480" w:lineRule="auto"/>
              <w:jc w:val="both"/>
              <w:rPr>
                <w:rFonts w:eastAsiaTheme="minorEastAsia"/>
                <w:iCs/>
              </w:rPr>
            </w:pPr>
            <w:r w:rsidRPr="00585293">
              <w:rPr>
                <w:color w:val="000000"/>
              </w:rPr>
              <w:t>13.03</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4843A6A6" w14:textId="77777777" w:rsidR="00E3228E" w:rsidRPr="00585293" w:rsidRDefault="00E3228E" w:rsidP="00BE38B5">
            <w:pPr>
              <w:spacing w:after="160" w:line="480" w:lineRule="auto"/>
              <w:jc w:val="both"/>
              <w:rPr>
                <w:rFonts w:eastAsiaTheme="minorEastAsia"/>
                <w:iCs/>
              </w:rPr>
            </w:pPr>
            <w:r w:rsidRPr="00585293">
              <w:rPr>
                <w:color w:val="000000"/>
              </w:rPr>
              <w:t>3,147</w:t>
            </w:r>
          </w:p>
        </w:tc>
      </w:tr>
      <w:tr w:rsidR="00E3228E" w:rsidRPr="00585293" w14:paraId="163B0E0D"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1939A5B0" w14:textId="2DA55F10" w:rsidR="00E3228E" w:rsidRPr="00585293" w:rsidRDefault="002C7FFD" w:rsidP="00BE38B5">
            <w:pPr>
              <w:spacing w:after="160" w:line="480" w:lineRule="auto"/>
              <w:jc w:val="both"/>
              <w:rPr>
                <w:rFonts w:eastAsiaTheme="minorEastAsia"/>
                <w:iCs/>
              </w:rPr>
            </w:pPr>
            <w:r w:rsidRPr="00585293">
              <w:rPr>
                <w:rFonts w:eastAsiaTheme="minorEastAsia"/>
                <w:iCs/>
              </w:rPr>
              <w:t>U</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53961F50" w14:textId="77777777" w:rsidR="00E3228E" w:rsidRPr="00585293" w:rsidRDefault="00E3228E" w:rsidP="00BE38B5">
            <w:pPr>
              <w:spacing w:after="160" w:line="480" w:lineRule="auto"/>
              <w:jc w:val="both"/>
              <w:rPr>
                <w:rFonts w:eastAsiaTheme="minorEastAsia"/>
                <w:iCs/>
              </w:rPr>
            </w:pPr>
            <w:r w:rsidRPr="00585293">
              <w:rPr>
                <w:color w:val="000000"/>
              </w:rPr>
              <w:t>9.96</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413C19C0" w14:textId="77777777" w:rsidR="00E3228E" w:rsidRPr="00585293" w:rsidRDefault="00E3228E" w:rsidP="00BE38B5">
            <w:pPr>
              <w:spacing w:after="160" w:line="480" w:lineRule="auto"/>
              <w:jc w:val="both"/>
              <w:rPr>
                <w:rFonts w:eastAsiaTheme="minorEastAsia"/>
                <w:iCs/>
              </w:rPr>
            </w:pPr>
            <w:r w:rsidRPr="00585293">
              <w:rPr>
                <w:color w:val="000000"/>
              </w:rPr>
              <w:t>10.52</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39B4C4D9" w14:textId="77777777" w:rsidR="00E3228E" w:rsidRPr="00585293" w:rsidRDefault="00E3228E" w:rsidP="00BE38B5">
            <w:pPr>
              <w:spacing w:after="160" w:line="480" w:lineRule="auto"/>
              <w:jc w:val="both"/>
              <w:rPr>
                <w:rFonts w:eastAsiaTheme="minorEastAsia"/>
                <w:iCs/>
              </w:rPr>
            </w:pPr>
            <w:r w:rsidRPr="00585293">
              <w:rPr>
                <w:color w:val="000000"/>
              </w:rPr>
              <w:t>21.99</w:t>
            </w:r>
          </w:p>
        </w:tc>
        <w:tc>
          <w:tcPr>
            <w:tcW w:w="676" w:type="pct"/>
            <w:tcBorders>
              <w:top w:val="nil"/>
              <w:left w:val="nil"/>
              <w:bottom w:val="nil"/>
              <w:right w:val="nil"/>
            </w:tcBorders>
            <w:shd w:val="clear" w:color="auto" w:fill="D9D9D9"/>
            <w:tcMar>
              <w:top w:w="10" w:type="dxa"/>
              <w:left w:w="10" w:type="dxa"/>
              <w:bottom w:w="0" w:type="dxa"/>
              <w:right w:w="10" w:type="dxa"/>
            </w:tcMar>
            <w:vAlign w:val="center"/>
            <w:hideMark/>
          </w:tcPr>
          <w:p w14:paraId="66F09A76" w14:textId="77777777" w:rsidR="00E3228E" w:rsidRPr="00585293" w:rsidRDefault="00E3228E" w:rsidP="00BE38B5">
            <w:pPr>
              <w:spacing w:after="160" w:line="480" w:lineRule="auto"/>
              <w:jc w:val="both"/>
              <w:rPr>
                <w:rFonts w:eastAsiaTheme="minorEastAsia"/>
                <w:iCs/>
              </w:rPr>
            </w:pPr>
            <w:r w:rsidRPr="00585293">
              <w:rPr>
                <w:color w:val="000000"/>
              </w:rPr>
              <w:t>57.31</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376294B5" w14:textId="77777777" w:rsidR="00E3228E" w:rsidRPr="00585293" w:rsidRDefault="00E3228E" w:rsidP="00BE38B5">
            <w:pPr>
              <w:spacing w:after="160" w:line="480" w:lineRule="auto"/>
              <w:jc w:val="both"/>
              <w:rPr>
                <w:rFonts w:eastAsiaTheme="minorEastAsia"/>
                <w:iCs/>
              </w:rPr>
            </w:pPr>
            <w:r w:rsidRPr="00585293">
              <w:rPr>
                <w:color w:val="000000"/>
              </w:rPr>
              <w:t>24.94</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5BEFB68C" w14:textId="77777777" w:rsidR="00E3228E" w:rsidRPr="00585293" w:rsidRDefault="00E3228E" w:rsidP="00BE38B5">
            <w:pPr>
              <w:spacing w:after="160" w:line="480" w:lineRule="auto"/>
              <w:jc w:val="both"/>
              <w:rPr>
                <w:rFonts w:eastAsiaTheme="minorEastAsia"/>
                <w:iCs/>
              </w:rPr>
            </w:pPr>
            <w:r w:rsidRPr="00585293">
              <w:rPr>
                <w:color w:val="000000"/>
              </w:rPr>
              <w:t>14,963</w:t>
            </w:r>
          </w:p>
        </w:tc>
      </w:tr>
      <w:tr w:rsidR="00E3228E" w:rsidRPr="00585293" w14:paraId="06F83981"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7296BF7E" w14:textId="77777777" w:rsidR="00E3228E" w:rsidRPr="00585293" w:rsidRDefault="00E3228E" w:rsidP="00BE38B5">
            <w:pPr>
              <w:spacing w:after="160" w:line="480" w:lineRule="auto"/>
              <w:jc w:val="both"/>
              <w:rPr>
                <w:rFonts w:eastAsiaTheme="minorEastAsia"/>
                <w:iCs/>
              </w:rPr>
            </w:pPr>
            <w:r w:rsidRPr="00585293">
              <w:rPr>
                <w:rFonts w:eastAsiaTheme="minorEastAsia"/>
                <w:iCs/>
              </w:rPr>
              <w:t>Total</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1C3D3C83" w14:textId="77777777" w:rsidR="00E3228E" w:rsidRPr="00585293" w:rsidRDefault="00E3228E"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4472B41" w14:textId="77777777" w:rsidR="00E3228E" w:rsidRPr="00585293" w:rsidRDefault="00E3228E"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69534942" w14:textId="77777777" w:rsidR="00E3228E" w:rsidRPr="00585293" w:rsidRDefault="00E3228E" w:rsidP="00BE38B5">
            <w:pPr>
              <w:spacing w:after="160" w:line="480" w:lineRule="auto"/>
              <w:jc w:val="both"/>
              <w:rPr>
                <w:rFonts w:eastAsiaTheme="minorEastAsia"/>
                <w:iCs/>
              </w:rPr>
            </w:pPr>
            <w:r w:rsidRPr="00585293">
              <w:rPr>
                <w:color w:val="000000"/>
              </w:rPr>
              <w:t>100.00</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3B2E5181" w14:textId="77777777" w:rsidR="00E3228E" w:rsidRPr="00585293" w:rsidRDefault="00E3228E"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AF9843F" w14:textId="77777777" w:rsidR="00E3228E" w:rsidRPr="00585293" w:rsidRDefault="00E3228E" w:rsidP="00BE38B5">
            <w:pPr>
              <w:spacing w:after="160" w:line="480" w:lineRule="auto"/>
              <w:jc w:val="both"/>
              <w:rPr>
                <w:rFonts w:eastAsiaTheme="minorEastAsia"/>
                <w:iCs/>
              </w:rPr>
            </w:pP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5153628A" w14:textId="77777777" w:rsidR="00E3228E" w:rsidRPr="00585293" w:rsidRDefault="00E3228E" w:rsidP="00BE38B5">
            <w:pPr>
              <w:spacing w:after="160" w:line="480" w:lineRule="auto"/>
              <w:jc w:val="both"/>
              <w:rPr>
                <w:rFonts w:eastAsiaTheme="minorEastAsia"/>
                <w:iCs/>
              </w:rPr>
            </w:pPr>
          </w:p>
        </w:tc>
      </w:tr>
      <w:tr w:rsidR="00E3228E" w:rsidRPr="00585293" w14:paraId="09F993AD" w14:textId="77777777" w:rsidTr="00AA0592">
        <w:trPr>
          <w:trHeight w:hRule="exact" w:val="397"/>
        </w:trPr>
        <w:tc>
          <w:tcPr>
            <w:tcW w:w="957"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BC2B684" w14:textId="77777777" w:rsidR="00E3228E" w:rsidRPr="00585293" w:rsidRDefault="00E3228E" w:rsidP="00BE38B5">
            <w:pPr>
              <w:spacing w:after="160" w:line="480" w:lineRule="auto"/>
              <w:jc w:val="both"/>
              <w:rPr>
                <w:rFonts w:eastAsiaTheme="minorEastAsia"/>
                <w:iCs/>
              </w:rPr>
            </w:pPr>
            <w:r w:rsidRPr="00585293">
              <w:rPr>
                <w:rFonts w:eastAsiaTheme="minorEastAsia"/>
                <w:i/>
                <w:iCs/>
              </w:rPr>
              <w:t>N</w:t>
            </w:r>
          </w:p>
        </w:tc>
        <w:tc>
          <w:tcPr>
            <w:tcW w:w="675"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7E0F00B" w14:textId="77777777" w:rsidR="00E3228E" w:rsidRPr="00585293" w:rsidRDefault="00E3228E" w:rsidP="00BE38B5">
            <w:pPr>
              <w:spacing w:after="160" w:line="480" w:lineRule="auto"/>
              <w:jc w:val="both"/>
              <w:rPr>
                <w:rFonts w:eastAsiaTheme="minorEastAsia"/>
                <w:iCs/>
              </w:rPr>
            </w:pPr>
            <w:r w:rsidRPr="00585293">
              <w:rPr>
                <w:color w:val="000000"/>
              </w:rPr>
              <w:t>4,568</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0B65CD36" w14:textId="77777777" w:rsidR="00E3228E" w:rsidRPr="00585293" w:rsidRDefault="00E3228E" w:rsidP="00BE38B5">
            <w:pPr>
              <w:spacing w:after="160" w:line="480" w:lineRule="auto"/>
              <w:jc w:val="both"/>
              <w:rPr>
                <w:rFonts w:eastAsiaTheme="minorEastAsia"/>
                <w:iCs/>
              </w:rPr>
            </w:pPr>
            <w:r w:rsidRPr="00585293">
              <w:rPr>
                <w:color w:val="000000"/>
              </w:rPr>
              <w:t>24,599</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5B7E43CB" w14:textId="77777777" w:rsidR="00E3228E" w:rsidRPr="00585293" w:rsidRDefault="00E3228E" w:rsidP="00BE38B5">
            <w:pPr>
              <w:spacing w:after="160" w:line="480" w:lineRule="auto"/>
              <w:jc w:val="both"/>
              <w:rPr>
                <w:rFonts w:eastAsiaTheme="minorEastAsia"/>
                <w:iCs/>
              </w:rPr>
            </w:pPr>
            <w:r w:rsidRPr="00585293">
              <w:rPr>
                <w:color w:val="000000"/>
              </w:rPr>
              <w:t>5,067</w:t>
            </w:r>
          </w:p>
        </w:tc>
        <w:tc>
          <w:tcPr>
            <w:tcW w:w="676"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15FB9EE9" w14:textId="77777777" w:rsidR="00E3228E" w:rsidRPr="00585293" w:rsidRDefault="00E3228E" w:rsidP="00BE38B5">
            <w:pPr>
              <w:spacing w:after="160" w:line="480" w:lineRule="auto"/>
              <w:jc w:val="both"/>
              <w:rPr>
                <w:rFonts w:eastAsiaTheme="minorEastAsia"/>
                <w:iCs/>
              </w:rPr>
            </w:pPr>
            <w:r w:rsidRPr="00585293">
              <w:rPr>
                <w:color w:val="000000"/>
              </w:rPr>
              <w:t>18,858</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10C1427" w14:textId="77777777" w:rsidR="00E3228E" w:rsidRPr="00585293" w:rsidRDefault="00E3228E" w:rsidP="00BE38B5">
            <w:pPr>
              <w:spacing w:after="160" w:line="480" w:lineRule="auto"/>
              <w:jc w:val="both"/>
              <w:rPr>
                <w:rFonts w:eastAsiaTheme="minorEastAsia"/>
                <w:iCs/>
              </w:rPr>
            </w:pPr>
          </w:p>
        </w:tc>
        <w:tc>
          <w:tcPr>
            <w:tcW w:w="670"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76E0F41" w14:textId="77777777" w:rsidR="00E3228E" w:rsidRPr="00585293" w:rsidRDefault="00E3228E" w:rsidP="00BE38B5">
            <w:pPr>
              <w:spacing w:after="160"/>
              <w:jc w:val="both"/>
              <w:rPr>
                <w:color w:val="000000"/>
              </w:rPr>
            </w:pPr>
            <w:r w:rsidRPr="00585293">
              <w:rPr>
                <w:color w:val="000000"/>
              </w:rPr>
              <w:t>53,092</w:t>
            </w:r>
          </w:p>
          <w:p w14:paraId="544C30D1" w14:textId="77777777" w:rsidR="00E3228E" w:rsidRPr="00585293" w:rsidRDefault="00E3228E" w:rsidP="00BE38B5">
            <w:pPr>
              <w:spacing w:after="160" w:line="480" w:lineRule="auto"/>
              <w:jc w:val="both"/>
              <w:rPr>
                <w:rFonts w:eastAsiaTheme="minorEastAsia"/>
                <w:iCs/>
              </w:rPr>
            </w:pPr>
          </w:p>
        </w:tc>
      </w:tr>
    </w:tbl>
    <w:p w14:paraId="68913090" w14:textId="77777777" w:rsidR="00865AD8" w:rsidRDefault="00C75921" w:rsidP="003653CA">
      <w:pPr>
        <w:jc w:val="both"/>
        <w:rPr>
          <w:sz w:val="20"/>
          <w:szCs w:val="20"/>
        </w:rPr>
      </w:pPr>
      <w:r w:rsidRPr="003653CA">
        <w:rPr>
          <w:i/>
          <w:iCs/>
          <w:sz w:val="20"/>
          <w:szCs w:val="20"/>
        </w:rPr>
        <w:t>Notes</w:t>
      </w:r>
      <w:r w:rsidRPr="00585293">
        <w:rPr>
          <w:sz w:val="20"/>
          <w:szCs w:val="20"/>
        </w:rPr>
        <w:t xml:space="preserve">: W = white collar; S = skilled and semi-skilled; F = farmer; U = unskilled. </w:t>
      </w:r>
    </w:p>
    <w:p w14:paraId="769841BF" w14:textId="68403369" w:rsidR="00C75921" w:rsidRPr="00585293" w:rsidRDefault="00C75921" w:rsidP="00C75921">
      <w:pPr>
        <w:spacing w:after="160"/>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 xml:space="preserve">). </w:t>
      </w:r>
    </w:p>
    <w:p w14:paraId="4C63FDC5" w14:textId="77777777" w:rsidR="00DB20B7" w:rsidRPr="00585293" w:rsidRDefault="00DB20B7" w:rsidP="00BE38B5">
      <w:pPr>
        <w:pStyle w:val="Caption"/>
        <w:keepNext/>
        <w:spacing w:after="160"/>
        <w:jc w:val="center"/>
        <w:rPr>
          <w:sz w:val="20"/>
          <w:szCs w:val="20"/>
        </w:rPr>
      </w:pPr>
    </w:p>
    <w:p w14:paraId="6978AA11" w14:textId="77777777" w:rsidR="00C75921" w:rsidRPr="00585293" w:rsidRDefault="00C75921" w:rsidP="003653CA"/>
    <w:p w14:paraId="49952B7D" w14:textId="56A97F59" w:rsidR="00CC7BE6" w:rsidRPr="00585293" w:rsidRDefault="00CC7BE6" w:rsidP="00BE38B5">
      <w:pPr>
        <w:pStyle w:val="Caption"/>
        <w:keepNext/>
        <w:spacing w:after="160"/>
        <w:jc w:val="center"/>
        <w:rPr>
          <w:i w:val="0"/>
          <w:iCs w:val="0"/>
          <w:color w:val="auto"/>
          <w:sz w:val="24"/>
          <w:szCs w:val="24"/>
        </w:rPr>
      </w:pPr>
      <w:r w:rsidRPr="003653CA">
        <w:rPr>
          <w:i w:val="0"/>
          <w:iCs w:val="0"/>
          <w:color w:val="auto"/>
          <w:sz w:val="24"/>
          <w:szCs w:val="24"/>
        </w:rPr>
        <w:t xml:space="preserve">Table </w:t>
      </w:r>
      <w:r w:rsidR="00DB20B7" w:rsidRPr="003653CA">
        <w:rPr>
          <w:i w:val="0"/>
          <w:iCs w:val="0"/>
          <w:color w:val="auto"/>
          <w:sz w:val="24"/>
          <w:szCs w:val="24"/>
        </w:rPr>
        <w:t>K</w:t>
      </w:r>
      <w:r w:rsidR="00FC5FEC" w:rsidRPr="003653CA">
        <w:rPr>
          <w:i w:val="0"/>
          <w:iCs w:val="0"/>
          <w:color w:val="auto"/>
          <w:sz w:val="24"/>
          <w:szCs w:val="24"/>
        </w:rPr>
        <w:t>4</w:t>
      </w:r>
      <w:r w:rsidRPr="00585293">
        <w:rPr>
          <w:i w:val="0"/>
          <w:iCs w:val="0"/>
          <w:color w:val="auto"/>
          <w:sz w:val="24"/>
          <w:szCs w:val="24"/>
        </w:rPr>
        <w:t>: Intergenerational Mobility Table (Corrected) for 1881-1911</w:t>
      </w:r>
    </w:p>
    <w:tbl>
      <w:tblPr>
        <w:tblW w:w="5000" w:type="pct"/>
        <w:tblCellMar>
          <w:left w:w="0" w:type="dxa"/>
          <w:right w:w="0" w:type="dxa"/>
        </w:tblCellMar>
        <w:tblLook w:val="0600" w:firstRow="0" w:lastRow="0" w:firstColumn="0" w:lastColumn="0" w:noHBand="1" w:noVBand="1"/>
      </w:tblPr>
      <w:tblGrid>
        <w:gridCol w:w="1727"/>
        <w:gridCol w:w="1219"/>
        <w:gridCol w:w="1217"/>
        <w:gridCol w:w="1217"/>
        <w:gridCol w:w="1220"/>
        <w:gridCol w:w="1217"/>
        <w:gridCol w:w="1209"/>
      </w:tblGrid>
      <w:tr w:rsidR="00CC7BE6" w:rsidRPr="00585293" w14:paraId="5FFD79E0" w14:textId="77777777" w:rsidTr="00AA0592">
        <w:trPr>
          <w:trHeight w:hRule="exact" w:val="397"/>
        </w:trPr>
        <w:tc>
          <w:tcPr>
            <w:tcW w:w="957"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7AB23200" w14:textId="77777777" w:rsidR="00CC7BE6" w:rsidRPr="00585293" w:rsidRDefault="00CC7BE6" w:rsidP="00BE38B5">
            <w:pPr>
              <w:spacing w:after="160" w:line="480" w:lineRule="auto"/>
              <w:jc w:val="both"/>
              <w:rPr>
                <w:rFonts w:eastAsiaTheme="minorEastAsia"/>
                <w:iCs/>
              </w:rPr>
            </w:pPr>
            <w:r w:rsidRPr="00585293">
              <w:rPr>
                <w:rFonts w:eastAsiaTheme="minorEastAsia"/>
                <w:iCs/>
              </w:rPr>
              <w:t>Son's Class</w:t>
            </w:r>
          </w:p>
        </w:tc>
        <w:tc>
          <w:tcPr>
            <w:tcW w:w="2699" w:type="pct"/>
            <w:gridSpan w:val="4"/>
            <w:tcBorders>
              <w:top w:val="double" w:sz="4" w:space="0" w:color="auto"/>
              <w:left w:val="nil"/>
              <w:bottom w:val="single" w:sz="12" w:space="0" w:color="auto"/>
              <w:right w:val="nil"/>
            </w:tcBorders>
            <w:shd w:val="clear" w:color="auto" w:fill="auto"/>
            <w:tcMar>
              <w:top w:w="10" w:type="dxa"/>
              <w:left w:w="10" w:type="dxa"/>
              <w:bottom w:w="0" w:type="dxa"/>
              <w:right w:w="10" w:type="dxa"/>
            </w:tcMar>
            <w:vAlign w:val="center"/>
            <w:hideMark/>
          </w:tcPr>
          <w:p w14:paraId="213510CE" w14:textId="2215570F" w:rsidR="00CC7BE6" w:rsidRPr="00585293" w:rsidRDefault="00CC7BE6" w:rsidP="00BE38B5">
            <w:pPr>
              <w:spacing w:after="160" w:line="480" w:lineRule="auto"/>
              <w:jc w:val="both"/>
              <w:rPr>
                <w:rFonts w:eastAsiaTheme="minorEastAsia"/>
                <w:iCs/>
              </w:rPr>
            </w:pPr>
            <w:r w:rsidRPr="00585293">
              <w:rPr>
                <w:rFonts w:eastAsiaTheme="minorEastAsia"/>
                <w:iCs/>
              </w:rPr>
              <w:t>Father's Class in 18</w:t>
            </w:r>
            <w:r w:rsidR="00265197" w:rsidRPr="00585293">
              <w:rPr>
                <w:rFonts w:eastAsiaTheme="minorEastAsia"/>
                <w:iCs/>
              </w:rPr>
              <w:t>8</w:t>
            </w:r>
            <w:r w:rsidRPr="00585293">
              <w:rPr>
                <w:rFonts w:eastAsiaTheme="minorEastAsia"/>
                <w:iCs/>
              </w:rPr>
              <w:t>1</w:t>
            </w:r>
          </w:p>
        </w:tc>
        <w:tc>
          <w:tcPr>
            <w:tcW w:w="674"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0BD26A68" w14:textId="77777777" w:rsidR="00CC7BE6" w:rsidRPr="00585293" w:rsidRDefault="00CC7BE6" w:rsidP="00BE38B5">
            <w:pPr>
              <w:spacing w:after="160" w:line="480" w:lineRule="auto"/>
              <w:jc w:val="both"/>
              <w:rPr>
                <w:rFonts w:eastAsiaTheme="minorEastAsia"/>
                <w:iCs/>
              </w:rPr>
            </w:pPr>
            <w:r w:rsidRPr="00585293">
              <w:rPr>
                <w:rFonts w:eastAsiaTheme="minorEastAsia"/>
                <w:iCs/>
              </w:rPr>
              <w:t>Total</w:t>
            </w:r>
          </w:p>
        </w:tc>
        <w:tc>
          <w:tcPr>
            <w:tcW w:w="670" w:type="pct"/>
            <w:tcBorders>
              <w:top w:val="double" w:sz="4" w:space="0" w:color="auto"/>
              <w:left w:val="nil"/>
              <w:bottom w:val="nil"/>
              <w:right w:val="nil"/>
            </w:tcBorders>
            <w:shd w:val="clear" w:color="auto" w:fill="auto"/>
            <w:tcMar>
              <w:top w:w="10" w:type="dxa"/>
              <w:left w:w="10" w:type="dxa"/>
              <w:bottom w:w="0" w:type="dxa"/>
              <w:right w:w="10" w:type="dxa"/>
            </w:tcMar>
            <w:vAlign w:val="center"/>
            <w:hideMark/>
          </w:tcPr>
          <w:p w14:paraId="2248DAC5" w14:textId="77777777" w:rsidR="00CC7BE6" w:rsidRPr="00585293" w:rsidRDefault="00CC7BE6" w:rsidP="00BE38B5">
            <w:pPr>
              <w:spacing w:after="160" w:line="480" w:lineRule="auto"/>
              <w:jc w:val="both"/>
              <w:rPr>
                <w:rFonts w:eastAsiaTheme="minorEastAsia"/>
                <w:iCs/>
              </w:rPr>
            </w:pPr>
            <w:r w:rsidRPr="00585293">
              <w:rPr>
                <w:rFonts w:eastAsiaTheme="minorEastAsia"/>
                <w:i/>
                <w:iCs/>
              </w:rPr>
              <w:t>N</w:t>
            </w:r>
          </w:p>
        </w:tc>
      </w:tr>
      <w:tr w:rsidR="002C7FFD" w:rsidRPr="00585293" w14:paraId="05B56A85" w14:textId="77777777" w:rsidTr="00AA0592">
        <w:trPr>
          <w:trHeight w:hRule="exact" w:val="397"/>
        </w:trPr>
        <w:tc>
          <w:tcPr>
            <w:tcW w:w="957"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1A397D10" w14:textId="3F64F6F2" w:rsidR="002C7FFD" w:rsidRPr="00585293" w:rsidRDefault="002C7FFD" w:rsidP="00BE38B5">
            <w:pPr>
              <w:spacing w:after="160" w:line="480" w:lineRule="auto"/>
              <w:jc w:val="both"/>
              <w:rPr>
                <w:rFonts w:eastAsiaTheme="minorEastAsia"/>
                <w:iCs/>
              </w:rPr>
            </w:pPr>
            <w:r w:rsidRPr="00585293">
              <w:rPr>
                <w:rFonts w:eastAsiaTheme="minorEastAsia"/>
                <w:iCs/>
              </w:rPr>
              <w:t>1911</w:t>
            </w:r>
          </w:p>
        </w:tc>
        <w:tc>
          <w:tcPr>
            <w:tcW w:w="675"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2A7F9DDD" w14:textId="334CF240" w:rsidR="002C7FFD" w:rsidRPr="00585293" w:rsidRDefault="002C7FFD" w:rsidP="00BE38B5">
            <w:pPr>
              <w:spacing w:after="160" w:line="480" w:lineRule="auto"/>
              <w:jc w:val="both"/>
              <w:rPr>
                <w:rFonts w:eastAsiaTheme="minorEastAsia"/>
                <w:iCs/>
              </w:rPr>
            </w:pPr>
            <w:r w:rsidRPr="00585293">
              <w:rPr>
                <w:rFonts w:eastAsiaTheme="minorEastAsia"/>
                <w:iCs/>
              </w:rPr>
              <w:t>W</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7CD7F2F6" w14:textId="6A567B6E" w:rsidR="002C7FFD" w:rsidRPr="00585293" w:rsidRDefault="002C7FFD" w:rsidP="00BE38B5">
            <w:pPr>
              <w:spacing w:after="160" w:line="480" w:lineRule="auto"/>
              <w:jc w:val="both"/>
              <w:rPr>
                <w:rFonts w:eastAsiaTheme="minorEastAsia"/>
                <w:iCs/>
              </w:rPr>
            </w:pPr>
            <w:r w:rsidRPr="00585293">
              <w:rPr>
                <w:rFonts w:eastAsiaTheme="minorEastAsia"/>
                <w:iCs/>
              </w:rPr>
              <w:t>S</w:t>
            </w:r>
          </w:p>
        </w:tc>
        <w:tc>
          <w:tcPr>
            <w:tcW w:w="674"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0390B2BE" w14:textId="70BB9DDE" w:rsidR="002C7FFD" w:rsidRPr="00585293" w:rsidRDefault="002C7FFD" w:rsidP="00BE38B5">
            <w:pPr>
              <w:spacing w:after="160" w:line="480" w:lineRule="auto"/>
              <w:jc w:val="both"/>
              <w:rPr>
                <w:rFonts w:eastAsiaTheme="minorEastAsia"/>
                <w:iCs/>
              </w:rPr>
            </w:pPr>
            <w:r w:rsidRPr="00585293">
              <w:rPr>
                <w:rFonts w:eastAsiaTheme="minorEastAsia"/>
                <w:iCs/>
              </w:rPr>
              <w:t>F</w:t>
            </w:r>
          </w:p>
        </w:tc>
        <w:tc>
          <w:tcPr>
            <w:tcW w:w="676" w:type="pct"/>
            <w:tcBorders>
              <w:top w:val="single" w:sz="12" w:space="0" w:color="auto"/>
              <w:left w:val="nil"/>
              <w:bottom w:val="single" w:sz="8" w:space="0" w:color="000000"/>
              <w:right w:val="nil"/>
            </w:tcBorders>
            <w:shd w:val="clear" w:color="auto" w:fill="auto"/>
            <w:tcMar>
              <w:top w:w="10" w:type="dxa"/>
              <w:left w:w="10" w:type="dxa"/>
              <w:bottom w:w="0" w:type="dxa"/>
              <w:right w:w="10" w:type="dxa"/>
            </w:tcMar>
            <w:vAlign w:val="center"/>
            <w:hideMark/>
          </w:tcPr>
          <w:p w14:paraId="6125E1BD" w14:textId="7FFE3086" w:rsidR="002C7FFD" w:rsidRPr="00585293" w:rsidRDefault="002C7FFD" w:rsidP="00BE38B5">
            <w:pPr>
              <w:spacing w:after="160" w:line="480" w:lineRule="auto"/>
              <w:jc w:val="both"/>
              <w:rPr>
                <w:rFonts w:eastAsiaTheme="minorEastAsia"/>
                <w:iCs/>
              </w:rPr>
            </w:pPr>
            <w:r w:rsidRPr="00585293">
              <w:rPr>
                <w:rFonts w:eastAsiaTheme="minorEastAsia"/>
                <w:iCs/>
              </w:rPr>
              <w:t>U</w:t>
            </w:r>
          </w:p>
        </w:tc>
        <w:tc>
          <w:tcPr>
            <w:tcW w:w="674"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0551EAC7" w14:textId="77777777" w:rsidR="002C7FFD" w:rsidRPr="00585293" w:rsidRDefault="002C7FFD" w:rsidP="00BE38B5">
            <w:pPr>
              <w:spacing w:after="160" w:line="480" w:lineRule="auto"/>
              <w:jc w:val="both"/>
              <w:rPr>
                <w:rFonts w:eastAsiaTheme="minorEastAsia"/>
                <w:iCs/>
              </w:rPr>
            </w:pPr>
          </w:p>
        </w:tc>
        <w:tc>
          <w:tcPr>
            <w:tcW w:w="670" w:type="pct"/>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32A882F9" w14:textId="77777777" w:rsidR="002C7FFD" w:rsidRPr="00585293" w:rsidRDefault="002C7FFD" w:rsidP="00BE38B5">
            <w:pPr>
              <w:spacing w:after="160" w:line="480" w:lineRule="auto"/>
              <w:jc w:val="both"/>
              <w:rPr>
                <w:rFonts w:eastAsiaTheme="minorEastAsia"/>
                <w:iCs/>
              </w:rPr>
            </w:pPr>
          </w:p>
        </w:tc>
      </w:tr>
      <w:tr w:rsidR="002C7FFD" w:rsidRPr="00585293" w14:paraId="10E219DA" w14:textId="77777777" w:rsidTr="00AA0592">
        <w:trPr>
          <w:trHeight w:hRule="exact" w:val="397"/>
        </w:trPr>
        <w:tc>
          <w:tcPr>
            <w:tcW w:w="957"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1BC41E8D" w14:textId="510C36FD" w:rsidR="002C7FFD" w:rsidRPr="00585293" w:rsidRDefault="002C7FFD" w:rsidP="00BE38B5">
            <w:pPr>
              <w:spacing w:after="160" w:line="480" w:lineRule="auto"/>
              <w:jc w:val="both"/>
              <w:rPr>
                <w:rFonts w:eastAsiaTheme="minorEastAsia"/>
                <w:iCs/>
              </w:rPr>
            </w:pPr>
            <w:r w:rsidRPr="00585293">
              <w:rPr>
                <w:rFonts w:eastAsiaTheme="minorEastAsia"/>
                <w:iCs/>
              </w:rPr>
              <w:t>W</w:t>
            </w:r>
          </w:p>
        </w:tc>
        <w:tc>
          <w:tcPr>
            <w:tcW w:w="675" w:type="pct"/>
            <w:tcBorders>
              <w:top w:val="single" w:sz="8" w:space="0" w:color="000000"/>
              <w:left w:val="nil"/>
              <w:bottom w:val="nil"/>
              <w:right w:val="nil"/>
            </w:tcBorders>
            <w:shd w:val="clear" w:color="auto" w:fill="D9D9D9"/>
            <w:tcMar>
              <w:top w:w="10" w:type="dxa"/>
              <w:left w:w="10" w:type="dxa"/>
              <w:bottom w:w="0" w:type="dxa"/>
              <w:right w:w="10" w:type="dxa"/>
            </w:tcMar>
            <w:vAlign w:val="center"/>
            <w:hideMark/>
          </w:tcPr>
          <w:p w14:paraId="4DD4BD78" w14:textId="78843E1E" w:rsidR="002C7FFD" w:rsidRPr="00585293" w:rsidRDefault="002C7FFD" w:rsidP="00BE38B5">
            <w:pPr>
              <w:spacing w:after="160" w:line="480" w:lineRule="auto"/>
              <w:jc w:val="both"/>
              <w:rPr>
                <w:rFonts w:eastAsiaTheme="minorEastAsia"/>
                <w:iCs/>
              </w:rPr>
            </w:pPr>
            <w:r w:rsidRPr="00585293">
              <w:rPr>
                <w:color w:val="000000"/>
              </w:rPr>
              <w:t>61.35</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757591E9" w14:textId="0B2B9BDA" w:rsidR="002C7FFD" w:rsidRPr="00585293" w:rsidRDefault="002C7FFD" w:rsidP="00BE38B5">
            <w:pPr>
              <w:spacing w:after="160" w:line="480" w:lineRule="auto"/>
              <w:jc w:val="both"/>
              <w:rPr>
                <w:rFonts w:eastAsiaTheme="minorEastAsia"/>
                <w:iCs/>
              </w:rPr>
            </w:pPr>
            <w:r w:rsidRPr="00585293">
              <w:rPr>
                <w:color w:val="000000"/>
              </w:rPr>
              <w:t>20.48</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3A6B985F" w14:textId="551E702D" w:rsidR="002C7FFD" w:rsidRPr="00585293" w:rsidRDefault="002C7FFD" w:rsidP="00BE38B5">
            <w:pPr>
              <w:spacing w:after="160" w:line="480" w:lineRule="auto"/>
              <w:jc w:val="both"/>
              <w:rPr>
                <w:rFonts w:eastAsiaTheme="minorEastAsia"/>
                <w:iCs/>
              </w:rPr>
            </w:pPr>
            <w:r w:rsidRPr="00585293">
              <w:rPr>
                <w:color w:val="000000"/>
              </w:rPr>
              <w:t>17.02</w:t>
            </w:r>
          </w:p>
        </w:tc>
        <w:tc>
          <w:tcPr>
            <w:tcW w:w="676"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4CC150BF" w14:textId="3AC4E3AA" w:rsidR="002C7FFD" w:rsidRPr="00585293" w:rsidRDefault="002C7FFD" w:rsidP="00BE38B5">
            <w:pPr>
              <w:spacing w:after="160" w:line="480" w:lineRule="auto"/>
              <w:jc w:val="both"/>
              <w:rPr>
                <w:rFonts w:eastAsiaTheme="minorEastAsia"/>
                <w:iCs/>
              </w:rPr>
            </w:pPr>
            <w:r w:rsidRPr="00585293">
              <w:rPr>
                <w:color w:val="000000"/>
              </w:rPr>
              <w:t>14.51</w:t>
            </w:r>
          </w:p>
        </w:tc>
        <w:tc>
          <w:tcPr>
            <w:tcW w:w="674"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2F43A03B" w14:textId="06D9B263" w:rsidR="002C7FFD" w:rsidRPr="00585293" w:rsidRDefault="002C7FFD" w:rsidP="00BE38B5">
            <w:pPr>
              <w:spacing w:after="160" w:line="480" w:lineRule="auto"/>
              <w:jc w:val="both"/>
              <w:rPr>
                <w:rFonts w:eastAsiaTheme="minorEastAsia"/>
                <w:iCs/>
              </w:rPr>
            </w:pPr>
            <w:r w:rsidRPr="00585293">
              <w:rPr>
                <w:color w:val="000000"/>
              </w:rPr>
              <w:t>28.34</w:t>
            </w:r>
          </w:p>
        </w:tc>
        <w:tc>
          <w:tcPr>
            <w:tcW w:w="670" w:type="pct"/>
            <w:tcBorders>
              <w:top w:val="single" w:sz="8" w:space="0" w:color="000000"/>
              <w:left w:val="nil"/>
              <w:bottom w:val="nil"/>
              <w:right w:val="nil"/>
            </w:tcBorders>
            <w:shd w:val="clear" w:color="auto" w:fill="auto"/>
            <w:tcMar>
              <w:top w:w="10" w:type="dxa"/>
              <w:left w:w="10" w:type="dxa"/>
              <w:bottom w:w="0" w:type="dxa"/>
              <w:right w:w="10" w:type="dxa"/>
            </w:tcMar>
            <w:vAlign w:val="center"/>
            <w:hideMark/>
          </w:tcPr>
          <w:p w14:paraId="5066C00A" w14:textId="64E07D93" w:rsidR="002C7FFD" w:rsidRPr="00585293" w:rsidRDefault="002C7FFD" w:rsidP="00BE38B5">
            <w:pPr>
              <w:spacing w:after="160" w:line="480" w:lineRule="auto"/>
              <w:jc w:val="both"/>
              <w:rPr>
                <w:rFonts w:eastAsiaTheme="minorEastAsia"/>
                <w:iCs/>
              </w:rPr>
            </w:pPr>
            <w:r w:rsidRPr="00585293">
              <w:rPr>
                <w:color w:val="000000"/>
              </w:rPr>
              <w:t>31,795</w:t>
            </w:r>
          </w:p>
        </w:tc>
      </w:tr>
      <w:tr w:rsidR="002C7FFD" w:rsidRPr="00585293" w14:paraId="4DA21E40"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4D0667FB" w14:textId="75967934" w:rsidR="002C7FFD" w:rsidRPr="00585293" w:rsidRDefault="002C7FFD" w:rsidP="00BE38B5">
            <w:pPr>
              <w:spacing w:after="160" w:line="480" w:lineRule="auto"/>
              <w:jc w:val="both"/>
              <w:rPr>
                <w:rFonts w:eastAsiaTheme="minorEastAsia"/>
                <w:iCs/>
              </w:rPr>
            </w:pPr>
            <w:r w:rsidRPr="00585293">
              <w:rPr>
                <w:rFonts w:eastAsiaTheme="minorEastAsia"/>
                <w:iCs/>
              </w:rPr>
              <w:t>S</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09CFF356" w14:textId="6FB1BFE7" w:rsidR="002C7FFD" w:rsidRPr="00585293" w:rsidRDefault="002C7FFD" w:rsidP="00BE38B5">
            <w:pPr>
              <w:spacing w:after="160" w:line="480" w:lineRule="auto"/>
              <w:jc w:val="both"/>
              <w:rPr>
                <w:rFonts w:eastAsiaTheme="minorEastAsia"/>
                <w:iCs/>
              </w:rPr>
            </w:pPr>
            <w:r w:rsidRPr="00585293">
              <w:rPr>
                <w:color w:val="000000"/>
              </w:rPr>
              <w:t>29.25</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09B6D3FB" w14:textId="7AD3EF09" w:rsidR="002C7FFD" w:rsidRPr="00585293" w:rsidRDefault="002C7FFD" w:rsidP="00BE38B5">
            <w:pPr>
              <w:spacing w:after="160" w:line="480" w:lineRule="auto"/>
              <w:jc w:val="both"/>
              <w:rPr>
                <w:rFonts w:eastAsiaTheme="minorEastAsia"/>
                <w:iCs/>
              </w:rPr>
            </w:pPr>
            <w:r w:rsidRPr="00585293">
              <w:rPr>
                <w:color w:val="000000"/>
              </w:rPr>
              <w:t>67.73</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45EEFE54" w14:textId="4A53850B" w:rsidR="002C7FFD" w:rsidRPr="00585293" w:rsidRDefault="002C7FFD" w:rsidP="00BE38B5">
            <w:pPr>
              <w:spacing w:after="160" w:line="480" w:lineRule="auto"/>
              <w:jc w:val="both"/>
              <w:rPr>
                <w:rFonts w:eastAsiaTheme="minorEastAsia"/>
                <w:iCs/>
              </w:rPr>
            </w:pPr>
            <w:r w:rsidRPr="00585293">
              <w:rPr>
                <w:color w:val="000000"/>
              </w:rPr>
              <w:t>13.19</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7C9FB48E" w14:textId="58907693" w:rsidR="002C7FFD" w:rsidRPr="00585293" w:rsidRDefault="002C7FFD" w:rsidP="00BE38B5">
            <w:pPr>
              <w:spacing w:after="160" w:line="480" w:lineRule="auto"/>
              <w:jc w:val="both"/>
              <w:rPr>
                <w:rFonts w:eastAsiaTheme="minorEastAsia"/>
                <w:iCs/>
              </w:rPr>
            </w:pPr>
            <w:r w:rsidRPr="00585293">
              <w:rPr>
                <w:color w:val="000000"/>
              </w:rPr>
              <w:t>33.69</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15DE95D6" w14:textId="5EE36876" w:rsidR="002C7FFD" w:rsidRPr="00585293" w:rsidRDefault="002C7FFD" w:rsidP="00BE38B5">
            <w:pPr>
              <w:spacing w:after="160" w:line="480" w:lineRule="auto"/>
              <w:jc w:val="both"/>
              <w:rPr>
                <w:rFonts w:eastAsiaTheme="minorEastAsia"/>
                <w:iCs/>
              </w:rPr>
            </w:pPr>
            <w:r w:rsidRPr="00585293">
              <w:rPr>
                <w:color w:val="000000"/>
              </w:rPr>
              <w:t>35.96</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1726FC1A" w14:textId="5AACBBEC" w:rsidR="002C7FFD" w:rsidRPr="00585293" w:rsidRDefault="002C7FFD" w:rsidP="00BE38B5">
            <w:pPr>
              <w:spacing w:after="160" w:line="480" w:lineRule="auto"/>
              <w:jc w:val="both"/>
              <w:rPr>
                <w:rFonts w:eastAsiaTheme="minorEastAsia"/>
                <w:iCs/>
              </w:rPr>
            </w:pPr>
            <w:r w:rsidRPr="00585293">
              <w:rPr>
                <w:color w:val="000000"/>
              </w:rPr>
              <w:t>63,844</w:t>
            </w:r>
          </w:p>
        </w:tc>
      </w:tr>
      <w:tr w:rsidR="002C7FFD" w:rsidRPr="00585293" w14:paraId="01EB38EB"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5F6F6EEA" w14:textId="39038CD9" w:rsidR="002C7FFD" w:rsidRPr="00585293" w:rsidRDefault="002C7FFD" w:rsidP="00BE38B5">
            <w:pPr>
              <w:spacing w:after="160" w:line="480" w:lineRule="auto"/>
              <w:jc w:val="both"/>
              <w:rPr>
                <w:rFonts w:eastAsiaTheme="minorEastAsia"/>
                <w:iCs/>
              </w:rPr>
            </w:pPr>
            <w:r w:rsidRPr="00585293">
              <w:rPr>
                <w:rFonts w:eastAsiaTheme="minorEastAsia"/>
                <w:iCs/>
              </w:rPr>
              <w:t>F</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50FEF5E7" w14:textId="797F0487" w:rsidR="002C7FFD" w:rsidRPr="00585293" w:rsidRDefault="002C7FFD" w:rsidP="00BE38B5">
            <w:pPr>
              <w:spacing w:after="160" w:line="480" w:lineRule="auto"/>
              <w:jc w:val="both"/>
              <w:rPr>
                <w:rFonts w:eastAsiaTheme="minorEastAsia"/>
                <w:iCs/>
              </w:rPr>
            </w:pPr>
            <w:r w:rsidRPr="00585293">
              <w:rPr>
                <w:color w:val="000000"/>
              </w:rPr>
              <w:t>1.51</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602C7229" w14:textId="091AB259" w:rsidR="002C7FFD" w:rsidRPr="00585293" w:rsidRDefault="002C7FFD" w:rsidP="00BE38B5">
            <w:pPr>
              <w:spacing w:after="160" w:line="480" w:lineRule="auto"/>
              <w:jc w:val="both"/>
              <w:rPr>
                <w:rFonts w:eastAsiaTheme="minorEastAsia"/>
                <w:iCs/>
              </w:rPr>
            </w:pPr>
            <w:r w:rsidRPr="00585293">
              <w:rPr>
                <w:color w:val="000000"/>
              </w:rPr>
              <w:t>0.77</w:t>
            </w:r>
          </w:p>
        </w:tc>
        <w:tc>
          <w:tcPr>
            <w:tcW w:w="674" w:type="pct"/>
            <w:tcBorders>
              <w:top w:val="nil"/>
              <w:left w:val="nil"/>
              <w:bottom w:val="nil"/>
              <w:right w:val="nil"/>
            </w:tcBorders>
            <w:shd w:val="clear" w:color="auto" w:fill="D9D9D9"/>
            <w:tcMar>
              <w:top w:w="10" w:type="dxa"/>
              <w:left w:w="10" w:type="dxa"/>
              <w:bottom w:w="0" w:type="dxa"/>
              <w:right w:w="10" w:type="dxa"/>
            </w:tcMar>
            <w:vAlign w:val="center"/>
            <w:hideMark/>
          </w:tcPr>
          <w:p w14:paraId="24248788" w14:textId="7A70BCB4" w:rsidR="002C7FFD" w:rsidRPr="00585293" w:rsidRDefault="002C7FFD" w:rsidP="00BE38B5">
            <w:pPr>
              <w:spacing w:after="160" w:line="480" w:lineRule="auto"/>
              <w:jc w:val="both"/>
              <w:rPr>
                <w:rFonts w:eastAsiaTheme="minorEastAsia"/>
                <w:iCs/>
              </w:rPr>
            </w:pPr>
            <w:r w:rsidRPr="00585293">
              <w:rPr>
                <w:color w:val="000000"/>
              </w:rPr>
              <w:t>46.26</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287030D1" w14:textId="090E489F" w:rsidR="002C7FFD" w:rsidRPr="00585293" w:rsidRDefault="002C7FFD" w:rsidP="00BE38B5">
            <w:pPr>
              <w:spacing w:after="160" w:line="480" w:lineRule="auto"/>
              <w:jc w:val="both"/>
              <w:rPr>
                <w:rFonts w:eastAsiaTheme="minorEastAsia"/>
                <w:iCs/>
              </w:rPr>
            </w:pPr>
            <w:r w:rsidRPr="00585293">
              <w:rPr>
                <w:color w:val="000000"/>
              </w:rPr>
              <w:t>1.72</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30D958B" w14:textId="43BD9D95" w:rsidR="002C7FFD" w:rsidRPr="00585293" w:rsidRDefault="002C7FFD" w:rsidP="00BE38B5">
            <w:pPr>
              <w:spacing w:after="160" w:line="480" w:lineRule="auto"/>
              <w:jc w:val="both"/>
              <w:rPr>
                <w:rFonts w:eastAsiaTheme="minorEastAsia"/>
                <w:iCs/>
              </w:rPr>
            </w:pPr>
            <w:r w:rsidRPr="00585293">
              <w:rPr>
                <w:color w:val="000000"/>
              </w:rPr>
              <w:t>12.56</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6B2EEA9B" w14:textId="637E248B" w:rsidR="002C7FFD" w:rsidRPr="00585293" w:rsidRDefault="002C7FFD" w:rsidP="00BE38B5">
            <w:pPr>
              <w:spacing w:after="160" w:line="480" w:lineRule="auto"/>
              <w:jc w:val="both"/>
              <w:rPr>
                <w:rFonts w:eastAsiaTheme="minorEastAsia"/>
                <w:iCs/>
              </w:rPr>
            </w:pPr>
            <w:r w:rsidRPr="00585293">
              <w:rPr>
                <w:color w:val="000000"/>
              </w:rPr>
              <w:t>4,803</w:t>
            </w:r>
          </w:p>
        </w:tc>
      </w:tr>
      <w:tr w:rsidR="002C7FFD" w:rsidRPr="00585293" w14:paraId="142E3DBD"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37F3458C" w14:textId="0CE5C838" w:rsidR="002C7FFD" w:rsidRPr="00585293" w:rsidRDefault="002C7FFD" w:rsidP="00BE38B5">
            <w:pPr>
              <w:spacing w:after="160" w:line="480" w:lineRule="auto"/>
              <w:jc w:val="both"/>
              <w:rPr>
                <w:rFonts w:eastAsiaTheme="minorEastAsia"/>
                <w:iCs/>
              </w:rPr>
            </w:pPr>
            <w:r w:rsidRPr="00585293">
              <w:rPr>
                <w:rFonts w:eastAsiaTheme="minorEastAsia"/>
                <w:iCs/>
              </w:rPr>
              <w:t>U</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0ABFCBDB" w14:textId="7D62916E" w:rsidR="002C7FFD" w:rsidRPr="00585293" w:rsidRDefault="002C7FFD" w:rsidP="00BE38B5">
            <w:pPr>
              <w:spacing w:after="160" w:line="480" w:lineRule="auto"/>
              <w:jc w:val="both"/>
              <w:rPr>
                <w:rFonts w:eastAsiaTheme="minorEastAsia"/>
                <w:iCs/>
              </w:rPr>
            </w:pPr>
            <w:r w:rsidRPr="00585293">
              <w:rPr>
                <w:color w:val="000000"/>
              </w:rPr>
              <w:t>7.89</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AFC3951" w14:textId="3999B97D" w:rsidR="002C7FFD" w:rsidRPr="00585293" w:rsidRDefault="002C7FFD" w:rsidP="00BE38B5">
            <w:pPr>
              <w:spacing w:after="160" w:line="480" w:lineRule="auto"/>
              <w:jc w:val="both"/>
              <w:rPr>
                <w:rFonts w:eastAsiaTheme="minorEastAsia"/>
                <w:iCs/>
              </w:rPr>
            </w:pPr>
            <w:r w:rsidRPr="00585293">
              <w:rPr>
                <w:color w:val="000000"/>
              </w:rPr>
              <w:t>11.02</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392FD170" w14:textId="62C6F880" w:rsidR="002C7FFD" w:rsidRPr="00585293" w:rsidRDefault="002C7FFD" w:rsidP="00BE38B5">
            <w:pPr>
              <w:spacing w:after="160" w:line="480" w:lineRule="auto"/>
              <w:jc w:val="both"/>
              <w:rPr>
                <w:rFonts w:eastAsiaTheme="minorEastAsia"/>
                <w:iCs/>
              </w:rPr>
            </w:pPr>
            <w:r w:rsidRPr="00585293">
              <w:rPr>
                <w:color w:val="000000"/>
              </w:rPr>
              <w:t>23.53</w:t>
            </w:r>
          </w:p>
        </w:tc>
        <w:tc>
          <w:tcPr>
            <w:tcW w:w="676" w:type="pct"/>
            <w:tcBorders>
              <w:top w:val="nil"/>
              <w:left w:val="nil"/>
              <w:bottom w:val="nil"/>
              <w:right w:val="nil"/>
            </w:tcBorders>
            <w:shd w:val="clear" w:color="auto" w:fill="D9D9D9"/>
            <w:tcMar>
              <w:top w:w="10" w:type="dxa"/>
              <w:left w:w="10" w:type="dxa"/>
              <w:bottom w:w="0" w:type="dxa"/>
              <w:right w:w="10" w:type="dxa"/>
            </w:tcMar>
            <w:vAlign w:val="center"/>
            <w:hideMark/>
          </w:tcPr>
          <w:p w14:paraId="7A8276A6" w14:textId="33C74990" w:rsidR="002C7FFD" w:rsidRPr="00585293" w:rsidRDefault="002C7FFD" w:rsidP="00BE38B5">
            <w:pPr>
              <w:spacing w:after="160" w:line="480" w:lineRule="auto"/>
              <w:jc w:val="both"/>
              <w:rPr>
                <w:rFonts w:eastAsiaTheme="minorEastAsia"/>
                <w:iCs/>
              </w:rPr>
            </w:pPr>
            <w:r w:rsidRPr="00585293">
              <w:rPr>
                <w:color w:val="000000"/>
              </w:rPr>
              <w:t>50.08</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A0EAAA6" w14:textId="4E15C114" w:rsidR="002C7FFD" w:rsidRPr="00585293" w:rsidRDefault="002C7FFD" w:rsidP="00BE38B5">
            <w:pPr>
              <w:spacing w:after="160" w:line="480" w:lineRule="auto"/>
              <w:jc w:val="both"/>
              <w:rPr>
                <w:rFonts w:eastAsiaTheme="minorEastAsia"/>
                <w:iCs/>
              </w:rPr>
            </w:pPr>
            <w:r w:rsidRPr="00585293">
              <w:rPr>
                <w:color w:val="000000"/>
              </w:rPr>
              <w:t>23.13</w:t>
            </w: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1FB59552" w14:textId="128B7A9D" w:rsidR="002C7FFD" w:rsidRPr="00585293" w:rsidRDefault="002C7FFD" w:rsidP="00BE38B5">
            <w:pPr>
              <w:spacing w:after="160" w:line="480" w:lineRule="auto"/>
              <w:jc w:val="both"/>
              <w:rPr>
                <w:rFonts w:eastAsiaTheme="minorEastAsia"/>
                <w:iCs/>
              </w:rPr>
            </w:pPr>
            <w:r w:rsidRPr="00585293">
              <w:rPr>
                <w:color w:val="000000"/>
              </w:rPr>
              <w:t>28,355</w:t>
            </w:r>
          </w:p>
        </w:tc>
      </w:tr>
      <w:tr w:rsidR="00B56C74" w:rsidRPr="00585293" w14:paraId="42A23047" w14:textId="77777777" w:rsidTr="00AA0592">
        <w:trPr>
          <w:trHeight w:hRule="exact" w:val="397"/>
        </w:trPr>
        <w:tc>
          <w:tcPr>
            <w:tcW w:w="957" w:type="pct"/>
            <w:tcBorders>
              <w:top w:val="nil"/>
              <w:left w:val="nil"/>
              <w:bottom w:val="nil"/>
              <w:right w:val="nil"/>
            </w:tcBorders>
            <w:shd w:val="clear" w:color="auto" w:fill="auto"/>
            <w:tcMar>
              <w:top w:w="10" w:type="dxa"/>
              <w:left w:w="10" w:type="dxa"/>
              <w:bottom w:w="0" w:type="dxa"/>
              <w:right w:w="10" w:type="dxa"/>
            </w:tcMar>
            <w:vAlign w:val="center"/>
            <w:hideMark/>
          </w:tcPr>
          <w:p w14:paraId="4D03320F" w14:textId="77777777" w:rsidR="00B56C74" w:rsidRPr="00585293" w:rsidRDefault="00B56C74" w:rsidP="00BE38B5">
            <w:pPr>
              <w:spacing w:after="160" w:line="480" w:lineRule="auto"/>
              <w:jc w:val="both"/>
              <w:rPr>
                <w:rFonts w:eastAsiaTheme="minorEastAsia"/>
                <w:iCs/>
              </w:rPr>
            </w:pPr>
            <w:r w:rsidRPr="00585293">
              <w:rPr>
                <w:rFonts w:eastAsiaTheme="minorEastAsia"/>
                <w:iCs/>
              </w:rPr>
              <w:t>Total</w:t>
            </w:r>
          </w:p>
        </w:tc>
        <w:tc>
          <w:tcPr>
            <w:tcW w:w="675" w:type="pct"/>
            <w:tcBorders>
              <w:top w:val="nil"/>
              <w:left w:val="nil"/>
              <w:bottom w:val="nil"/>
              <w:right w:val="nil"/>
            </w:tcBorders>
            <w:shd w:val="clear" w:color="auto" w:fill="auto"/>
            <w:tcMar>
              <w:top w:w="10" w:type="dxa"/>
              <w:left w:w="10" w:type="dxa"/>
              <w:bottom w:w="0" w:type="dxa"/>
              <w:right w:w="10" w:type="dxa"/>
            </w:tcMar>
            <w:vAlign w:val="center"/>
            <w:hideMark/>
          </w:tcPr>
          <w:p w14:paraId="0EA43E59" w14:textId="27F0779A" w:rsidR="00B56C74" w:rsidRPr="00585293" w:rsidRDefault="00B56C74"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4DF88817" w14:textId="77B58835" w:rsidR="00B56C74" w:rsidRPr="00585293" w:rsidRDefault="00B56C74"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5289B731" w14:textId="07BD7746" w:rsidR="00B56C74" w:rsidRPr="00585293" w:rsidRDefault="00B56C74" w:rsidP="00BE38B5">
            <w:pPr>
              <w:spacing w:after="160" w:line="480" w:lineRule="auto"/>
              <w:jc w:val="both"/>
              <w:rPr>
                <w:rFonts w:eastAsiaTheme="minorEastAsia"/>
                <w:iCs/>
              </w:rPr>
            </w:pPr>
            <w:r w:rsidRPr="00585293">
              <w:rPr>
                <w:color w:val="000000"/>
              </w:rPr>
              <w:t>100.00</w:t>
            </w:r>
          </w:p>
        </w:tc>
        <w:tc>
          <w:tcPr>
            <w:tcW w:w="676" w:type="pct"/>
            <w:tcBorders>
              <w:top w:val="nil"/>
              <w:left w:val="nil"/>
              <w:bottom w:val="nil"/>
              <w:right w:val="nil"/>
            </w:tcBorders>
            <w:shd w:val="clear" w:color="auto" w:fill="auto"/>
            <w:tcMar>
              <w:top w:w="10" w:type="dxa"/>
              <w:left w:w="10" w:type="dxa"/>
              <w:bottom w:w="0" w:type="dxa"/>
              <w:right w:w="10" w:type="dxa"/>
            </w:tcMar>
            <w:vAlign w:val="center"/>
            <w:hideMark/>
          </w:tcPr>
          <w:p w14:paraId="0845AEAB" w14:textId="205F6035" w:rsidR="00B56C74" w:rsidRPr="00585293" w:rsidRDefault="00B56C74" w:rsidP="00BE38B5">
            <w:pPr>
              <w:spacing w:after="160" w:line="480" w:lineRule="auto"/>
              <w:jc w:val="both"/>
              <w:rPr>
                <w:rFonts w:eastAsiaTheme="minorEastAsia"/>
                <w:iCs/>
              </w:rPr>
            </w:pPr>
            <w:r w:rsidRPr="00585293">
              <w:rPr>
                <w:color w:val="000000"/>
              </w:rPr>
              <w:t>100.00</w:t>
            </w:r>
          </w:p>
        </w:tc>
        <w:tc>
          <w:tcPr>
            <w:tcW w:w="674" w:type="pct"/>
            <w:tcBorders>
              <w:top w:val="nil"/>
              <w:left w:val="nil"/>
              <w:bottom w:val="nil"/>
              <w:right w:val="nil"/>
            </w:tcBorders>
            <w:shd w:val="clear" w:color="auto" w:fill="auto"/>
            <w:tcMar>
              <w:top w:w="10" w:type="dxa"/>
              <w:left w:w="10" w:type="dxa"/>
              <w:bottom w:w="0" w:type="dxa"/>
              <w:right w:w="10" w:type="dxa"/>
            </w:tcMar>
            <w:vAlign w:val="center"/>
            <w:hideMark/>
          </w:tcPr>
          <w:p w14:paraId="744A7DC1" w14:textId="77777777" w:rsidR="00B56C74" w:rsidRPr="00585293" w:rsidRDefault="00B56C74" w:rsidP="00BE38B5">
            <w:pPr>
              <w:spacing w:after="160" w:line="480" w:lineRule="auto"/>
              <w:jc w:val="both"/>
              <w:rPr>
                <w:rFonts w:eastAsiaTheme="minorEastAsia"/>
                <w:iCs/>
              </w:rPr>
            </w:pPr>
          </w:p>
        </w:tc>
        <w:tc>
          <w:tcPr>
            <w:tcW w:w="670" w:type="pct"/>
            <w:tcBorders>
              <w:top w:val="nil"/>
              <w:left w:val="nil"/>
              <w:bottom w:val="nil"/>
              <w:right w:val="nil"/>
            </w:tcBorders>
            <w:shd w:val="clear" w:color="auto" w:fill="auto"/>
            <w:tcMar>
              <w:top w:w="10" w:type="dxa"/>
              <w:left w:w="10" w:type="dxa"/>
              <w:bottom w:w="0" w:type="dxa"/>
              <w:right w:w="10" w:type="dxa"/>
            </w:tcMar>
            <w:vAlign w:val="center"/>
            <w:hideMark/>
          </w:tcPr>
          <w:p w14:paraId="68C758AF" w14:textId="77777777" w:rsidR="00B56C74" w:rsidRPr="00585293" w:rsidRDefault="00B56C74" w:rsidP="00BE38B5">
            <w:pPr>
              <w:spacing w:after="160" w:line="480" w:lineRule="auto"/>
              <w:jc w:val="both"/>
              <w:rPr>
                <w:rFonts w:eastAsiaTheme="minorEastAsia"/>
                <w:iCs/>
              </w:rPr>
            </w:pPr>
          </w:p>
        </w:tc>
      </w:tr>
      <w:tr w:rsidR="00B56C74" w:rsidRPr="00585293" w14:paraId="0620A8B5" w14:textId="77777777" w:rsidTr="00AA0592">
        <w:trPr>
          <w:trHeight w:hRule="exact" w:val="397"/>
        </w:trPr>
        <w:tc>
          <w:tcPr>
            <w:tcW w:w="957"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6322F38D" w14:textId="77777777" w:rsidR="00B56C74" w:rsidRPr="00585293" w:rsidRDefault="00B56C74" w:rsidP="00BE38B5">
            <w:pPr>
              <w:spacing w:after="160" w:line="480" w:lineRule="auto"/>
              <w:jc w:val="both"/>
              <w:rPr>
                <w:rFonts w:eastAsiaTheme="minorEastAsia"/>
                <w:iCs/>
              </w:rPr>
            </w:pPr>
            <w:r w:rsidRPr="00585293">
              <w:rPr>
                <w:rFonts w:eastAsiaTheme="minorEastAsia"/>
                <w:i/>
                <w:iCs/>
              </w:rPr>
              <w:t>N</w:t>
            </w:r>
          </w:p>
        </w:tc>
        <w:tc>
          <w:tcPr>
            <w:tcW w:w="675"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4EE6474E" w14:textId="5DFBEEA6" w:rsidR="00B56C74" w:rsidRPr="00585293" w:rsidRDefault="00B56C74" w:rsidP="00BE38B5">
            <w:pPr>
              <w:spacing w:after="160" w:line="480" w:lineRule="auto"/>
              <w:jc w:val="both"/>
              <w:rPr>
                <w:rFonts w:eastAsiaTheme="minorEastAsia"/>
                <w:iCs/>
              </w:rPr>
            </w:pPr>
            <w:r w:rsidRPr="00585293">
              <w:rPr>
                <w:color w:val="000000"/>
              </w:rPr>
              <w:t>19,045</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34A686E" w14:textId="70846378" w:rsidR="00B56C74" w:rsidRPr="00585293" w:rsidRDefault="00B56C74" w:rsidP="00BE38B5">
            <w:pPr>
              <w:spacing w:after="160" w:line="480" w:lineRule="auto"/>
              <w:jc w:val="both"/>
              <w:rPr>
                <w:rFonts w:eastAsiaTheme="minorEastAsia"/>
                <w:iCs/>
              </w:rPr>
            </w:pPr>
            <w:r w:rsidRPr="00585293">
              <w:rPr>
                <w:color w:val="000000"/>
              </w:rPr>
              <w:t>66,983</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08952FC9" w14:textId="7D41F5AF" w:rsidR="00B56C74" w:rsidRPr="00585293" w:rsidRDefault="00B56C74" w:rsidP="00BE38B5">
            <w:pPr>
              <w:spacing w:after="160" w:line="480" w:lineRule="auto"/>
              <w:jc w:val="both"/>
              <w:rPr>
                <w:rFonts w:eastAsiaTheme="minorEastAsia"/>
                <w:iCs/>
              </w:rPr>
            </w:pPr>
            <w:r w:rsidRPr="00585293">
              <w:rPr>
                <w:color w:val="000000"/>
              </w:rPr>
              <w:t>7,331</w:t>
            </w:r>
          </w:p>
        </w:tc>
        <w:tc>
          <w:tcPr>
            <w:tcW w:w="676"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5E56F42E" w14:textId="2203452D" w:rsidR="00B56C74" w:rsidRPr="00585293" w:rsidRDefault="00B56C74" w:rsidP="00BE38B5">
            <w:pPr>
              <w:spacing w:after="160" w:line="480" w:lineRule="auto"/>
              <w:jc w:val="both"/>
              <w:rPr>
                <w:rFonts w:eastAsiaTheme="minorEastAsia"/>
                <w:iCs/>
              </w:rPr>
            </w:pPr>
            <w:r w:rsidRPr="00585293">
              <w:rPr>
                <w:color w:val="000000"/>
              </w:rPr>
              <w:t>35,438</w:t>
            </w:r>
          </w:p>
        </w:tc>
        <w:tc>
          <w:tcPr>
            <w:tcW w:w="674"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48E27176" w14:textId="77777777" w:rsidR="00B56C74" w:rsidRPr="00585293" w:rsidRDefault="00B56C74" w:rsidP="00BE38B5">
            <w:pPr>
              <w:spacing w:after="160" w:line="480" w:lineRule="auto"/>
              <w:jc w:val="both"/>
              <w:rPr>
                <w:rFonts w:eastAsiaTheme="minorEastAsia"/>
                <w:iCs/>
              </w:rPr>
            </w:pPr>
          </w:p>
        </w:tc>
        <w:tc>
          <w:tcPr>
            <w:tcW w:w="670" w:type="pct"/>
            <w:tcBorders>
              <w:top w:val="nil"/>
              <w:left w:val="nil"/>
              <w:bottom w:val="double" w:sz="4" w:space="0" w:color="auto"/>
              <w:right w:val="nil"/>
            </w:tcBorders>
            <w:shd w:val="clear" w:color="auto" w:fill="auto"/>
            <w:tcMar>
              <w:top w:w="10" w:type="dxa"/>
              <w:left w:w="10" w:type="dxa"/>
              <w:bottom w:w="0" w:type="dxa"/>
              <w:right w:w="10" w:type="dxa"/>
            </w:tcMar>
            <w:vAlign w:val="center"/>
            <w:hideMark/>
          </w:tcPr>
          <w:p w14:paraId="757CE9DC" w14:textId="77777777" w:rsidR="00B56C74" w:rsidRPr="00585293" w:rsidRDefault="00B56C74" w:rsidP="00BE38B5">
            <w:pPr>
              <w:spacing w:after="160"/>
              <w:jc w:val="both"/>
              <w:rPr>
                <w:color w:val="000000"/>
              </w:rPr>
            </w:pPr>
            <w:r w:rsidRPr="00585293">
              <w:rPr>
                <w:color w:val="000000"/>
              </w:rPr>
              <w:t>128,797</w:t>
            </w:r>
          </w:p>
          <w:p w14:paraId="334556D3" w14:textId="77777777" w:rsidR="00B56C74" w:rsidRPr="00585293" w:rsidRDefault="00B56C74" w:rsidP="00BE38B5">
            <w:pPr>
              <w:spacing w:after="160" w:line="480" w:lineRule="auto"/>
              <w:jc w:val="both"/>
              <w:rPr>
                <w:rFonts w:eastAsiaTheme="minorEastAsia"/>
                <w:iCs/>
              </w:rPr>
            </w:pPr>
          </w:p>
        </w:tc>
      </w:tr>
    </w:tbl>
    <w:p w14:paraId="25F8288B" w14:textId="77777777" w:rsidR="00865AD8" w:rsidRDefault="00C75921" w:rsidP="003653CA">
      <w:pPr>
        <w:jc w:val="both"/>
        <w:rPr>
          <w:sz w:val="20"/>
          <w:szCs w:val="20"/>
        </w:rPr>
      </w:pPr>
      <w:r w:rsidRPr="003653CA">
        <w:rPr>
          <w:i/>
          <w:iCs/>
          <w:sz w:val="20"/>
          <w:szCs w:val="20"/>
        </w:rPr>
        <w:t>Notes</w:t>
      </w:r>
      <w:r w:rsidRPr="00585293">
        <w:rPr>
          <w:sz w:val="20"/>
          <w:szCs w:val="20"/>
        </w:rPr>
        <w:t xml:space="preserve">: W = white collar; S = skilled and semi-skilled; F = farmer; U = unskilled. </w:t>
      </w:r>
    </w:p>
    <w:p w14:paraId="6A7AD63F" w14:textId="006599DA" w:rsidR="00957D78" w:rsidRPr="00585293" w:rsidRDefault="00C75921" w:rsidP="00BE38B5">
      <w:pPr>
        <w:spacing w:after="160"/>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 xml:space="preserve">). </w:t>
      </w:r>
    </w:p>
    <w:p w14:paraId="60E93010" w14:textId="6CE5AD1A" w:rsidR="00B10C30" w:rsidRPr="00585293" w:rsidRDefault="00B10C30">
      <w:pPr>
        <w:spacing w:after="160" w:line="259" w:lineRule="auto"/>
      </w:pPr>
      <w:r w:rsidRPr="00585293">
        <w:br w:type="page"/>
      </w:r>
    </w:p>
    <w:p w14:paraId="199CCC2E" w14:textId="6D22842A" w:rsidR="00032F6E" w:rsidRPr="00585293" w:rsidRDefault="00DB20B7" w:rsidP="00032F6E">
      <w:pPr>
        <w:pStyle w:val="Heading2"/>
        <w:spacing w:after="160" w:line="480" w:lineRule="auto"/>
        <w:jc w:val="both"/>
        <w:rPr>
          <w:rFonts w:ascii="Times New Roman" w:hAnsi="Times New Roman" w:cs="Times New Roman"/>
          <w:b/>
          <w:bCs/>
          <w:color w:val="auto"/>
          <w:sz w:val="28"/>
          <w:szCs w:val="28"/>
        </w:rPr>
      </w:pPr>
      <w:r w:rsidRPr="00585293">
        <w:rPr>
          <w:rFonts w:ascii="Times New Roman" w:hAnsi="Times New Roman" w:cs="Times New Roman"/>
          <w:b/>
          <w:bCs/>
          <w:color w:val="auto"/>
          <w:sz w:val="28"/>
          <w:szCs w:val="28"/>
        </w:rPr>
        <w:lastRenderedPageBreak/>
        <w:t>L</w:t>
      </w:r>
      <w:r w:rsidR="00032F6E" w:rsidRPr="00585293">
        <w:rPr>
          <w:rFonts w:ascii="Times New Roman" w:hAnsi="Times New Roman" w:cs="Times New Roman"/>
          <w:b/>
          <w:bCs/>
          <w:color w:val="auto"/>
          <w:sz w:val="28"/>
          <w:szCs w:val="28"/>
        </w:rPr>
        <w:tab/>
      </w:r>
      <w:r w:rsidR="00CF27EB" w:rsidRPr="00585293">
        <w:rPr>
          <w:rFonts w:ascii="Times New Roman" w:hAnsi="Times New Roman" w:cs="Times New Roman"/>
          <w:b/>
          <w:bCs/>
          <w:color w:val="auto"/>
          <w:sz w:val="28"/>
          <w:szCs w:val="28"/>
        </w:rPr>
        <w:t xml:space="preserve">False Positives Arising from </w:t>
      </w:r>
      <w:r w:rsidR="007760FA" w:rsidRPr="00585293">
        <w:rPr>
          <w:rFonts w:ascii="Times New Roman" w:hAnsi="Times New Roman" w:cs="Times New Roman"/>
          <w:b/>
          <w:bCs/>
          <w:color w:val="auto"/>
          <w:sz w:val="28"/>
          <w:szCs w:val="28"/>
        </w:rPr>
        <w:t>Using a Sample for Census Linkage</w:t>
      </w:r>
    </w:p>
    <w:p w14:paraId="5103F527" w14:textId="6035278E" w:rsidR="00752847" w:rsidRPr="00585293" w:rsidRDefault="00B64ACE" w:rsidP="00BA0567">
      <w:pPr>
        <w:spacing w:after="160" w:line="480" w:lineRule="auto"/>
        <w:jc w:val="both"/>
      </w:pPr>
      <w:r w:rsidRPr="00585293">
        <w:t xml:space="preserve">A crucial part of census linkage is the </w:t>
      </w:r>
      <w:r w:rsidR="004869E1" w:rsidRPr="00585293">
        <w:t xml:space="preserve">restriction on uniqueness of matches – </w:t>
      </w:r>
      <w:r w:rsidR="003E2EBC" w:rsidRPr="00585293">
        <w:t xml:space="preserve">in order for person A </w:t>
      </w:r>
      <w:r w:rsidR="002640C0" w:rsidRPr="00585293">
        <w:t xml:space="preserve">from the first census to be matched to person B from the second census, </w:t>
      </w:r>
      <w:r w:rsidR="00BA0567" w:rsidRPr="00585293">
        <w:t xml:space="preserve">there can be no other potential matches </w:t>
      </w:r>
      <w:r w:rsidR="00E121E7" w:rsidRPr="00585293">
        <w:t xml:space="preserve">for </w:t>
      </w:r>
      <w:r w:rsidR="00E84067" w:rsidRPr="00585293">
        <w:t>both person A and B</w:t>
      </w:r>
      <w:r w:rsidR="001569AC" w:rsidRPr="00585293">
        <w:t xml:space="preserve">. The issue with using a </w:t>
      </w:r>
      <w:r w:rsidR="001A22C0" w:rsidRPr="00585293">
        <w:t>2</w:t>
      </w:r>
      <w:r w:rsidR="001569AC" w:rsidRPr="00585293">
        <w:t xml:space="preserve"> per cent sample in the 1851 census is that we can only ensure that there are no other potential matches for person A in </w:t>
      </w:r>
      <w:r w:rsidR="001A22C0" w:rsidRPr="00585293">
        <w:t xml:space="preserve">the 1881 census, but we cannot be sure that there are no other potential matches for person B in the 1851 census because 98 per cent of the </w:t>
      </w:r>
      <w:r w:rsidR="00536EA9" w:rsidRPr="00585293">
        <w:t xml:space="preserve">1851 census has been cut off. To demonstrate how this may affect our linkage, I have </w:t>
      </w:r>
      <w:r w:rsidR="006A7E7A" w:rsidRPr="00585293">
        <w:t xml:space="preserve">generated my own two per cent sample of the 1851 census and tried to match people from </w:t>
      </w:r>
      <w:r w:rsidR="00F66C06" w:rsidRPr="00585293">
        <w:t xml:space="preserve">this sample to the full 1881 census. </w:t>
      </w:r>
      <w:r w:rsidR="005C23FF" w:rsidRPr="00585293">
        <w:t xml:space="preserve">This can then be checked for false positives by </w:t>
      </w:r>
      <w:r w:rsidR="00F77E58" w:rsidRPr="00585293">
        <w:t xml:space="preserve">seeing how many of these matches can be found when linkage is </w:t>
      </w:r>
      <w:r w:rsidR="00EC1CBA" w:rsidRPr="00585293">
        <w:t xml:space="preserve">conducted using the full census instead – if the use of a two per cent sample </w:t>
      </w:r>
      <w:r w:rsidR="00663B60" w:rsidRPr="00585293">
        <w:t>does not generate higher number of false positives, then we would expect all matches to be found in the full linked sample</w:t>
      </w:r>
      <w:r w:rsidR="00EC1CBA" w:rsidRPr="00585293">
        <w:t xml:space="preserve">. </w:t>
      </w:r>
      <w:r w:rsidR="00F66C06" w:rsidRPr="00585293">
        <w:t xml:space="preserve">Table </w:t>
      </w:r>
      <w:r w:rsidR="00DB20B7" w:rsidRPr="00585293">
        <w:t xml:space="preserve">L1 </w:t>
      </w:r>
      <w:r w:rsidR="00F66C06" w:rsidRPr="00585293">
        <w:t>shows the results of this exercise.</w:t>
      </w:r>
    </w:p>
    <w:p w14:paraId="3EF0986D" w14:textId="6CC98B66" w:rsidR="005832F0" w:rsidRPr="00585293" w:rsidRDefault="005832F0" w:rsidP="00490967">
      <w:pPr>
        <w:pStyle w:val="Caption"/>
        <w:keepNext/>
        <w:jc w:val="center"/>
      </w:pPr>
      <w:r w:rsidRPr="003653CA">
        <w:rPr>
          <w:i w:val="0"/>
          <w:iCs w:val="0"/>
          <w:color w:val="auto"/>
          <w:sz w:val="24"/>
          <w:szCs w:val="24"/>
        </w:rPr>
        <w:t xml:space="preserve">Table </w:t>
      </w:r>
      <w:r w:rsidR="00DB20B7" w:rsidRPr="003653CA">
        <w:rPr>
          <w:i w:val="0"/>
          <w:iCs w:val="0"/>
          <w:color w:val="auto"/>
          <w:sz w:val="24"/>
          <w:szCs w:val="24"/>
        </w:rPr>
        <w:t>L</w:t>
      </w:r>
      <w:r w:rsidR="00DB20B7" w:rsidRPr="003653CA">
        <w:rPr>
          <w:i w:val="0"/>
          <w:iCs w:val="0"/>
          <w:color w:val="auto"/>
          <w:sz w:val="24"/>
          <w:szCs w:val="24"/>
        </w:rPr>
        <w:fldChar w:fldCharType="begin"/>
      </w:r>
      <w:r w:rsidR="00DB20B7" w:rsidRPr="003653CA">
        <w:rPr>
          <w:i w:val="0"/>
          <w:iCs w:val="0"/>
          <w:color w:val="auto"/>
          <w:sz w:val="24"/>
          <w:szCs w:val="24"/>
        </w:rPr>
        <w:instrText xml:space="preserve"> SEQ Table \* ARABIC </w:instrText>
      </w:r>
      <w:r w:rsidR="00DB20B7" w:rsidRPr="003653CA">
        <w:rPr>
          <w:i w:val="0"/>
          <w:iCs w:val="0"/>
          <w:color w:val="auto"/>
          <w:sz w:val="24"/>
          <w:szCs w:val="24"/>
        </w:rPr>
        <w:fldChar w:fldCharType="separate"/>
      </w:r>
      <w:r w:rsidR="00DB20B7" w:rsidRPr="003653CA">
        <w:rPr>
          <w:i w:val="0"/>
          <w:iCs w:val="0"/>
          <w:color w:val="auto"/>
          <w:sz w:val="24"/>
          <w:szCs w:val="24"/>
        </w:rPr>
        <w:t>1</w:t>
      </w:r>
      <w:r w:rsidR="00DB20B7" w:rsidRPr="003653CA">
        <w:rPr>
          <w:i w:val="0"/>
          <w:iCs w:val="0"/>
          <w:color w:val="auto"/>
          <w:sz w:val="24"/>
          <w:szCs w:val="24"/>
        </w:rPr>
        <w:fldChar w:fldCharType="end"/>
      </w:r>
      <w:r w:rsidRPr="00585293">
        <w:rPr>
          <w:i w:val="0"/>
          <w:iCs w:val="0"/>
          <w:color w:val="auto"/>
          <w:sz w:val="24"/>
          <w:szCs w:val="24"/>
        </w:rPr>
        <w:t>: Test for Additional False Positives from Using 2% Sample, 1851-1881</w:t>
      </w:r>
    </w:p>
    <w:tbl>
      <w:tblPr>
        <w:tblW w:w="5000" w:type="pct"/>
        <w:jc w:val="center"/>
        <w:tblLook w:val="04A0" w:firstRow="1" w:lastRow="0" w:firstColumn="1" w:lastColumn="0" w:noHBand="0" w:noVBand="1"/>
      </w:tblPr>
      <w:tblGrid>
        <w:gridCol w:w="1367"/>
        <w:gridCol w:w="3364"/>
        <w:gridCol w:w="3366"/>
        <w:gridCol w:w="929"/>
      </w:tblGrid>
      <w:tr w:rsidR="0050048C" w:rsidRPr="00585293" w14:paraId="5F8FD9AC" w14:textId="77777777" w:rsidTr="005424A3">
        <w:trPr>
          <w:trHeight w:val="300"/>
          <w:jc w:val="center"/>
        </w:trPr>
        <w:tc>
          <w:tcPr>
            <w:tcW w:w="720" w:type="pct"/>
            <w:tcBorders>
              <w:top w:val="double" w:sz="4" w:space="0" w:color="auto"/>
              <w:left w:val="nil"/>
              <w:bottom w:val="single" w:sz="4" w:space="0" w:color="auto"/>
              <w:right w:val="nil"/>
            </w:tcBorders>
            <w:shd w:val="clear" w:color="auto" w:fill="auto"/>
            <w:noWrap/>
            <w:vAlign w:val="bottom"/>
            <w:hideMark/>
          </w:tcPr>
          <w:p w14:paraId="0DEA95B6" w14:textId="77777777" w:rsidR="00A80ECB" w:rsidRPr="00585293" w:rsidRDefault="00A80ECB"/>
        </w:tc>
        <w:tc>
          <w:tcPr>
            <w:tcW w:w="1910" w:type="pct"/>
            <w:tcBorders>
              <w:top w:val="double" w:sz="4" w:space="0" w:color="auto"/>
              <w:left w:val="nil"/>
              <w:bottom w:val="single" w:sz="4" w:space="0" w:color="auto"/>
              <w:right w:val="nil"/>
            </w:tcBorders>
            <w:shd w:val="clear" w:color="auto" w:fill="auto"/>
            <w:noWrap/>
            <w:vAlign w:val="bottom"/>
            <w:hideMark/>
          </w:tcPr>
          <w:p w14:paraId="7B7E180B" w14:textId="77777777" w:rsidR="00A80ECB" w:rsidRPr="00585293" w:rsidRDefault="00A80ECB" w:rsidP="00490967">
            <w:pPr>
              <w:jc w:val="center"/>
              <w:rPr>
                <w:b/>
                <w:bCs/>
                <w:color w:val="000000"/>
              </w:rPr>
            </w:pPr>
            <w:r w:rsidRPr="00585293">
              <w:rPr>
                <w:b/>
                <w:bCs/>
                <w:color w:val="000000"/>
              </w:rPr>
              <w:t>Matched with 2% Sample</w:t>
            </w:r>
          </w:p>
        </w:tc>
        <w:tc>
          <w:tcPr>
            <w:tcW w:w="1911" w:type="pct"/>
            <w:tcBorders>
              <w:top w:val="double" w:sz="4" w:space="0" w:color="auto"/>
              <w:left w:val="nil"/>
              <w:bottom w:val="single" w:sz="4" w:space="0" w:color="auto"/>
              <w:right w:val="nil"/>
            </w:tcBorders>
            <w:shd w:val="clear" w:color="auto" w:fill="auto"/>
            <w:noWrap/>
            <w:vAlign w:val="bottom"/>
            <w:hideMark/>
          </w:tcPr>
          <w:p w14:paraId="2F6D4F4A" w14:textId="77777777" w:rsidR="00A80ECB" w:rsidRPr="00585293" w:rsidRDefault="00A80ECB" w:rsidP="00490967">
            <w:pPr>
              <w:jc w:val="center"/>
              <w:rPr>
                <w:b/>
                <w:bCs/>
                <w:color w:val="000000"/>
              </w:rPr>
            </w:pPr>
            <w:r w:rsidRPr="00585293">
              <w:rPr>
                <w:b/>
                <w:bCs/>
                <w:color w:val="000000"/>
              </w:rPr>
              <w:t>Found in Full Linked Sample</w:t>
            </w:r>
          </w:p>
        </w:tc>
        <w:tc>
          <w:tcPr>
            <w:tcW w:w="460" w:type="pct"/>
            <w:tcBorders>
              <w:top w:val="double" w:sz="4" w:space="0" w:color="auto"/>
              <w:left w:val="nil"/>
              <w:bottom w:val="single" w:sz="4" w:space="0" w:color="auto"/>
              <w:right w:val="nil"/>
            </w:tcBorders>
            <w:shd w:val="clear" w:color="auto" w:fill="auto"/>
            <w:noWrap/>
            <w:vAlign w:val="bottom"/>
            <w:hideMark/>
          </w:tcPr>
          <w:p w14:paraId="0F8795F0" w14:textId="77777777" w:rsidR="00A80ECB" w:rsidRPr="00585293" w:rsidRDefault="00A80ECB" w:rsidP="00490967">
            <w:pPr>
              <w:jc w:val="center"/>
              <w:rPr>
                <w:b/>
                <w:bCs/>
                <w:color w:val="000000"/>
              </w:rPr>
            </w:pPr>
            <w:r w:rsidRPr="00585293">
              <w:rPr>
                <w:b/>
                <w:bCs/>
                <w:color w:val="000000"/>
              </w:rPr>
              <w:t>Rate</w:t>
            </w:r>
          </w:p>
        </w:tc>
      </w:tr>
      <w:tr w:rsidR="0050048C" w:rsidRPr="00585293" w14:paraId="07A6FE51" w14:textId="77777777" w:rsidTr="005424A3">
        <w:trPr>
          <w:trHeight w:val="300"/>
          <w:jc w:val="center"/>
        </w:trPr>
        <w:tc>
          <w:tcPr>
            <w:tcW w:w="720" w:type="pct"/>
            <w:tcBorders>
              <w:top w:val="single" w:sz="4" w:space="0" w:color="auto"/>
              <w:left w:val="nil"/>
              <w:bottom w:val="nil"/>
              <w:right w:val="nil"/>
            </w:tcBorders>
            <w:shd w:val="clear" w:color="auto" w:fill="auto"/>
            <w:noWrap/>
            <w:vAlign w:val="bottom"/>
            <w:hideMark/>
          </w:tcPr>
          <w:p w14:paraId="2C9E923F" w14:textId="63BDA207" w:rsidR="00A80ECB" w:rsidRPr="00585293" w:rsidRDefault="00A80ECB">
            <w:pPr>
              <w:rPr>
                <w:b/>
                <w:bCs/>
                <w:color w:val="000000"/>
              </w:rPr>
            </w:pPr>
            <w:r w:rsidRPr="00585293">
              <w:rPr>
                <w:b/>
                <w:bCs/>
                <w:color w:val="000000"/>
              </w:rPr>
              <w:t>±2 Year</w:t>
            </w:r>
            <w:r w:rsidR="0050048C" w:rsidRPr="00585293">
              <w:rPr>
                <w:b/>
                <w:bCs/>
                <w:color w:val="000000"/>
              </w:rPr>
              <w:t>s</w:t>
            </w:r>
          </w:p>
        </w:tc>
        <w:tc>
          <w:tcPr>
            <w:tcW w:w="1910" w:type="pct"/>
            <w:tcBorders>
              <w:top w:val="single" w:sz="4" w:space="0" w:color="auto"/>
              <w:left w:val="nil"/>
              <w:bottom w:val="nil"/>
              <w:right w:val="nil"/>
            </w:tcBorders>
            <w:shd w:val="clear" w:color="auto" w:fill="auto"/>
            <w:noWrap/>
            <w:vAlign w:val="bottom"/>
            <w:hideMark/>
          </w:tcPr>
          <w:p w14:paraId="5A5D50E7" w14:textId="164A89C3" w:rsidR="00A80ECB" w:rsidRPr="00585293" w:rsidRDefault="00A80ECB" w:rsidP="00490967">
            <w:pPr>
              <w:jc w:val="center"/>
              <w:rPr>
                <w:color w:val="000000"/>
              </w:rPr>
            </w:pPr>
            <w:r w:rsidRPr="00585293">
              <w:rPr>
                <w:color w:val="000000"/>
              </w:rPr>
              <w:t>6</w:t>
            </w:r>
            <w:r w:rsidR="00A03C55">
              <w:rPr>
                <w:color w:val="000000"/>
              </w:rPr>
              <w:t>,</w:t>
            </w:r>
            <w:r w:rsidRPr="00585293">
              <w:rPr>
                <w:color w:val="000000"/>
              </w:rPr>
              <w:t>245</w:t>
            </w:r>
          </w:p>
        </w:tc>
        <w:tc>
          <w:tcPr>
            <w:tcW w:w="1911" w:type="pct"/>
            <w:tcBorders>
              <w:top w:val="single" w:sz="4" w:space="0" w:color="auto"/>
              <w:left w:val="nil"/>
              <w:bottom w:val="nil"/>
              <w:right w:val="nil"/>
            </w:tcBorders>
            <w:shd w:val="clear" w:color="auto" w:fill="auto"/>
            <w:noWrap/>
            <w:vAlign w:val="bottom"/>
            <w:hideMark/>
          </w:tcPr>
          <w:p w14:paraId="48F59BD6" w14:textId="3BEF6EA7" w:rsidR="00A80ECB" w:rsidRPr="00585293" w:rsidRDefault="007E2A92" w:rsidP="00490967">
            <w:pPr>
              <w:jc w:val="center"/>
              <w:rPr>
                <w:color w:val="000000"/>
              </w:rPr>
            </w:pPr>
            <w:r>
              <w:rPr>
                <w:color w:val="000000"/>
              </w:rPr>
              <w:t>5,395</w:t>
            </w:r>
          </w:p>
        </w:tc>
        <w:tc>
          <w:tcPr>
            <w:tcW w:w="460" w:type="pct"/>
            <w:tcBorders>
              <w:top w:val="single" w:sz="4" w:space="0" w:color="auto"/>
              <w:left w:val="nil"/>
              <w:bottom w:val="nil"/>
              <w:right w:val="nil"/>
            </w:tcBorders>
            <w:shd w:val="clear" w:color="auto" w:fill="auto"/>
            <w:noWrap/>
            <w:vAlign w:val="bottom"/>
            <w:hideMark/>
          </w:tcPr>
          <w:p w14:paraId="11684C7E" w14:textId="47B00207" w:rsidR="00A80ECB" w:rsidRPr="00585293" w:rsidRDefault="007E2A92" w:rsidP="00490967">
            <w:pPr>
              <w:jc w:val="center"/>
              <w:rPr>
                <w:color w:val="000000"/>
              </w:rPr>
            </w:pPr>
            <w:r>
              <w:rPr>
                <w:color w:val="000000"/>
              </w:rPr>
              <w:t>86.39</w:t>
            </w:r>
          </w:p>
        </w:tc>
      </w:tr>
      <w:tr w:rsidR="0050048C" w:rsidRPr="00585293" w14:paraId="41704704" w14:textId="77777777" w:rsidTr="005424A3">
        <w:trPr>
          <w:trHeight w:val="300"/>
          <w:jc w:val="center"/>
        </w:trPr>
        <w:tc>
          <w:tcPr>
            <w:tcW w:w="720" w:type="pct"/>
            <w:tcBorders>
              <w:top w:val="nil"/>
              <w:left w:val="nil"/>
              <w:bottom w:val="double" w:sz="4" w:space="0" w:color="auto"/>
              <w:right w:val="nil"/>
            </w:tcBorders>
            <w:shd w:val="clear" w:color="auto" w:fill="auto"/>
            <w:noWrap/>
            <w:vAlign w:val="bottom"/>
            <w:hideMark/>
          </w:tcPr>
          <w:p w14:paraId="05D268BC" w14:textId="34658C2B" w:rsidR="00A80ECB" w:rsidRPr="00585293" w:rsidRDefault="00A80ECB">
            <w:pPr>
              <w:rPr>
                <w:b/>
                <w:bCs/>
                <w:color w:val="000000"/>
              </w:rPr>
            </w:pPr>
            <w:r w:rsidRPr="00585293">
              <w:rPr>
                <w:b/>
                <w:bCs/>
                <w:color w:val="000000"/>
              </w:rPr>
              <w:t>±5 Year</w:t>
            </w:r>
            <w:r w:rsidR="0050048C" w:rsidRPr="00585293">
              <w:rPr>
                <w:b/>
                <w:bCs/>
                <w:color w:val="000000"/>
              </w:rPr>
              <w:t>s</w:t>
            </w:r>
          </w:p>
        </w:tc>
        <w:tc>
          <w:tcPr>
            <w:tcW w:w="1910" w:type="pct"/>
            <w:tcBorders>
              <w:top w:val="nil"/>
              <w:left w:val="nil"/>
              <w:bottom w:val="double" w:sz="4" w:space="0" w:color="auto"/>
              <w:right w:val="nil"/>
            </w:tcBorders>
            <w:shd w:val="clear" w:color="auto" w:fill="auto"/>
            <w:noWrap/>
            <w:vAlign w:val="bottom"/>
            <w:hideMark/>
          </w:tcPr>
          <w:p w14:paraId="7408A8F8" w14:textId="0B1DEE45" w:rsidR="00A80ECB" w:rsidRPr="00585293" w:rsidRDefault="00A80ECB" w:rsidP="00490967">
            <w:pPr>
              <w:jc w:val="center"/>
              <w:rPr>
                <w:color w:val="000000"/>
              </w:rPr>
            </w:pPr>
            <w:r w:rsidRPr="00585293">
              <w:rPr>
                <w:color w:val="000000"/>
              </w:rPr>
              <w:t>6</w:t>
            </w:r>
            <w:r w:rsidR="00A03C55">
              <w:rPr>
                <w:color w:val="000000"/>
              </w:rPr>
              <w:t>,</w:t>
            </w:r>
            <w:r w:rsidRPr="00585293">
              <w:rPr>
                <w:color w:val="000000"/>
              </w:rPr>
              <w:t>557</w:t>
            </w:r>
          </w:p>
        </w:tc>
        <w:tc>
          <w:tcPr>
            <w:tcW w:w="1911" w:type="pct"/>
            <w:tcBorders>
              <w:top w:val="nil"/>
              <w:left w:val="nil"/>
              <w:bottom w:val="double" w:sz="4" w:space="0" w:color="auto"/>
              <w:right w:val="nil"/>
            </w:tcBorders>
            <w:shd w:val="clear" w:color="auto" w:fill="auto"/>
            <w:noWrap/>
            <w:vAlign w:val="bottom"/>
            <w:hideMark/>
          </w:tcPr>
          <w:p w14:paraId="0B472689" w14:textId="04A0066A" w:rsidR="00A80ECB" w:rsidRPr="00585293" w:rsidRDefault="007C18BB" w:rsidP="00490967">
            <w:pPr>
              <w:jc w:val="center"/>
              <w:rPr>
                <w:color w:val="000000"/>
              </w:rPr>
            </w:pPr>
            <w:r>
              <w:rPr>
                <w:color w:val="000000"/>
              </w:rPr>
              <w:t>5,235</w:t>
            </w:r>
          </w:p>
        </w:tc>
        <w:tc>
          <w:tcPr>
            <w:tcW w:w="460" w:type="pct"/>
            <w:tcBorders>
              <w:top w:val="nil"/>
              <w:left w:val="nil"/>
              <w:bottom w:val="double" w:sz="4" w:space="0" w:color="auto"/>
              <w:right w:val="nil"/>
            </w:tcBorders>
            <w:shd w:val="clear" w:color="auto" w:fill="auto"/>
            <w:noWrap/>
            <w:vAlign w:val="bottom"/>
            <w:hideMark/>
          </w:tcPr>
          <w:p w14:paraId="439E13BC" w14:textId="3358339C" w:rsidR="00A80ECB" w:rsidRPr="00585293" w:rsidRDefault="007E2A92" w:rsidP="00490967">
            <w:pPr>
              <w:jc w:val="center"/>
              <w:rPr>
                <w:color w:val="000000"/>
              </w:rPr>
            </w:pPr>
            <w:r>
              <w:rPr>
                <w:color w:val="000000"/>
              </w:rPr>
              <w:t>79.84</w:t>
            </w:r>
          </w:p>
        </w:tc>
      </w:tr>
      <w:tr w:rsidR="005832F0" w:rsidRPr="00585293" w14:paraId="3B7AF88C" w14:textId="77777777" w:rsidTr="00490967">
        <w:trPr>
          <w:trHeight w:val="300"/>
          <w:jc w:val="center"/>
        </w:trPr>
        <w:tc>
          <w:tcPr>
            <w:tcW w:w="5000" w:type="pct"/>
            <w:gridSpan w:val="4"/>
            <w:tcBorders>
              <w:top w:val="double" w:sz="4" w:space="0" w:color="auto"/>
              <w:left w:val="nil"/>
              <w:bottom w:val="nil"/>
              <w:right w:val="nil"/>
            </w:tcBorders>
            <w:shd w:val="clear" w:color="auto" w:fill="auto"/>
            <w:noWrap/>
            <w:vAlign w:val="bottom"/>
          </w:tcPr>
          <w:p w14:paraId="40FD09E3" w14:textId="5FEE3586" w:rsidR="00865AD8" w:rsidRDefault="005832F0" w:rsidP="00490967">
            <w:pPr>
              <w:rPr>
                <w:color w:val="000000"/>
                <w:sz w:val="20"/>
                <w:szCs w:val="20"/>
              </w:rPr>
            </w:pPr>
            <w:r w:rsidRPr="003653CA">
              <w:rPr>
                <w:i/>
                <w:iCs/>
                <w:color w:val="000000"/>
                <w:sz w:val="20"/>
                <w:szCs w:val="20"/>
              </w:rPr>
              <w:t>Notes</w:t>
            </w:r>
            <w:r w:rsidRPr="00585293">
              <w:rPr>
                <w:color w:val="000000"/>
                <w:sz w:val="20"/>
                <w:szCs w:val="20"/>
              </w:rPr>
              <w:t xml:space="preserve">: </w:t>
            </w:r>
            <w:r w:rsidR="006F35D6" w:rsidRPr="00585293">
              <w:rPr>
                <w:color w:val="000000"/>
                <w:sz w:val="20"/>
                <w:szCs w:val="20"/>
              </w:rPr>
              <w:t xml:space="preserve">results for </w:t>
            </w:r>
            <w:r w:rsidR="00865AD8">
              <w:rPr>
                <w:color w:val="000000"/>
                <w:sz w:val="20"/>
                <w:szCs w:val="20"/>
              </w:rPr>
              <w:t>“</w:t>
            </w:r>
            <w:r w:rsidR="007B2FFA" w:rsidRPr="00585293">
              <w:rPr>
                <w:color w:val="000000"/>
                <w:sz w:val="20"/>
                <w:szCs w:val="20"/>
              </w:rPr>
              <w:t>±2 Year</w:t>
            </w:r>
            <w:r w:rsidR="0050048C" w:rsidRPr="00585293">
              <w:rPr>
                <w:color w:val="000000"/>
                <w:sz w:val="20"/>
                <w:szCs w:val="20"/>
              </w:rPr>
              <w:t>s</w:t>
            </w:r>
            <w:r w:rsidR="00865AD8">
              <w:rPr>
                <w:color w:val="000000"/>
                <w:sz w:val="20"/>
                <w:szCs w:val="20"/>
              </w:rPr>
              <w:t>”</w:t>
            </w:r>
            <w:r w:rsidR="00FA759C" w:rsidRPr="00585293">
              <w:rPr>
                <w:color w:val="000000"/>
                <w:sz w:val="20"/>
                <w:szCs w:val="20"/>
              </w:rPr>
              <w:t xml:space="preserve"> </w:t>
            </w:r>
            <w:r w:rsidR="006F35D6" w:rsidRPr="00585293">
              <w:rPr>
                <w:color w:val="000000"/>
                <w:sz w:val="20"/>
                <w:szCs w:val="20"/>
              </w:rPr>
              <w:t xml:space="preserve">are produced by allowing </w:t>
            </w:r>
            <w:r w:rsidR="002F30DE" w:rsidRPr="00585293">
              <w:rPr>
                <w:color w:val="000000"/>
                <w:sz w:val="20"/>
                <w:szCs w:val="20"/>
              </w:rPr>
              <w:t xml:space="preserve">matches to differ by up to 2 years in inferred birth year </w:t>
            </w:r>
            <w:r w:rsidR="005424A3" w:rsidRPr="00585293">
              <w:rPr>
                <w:color w:val="000000"/>
                <w:sz w:val="20"/>
                <w:szCs w:val="20"/>
              </w:rPr>
              <w:t xml:space="preserve">while requiring matches to be unique within </w:t>
            </w:r>
            <w:r w:rsidR="00FA759C" w:rsidRPr="00585293">
              <w:rPr>
                <w:color w:val="000000"/>
                <w:sz w:val="20"/>
                <w:szCs w:val="20"/>
              </w:rPr>
              <w:t xml:space="preserve">the same </w:t>
            </w:r>
            <w:r w:rsidR="0050048C" w:rsidRPr="00585293">
              <w:rPr>
                <w:color w:val="000000"/>
                <w:sz w:val="20"/>
                <w:szCs w:val="20"/>
              </w:rPr>
              <w:t>age band</w:t>
            </w:r>
            <w:r w:rsidR="002F30DE" w:rsidRPr="00585293">
              <w:rPr>
                <w:color w:val="000000"/>
                <w:sz w:val="20"/>
                <w:szCs w:val="20"/>
              </w:rPr>
              <w:t xml:space="preserve">, and results for </w:t>
            </w:r>
            <w:r w:rsidR="00865AD8">
              <w:rPr>
                <w:color w:val="000000"/>
                <w:sz w:val="20"/>
                <w:szCs w:val="20"/>
              </w:rPr>
              <w:t>“</w:t>
            </w:r>
            <w:r w:rsidR="0050048C" w:rsidRPr="00585293">
              <w:rPr>
                <w:color w:val="000000"/>
                <w:sz w:val="20"/>
                <w:szCs w:val="20"/>
              </w:rPr>
              <w:t>±2 Years</w:t>
            </w:r>
            <w:r w:rsidR="00865AD8">
              <w:rPr>
                <w:color w:val="000000"/>
                <w:sz w:val="20"/>
                <w:szCs w:val="20"/>
              </w:rPr>
              <w:t>”</w:t>
            </w:r>
            <w:r w:rsidR="0050048C" w:rsidRPr="00585293">
              <w:rPr>
                <w:color w:val="000000"/>
                <w:sz w:val="20"/>
                <w:szCs w:val="20"/>
              </w:rPr>
              <w:t xml:space="preserve"> are produced by allowing matches to differ by up to 5 years in inferred birth year while requiring matches to be unique within the same age band</w:t>
            </w:r>
            <w:r w:rsidR="00027BEB" w:rsidRPr="00585293">
              <w:rPr>
                <w:color w:val="000000"/>
                <w:sz w:val="20"/>
                <w:szCs w:val="20"/>
              </w:rPr>
              <w:t xml:space="preserve">; </w:t>
            </w:r>
            <w:r w:rsidR="00865AD8">
              <w:rPr>
                <w:color w:val="000000"/>
                <w:sz w:val="20"/>
                <w:szCs w:val="20"/>
              </w:rPr>
              <w:t>“</w:t>
            </w:r>
            <w:r w:rsidR="00027BEB" w:rsidRPr="00585293">
              <w:rPr>
                <w:color w:val="000000"/>
                <w:sz w:val="20"/>
                <w:szCs w:val="20"/>
              </w:rPr>
              <w:t>Matched with 2% Sample</w:t>
            </w:r>
            <w:r w:rsidR="00865AD8">
              <w:rPr>
                <w:color w:val="000000"/>
                <w:sz w:val="20"/>
                <w:szCs w:val="20"/>
              </w:rPr>
              <w:t>”</w:t>
            </w:r>
            <w:r w:rsidR="00027BEB" w:rsidRPr="00585293">
              <w:rPr>
                <w:color w:val="000000"/>
                <w:sz w:val="20"/>
                <w:szCs w:val="20"/>
              </w:rPr>
              <w:t xml:space="preserve"> refers to</w:t>
            </w:r>
            <w:r w:rsidR="005A6167" w:rsidRPr="00585293">
              <w:rPr>
                <w:color w:val="000000"/>
                <w:sz w:val="20"/>
                <w:szCs w:val="20"/>
              </w:rPr>
              <w:t xml:space="preserve"> the linked sample obtained while</w:t>
            </w:r>
            <w:r w:rsidR="00027BEB" w:rsidRPr="00585293">
              <w:rPr>
                <w:color w:val="000000"/>
                <w:sz w:val="20"/>
                <w:szCs w:val="20"/>
              </w:rPr>
              <w:t xml:space="preserve"> using a 2% sample </w:t>
            </w:r>
            <w:r w:rsidR="005A6167" w:rsidRPr="00585293">
              <w:rPr>
                <w:color w:val="000000"/>
                <w:sz w:val="20"/>
                <w:szCs w:val="20"/>
              </w:rPr>
              <w:t xml:space="preserve">of the 1851 census; the same matching algorithm is then run </w:t>
            </w:r>
            <w:r w:rsidR="00990DDA" w:rsidRPr="00585293">
              <w:rPr>
                <w:color w:val="000000"/>
                <w:sz w:val="20"/>
                <w:szCs w:val="20"/>
              </w:rPr>
              <w:t>with</w:t>
            </w:r>
            <w:r w:rsidR="005A6167" w:rsidRPr="00585293">
              <w:rPr>
                <w:color w:val="000000"/>
                <w:sz w:val="20"/>
                <w:szCs w:val="20"/>
              </w:rPr>
              <w:t xml:space="preserve"> the</w:t>
            </w:r>
            <w:r w:rsidR="00990DDA" w:rsidRPr="00585293">
              <w:rPr>
                <w:color w:val="000000"/>
                <w:sz w:val="20"/>
                <w:szCs w:val="20"/>
              </w:rPr>
              <w:t xml:space="preserve"> use of the</w:t>
            </w:r>
            <w:r w:rsidR="005A6167" w:rsidRPr="00585293">
              <w:rPr>
                <w:color w:val="000000"/>
                <w:sz w:val="20"/>
                <w:szCs w:val="20"/>
              </w:rPr>
              <w:t xml:space="preserve"> full </w:t>
            </w:r>
            <w:r w:rsidR="00990DDA" w:rsidRPr="00585293">
              <w:rPr>
                <w:color w:val="000000"/>
                <w:sz w:val="20"/>
                <w:szCs w:val="20"/>
              </w:rPr>
              <w:t xml:space="preserve">1851 census, and individuals who </w:t>
            </w:r>
            <w:r w:rsidR="006D211E" w:rsidRPr="00585293">
              <w:rPr>
                <w:color w:val="000000"/>
                <w:sz w:val="20"/>
                <w:szCs w:val="20"/>
              </w:rPr>
              <w:t xml:space="preserve">have been successfully matched while using the 2% sample and who can also be found in the linked sample with the full census are shown in the column </w:t>
            </w:r>
            <w:r w:rsidR="00865AD8">
              <w:rPr>
                <w:color w:val="000000"/>
                <w:sz w:val="20"/>
                <w:szCs w:val="20"/>
              </w:rPr>
              <w:t>“</w:t>
            </w:r>
            <w:r w:rsidR="006D211E" w:rsidRPr="00585293">
              <w:rPr>
                <w:color w:val="000000"/>
                <w:sz w:val="20"/>
                <w:szCs w:val="20"/>
              </w:rPr>
              <w:t>Found in Full Linked Sample</w:t>
            </w:r>
            <w:r w:rsidR="00865AD8">
              <w:rPr>
                <w:color w:val="000000"/>
                <w:sz w:val="20"/>
                <w:szCs w:val="20"/>
              </w:rPr>
              <w:t>”</w:t>
            </w:r>
            <w:r w:rsidR="006D211E" w:rsidRPr="00585293">
              <w:rPr>
                <w:color w:val="000000"/>
                <w:sz w:val="20"/>
                <w:szCs w:val="20"/>
              </w:rPr>
              <w:t xml:space="preserve">; the </w:t>
            </w:r>
            <w:r w:rsidR="00865AD8">
              <w:rPr>
                <w:color w:val="000000"/>
                <w:sz w:val="20"/>
                <w:szCs w:val="20"/>
              </w:rPr>
              <w:t>“</w:t>
            </w:r>
            <w:r w:rsidR="006D211E" w:rsidRPr="00585293">
              <w:rPr>
                <w:color w:val="000000"/>
                <w:sz w:val="20"/>
                <w:szCs w:val="20"/>
              </w:rPr>
              <w:t>Rate</w:t>
            </w:r>
            <w:r w:rsidR="00865AD8">
              <w:rPr>
                <w:color w:val="000000"/>
                <w:sz w:val="20"/>
                <w:szCs w:val="20"/>
              </w:rPr>
              <w:t>”</w:t>
            </w:r>
            <w:r w:rsidR="006D211E" w:rsidRPr="00585293">
              <w:rPr>
                <w:color w:val="000000"/>
                <w:sz w:val="20"/>
                <w:szCs w:val="20"/>
              </w:rPr>
              <w:t xml:space="preserve"> is </w:t>
            </w:r>
            <w:r w:rsidR="0064481F" w:rsidRPr="00585293">
              <w:rPr>
                <w:color w:val="000000"/>
                <w:sz w:val="20"/>
                <w:szCs w:val="20"/>
              </w:rPr>
              <w:t>calculated as Matched with 2% Sample / Found in Full Linked Sample * 100.</w:t>
            </w:r>
          </w:p>
          <w:p w14:paraId="37E085D4" w14:textId="2E899F14" w:rsidR="005832F0" w:rsidRPr="00585293" w:rsidRDefault="0064481F" w:rsidP="00490967">
            <w:pPr>
              <w:rPr>
                <w:color w:val="000000"/>
              </w:rPr>
            </w:pPr>
            <w:r w:rsidRPr="003653CA">
              <w:rPr>
                <w:i/>
                <w:iCs/>
                <w:color w:val="000000"/>
                <w:sz w:val="20"/>
                <w:szCs w:val="20"/>
              </w:rPr>
              <w:t>Sources</w:t>
            </w:r>
            <w:r w:rsidRPr="00585293">
              <w:rPr>
                <w:color w:val="000000"/>
                <w:sz w:val="20"/>
                <w:szCs w:val="20"/>
              </w:rPr>
              <w:t xml:space="preserve">: </w:t>
            </w:r>
            <w:r w:rsidRPr="00585293">
              <w:rPr>
                <w:sz w:val="20"/>
                <w:szCs w:val="20"/>
              </w:rPr>
              <w:t xml:space="preserve">author’s analysis of I-CeM (UKDA, SN 7481) and I-CeM Names and Addresses (UKDA, </w:t>
            </w:r>
            <w:r w:rsidR="00D3777B">
              <w:rPr>
                <w:sz w:val="20"/>
                <w:szCs w:val="20"/>
              </w:rPr>
              <w:t>SN 7856</w:t>
            </w:r>
            <w:r w:rsidRPr="00585293">
              <w:rPr>
                <w:sz w:val="20"/>
                <w:szCs w:val="20"/>
              </w:rPr>
              <w:t>).</w:t>
            </w:r>
          </w:p>
        </w:tc>
      </w:tr>
    </w:tbl>
    <w:p w14:paraId="0AFFE213" w14:textId="77777777" w:rsidR="00803B5D" w:rsidRPr="00585293" w:rsidRDefault="00803B5D" w:rsidP="00803B5D">
      <w:pPr>
        <w:spacing w:after="160" w:line="480" w:lineRule="auto"/>
        <w:ind w:firstLine="720"/>
        <w:jc w:val="both"/>
      </w:pPr>
    </w:p>
    <w:p w14:paraId="65CF0572" w14:textId="43520A88" w:rsidR="00DA2240" w:rsidRPr="00585293" w:rsidRDefault="00803B5D" w:rsidP="00DA2240">
      <w:pPr>
        <w:spacing w:after="160" w:line="480" w:lineRule="auto"/>
        <w:ind w:firstLine="720"/>
        <w:jc w:val="both"/>
      </w:pPr>
      <w:r w:rsidRPr="00585293">
        <w:t xml:space="preserve">The results clearly suggest that using a two per cent sample can lead to additional false positives than using the full census. When linkage is conducted using a stricter requirement of only allowing birth years to differ by at most two years (the approach taken in this paper), only </w:t>
      </w:r>
      <w:r w:rsidR="007E2A92">
        <w:t>86</w:t>
      </w:r>
      <w:r w:rsidRPr="00585293">
        <w:t xml:space="preserve"> per cent of the successful matches from the two per cent sample can be found in the full </w:t>
      </w:r>
      <w:r w:rsidRPr="00585293">
        <w:lastRenderedPageBreak/>
        <w:t xml:space="preserve">linked sample – in other words, potentially </w:t>
      </w:r>
      <w:r w:rsidR="007E2A92">
        <w:t>14</w:t>
      </w:r>
      <w:r w:rsidRPr="00585293">
        <w:t xml:space="preserve"> per cent of matches could be additional false positives. When linkage is conducted using a more relaxed requirement of allowing birth years to differ by five years</w:t>
      </w:r>
      <w:r w:rsidR="001419B6" w:rsidRPr="00585293">
        <w:t xml:space="preserve"> (as Long (2013) did)</w:t>
      </w:r>
      <w:r w:rsidRPr="00585293">
        <w:t>, the additional rate of</w:t>
      </w:r>
      <w:r w:rsidR="00BB787D">
        <w:t xml:space="preserve"> potential</w:t>
      </w:r>
      <w:r w:rsidRPr="00585293">
        <w:t xml:space="preserve"> false positives caused by the use of the two per cent sample is </w:t>
      </w:r>
      <w:r w:rsidR="00BB787D">
        <w:t xml:space="preserve">moderately </w:t>
      </w:r>
      <w:r w:rsidR="007E2A92">
        <w:t>higher</w:t>
      </w:r>
      <w:r w:rsidR="00BB787D">
        <w:t xml:space="preserve"> </w:t>
      </w:r>
      <w:r w:rsidR="00096228">
        <w:t>–</w:t>
      </w:r>
      <w:r w:rsidR="00BB787D">
        <w:t xml:space="preserve"> </w:t>
      </w:r>
      <w:r w:rsidR="002F7E39">
        <w:t>over 20 per cent</w:t>
      </w:r>
      <w:r w:rsidR="00096228">
        <w:t>.</w:t>
      </w:r>
      <w:r w:rsidR="00DA2240">
        <w:t xml:space="preserve"> </w:t>
      </w:r>
      <w:r w:rsidR="00DA2240" w:rsidRPr="00585293">
        <w:t xml:space="preserve">This is because in the second linkage specification, the restriction on uniqueness is widened – matches have to be unique within a five-year band. Therefore, the removal of the other 98 per cent of the population from the census means that more people would be incorrectly identified as </w:t>
      </w:r>
      <w:r w:rsidR="00DA2240">
        <w:t>“</w:t>
      </w:r>
      <w:r w:rsidR="00DA2240" w:rsidRPr="00585293">
        <w:t>unique</w:t>
      </w:r>
      <w:r w:rsidR="00DA2240">
        <w:t>.”</w:t>
      </w:r>
      <w:r w:rsidR="00DA2240" w:rsidRPr="00585293">
        <w:rPr>
          <w:rStyle w:val="FootnoteReference"/>
        </w:rPr>
        <w:footnoteReference w:id="5"/>
      </w:r>
    </w:p>
    <w:p w14:paraId="17AA5DFE" w14:textId="5210D741" w:rsidR="00803B5D" w:rsidRPr="00585293" w:rsidRDefault="00803B5D" w:rsidP="00490967">
      <w:pPr>
        <w:spacing w:after="160" w:line="480" w:lineRule="auto"/>
        <w:ind w:firstLine="720"/>
        <w:jc w:val="both"/>
      </w:pPr>
    </w:p>
    <w:p w14:paraId="7393821F" w14:textId="77777777" w:rsidR="00803B5D" w:rsidRPr="00585293" w:rsidRDefault="00803B5D">
      <w:pPr>
        <w:spacing w:after="160" w:line="259" w:lineRule="auto"/>
      </w:pPr>
    </w:p>
    <w:p w14:paraId="6A787EDB" w14:textId="642B7E27" w:rsidR="00B542B4" w:rsidRPr="00585293" w:rsidRDefault="00B542B4">
      <w:pPr>
        <w:spacing w:after="160" w:line="259" w:lineRule="auto"/>
      </w:pPr>
      <w:r w:rsidRPr="00585293">
        <w:br w:type="page"/>
      </w:r>
    </w:p>
    <w:p w14:paraId="5DAC3FC1" w14:textId="46A759DF" w:rsidR="00B542B4" w:rsidRPr="00585293" w:rsidRDefault="00AB5D09" w:rsidP="00B542B4">
      <w:pPr>
        <w:pStyle w:val="Heading2"/>
        <w:spacing w:after="160" w:line="48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M</w:t>
      </w:r>
      <w:r w:rsidR="00B542B4" w:rsidRPr="00585293">
        <w:rPr>
          <w:rFonts w:ascii="Times New Roman" w:hAnsi="Times New Roman" w:cs="Times New Roman"/>
          <w:b/>
          <w:bCs/>
          <w:color w:val="auto"/>
          <w:sz w:val="28"/>
          <w:szCs w:val="28"/>
        </w:rPr>
        <w:tab/>
      </w:r>
      <w:r w:rsidR="005B39C1" w:rsidRPr="00585293">
        <w:rPr>
          <w:rFonts w:ascii="Times New Roman" w:hAnsi="Times New Roman" w:cs="Times New Roman"/>
          <w:b/>
          <w:bCs/>
          <w:color w:val="auto"/>
          <w:sz w:val="28"/>
          <w:szCs w:val="28"/>
        </w:rPr>
        <w:t>Changes in Father’s HISCAM Score over 10-Year Period</w:t>
      </w:r>
    </w:p>
    <w:p w14:paraId="0666D46E" w14:textId="472266E0" w:rsidR="00B542B4" w:rsidRPr="00585293" w:rsidRDefault="005F6104" w:rsidP="00490967">
      <w:pPr>
        <w:spacing w:after="160" w:line="480" w:lineRule="auto"/>
        <w:jc w:val="both"/>
      </w:pPr>
      <w:r w:rsidRPr="00585293">
        <w:t xml:space="preserve">Table </w:t>
      </w:r>
      <w:r w:rsidR="00AB5D09">
        <w:t>M</w:t>
      </w:r>
      <w:r w:rsidR="00DB20B7" w:rsidRPr="00585293">
        <w:t xml:space="preserve">1 </w:t>
      </w:r>
      <w:r w:rsidRPr="00585293">
        <w:t xml:space="preserve">shows how the father’s occupational status may change over a </w:t>
      </w:r>
      <w:r w:rsidR="009D6F6E" w:rsidRPr="00585293">
        <w:t xml:space="preserve">10-year period. Despite the relatively short amount of time, only </w:t>
      </w:r>
      <w:r w:rsidR="005E76CC" w:rsidRPr="00585293">
        <w:t>around</w:t>
      </w:r>
      <w:r w:rsidR="009D6F6E" w:rsidRPr="00585293">
        <w:t xml:space="preserve"> 60 per cent of fathers’ </w:t>
      </w:r>
      <w:r w:rsidR="00E064E4" w:rsidRPr="00585293">
        <w:t>HISCAM scores stay constant.</w:t>
      </w:r>
      <w:r w:rsidR="00023761" w:rsidRPr="00585293">
        <w:t xml:space="preserve"> </w:t>
      </w:r>
      <w:r w:rsidR="00F25F4E" w:rsidRPr="00585293">
        <w:t>The majority of the changes in HISCAM scores are</w:t>
      </w:r>
      <w:r w:rsidR="00701DEE" w:rsidRPr="00585293">
        <w:t xml:space="preserve"> relatively small in scale (</w:t>
      </w:r>
      <w:r w:rsidR="003C386F" w:rsidRPr="00585293">
        <w:t>less than 10</w:t>
      </w:r>
      <w:r w:rsidR="00701DEE" w:rsidRPr="00585293">
        <w:t xml:space="preserve">). </w:t>
      </w:r>
      <w:r w:rsidR="00125B19" w:rsidRPr="00585293">
        <w:t xml:space="preserve">These changes could have plausibly been caused by either a misreporting or miscoding of occupations, or by temporary shocks to </w:t>
      </w:r>
      <w:r w:rsidR="006A3DE3" w:rsidRPr="00585293">
        <w:t>the father’s occupational status. However, there is still a rather sizeable amount of changes (</w:t>
      </w:r>
      <w:r w:rsidR="00CE5887" w:rsidRPr="00585293">
        <w:t>slightly above 10 per cent of the sample) which are larger in magnitude (</w:t>
      </w:r>
      <w:r w:rsidR="00566586" w:rsidRPr="00585293">
        <w:t xml:space="preserve">20 scores or above) that do occur in just 10 years. These are </w:t>
      </w:r>
      <w:r w:rsidR="00DC235E" w:rsidRPr="00585293">
        <w:t xml:space="preserve">perhaps more likely to have been caused by </w:t>
      </w:r>
      <w:r w:rsidR="00D969DF" w:rsidRPr="00585293">
        <w:t>data errors rather than actual shocks to a person’s status.</w:t>
      </w:r>
      <w:r w:rsidR="009C646E" w:rsidRPr="00585293">
        <w:t xml:space="preserve"> Unfortunately, it is not possible to definitely conclude wh</w:t>
      </w:r>
      <w:r w:rsidR="007C1620" w:rsidRPr="00585293">
        <w:t xml:space="preserve">ether these changes occur because of transitory shocks to occupational status or </w:t>
      </w:r>
      <w:r w:rsidR="00537B94" w:rsidRPr="00585293">
        <w:t xml:space="preserve">errors in the reporting, recording, or coding or data, but the results should suggest that </w:t>
      </w:r>
      <w:r w:rsidR="00001498" w:rsidRPr="00585293">
        <w:t>these changes are at least symmetrical – they are just as likely to move up as they are to move down.</w:t>
      </w:r>
    </w:p>
    <w:p w14:paraId="09BFD13C" w14:textId="37522E18" w:rsidR="00845C93" w:rsidRPr="00585293" w:rsidRDefault="00845C93" w:rsidP="00490967">
      <w:pPr>
        <w:pStyle w:val="Caption"/>
        <w:keepNext/>
        <w:jc w:val="center"/>
      </w:pPr>
      <w:r w:rsidRPr="003653CA">
        <w:rPr>
          <w:i w:val="0"/>
          <w:iCs w:val="0"/>
          <w:color w:val="auto"/>
          <w:sz w:val="24"/>
          <w:szCs w:val="24"/>
        </w:rPr>
        <w:t xml:space="preserve">Table </w:t>
      </w:r>
      <w:r w:rsidR="00AB5D09">
        <w:rPr>
          <w:i w:val="0"/>
          <w:iCs w:val="0"/>
          <w:color w:val="auto"/>
          <w:sz w:val="24"/>
          <w:szCs w:val="24"/>
        </w:rPr>
        <w:t>M</w:t>
      </w:r>
      <w:r w:rsidR="00D145D6" w:rsidRPr="003653CA">
        <w:rPr>
          <w:i w:val="0"/>
          <w:iCs w:val="0"/>
          <w:color w:val="auto"/>
          <w:sz w:val="24"/>
          <w:szCs w:val="24"/>
        </w:rPr>
        <w:t>1</w:t>
      </w:r>
      <w:r w:rsidRPr="00585293">
        <w:rPr>
          <w:b/>
          <w:bCs/>
          <w:i w:val="0"/>
          <w:iCs w:val="0"/>
          <w:color w:val="auto"/>
          <w:sz w:val="24"/>
          <w:szCs w:val="24"/>
        </w:rPr>
        <w:t xml:space="preserve">: </w:t>
      </w:r>
      <w:r w:rsidR="005F6104" w:rsidRPr="00585293">
        <w:rPr>
          <w:i w:val="0"/>
          <w:iCs w:val="0"/>
          <w:color w:val="auto"/>
          <w:sz w:val="24"/>
          <w:szCs w:val="24"/>
        </w:rPr>
        <w:t>Changes in Father’s HISCAM Score across 10-Year Period</w:t>
      </w:r>
    </w:p>
    <w:tbl>
      <w:tblPr>
        <w:tblW w:w="7938" w:type="dxa"/>
        <w:jc w:val="center"/>
        <w:tblLook w:val="04A0" w:firstRow="1" w:lastRow="0" w:firstColumn="1" w:lastColumn="0" w:noHBand="0" w:noVBand="1"/>
      </w:tblPr>
      <w:tblGrid>
        <w:gridCol w:w="2481"/>
        <w:gridCol w:w="1819"/>
        <w:gridCol w:w="1819"/>
        <w:gridCol w:w="1819"/>
      </w:tblGrid>
      <w:tr w:rsidR="00694A7A" w:rsidRPr="00585293" w14:paraId="7D4ED5B3" w14:textId="77777777" w:rsidTr="003653CA">
        <w:trPr>
          <w:trHeight w:val="310"/>
          <w:jc w:val="center"/>
        </w:trPr>
        <w:tc>
          <w:tcPr>
            <w:tcW w:w="2127" w:type="dxa"/>
            <w:tcBorders>
              <w:top w:val="double" w:sz="4" w:space="0" w:color="auto"/>
              <w:left w:val="nil"/>
              <w:bottom w:val="single" w:sz="4" w:space="0" w:color="auto"/>
              <w:right w:val="nil"/>
            </w:tcBorders>
            <w:shd w:val="clear" w:color="auto" w:fill="auto"/>
            <w:noWrap/>
            <w:vAlign w:val="bottom"/>
            <w:hideMark/>
          </w:tcPr>
          <w:p w14:paraId="01197A7D" w14:textId="5E421CC8" w:rsidR="00694A7A" w:rsidRPr="00585293" w:rsidRDefault="00694A7A" w:rsidP="00490967">
            <w:pPr>
              <w:rPr>
                <w:b/>
                <w:bCs/>
              </w:rPr>
            </w:pPr>
            <w:r w:rsidRPr="00585293">
              <w:rPr>
                <w:b/>
                <w:bCs/>
              </w:rPr>
              <w:t>HISCAM Change</w:t>
            </w:r>
          </w:p>
        </w:tc>
        <w:tc>
          <w:tcPr>
            <w:tcW w:w="1559" w:type="dxa"/>
            <w:tcBorders>
              <w:top w:val="double" w:sz="4" w:space="0" w:color="auto"/>
              <w:left w:val="nil"/>
              <w:bottom w:val="single" w:sz="4" w:space="0" w:color="auto"/>
              <w:right w:val="nil"/>
            </w:tcBorders>
            <w:shd w:val="clear" w:color="auto" w:fill="auto"/>
            <w:noWrap/>
            <w:vAlign w:val="bottom"/>
            <w:hideMark/>
          </w:tcPr>
          <w:p w14:paraId="497CCD40" w14:textId="77777777" w:rsidR="00694A7A" w:rsidRPr="00585293" w:rsidRDefault="00694A7A" w:rsidP="00490967">
            <w:pPr>
              <w:jc w:val="center"/>
              <w:rPr>
                <w:b/>
                <w:bCs/>
              </w:rPr>
            </w:pPr>
            <w:r w:rsidRPr="00585293">
              <w:rPr>
                <w:b/>
                <w:bCs/>
              </w:rPr>
              <w:t>1851</w:t>
            </w:r>
          </w:p>
        </w:tc>
        <w:tc>
          <w:tcPr>
            <w:tcW w:w="1559" w:type="dxa"/>
            <w:tcBorders>
              <w:top w:val="double" w:sz="4" w:space="0" w:color="auto"/>
              <w:left w:val="nil"/>
              <w:bottom w:val="single" w:sz="4" w:space="0" w:color="auto"/>
              <w:right w:val="nil"/>
            </w:tcBorders>
            <w:shd w:val="clear" w:color="auto" w:fill="auto"/>
            <w:noWrap/>
            <w:vAlign w:val="bottom"/>
            <w:hideMark/>
          </w:tcPr>
          <w:p w14:paraId="53DAE0CC" w14:textId="77777777" w:rsidR="00694A7A" w:rsidRPr="00585293" w:rsidRDefault="00694A7A" w:rsidP="00490967">
            <w:pPr>
              <w:jc w:val="center"/>
              <w:rPr>
                <w:b/>
                <w:bCs/>
              </w:rPr>
            </w:pPr>
            <w:r w:rsidRPr="00585293">
              <w:rPr>
                <w:b/>
                <w:bCs/>
              </w:rPr>
              <w:t>1861</w:t>
            </w:r>
          </w:p>
        </w:tc>
        <w:tc>
          <w:tcPr>
            <w:tcW w:w="1559" w:type="dxa"/>
            <w:tcBorders>
              <w:top w:val="double" w:sz="4" w:space="0" w:color="auto"/>
              <w:left w:val="nil"/>
              <w:bottom w:val="single" w:sz="4" w:space="0" w:color="auto"/>
              <w:right w:val="nil"/>
            </w:tcBorders>
            <w:shd w:val="clear" w:color="auto" w:fill="auto"/>
            <w:noWrap/>
            <w:vAlign w:val="bottom"/>
            <w:hideMark/>
          </w:tcPr>
          <w:p w14:paraId="0EEEE188" w14:textId="77777777" w:rsidR="00694A7A" w:rsidRPr="00585293" w:rsidRDefault="00694A7A" w:rsidP="00490967">
            <w:pPr>
              <w:jc w:val="center"/>
              <w:rPr>
                <w:b/>
                <w:bCs/>
              </w:rPr>
            </w:pPr>
            <w:r w:rsidRPr="00585293">
              <w:rPr>
                <w:b/>
                <w:bCs/>
              </w:rPr>
              <w:t>1881</w:t>
            </w:r>
          </w:p>
        </w:tc>
      </w:tr>
      <w:tr w:rsidR="002A4A2A" w:rsidRPr="00585293" w14:paraId="3ABDDFAA" w14:textId="77777777" w:rsidTr="003653CA">
        <w:trPr>
          <w:trHeight w:val="310"/>
          <w:jc w:val="center"/>
        </w:trPr>
        <w:tc>
          <w:tcPr>
            <w:tcW w:w="2127" w:type="dxa"/>
            <w:tcBorders>
              <w:top w:val="single" w:sz="4" w:space="0" w:color="auto"/>
              <w:left w:val="nil"/>
              <w:bottom w:val="nil"/>
              <w:right w:val="nil"/>
            </w:tcBorders>
            <w:shd w:val="clear" w:color="auto" w:fill="auto"/>
            <w:noWrap/>
            <w:hideMark/>
          </w:tcPr>
          <w:p w14:paraId="5469362D" w14:textId="487B8AD6" w:rsidR="002A4A2A" w:rsidRPr="00585293" w:rsidRDefault="002A4A2A" w:rsidP="00490967">
            <w:pPr>
              <w:rPr>
                <w:b/>
                <w:bCs/>
              </w:rPr>
            </w:pPr>
            <w:r w:rsidRPr="00585293">
              <w:rPr>
                <w:b/>
                <w:bCs/>
              </w:rPr>
              <w:t>-60</w:t>
            </w:r>
          </w:p>
        </w:tc>
        <w:tc>
          <w:tcPr>
            <w:tcW w:w="1559" w:type="dxa"/>
            <w:tcBorders>
              <w:top w:val="single" w:sz="4" w:space="0" w:color="auto"/>
              <w:left w:val="nil"/>
              <w:bottom w:val="nil"/>
              <w:right w:val="nil"/>
            </w:tcBorders>
            <w:shd w:val="clear" w:color="auto" w:fill="auto"/>
            <w:noWrap/>
            <w:vAlign w:val="bottom"/>
            <w:hideMark/>
          </w:tcPr>
          <w:p w14:paraId="635049D1" w14:textId="77777777" w:rsidR="002A4A2A" w:rsidRPr="00585293" w:rsidRDefault="002A4A2A" w:rsidP="00490967">
            <w:pPr>
              <w:jc w:val="center"/>
            </w:pPr>
            <w:r w:rsidRPr="00585293">
              <w:t>0.03</w:t>
            </w:r>
          </w:p>
        </w:tc>
        <w:tc>
          <w:tcPr>
            <w:tcW w:w="1559" w:type="dxa"/>
            <w:tcBorders>
              <w:top w:val="single" w:sz="4" w:space="0" w:color="auto"/>
              <w:left w:val="nil"/>
              <w:bottom w:val="nil"/>
              <w:right w:val="nil"/>
            </w:tcBorders>
            <w:shd w:val="clear" w:color="auto" w:fill="auto"/>
            <w:noWrap/>
            <w:vAlign w:val="bottom"/>
            <w:hideMark/>
          </w:tcPr>
          <w:p w14:paraId="1A2CBF3B" w14:textId="77777777" w:rsidR="002A4A2A" w:rsidRPr="00585293" w:rsidRDefault="002A4A2A" w:rsidP="00490967">
            <w:pPr>
              <w:jc w:val="center"/>
            </w:pPr>
            <w:r w:rsidRPr="00585293">
              <w:t>0.02</w:t>
            </w:r>
          </w:p>
        </w:tc>
        <w:tc>
          <w:tcPr>
            <w:tcW w:w="1559" w:type="dxa"/>
            <w:tcBorders>
              <w:top w:val="single" w:sz="4" w:space="0" w:color="auto"/>
              <w:left w:val="nil"/>
              <w:bottom w:val="nil"/>
              <w:right w:val="nil"/>
            </w:tcBorders>
            <w:shd w:val="clear" w:color="auto" w:fill="auto"/>
            <w:noWrap/>
            <w:vAlign w:val="bottom"/>
            <w:hideMark/>
          </w:tcPr>
          <w:p w14:paraId="41B0E7EA" w14:textId="77777777" w:rsidR="002A4A2A" w:rsidRPr="00585293" w:rsidRDefault="002A4A2A" w:rsidP="00490967">
            <w:pPr>
              <w:jc w:val="center"/>
            </w:pPr>
            <w:r w:rsidRPr="00585293">
              <w:t>0.02</w:t>
            </w:r>
          </w:p>
        </w:tc>
      </w:tr>
      <w:tr w:rsidR="002A4A2A" w:rsidRPr="00585293" w14:paraId="26F887A5" w14:textId="77777777" w:rsidTr="003653CA">
        <w:trPr>
          <w:trHeight w:val="310"/>
          <w:jc w:val="center"/>
        </w:trPr>
        <w:tc>
          <w:tcPr>
            <w:tcW w:w="2127" w:type="dxa"/>
            <w:tcBorders>
              <w:top w:val="nil"/>
              <w:left w:val="nil"/>
              <w:bottom w:val="nil"/>
              <w:right w:val="nil"/>
            </w:tcBorders>
            <w:shd w:val="clear" w:color="auto" w:fill="auto"/>
            <w:noWrap/>
            <w:hideMark/>
          </w:tcPr>
          <w:p w14:paraId="213A4690" w14:textId="370D17C3" w:rsidR="002A4A2A" w:rsidRPr="00585293" w:rsidRDefault="002A4A2A" w:rsidP="00490967">
            <w:pPr>
              <w:rPr>
                <w:b/>
                <w:bCs/>
              </w:rPr>
            </w:pPr>
            <w:r w:rsidRPr="00585293">
              <w:rPr>
                <w:b/>
                <w:bCs/>
              </w:rPr>
              <w:t>-50</w:t>
            </w:r>
          </w:p>
        </w:tc>
        <w:tc>
          <w:tcPr>
            <w:tcW w:w="1559" w:type="dxa"/>
            <w:tcBorders>
              <w:top w:val="nil"/>
              <w:left w:val="nil"/>
              <w:bottom w:val="nil"/>
              <w:right w:val="nil"/>
            </w:tcBorders>
            <w:shd w:val="clear" w:color="auto" w:fill="auto"/>
            <w:noWrap/>
            <w:vAlign w:val="bottom"/>
            <w:hideMark/>
          </w:tcPr>
          <w:p w14:paraId="53B1D8EE" w14:textId="77777777" w:rsidR="002A4A2A" w:rsidRPr="00585293" w:rsidRDefault="002A4A2A" w:rsidP="00490967">
            <w:pPr>
              <w:jc w:val="center"/>
            </w:pPr>
            <w:r w:rsidRPr="00585293">
              <w:t>0.11</w:t>
            </w:r>
          </w:p>
        </w:tc>
        <w:tc>
          <w:tcPr>
            <w:tcW w:w="1559" w:type="dxa"/>
            <w:tcBorders>
              <w:top w:val="nil"/>
              <w:left w:val="nil"/>
              <w:bottom w:val="nil"/>
              <w:right w:val="nil"/>
            </w:tcBorders>
            <w:shd w:val="clear" w:color="auto" w:fill="auto"/>
            <w:noWrap/>
            <w:vAlign w:val="bottom"/>
            <w:hideMark/>
          </w:tcPr>
          <w:p w14:paraId="68DBFB66" w14:textId="77777777" w:rsidR="002A4A2A" w:rsidRPr="00585293" w:rsidRDefault="002A4A2A" w:rsidP="00490967">
            <w:pPr>
              <w:jc w:val="center"/>
            </w:pPr>
            <w:r w:rsidRPr="00585293">
              <w:t>0.10</w:t>
            </w:r>
          </w:p>
        </w:tc>
        <w:tc>
          <w:tcPr>
            <w:tcW w:w="1559" w:type="dxa"/>
            <w:tcBorders>
              <w:top w:val="nil"/>
              <w:left w:val="nil"/>
              <w:bottom w:val="nil"/>
              <w:right w:val="nil"/>
            </w:tcBorders>
            <w:shd w:val="clear" w:color="auto" w:fill="auto"/>
            <w:noWrap/>
            <w:vAlign w:val="bottom"/>
            <w:hideMark/>
          </w:tcPr>
          <w:p w14:paraId="5A486932" w14:textId="77777777" w:rsidR="002A4A2A" w:rsidRPr="00585293" w:rsidRDefault="002A4A2A" w:rsidP="00490967">
            <w:pPr>
              <w:jc w:val="center"/>
            </w:pPr>
            <w:r w:rsidRPr="00585293">
              <w:t>0.09</w:t>
            </w:r>
          </w:p>
        </w:tc>
      </w:tr>
      <w:tr w:rsidR="002A4A2A" w:rsidRPr="00585293" w14:paraId="4D9B87A5" w14:textId="77777777" w:rsidTr="003653CA">
        <w:trPr>
          <w:trHeight w:val="310"/>
          <w:jc w:val="center"/>
        </w:trPr>
        <w:tc>
          <w:tcPr>
            <w:tcW w:w="2127" w:type="dxa"/>
            <w:tcBorders>
              <w:top w:val="nil"/>
              <w:left w:val="nil"/>
              <w:bottom w:val="nil"/>
              <w:right w:val="nil"/>
            </w:tcBorders>
            <w:shd w:val="clear" w:color="auto" w:fill="auto"/>
            <w:noWrap/>
            <w:hideMark/>
          </w:tcPr>
          <w:p w14:paraId="27788EAC" w14:textId="42C27060" w:rsidR="002A4A2A" w:rsidRPr="00585293" w:rsidRDefault="002A4A2A" w:rsidP="00490967">
            <w:pPr>
              <w:rPr>
                <w:b/>
                <w:bCs/>
              </w:rPr>
            </w:pPr>
            <w:r w:rsidRPr="00585293">
              <w:rPr>
                <w:b/>
                <w:bCs/>
              </w:rPr>
              <w:t>-40</w:t>
            </w:r>
          </w:p>
        </w:tc>
        <w:tc>
          <w:tcPr>
            <w:tcW w:w="1559" w:type="dxa"/>
            <w:tcBorders>
              <w:top w:val="nil"/>
              <w:left w:val="nil"/>
              <w:bottom w:val="nil"/>
              <w:right w:val="nil"/>
            </w:tcBorders>
            <w:shd w:val="clear" w:color="auto" w:fill="auto"/>
            <w:noWrap/>
            <w:vAlign w:val="bottom"/>
            <w:hideMark/>
          </w:tcPr>
          <w:p w14:paraId="57062C22" w14:textId="77777777" w:rsidR="002A4A2A" w:rsidRPr="00585293" w:rsidRDefault="002A4A2A" w:rsidP="00490967">
            <w:pPr>
              <w:jc w:val="center"/>
            </w:pPr>
            <w:r w:rsidRPr="00585293">
              <w:t>0.38</w:t>
            </w:r>
          </w:p>
        </w:tc>
        <w:tc>
          <w:tcPr>
            <w:tcW w:w="1559" w:type="dxa"/>
            <w:tcBorders>
              <w:top w:val="nil"/>
              <w:left w:val="nil"/>
              <w:bottom w:val="nil"/>
              <w:right w:val="nil"/>
            </w:tcBorders>
            <w:shd w:val="clear" w:color="auto" w:fill="auto"/>
            <w:noWrap/>
            <w:vAlign w:val="bottom"/>
            <w:hideMark/>
          </w:tcPr>
          <w:p w14:paraId="22D7F16A" w14:textId="77777777" w:rsidR="002A4A2A" w:rsidRPr="00585293" w:rsidRDefault="002A4A2A" w:rsidP="00490967">
            <w:pPr>
              <w:jc w:val="center"/>
            </w:pPr>
            <w:r w:rsidRPr="00585293">
              <w:t>0.36</w:t>
            </w:r>
          </w:p>
        </w:tc>
        <w:tc>
          <w:tcPr>
            <w:tcW w:w="1559" w:type="dxa"/>
            <w:tcBorders>
              <w:top w:val="nil"/>
              <w:left w:val="nil"/>
              <w:bottom w:val="nil"/>
              <w:right w:val="nil"/>
            </w:tcBorders>
            <w:shd w:val="clear" w:color="auto" w:fill="auto"/>
            <w:noWrap/>
            <w:vAlign w:val="bottom"/>
            <w:hideMark/>
          </w:tcPr>
          <w:p w14:paraId="515539E9" w14:textId="77777777" w:rsidR="002A4A2A" w:rsidRPr="00585293" w:rsidRDefault="002A4A2A" w:rsidP="00490967">
            <w:pPr>
              <w:jc w:val="center"/>
            </w:pPr>
            <w:r w:rsidRPr="00585293">
              <w:t>0.41</w:t>
            </w:r>
          </w:p>
        </w:tc>
      </w:tr>
      <w:tr w:rsidR="002A4A2A" w:rsidRPr="00585293" w14:paraId="6549E21E" w14:textId="77777777" w:rsidTr="003653CA">
        <w:trPr>
          <w:trHeight w:val="310"/>
          <w:jc w:val="center"/>
        </w:trPr>
        <w:tc>
          <w:tcPr>
            <w:tcW w:w="2127" w:type="dxa"/>
            <w:tcBorders>
              <w:top w:val="nil"/>
              <w:left w:val="nil"/>
              <w:bottom w:val="nil"/>
              <w:right w:val="nil"/>
            </w:tcBorders>
            <w:shd w:val="clear" w:color="auto" w:fill="auto"/>
            <w:noWrap/>
            <w:hideMark/>
          </w:tcPr>
          <w:p w14:paraId="62AFA346" w14:textId="08518302" w:rsidR="002A4A2A" w:rsidRPr="00585293" w:rsidRDefault="002A4A2A" w:rsidP="00490967">
            <w:pPr>
              <w:rPr>
                <w:b/>
                <w:bCs/>
              </w:rPr>
            </w:pPr>
            <w:r w:rsidRPr="00585293">
              <w:rPr>
                <w:b/>
                <w:bCs/>
              </w:rPr>
              <w:t>-30</w:t>
            </w:r>
          </w:p>
        </w:tc>
        <w:tc>
          <w:tcPr>
            <w:tcW w:w="1559" w:type="dxa"/>
            <w:tcBorders>
              <w:top w:val="nil"/>
              <w:left w:val="nil"/>
              <w:bottom w:val="nil"/>
              <w:right w:val="nil"/>
            </w:tcBorders>
            <w:shd w:val="clear" w:color="auto" w:fill="auto"/>
            <w:noWrap/>
            <w:vAlign w:val="bottom"/>
            <w:hideMark/>
          </w:tcPr>
          <w:p w14:paraId="0717A893" w14:textId="77777777" w:rsidR="002A4A2A" w:rsidRPr="00585293" w:rsidRDefault="002A4A2A" w:rsidP="00490967">
            <w:pPr>
              <w:jc w:val="center"/>
            </w:pPr>
            <w:r w:rsidRPr="00585293">
              <w:t>1.20</w:t>
            </w:r>
          </w:p>
        </w:tc>
        <w:tc>
          <w:tcPr>
            <w:tcW w:w="1559" w:type="dxa"/>
            <w:tcBorders>
              <w:top w:val="nil"/>
              <w:left w:val="nil"/>
              <w:bottom w:val="nil"/>
              <w:right w:val="nil"/>
            </w:tcBorders>
            <w:shd w:val="clear" w:color="auto" w:fill="auto"/>
            <w:noWrap/>
            <w:vAlign w:val="bottom"/>
            <w:hideMark/>
          </w:tcPr>
          <w:p w14:paraId="31AAB159" w14:textId="77777777" w:rsidR="002A4A2A" w:rsidRPr="00585293" w:rsidRDefault="002A4A2A" w:rsidP="00490967">
            <w:pPr>
              <w:jc w:val="center"/>
            </w:pPr>
            <w:r w:rsidRPr="00585293">
              <w:t>1.01</w:t>
            </w:r>
          </w:p>
        </w:tc>
        <w:tc>
          <w:tcPr>
            <w:tcW w:w="1559" w:type="dxa"/>
            <w:tcBorders>
              <w:top w:val="nil"/>
              <w:left w:val="nil"/>
              <w:bottom w:val="nil"/>
              <w:right w:val="nil"/>
            </w:tcBorders>
            <w:shd w:val="clear" w:color="auto" w:fill="auto"/>
            <w:noWrap/>
            <w:vAlign w:val="bottom"/>
            <w:hideMark/>
          </w:tcPr>
          <w:p w14:paraId="7C6261AB" w14:textId="77777777" w:rsidR="002A4A2A" w:rsidRPr="00585293" w:rsidRDefault="002A4A2A" w:rsidP="00490967">
            <w:pPr>
              <w:jc w:val="center"/>
            </w:pPr>
            <w:r w:rsidRPr="00585293">
              <w:t>1.21</w:t>
            </w:r>
          </w:p>
        </w:tc>
      </w:tr>
      <w:tr w:rsidR="002A4A2A" w:rsidRPr="00585293" w14:paraId="02E2603B" w14:textId="77777777" w:rsidTr="003653CA">
        <w:trPr>
          <w:trHeight w:val="310"/>
          <w:jc w:val="center"/>
        </w:trPr>
        <w:tc>
          <w:tcPr>
            <w:tcW w:w="2127" w:type="dxa"/>
            <w:tcBorders>
              <w:top w:val="nil"/>
              <w:left w:val="nil"/>
              <w:bottom w:val="nil"/>
              <w:right w:val="nil"/>
            </w:tcBorders>
            <w:shd w:val="clear" w:color="auto" w:fill="auto"/>
            <w:noWrap/>
            <w:hideMark/>
          </w:tcPr>
          <w:p w14:paraId="5E74829F" w14:textId="4E22E778" w:rsidR="002A4A2A" w:rsidRPr="00585293" w:rsidRDefault="002A4A2A" w:rsidP="00490967">
            <w:pPr>
              <w:rPr>
                <w:b/>
                <w:bCs/>
              </w:rPr>
            </w:pPr>
            <w:r w:rsidRPr="00585293">
              <w:rPr>
                <w:b/>
                <w:bCs/>
              </w:rPr>
              <w:t>-20</w:t>
            </w:r>
          </w:p>
        </w:tc>
        <w:tc>
          <w:tcPr>
            <w:tcW w:w="1559" w:type="dxa"/>
            <w:tcBorders>
              <w:top w:val="nil"/>
              <w:left w:val="nil"/>
              <w:bottom w:val="nil"/>
              <w:right w:val="nil"/>
            </w:tcBorders>
            <w:shd w:val="clear" w:color="auto" w:fill="auto"/>
            <w:noWrap/>
            <w:vAlign w:val="bottom"/>
            <w:hideMark/>
          </w:tcPr>
          <w:p w14:paraId="36C3F2EA" w14:textId="77777777" w:rsidR="002A4A2A" w:rsidRPr="00585293" w:rsidRDefault="002A4A2A" w:rsidP="00490967">
            <w:pPr>
              <w:jc w:val="center"/>
            </w:pPr>
            <w:r w:rsidRPr="00585293">
              <w:t>2.85</w:t>
            </w:r>
          </w:p>
        </w:tc>
        <w:tc>
          <w:tcPr>
            <w:tcW w:w="1559" w:type="dxa"/>
            <w:tcBorders>
              <w:top w:val="nil"/>
              <w:left w:val="nil"/>
              <w:bottom w:val="nil"/>
              <w:right w:val="nil"/>
            </w:tcBorders>
            <w:shd w:val="clear" w:color="auto" w:fill="auto"/>
            <w:noWrap/>
            <w:vAlign w:val="bottom"/>
            <w:hideMark/>
          </w:tcPr>
          <w:p w14:paraId="164ADD18" w14:textId="77777777" w:rsidR="002A4A2A" w:rsidRPr="00585293" w:rsidRDefault="002A4A2A" w:rsidP="00490967">
            <w:pPr>
              <w:jc w:val="center"/>
            </w:pPr>
            <w:r w:rsidRPr="00585293">
              <w:t>2.87</w:t>
            </w:r>
          </w:p>
        </w:tc>
        <w:tc>
          <w:tcPr>
            <w:tcW w:w="1559" w:type="dxa"/>
            <w:tcBorders>
              <w:top w:val="nil"/>
              <w:left w:val="nil"/>
              <w:bottom w:val="nil"/>
              <w:right w:val="nil"/>
            </w:tcBorders>
            <w:shd w:val="clear" w:color="auto" w:fill="auto"/>
            <w:noWrap/>
            <w:vAlign w:val="bottom"/>
            <w:hideMark/>
          </w:tcPr>
          <w:p w14:paraId="51108C47" w14:textId="77777777" w:rsidR="002A4A2A" w:rsidRPr="00585293" w:rsidRDefault="002A4A2A" w:rsidP="00490967">
            <w:pPr>
              <w:jc w:val="center"/>
            </w:pPr>
            <w:r w:rsidRPr="00585293">
              <w:t>3.23</w:t>
            </w:r>
          </w:p>
        </w:tc>
      </w:tr>
      <w:tr w:rsidR="002A4A2A" w:rsidRPr="00585293" w14:paraId="726FE42E" w14:textId="77777777" w:rsidTr="003653CA">
        <w:trPr>
          <w:trHeight w:val="310"/>
          <w:jc w:val="center"/>
        </w:trPr>
        <w:tc>
          <w:tcPr>
            <w:tcW w:w="2127" w:type="dxa"/>
            <w:tcBorders>
              <w:top w:val="nil"/>
              <w:left w:val="nil"/>
              <w:bottom w:val="nil"/>
              <w:right w:val="nil"/>
            </w:tcBorders>
            <w:shd w:val="clear" w:color="auto" w:fill="auto"/>
            <w:noWrap/>
            <w:hideMark/>
          </w:tcPr>
          <w:p w14:paraId="41926225" w14:textId="010946AE" w:rsidR="002A4A2A" w:rsidRPr="00585293" w:rsidRDefault="002A4A2A" w:rsidP="00490967">
            <w:pPr>
              <w:rPr>
                <w:b/>
                <w:bCs/>
              </w:rPr>
            </w:pPr>
            <w:r w:rsidRPr="00585293">
              <w:rPr>
                <w:b/>
                <w:bCs/>
              </w:rPr>
              <w:t>-10</w:t>
            </w:r>
          </w:p>
        </w:tc>
        <w:tc>
          <w:tcPr>
            <w:tcW w:w="1559" w:type="dxa"/>
            <w:tcBorders>
              <w:top w:val="nil"/>
              <w:left w:val="nil"/>
              <w:bottom w:val="nil"/>
              <w:right w:val="nil"/>
            </w:tcBorders>
            <w:shd w:val="clear" w:color="auto" w:fill="auto"/>
            <w:noWrap/>
            <w:vAlign w:val="bottom"/>
            <w:hideMark/>
          </w:tcPr>
          <w:p w14:paraId="27CBED74" w14:textId="77777777" w:rsidR="002A4A2A" w:rsidRPr="00585293" w:rsidRDefault="002A4A2A" w:rsidP="00490967">
            <w:pPr>
              <w:jc w:val="center"/>
            </w:pPr>
            <w:r w:rsidRPr="00585293">
              <w:t>11.43</w:t>
            </w:r>
          </w:p>
        </w:tc>
        <w:tc>
          <w:tcPr>
            <w:tcW w:w="1559" w:type="dxa"/>
            <w:tcBorders>
              <w:top w:val="nil"/>
              <w:left w:val="nil"/>
              <w:bottom w:val="nil"/>
              <w:right w:val="nil"/>
            </w:tcBorders>
            <w:shd w:val="clear" w:color="auto" w:fill="auto"/>
            <w:noWrap/>
            <w:vAlign w:val="bottom"/>
            <w:hideMark/>
          </w:tcPr>
          <w:p w14:paraId="5561349C" w14:textId="77777777" w:rsidR="002A4A2A" w:rsidRPr="00585293" w:rsidRDefault="002A4A2A" w:rsidP="00490967">
            <w:pPr>
              <w:jc w:val="center"/>
            </w:pPr>
            <w:r w:rsidRPr="00585293">
              <w:t>12.38</w:t>
            </w:r>
          </w:p>
        </w:tc>
        <w:tc>
          <w:tcPr>
            <w:tcW w:w="1559" w:type="dxa"/>
            <w:tcBorders>
              <w:top w:val="nil"/>
              <w:left w:val="nil"/>
              <w:bottom w:val="nil"/>
              <w:right w:val="nil"/>
            </w:tcBorders>
            <w:shd w:val="clear" w:color="auto" w:fill="auto"/>
            <w:noWrap/>
            <w:vAlign w:val="bottom"/>
            <w:hideMark/>
          </w:tcPr>
          <w:p w14:paraId="0D2C2ABA" w14:textId="77777777" w:rsidR="002A4A2A" w:rsidRPr="00585293" w:rsidRDefault="002A4A2A" w:rsidP="00490967">
            <w:pPr>
              <w:jc w:val="center"/>
            </w:pPr>
            <w:r w:rsidRPr="00585293">
              <w:t>12.96</w:t>
            </w:r>
          </w:p>
        </w:tc>
      </w:tr>
      <w:tr w:rsidR="002A4A2A" w:rsidRPr="00585293" w14:paraId="6A378BF4" w14:textId="77777777" w:rsidTr="003653CA">
        <w:trPr>
          <w:trHeight w:val="310"/>
          <w:jc w:val="center"/>
        </w:trPr>
        <w:tc>
          <w:tcPr>
            <w:tcW w:w="2127" w:type="dxa"/>
            <w:tcBorders>
              <w:top w:val="nil"/>
              <w:left w:val="nil"/>
              <w:bottom w:val="nil"/>
              <w:right w:val="nil"/>
            </w:tcBorders>
            <w:shd w:val="clear" w:color="auto" w:fill="auto"/>
            <w:noWrap/>
            <w:hideMark/>
          </w:tcPr>
          <w:p w14:paraId="4991A4E8" w14:textId="1C26FAA8" w:rsidR="002A4A2A" w:rsidRPr="00585293" w:rsidRDefault="002A4A2A" w:rsidP="00490967">
            <w:pPr>
              <w:rPr>
                <w:b/>
                <w:bCs/>
              </w:rPr>
            </w:pPr>
            <w:r w:rsidRPr="00585293">
              <w:rPr>
                <w:b/>
                <w:bCs/>
              </w:rPr>
              <w:t>0</w:t>
            </w:r>
          </w:p>
        </w:tc>
        <w:tc>
          <w:tcPr>
            <w:tcW w:w="1559" w:type="dxa"/>
            <w:tcBorders>
              <w:top w:val="nil"/>
              <w:left w:val="nil"/>
              <w:bottom w:val="nil"/>
              <w:right w:val="nil"/>
            </w:tcBorders>
            <w:shd w:val="clear" w:color="auto" w:fill="auto"/>
            <w:noWrap/>
            <w:vAlign w:val="bottom"/>
            <w:hideMark/>
          </w:tcPr>
          <w:p w14:paraId="73703D35" w14:textId="77777777" w:rsidR="002A4A2A" w:rsidRPr="00585293" w:rsidRDefault="002A4A2A" w:rsidP="00490967">
            <w:pPr>
              <w:jc w:val="center"/>
            </w:pPr>
            <w:r w:rsidRPr="00585293">
              <w:t>63.56</w:t>
            </w:r>
          </w:p>
        </w:tc>
        <w:tc>
          <w:tcPr>
            <w:tcW w:w="1559" w:type="dxa"/>
            <w:tcBorders>
              <w:top w:val="nil"/>
              <w:left w:val="nil"/>
              <w:bottom w:val="nil"/>
              <w:right w:val="nil"/>
            </w:tcBorders>
            <w:shd w:val="clear" w:color="auto" w:fill="auto"/>
            <w:noWrap/>
            <w:vAlign w:val="bottom"/>
            <w:hideMark/>
          </w:tcPr>
          <w:p w14:paraId="33E90DCB" w14:textId="77777777" w:rsidR="002A4A2A" w:rsidRPr="00585293" w:rsidRDefault="002A4A2A" w:rsidP="00490967">
            <w:pPr>
              <w:jc w:val="center"/>
            </w:pPr>
            <w:r w:rsidRPr="00585293">
              <w:t>59.96</w:t>
            </w:r>
          </w:p>
        </w:tc>
        <w:tc>
          <w:tcPr>
            <w:tcW w:w="1559" w:type="dxa"/>
            <w:tcBorders>
              <w:top w:val="nil"/>
              <w:left w:val="nil"/>
              <w:bottom w:val="nil"/>
              <w:right w:val="nil"/>
            </w:tcBorders>
            <w:shd w:val="clear" w:color="auto" w:fill="auto"/>
            <w:noWrap/>
            <w:vAlign w:val="bottom"/>
            <w:hideMark/>
          </w:tcPr>
          <w:p w14:paraId="0EC3022F" w14:textId="77777777" w:rsidR="002A4A2A" w:rsidRPr="00585293" w:rsidRDefault="002A4A2A" w:rsidP="00490967">
            <w:pPr>
              <w:jc w:val="center"/>
            </w:pPr>
            <w:r w:rsidRPr="00585293">
              <w:t>61.42</w:t>
            </w:r>
          </w:p>
        </w:tc>
      </w:tr>
      <w:tr w:rsidR="002A4A2A" w:rsidRPr="00585293" w14:paraId="6B8CAC2D" w14:textId="77777777" w:rsidTr="003653CA">
        <w:trPr>
          <w:trHeight w:val="310"/>
          <w:jc w:val="center"/>
        </w:trPr>
        <w:tc>
          <w:tcPr>
            <w:tcW w:w="2127" w:type="dxa"/>
            <w:tcBorders>
              <w:top w:val="nil"/>
              <w:left w:val="nil"/>
              <w:bottom w:val="nil"/>
              <w:right w:val="nil"/>
            </w:tcBorders>
            <w:shd w:val="clear" w:color="auto" w:fill="auto"/>
            <w:noWrap/>
            <w:hideMark/>
          </w:tcPr>
          <w:p w14:paraId="70010966" w14:textId="010C5759" w:rsidR="002A4A2A" w:rsidRPr="00585293" w:rsidRDefault="002A4A2A" w:rsidP="00490967">
            <w:pPr>
              <w:rPr>
                <w:b/>
                <w:bCs/>
              </w:rPr>
            </w:pPr>
            <w:r w:rsidRPr="00585293">
              <w:rPr>
                <w:b/>
                <w:bCs/>
              </w:rPr>
              <w:t>10</w:t>
            </w:r>
          </w:p>
        </w:tc>
        <w:tc>
          <w:tcPr>
            <w:tcW w:w="1559" w:type="dxa"/>
            <w:tcBorders>
              <w:top w:val="nil"/>
              <w:left w:val="nil"/>
              <w:bottom w:val="nil"/>
              <w:right w:val="nil"/>
            </w:tcBorders>
            <w:shd w:val="clear" w:color="auto" w:fill="auto"/>
            <w:noWrap/>
            <w:vAlign w:val="bottom"/>
            <w:hideMark/>
          </w:tcPr>
          <w:p w14:paraId="72D26E43" w14:textId="77777777" w:rsidR="002A4A2A" w:rsidRPr="00585293" w:rsidRDefault="002A4A2A" w:rsidP="00490967">
            <w:pPr>
              <w:jc w:val="center"/>
            </w:pPr>
            <w:r w:rsidRPr="00585293">
              <w:t>14.49</w:t>
            </w:r>
          </w:p>
        </w:tc>
        <w:tc>
          <w:tcPr>
            <w:tcW w:w="1559" w:type="dxa"/>
            <w:tcBorders>
              <w:top w:val="nil"/>
              <w:left w:val="nil"/>
              <w:bottom w:val="nil"/>
              <w:right w:val="nil"/>
            </w:tcBorders>
            <w:shd w:val="clear" w:color="auto" w:fill="auto"/>
            <w:noWrap/>
            <w:vAlign w:val="bottom"/>
            <w:hideMark/>
          </w:tcPr>
          <w:p w14:paraId="0DDCE2E0" w14:textId="77777777" w:rsidR="002A4A2A" w:rsidRPr="00585293" w:rsidRDefault="002A4A2A" w:rsidP="00490967">
            <w:pPr>
              <w:jc w:val="center"/>
            </w:pPr>
            <w:r w:rsidRPr="00585293">
              <w:t>16.80</w:t>
            </w:r>
          </w:p>
        </w:tc>
        <w:tc>
          <w:tcPr>
            <w:tcW w:w="1559" w:type="dxa"/>
            <w:tcBorders>
              <w:top w:val="nil"/>
              <w:left w:val="nil"/>
              <w:bottom w:val="nil"/>
              <w:right w:val="nil"/>
            </w:tcBorders>
            <w:shd w:val="clear" w:color="auto" w:fill="auto"/>
            <w:noWrap/>
            <w:vAlign w:val="bottom"/>
            <w:hideMark/>
          </w:tcPr>
          <w:p w14:paraId="6DF85974" w14:textId="77777777" w:rsidR="002A4A2A" w:rsidRPr="00585293" w:rsidRDefault="002A4A2A" w:rsidP="00490967">
            <w:pPr>
              <w:jc w:val="center"/>
            </w:pPr>
            <w:r w:rsidRPr="00585293">
              <w:t>14.08</w:t>
            </w:r>
          </w:p>
        </w:tc>
      </w:tr>
      <w:tr w:rsidR="002A4A2A" w:rsidRPr="00585293" w14:paraId="28251F19" w14:textId="77777777" w:rsidTr="003653CA">
        <w:trPr>
          <w:trHeight w:val="310"/>
          <w:jc w:val="center"/>
        </w:trPr>
        <w:tc>
          <w:tcPr>
            <w:tcW w:w="2127" w:type="dxa"/>
            <w:tcBorders>
              <w:top w:val="nil"/>
              <w:left w:val="nil"/>
              <w:bottom w:val="nil"/>
              <w:right w:val="nil"/>
            </w:tcBorders>
            <w:shd w:val="clear" w:color="auto" w:fill="auto"/>
            <w:noWrap/>
            <w:hideMark/>
          </w:tcPr>
          <w:p w14:paraId="0EB63010" w14:textId="279AB99E" w:rsidR="002A4A2A" w:rsidRPr="00585293" w:rsidRDefault="002A4A2A" w:rsidP="00490967">
            <w:pPr>
              <w:rPr>
                <w:b/>
                <w:bCs/>
              </w:rPr>
            </w:pPr>
            <w:r w:rsidRPr="00585293">
              <w:rPr>
                <w:b/>
                <w:bCs/>
              </w:rPr>
              <w:t>20</w:t>
            </w:r>
          </w:p>
        </w:tc>
        <w:tc>
          <w:tcPr>
            <w:tcW w:w="1559" w:type="dxa"/>
            <w:tcBorders>
              <w:top w:val="nil"/>
              <w:left w:val="nil"/>
              <w:bottom w:val="nil"/>
              <w:right w:val="nil"/>
            </w:tcBorders>
            <w:shd w:val="clear" w:color="auto" w:fill="auto"/>
            <w:noWrap/>
            <w:vAlign w:val="bottom"/>
            <w:hideMark/>
          </w:tcPr>
          <w:p w14:paraId="7E5E9712" w14:textId="77777777" w:rsidR="002A4A2A" w:rsidRPr="00585293" w:rsidRDefault="002A4A2A" w:rsidP="00490967">
            <w:pPr>
              <w:jc w:val="center"/>
            </w:pPr>
            <w:r w:rsidRPr="00585293">
              <w:t>3.69</w:t>
            </w:r>
          </w:p>
        </w:tc>
        <w:tc>
          <w:tcPr>
            <w:tcW w:w="1559" w:type="dxa"/>
            <w:tcBorders>
              <w:top w:val="nil"/>
              <w:left w:val="nil"/>
              <w:bottom w:val="nil"/>
              <w:right w:val="nil"/>
            </w:tcBorders>
            <w:shd w:val="clear" w:color="auto" w:fill="auto"/>
            <w:noWrap/>
            <w:vAlign w:val="bottom"/>
            <w:hideMark/>
          </w:tcPr>
          <w:p w14:paraId="0DD695C3" w14:textId="77777777" w:rsidR="002A4A2A" w:rsidRPr="00585293" w:rsidRDefault="002A4A2A" w:rsidP="00490967">
            <w:pPr>
              <w:jc w:val="center"/>
            </w:pPr>
            <w:r w:rsidRPr="00585293">
              <w:t>4.04</w:t>
            </w:r>
          </w:p>
        </w:tc>
        <w:tc>
          <w:tcPr>
            <w:tcW w:w="1559" w:type="dxa"/>
            <w:tcBorders>
              <w:top w:val="nil"/>
              <w:left w:val="nil"/>
              <w:bottom w:val="nil"/>
              <w:right w:val="nil"/>
            </w:tcBorders>
            <w:shd w:val="clear" w:color="auto" w:fill="auto"/>
            <w:noWrap/>
            <w:vAlign w:val="bottom"/>
            <w:hideMark/>
          </w:tcPr>
          <w:p w14:paraId="7C3C1601" w14:textId="77777777" w:rsidR="002A4A2A" w:rsidRPr="00585293" w:rsidRDefault="002A4A2A" w:rsidP="00490967">
            <w:pPr>
              <w:jc w:val="center"/>
            </w:pPr>
            <w:r w:rsidRPr="00585293">
              <w:t>4.12</w:t>
            </w:r>
          </w:p>
        </w:tc>
      </w:tr>
      <w:tr w:rsidR="002A4A2A" w:rsidRPr="00585293" w14:paraId="6242C5C1" w14:textId="77777777" w:rsidTr="003653CA">
        <w:trPr>
          <w:trHeight w:val="310"/>
          <w:jc w:val="center"/>
        </w:trPr>
        <w:tc>
          <w:tcPr>
            <w:tcW w:w="2127" w:type="dxa"/>
            <w:tcBorders>
              <w:top w:val="nil"/>
              <w:left w:val="nil"/>
              <w:bottom w:val="nil"/>
              <w:right w:val="nil"/>
            </w:tcBorders>
            <w:shd w:val="clear" w:color="auto" w:fill="auto"/>
            <w:noWrap/>
            <w:hideMark/>
          </w:tcPr>
          <w:p w14:paraId="3326C9F0" w14:textId="3AC640BE" w:rsidR="002A4A2A" w:rsidRPr="00585293" w:rsidRDefault="002A4A2A" w:rsidP="00490967">
            <w:pPr>
              <w:rPr>
                <w:b/>
                <w:bCs/>
              </w:rPr>
            </w:pPr>
            <w:r w:rsidRPr="00585293">
              <w:rPr>
                <w:b/>
                <w:bCs/>
              </w:rPr>
              <w:t>30</w:t>
            </w:r>
          </w:p>
        </w:tc>
        <w:tc>
          <w:tcPr>
            <w:tcW w:w="1559" w:type="dxa"/>
            <w:tcBorders>
              <w:top w:val="nil"/>
              <w:left w:val="nil"/>
              <w:bottom w:val="nil"/>
              <w:right w:val="nil"/>
            </w:tcBorders>
            <w:shd w:val="clear" w:color="auto" w:fill="auto"/>
            <w:noWrap/>
            <w:vAlign w:val="bottom"/>
            <w:hideMark/>
          </w:tcPr>
          <w:p w14:paraId="721DDD71" w14:textId="77777777" w:rsidR="002A4A2A" w:rsidRPr="00585293" w:rsidRDefault="002A4A2A" w:rsidP="00490967">
            <w:pPr>
              <w:jc w:val="center"/>
            </w:pPr>
            <w:r w:rsidRPr="00585293">
              <w:t>1.54</w:t>
            </w:r>
          </w:p>
        </w:tc>
        <w:tc>
          <w:tcPr>
            <w:tcW w:w="1559" w:type="dxa"/>
            <w:tcBorders>
              <w:top w:val="nil"/>
              <w:left w:val="nil"/>
              <w:bottom w:val="nil"/>
              <w:right w:val="nil"/>
            </w:tcBorders>
            <w:shd w:val="clear" w:color="auto" w:fill="auto"/>
            <w:noWrap/>
            <w:vAlign w:val="bottom"/>
            <w:hideMark/>
          </w:tcPr>
          <w:p w14:paraId="7EC52F68" w14:textId="77777777" w:rsidR="002A4A2A" w:rsidRPr="00585293" w:rsidRDefault="002A4A2A" w:rsidP="00490967">
            <w:pPr>
              <w:jc w:val="center"/>
            </w:pPr>
            <w:r w:rsidRPr="00585293">
              <w:t>1.70</w:t>
            </w:r>
          </w:p>
        </w:tc>
        <w:tc>
          <w:tcPr>
            <w:tcW w:w="1559" w:type="dxa"/>
            <w:tcBorders>
              <w:top w:val="nil"/>
              <w:left w:val="nil"/>
              <w:bottom w:val="nil"/>
              <w:right w:val="nil"/>
            </w:tcBorders>
            <w:shd w:val="clear" w:color="auto" w:fill="auto"/>
            <w:noWrap/>
            <w:vAlign w:val="bottom"/>
            <w:hideMark/>
          </w:tcPr>
          <w:p w14:paraId="6DB8B69E" w14:textId="77777777" w:rsidR="002A4A2A" w:rsidRPr="00585293" w:rsidRDefault="002A4A2A" w:rsidP="00490967">
            <w:pPr>
              <w:jc w:val="center"/>
            </w:pPr>
            <w:r w:rsidRPr="00585293">
              <w:t>1.70</w:t>
            </w:r>
          </w:p>
        </w:tc>
      </w:tr>
      <w:tr w:rsidR="002A4A2A" w:rsidRPr="00585293" w14:paraId="56DBFF3E" w14:textId="77777777" w:rsidTr="003653CA">
        <w:trPr>
          <w:trHeight w:val="310"/>
          <w:jc w:val="center"/>
        </w:trPr>
        <w:tc>
          <w:tcPr>
            <w:tcW w:w="2127" w:type="dxa"/>
            <w:tcBorders>
              <w:top w:val="nil"/>
              <w:left w:val="nil"/>
              <w:bottom w:val="nil"/>
              <w:right w:val="nil"/>
            </w:tcBorders>
            <w:shd w:val="clear" w:color="auto" w:fill="auto"/>
            <w:noWrap/>
            <w:hideMark/>
          </w:tcPr>
          <w:p w14:paraId="36A96EC8" w14:textId="5C569033" w:rsidR="002A4A2A" w:rsidRPr="00585293" w:rsidRDefault="002A4A2A" w:rsidP="00490967">
            <w:pPr>
              <w:rPr>
                <w:b/>
                <w:bCs/>
              </w:rPr>
            </w:pPr>
            <w:r w:rsidRPr="00585293">
              <w:rPr>
                <w:b/>
                <w:bCs/>
              </w:rPr>
              <w:t>40</w:t>
            </w:r>
          </w:p>
        </w:tc>
        <w:tc>
          <w:tcPr>
            <w:tcW w:w="1559" w:type="dxa"/>
            <w:tcBorders>
              <w:top w:val="nil"/>
              <w:left w:val="nil"/>
              <w:bottom w:val="nil"/>
              <w:right w:val="nil"/>
            </w:tcBorders>
            <w:shd w:val="clear" w:color="auto" w:fill="auto"/>
            <w:noWrap/>
            <w:vAlign w:val="bottom"/>
            <w:hideMark/>
          </w:tcPr>
          <w:p w14:paraId="1D0BB730" w14:textId="77777777" w:rsidR="002A4A2A" w:rsidRPr="00585293" w:rsidRDefault="002A4A2A" w:rsidP="00490967">
            <w:pPr>
              <w:jc w:val="center"/>
            </w:pPr>
            <w:r w:rsidRPr="00585293">
              <w:t>0.54</w:t>
            </w:r>
          </w:p>
        </w:tc>
        <w:tc>
          <w:tcPr>
            <w:tcW w:w="1559" w:type="dxa"/>
            <w:tcBorders>
              <w:top w:val="nil"/>
              <w:left w:val="nil"/>
              <w:bottom w:val="nil"/>
              <w:right w:val="nil"/>
            </w:tcBorders>
            <w:shd w:val="clear" w:color="auto" w:fill="auto"/>
            <w:noWrap/>
            <w:vAlign w:val="bottom"/>
            <w:hideMark/>
          </w:tcPr>
          <w:p w14:paraId="657F7FAE" w14:textId="77777777" w:rsidR="002A4A2A" w:rsidRPr="00585293" w:rsidRDefault="002A4A2A" w:rsidP="00490967">
            <w:pPr>
              <w:jc w:val="center"/>
            </w:pPr>
            <w:r w:rsidRPr="00585293">
              <w:t>0.57</w:t>
            </w:r>
          </w:p>
        </w:tc>
        <w:tc>
          <w:tcPr>
            <w:tcW w:w="1559" w:type="dxa"/>
            <w:tcBorders>
              <w:top w:val="nil"/>
              <w:left w:val="nil"/>
              <w:bottom w:val="nil"/>
              <w:right w:val="nil"/>
            </w:tcBorders>
            <w:shd w:val="clear" w:color="auto" w:fill="auto"/>
            <w:noWrap/>
            <w:vAlign w:val="bottom"/>
            <w:hideMark/>
          </w:tcPr>
          <w:p w14:paraId="67522ED8" w14:textId="77777777" w:rsidR="002A4A2A" w:rsidRPr="00585293" w:rsidRDefault="002A4A2A" w:rsidP="00490967">
            <w:pPr>
              <w:jc w:val="center"/>
            </w:pPr>
            <w:r w:rsidRPr="00585293">
              <w:t>0.62</w:t>
            </w:r>
          </w:p>
        </w:tc>
      </w:tr>
      <w:tr w:rsidR="002A4A2A" w:rsidRPr="00585293" w14:paraId="3CF2A8FF" w14:textId="77777777" w:rsidTr="003653CA">
        <w:trPr>
          <w:trHeight w:val="310"/>
          <w:jc w:val="center"/>
        </w:trPr>
        <w:tc>
          <w:tcPr>
            <w:tcW w:w="2127" w:type="dxa"/>
            <w:tcBorders>
              <w:top w:val="nil"/>
              <w:left w:val="nil"/>
              <w:bottom w:val="nil"/>
              <w:right w:val="nil"/>
            </w:tcBorders>
            <w:shd w:val="clear" w:color="auto" w:fill="auto"/>
            <w:noWrap/>
            <w:hideMark/>
          </w:tcPr>
          <w:p w14:paraId="50DBC125" w14:textId="5733DF0A" w:rsidR="002A4A2A" w:rsidRPr="00585293" w:rsidRDefault="002A4A2A" w:rsidP="00490967">
            <w:pPr>
              <w:rPr>
                <w:b/>
                <w:bCs/>
              </w:rPr>
            </w:pPr>
            <w:r w:rsidRPr="00585293">
              <w:rPr>
                <w:b/>
                <w:bCs/>
              </w:rPr>
              <w:t>50</w:t>
            </w:r>
          </w:p>
        </w:tc>
        <w:tc>
          <w:tcPr>
            <w:tcW w:w="1559" w:type="dxa"/>
            <w:tcBorders>
              <w:top w:val="nil"/>
              <w:left w:val="nil"/>
              <w:bottom w:val="nil"/>
              <w:right w:val="nil"/>
            </w:tcBorders>
            <w:shd w:val="clear" w:color="auto" w:fill="auto"/>
            <w:noWrap/>
            <w:vAlign w:val="bottom"/>
            <w:hideMark/>
          </w:tcPr>
          <w:p w14:paraId="198D7732" w14:textId="77777777" w:rsidR="002A4A2A" w:rsidRPr="00585293" w:rsidRDefault="002A4A2A" w:rsidP="00490967">
            <w:pPr>
              <w:jc w:val="center"/>
            </w:pPr>
            <w:r w:rsidRPr="00585293">
              <w:t>0.15</w:t>
            </w:r>
          </w:p>
        </w:tc>
        <w:tc>
          <w:tcPr>
            <w:tcW w:w="1559" w:type="dxa"/>
            <w:tcBorders>
              <w:top w:val="nil"/>
              <w:left w:val="nil"/>
              <w:bottom w:val="nil"/>
              <w:right w:val="nil"/>
            </w:tcBorders>
            <w:shd w:val="clear" w:color="auto" w:fill="auto"/>
            <w:noWrap/>
            <w:vAlign w:val="bottom"/>
            <w:hideMark/>
          </w:tcPr>
          <w:p w14:paraId="632268F7" w14:textId="77777777" w:rsidR="002A4A2A" w:rsidRPr="00585293" w:rsidRDefault="002A4A2A" w:rsidP="00490967">
            <w:pPr>
              <w:jc w:val="center"/>
            </w:pPr>
            <w:r w:rsidRPr="00585293">
              <w:t>0.18</w:t>
            </w:r>
          </w:p>
        </w:tc>
        <w:tc>
          <w:tcPr>
            <w:tcW w:w="1559" w:type="dxa"/>
            <w:tcBorders>
              <w:top w:val="nil"/>
              <w:left w:val="nil"/>
              <w:bottom w:val="nil"/>
              <w:right w:val="nil"/>
            </w:tcBorders>
            <w:shd w:val="clear" w:color="auto" w:fill="auto"/>
            <w:noWrap/>
            <w:vAlign w:val="bottom"/>
            <w:hideMark/>
          </w:tcPr>
          <w:p w14:paraId="3A21C796" w14:textId="77777777" w:rsidR="002A4A2A" w:rsidRPr="00585293" w:rsidRDefault="002A4A2A" w:rsidP="00490967">
            <w:pPr>
              <w:jc w:val="center"/>
            </w:pPr>
            <w:r w:rsidRPr="00585293">
              <w:t>0.11</w:t>
            </w:r>
          </w:p>
        </w:tc>
      </w:tr>
      <w:tr w:rsidR="00AF6D09" w:rsidRPr="00585293" w14:paraId="4F77D3E9" w14:textId="77777777" w:rsidTr="003653CA">
        <w:trPr>
          <w:trHeight w:val="310"/>
          <w:jc w:val="center"/>
        </w:trPr>
        <w:tc>
          <w:tcPr>
            <w:tcW w:w="2127" w:type="dxa"/>
            <w:tcBorders>
              <w:top w:val="nil"/>
              <w:left w:val="nil"/>
              <w:bottom w:val="double" w:sz="4" w:space="0" w:color="auto"/>
              <w:right w:val="nil"/>
            </w:tcBorders>
            <w:shd w:val="clear" w:color="auto" w:fill="auto"/>
            <w:noWrap/>
            <w:hideMark/>
          </w:tcPr>
          <w:p w14:paraId="444A20DE" w14:textId="375543B2" w:rsidR="002A4A2A" w:rsidRPr="00585293" w:rsidRDefault="002A4A2A" w:rsidP="00490967">
            <w:pPr>
              <w:rPr>
                <w:b/>
                <w:bCs/>
              </w:rPr>
            </w:pPr>
            <w:r w:rsidRPr="00585293">
              <w:rPr>
                <w:b/>
                <w:bCs/>
              </w:rPr>
              <w:t>60</w:t>
            </w:r>
          </w:p>
        </w:tc>
        <w:tc>
          <w:tcPr>
            <w:tcW w:w="1559" w:type="dxa"/>
            <w:tcBorders>
              <w:top w:val="nil"/>
              <w:left w:val="nil"/>
              <w:bottom w:val="double" w:sz="4" w:space="0" w:color="auto"/>
              <w:right w:val="nil"/>
            </w:tcBorders>
            <w:shd w:val="clear" w:color="auto" w:fill="auto"/>
            <w:noWrap/>
            <w:vAlign w:val="bottom"/>
            <w:hideMark/>
          </w:tcPr>
          <w:p w14:paraId="6ADBC381" w14:textId="77777777" w:rsidR="002A4A2A" w:rsidRPr="00585293" w:rsidRDefault="002A4A2A" w:rsidP="00490967">
            <w:pPr>
              <w:jc w:val="center"/>
            </w:pPr>
            <w:r w:rsidRPr="00585293">
              <w:t>0.03</w:t>
            </w:r>
          </w:p>
        </w:tc>
        <w:tc>
          <w:tcPr>
            <w:tcW w:w="1559" w:type="dxa"/>
            <w:tcBorders>
              <w:top w:val="nil"/>
              <w:left w:val="nil"/>
              <w:bottom w:val="double" w:sz="4" w:space="0" w:color="auto"/>
              <w:right w:val="nil"/>
            </w:tcBorders>
            <w:shd w:val="clear" w:color="auto" w:fill="auto"/>
            <w:noWrap/>
            <w:vAlign w:val="bottom"/>
            <w:hideMark/>
          </w:tcPr>
          <w:p w14:paraId="0BE82A6C" w14:textId="77777777" w:rsidR="002A4A2A" w:rsidRPr="00585293" w:rsidRDefault="002A4A2A" w:rsidP="00490967">
            <w:pPr>
              <w:jc w:val="center"/>
            </w:pPr>
            <w:r w:rsidRPr="00585293">
              <w:t>0.02</w:t>
            </w:r>
          </w:p>
        </w:tc>
        <w:tc>
          <w:tcPr>
            <w:tcW w:w="1559" w:type="dxa"/>
            <w:tcBorders>
              <w:top w:val="nil"/>
              <w:left w:val="nil"/>
              <w:bottom w:val="double" w:sz="4" w:space="0" w:color="auto"/>
              <w:right w:val="nil"/>
            </w:tcBorders>
            <w:shd w:val="clear" w:color="auto" w:fill="auto"/>
            <w:noWrap/>
            <w:vAlign w:val="bottom"/>
            <w:hideMark/>
          </w:tcPr>
          <w:p w14:paraId="64B01CC4" w14:textId="77777777" w:rsidR="002A4A2A" w:rsidRPr="00585293" w:rsidRDefault="002A4A2A" w:rsidP="00490967">
            <w:pPr>
              <w:jc w:val="center"/>
            </w:pPr>
            <w:r w:rsidRPr="00585293">
              <w:t>0.01</w:t>
            </w:r>
          </w:p>
        </w:tc>
      </w:tr>
      <w:tr w:rsidR="00AF6D09" w:rsidRPr="00585293" w14:paraId="62EF22F2" w14:textId="77777777" w:rsidTr="003653CA">
        <w:trPr>
          <w:trHeight w:val="310"/>
          <w:jc w:val="center"/>
        </w:trPr>
        <w:tc>
          <w:tcPr>
            <w:tcW w:w="6804" w:type="dxa"/>
            <w:gridSpan w:val="4"/>
            <w:tcBorders>
              <w:top w:val="double" w:sz="4" w:space="0" w:color="auto"/>
              <w:left w:val="nil"/>
              <w:right w:val="nil"/>
            </w:tcBorders>
            <w:shd w:val="clear" w:color="auto" w:fill="auto"/>
            <w:noWrap/>
          </w:tcPr>
          <w:p w14:paraId="7DB5C14A" w14:textId="77777777" w:rsidR="00865AD8" w:rsidRDefault="00AF6D09" w:rsidP="00490967">
            <w:pPr>
              <w:jc w:val="both"/>
              <w:rPr>
                <w:sz w:val="20"/>
                <w:szCs w:val="20"/>
              </w:rPr>
            </w:pPr>
            <w:r w:rsidRPr="003653CA">
              <w:rPr>
                <w:i/>
                <w:iCs/>
                <w:sz w:val="20"/>
                <w:szCs w:val="20"/>
              </w:rPr>
              <w:t>Notes</w:t>
            </w:r>
            <w:r w:rsidRPr="00585293">
              <w:rPr>
                <w:sz w:val="20"/>
                <w:szCs w:val="20"/>
              </w:rPr>
              <w:t xml:space="preserve">: </w:t>
            </w:r>
            <w:r w:rsidR="00DC4C83" w:rsidRPr="00585293">
              <w:rPr>
                <w:sz w:val="20"/>
                <w:szCs w:val="20"/>
              </w:rPr>
              <w:t xml:space="preserve">for 1851 and 1861, </w:t>
            </w:r>
            <w:r w:rsidR="00AD0FC8" w:rsidRPr="00585293">
              <w:rPr>
                <w:sz w:val="20"/>
                <w:szCs w:val="20"/>
              </w:rPr>
              <w:t xml:space="preserve">changes are calculated </w:t>
            </w:r>
            <w:r w:rsidR="00A91AFA" w:rsidRPr="00585293">
              <w:rPr>
                <w:sz w:val="20"/>
                <w:szCs w:val="20"/>
              </w:rPr>
              <w:t>as (father’s score in 1861 - father’s score in 1851)</w:t>
            </w:r>
            <w:r w:rsidR="00075CEC" w:rsidRPr="00585293">
              <w:rPr>
                <w:sz w:val="20"/>
                <w:szCs w:val="20"/>
              </w:rPr>
              <w:t>, and for 1881 it is (father’s score in 1891 - father’s score in 1881)</w:t>
            </w:r>
            <w:r w:rsidR="00750D16" w:rsidRPr="00585293">
              <w:rPr>
                <w:sz w:val="20"/>
                <w:szCs w:val="20"/>
              </w:rPr>
              <w:t xml:space="preserve">; all figures have been rounded </w:t>
            </w:r>
            <w:r w:rsidR="00D30B71" w:rsidRPr="00585293">
              <w:rPr>
                <w:sz w:val="20"/>
                <w:szCs w:val="20"/>
              </w:rPr>
              <w:t xml:space="preserve">down to the nearest decile </w:t>
            </w:r>
            <w:r w:rsidR="007B0B8E" w:rsidRPr="00585293">
              <w:rPr>
                <w:sz w:val="20"/>
                <w:szCs w:val="20"/>
              </w:rPr>
              <w:t>if they are lower than 0 and rounded up to the nearest decile if they are above 0; if there are no changes in HISCAM scores, they are kept as 0</w:t>
            </w:r>
            <w:r w:rsidR="00845C93" w:rsidRPr="00585293">
              <w:rPr>
                <w:sz w:val="20"/>
                <w:szCs w:val="20"/>
              </w:rPr>
              <w:t xml:space="preserve">. </w:t>
            </w:r>
          </w:p>
          <w:p w14:paraId="206F251A" w14:textId="5A8B0E2D" w:rsidR="00AF6D09" w:rsidRPr="00585293" w:rsidRDefault="00845C93" w:rsidP="00490967">
            <w:pPr>
              <w:jc w:val="both"/>
            </w:pPr>
            <w:r w:rsidRPr="003653CA">
              <w:rPr>
                <w:i/>
                <w:iCs/>
                <w:sz w:val="20"/>
                <w:szCs w:val="20"/>
              </w:rPr>
              <w:t>Sources</w:t>
            </w:r>
            <w:r w:rsidRPr="00585293">
              <w:rPr>
                <w:sz w:val="20"/>
                <w:szCs w:val="20"/>
              </w:rPr>
              <w:t xml:space="preserve">: author’s analysis of I-CeM (UKDA, SN 7481) and I-CeM Names and Addresses (UKDA, </w:t>
            </w:r>
            <w:r w:rsidR="00D3777B">
              <w:rPr>
                <w:sz w:val="20"/>
                <w:szCs w:val="20"/>
              </w:rPr>
              <w:t>SN 7856</w:t>
            </w:r>
            <w:r w:rsidRPr="00585293">
              <w:rPr>
                <w:sz w:val="20"/>
                <w:szCs w:val="20"/>
              </w:rPr>
              <w:t>).</w:t>
            </w:r>
          </w:p>
        </w:tc>
      </w:tr>
    </w:tbl>
    <w:p w14:paraId="599DAD8C" w14:textId="49DA1E81" w:rsidR="00594DD8" w:rsidRPr="003653CA" w:rsidRDefault="00053FDD" w:rsidP="003653CA">
      <w:pPr>
        <w:spacing w:after="160" w:line="480" w:lineRule="auto"/>
        <w:rPr>
          <w:b/>
          <w:bCs/>
          <w:sz w:val="40"/>
          <w:szCs w:val="40"/>
        </w:rPr>
      </w:pPr>
      <w:r w:rsidRPr="003653CA">
        <w:rPr>
          <w:b/>
          <w:bCs/>
          <w:sz w:val="32"/>
          <w:szCs w:val="32"/>
        </w:rPr>
        <w:lastRenderedPageBreak/>
        <w:t>References for Appendix</w:t>
      </w:r>
    </w:p>
    <w:p w14:paraId="67BE76F6" w14:textId="449352D4" w:rsidR="00594DD8" w:rsidRPr="003653CA" w:rsidRDefault="00594DD8" w:rsidP="00594DD8">
      <w:pPr>
        <w:pStyle w:val="Bibliography"/>
        <w:spacing w:after="160"/>
        <w:ind w:left="720" w:hanging="720"/>
        <w:jc w:val="both"/>
        <w:rPr>
          <w:i/>
          <w:iCs/>
        </w:rPr>
      </w:pPr>
      <w:r w:rsidRPr="003653CA">
        <w:t xml:space="preserve">Abramitzky, Ran, Leah Boustan, and Katherine Eriksson. </w:t>
      </w:r>
      <w:r w:rsidR="00865AD8">
        <w:t>“</w:t>
      </w:r>
      <w:r w:rsidRPr="003653CA">
        <w:t xml:space="preserve">To the New World and Back Again: Return Migrants in the Age of Mass </w:t>
      </w:r>
      <w:r w:rsidR="00865AD8" w:rsidRPr="003653CA">
        <w:t>Migration</w:t>
      </w:r>
      <w:r w:rsidR="00865AD8">
        <w:t>.”</w:t>
      </w:r>
      <w:r w:rsidRPr="003653CA">
        <w:t xml:space="preserve"> </w:t>
      </w:r>
      <w:r w:rsidRPr="003653CA">
        <w:rPr>
          <w:i/>
          <w:iCs/>
        </w:rPr>
        <w:t xml:space="preserve">Industrial and Labor Relations Review </w:t>
      </w:r>
      <w:r w:rsidRPr="003653CA">
        <w:t>72,</w:t>
      </w:r>
      <w:r w:rsidRPr="003653CA">
        <w:rPr>
          <w:i/>
          <w:iCs/>
        </w:rPr>
        <w:t xml:space="preserve"> </w:t>
      </w:r>
      <w:r w:rsidRPr="003653CA">
        <w:t>no. 2 (March 2019): pp. 300-322.</w:t>
      </w:r>
    </w:p>
    <w:p w14:paraId="10E6A4A5" w14:textId="5540AD03" w:rsidR="00594DD8" w:rsidRPr="003653CA" w:rsidRDefault="00594DD8" w:rsidP="00594DD8">
      <w:pPr>
        <w:pStyle w:val="Bibliography"/>
        <w:spacing w:after="160"/>
        <w:ind w:left="720" w:hanging="720"/>
        <w:jc w:val="both"/>
      </w:pPr>
      <w:r w:rsidRPr="003653CA">
        <w:t xml:space="preserve">Abramitzky, Ran, Leah Boustan, Katherine Eriksson, James Feigenbaum, and Santiago Pérez. </w:t>
      </w:r>
      <w:r w:rsidR="00865AD8">
        <w:t>“</w:t>
      </w:r>
      <w:r w:rsidRPr="003653CA">
        <w:t>Automated Linking of Historical Data.</w:t>
      </w:r>
      <w:r w:rsidR="00865AD8">
        <w:t>”</w:t>
      </w:r>
      <w:r w:rsidRPr="003653CA">
        <w:t xml:space="preserve"> </w:t>
      </w:r>
      <w:r w:rsidR="00865AD8">
        <w:t>NBER</w:t>
      </w:r>
      <w:r w:rsidRPr="003653CA">
        <w:t xml:space="preserve"> Working Paper</w:t>
      </w:r>
      <w:r w:rsidRPr="003653CA">
        <w:rPr>
          <w:i/>
          <w:iCs/>
        </w:rPr>
        <w:t xml:space="preserve"> </w:t>
      </w:r>
      <w:r w:rsidR="00865AD8">
        <w:t>N</w:t>
      </w:r>
      <w:r w:rsidRPr="003653CA">
        <w:t>o. 25825</w:t>
      </w:r>
      <w:r w:rsidR="00865AD8">
        <w:t>,</w:t>
      </w:r>
      <w:r w:rsidRPr="003653CA">
        <w:t xml:space="preserve"> June 2020.</w:t>
      </w:r>
    </w:p>
    <w:p w14:paraId="6D57177A" w14:textId="7E3972BC" w:rsidR="00594DD8" w:rsidRPr="003653CA" w:rsidRDefault="00594DD8" w:rsidP="00594DD8">
      <w:pPr>
        <w:pStyle w:val="Bibliography"/>
        <w:spacing w:after="160"/>
        <w:ind w:left="720" w:hanging="720"/>
        <w:jc w:val="both"/>
      </w:pPr>
      <w:r w:rsidRPr="003653CA">
        <w:t xml:space="preserve">Anbinder, Tyler, Dylan Connor, Cormac Ó Gráda, and Simone Wegge. </w:t>
      </w:r>
      <w:r w:rsidR="00865AD8">
        <w:t>“</w:t>
      </w:r>
      <w:r w:rsidRPr="003653CA">
        <w:t>The Problem of False Positives in Automated Census Linking: Evidence from Nineteenth-Century New York’s Irish Immigrants.</w:t>
      </w:r>
      <w:r w:rsidR="00865AD8">
        <w:t>”</w:t>
      </w:r>
      <w:r w:rsidRPr="003653CA">
        <w:t xml:space="preserve"> CAGE Working Paper </w:t>
      </w:r>
      <w:r w:rsidR="00865AD8">
        <w:t>N</w:t>
      </w:r>
      <w:r w:rsidRPr="003653CA">
        <w:t>o. 568</w:t>
      </w:r>
      <w:r w:rsidR="00865AD8">
        <w:t xml:space="preserve">, </w:t>
      </w:r>
      <w:r w:rsidRPr="003653CA">
        <w:t>June 2021.</w:t>
      </w:r>
    </w:p>
    <w:p w14:paraId="680023A2" w14:textId="04FC6740" w:rsidR="00594DD8" w:rsidRPr="003653CA" w:rsidRDefault="00594DD8" w:rsidP="00594DD8">
      <w:pPr>
        <w:pStyle w:val="Bibliography"/>
        <w:spacing w:after="160"/>
        <w:ind w:left="720" w:hanging="720"/>
        <w:jc w:val="both"/>
      </w:pPr>
      <w:r w:rsidRPr="003653CA">
        <w:t xml:space="preserve">Arkell, Tom. </w:t>
      </w:r>
      <w:r w:rsidR="00865AD8">
        <w:t>“</w:t>
      </w:r>
      <w:r w:rsidRPr="003653CA">
        <w:t>Identifying the Census Enumerators – Cornwall in 1851.</w:t>
      </w:r>
      <w:r w:rsidR="00865AD8">
        <w:t>”</w:t>
      </w:r>
      <w:r w:rsidRPr="003653CA">
        <w:t xml:space="preserve"> </w:t>
      </w:r>
      <w:r w:rsidRPr="003653CA">
        <w:rPr>
          <w:i/>
          <w:iCs/>
        </w:rPr>
        <w:t xml:space="preserve">Local Population Studies </w:t>
      </w:r>
      <w:r w:rsidRPr="003653CA">
        <w:t>53 (Autumn 1994): pp. 70-75.</w:t>
      </w:r>
    </w:p>
    <w:p w14:paraId="7DBD2776" w14:textId="77777777" w:rsidR="00865AD8" w:rsidRPr="00942E8F" w:rsidRDefault="00865AD8" w:rsidP="00865AD8">
      <w:pPr>
        <w:pStyle w:val="Bibliography"/>
        <w:spacing w:after="160"/>
        <w:ind w:left="720" w:hanging="720"/>
        <w:jc w:val="both"/>
      </w:pPr>
      <w:r w:rsidRPr="00942E8F">
        <w:t xml:space="preserve">Bailey, Martha J., Connor Cole, Morgan Henderson, and Catherine Massey. </w:t>
      </w:r>
      <w:r w:rsidRPr="00004C29">
        <w:t>“</w:t>
      </w:r>
      <w:r w:rsidRPr="00942E8F">
        <w:t>How Well Do Automated Linking Methods Perform? Lessons from US Historical Data.</w:t>
      </w:r>
      <w:r w:rsidRPr="00004C29">
        <w:t>”</w:t>
      </w:r>
      <w:r w:rsidRPr="00942E8F">
        <w:t xml:space="preserve"> </w:t>
      </w:r>
      <w:r w:rsidRPr="00942E8F">
        <w:rPr>
          <w:i/>
          <w:iCs/>
        </w:rPr>
        <w:t>Journal of Economic Literature</w:t>
      </w:r>
      <w:r w:rsidRPr="00942E8F">
        <w:t xml:space="preserve"> 58, no. 4 (December 2020): pp. 997-1044.</w:t>
      </w:r>
    </w:p>
    <w:p w14:paraId="553C13C4" w14:textId="27A334C6" w:rsidR="00B665F1" w:rsidRPr="003653CA" w:rsidRDefault="00B665F1" w:rsidP="00B665F1">
      <w:pPr>
        <w:pStyle w:val="Bibliography"/>
        <w:spacing w:after="160"/>
        <w:ind w:left="720" w:hanging="720"/>
        <w:jc w:val="both"/>
      </w:pPr>
      <w:r w:rsidRPr="003653CA">
        <w:t xml:space="preserve">Feigenbaum, James J. </w:t>
      </w:r>
      <w:r w:rsidR="00865AD8">
        <w:t>“</w:t>
      </w:r>
      <w:r w:rsidR="00F04FE5" w:rsidRPr="003653CA">
        <w:t>Multiple Measures of Historical Intergenerational Mobility: Iowa 1915 to 1940.</w:t>
      </w:r>
      <w:r w:rsidR="00865AD8">
        <w:t>”</w:t>
      </w:r>
      <w:r w:rsidR="00F04FE5" w:rsidRPr="003653CA">
        <w:t xml:space="preserve"> </w:t>
      </w:r>
      <w:r w:rsidR="00F04FE5" w:rsidRPr="003653CA">
        <w:rPr>
          <w:i/>
          <w:iCs/>
        </w:rPr>
        <w:t xml:space="preserve">Economic Journal </w:t>
      </w:r>
      <w:r w:rsidR="00563643" w:rsidRPr="003653CA">
        <w:t>128, no. 612 (July 2018): pp. F446-F481</w:t>
      </w:r>
      <w:r w:rsidRPr="003653CA">
        <w:t>.</w:t>
      </w:r>
    </w:p>
    <w:p w14:paraId="35B1E2CF" w14:textId="1F757E5A" w:rsidR="00563643" w:rsidRPr="003653CA" w:rsidRDefault="003C09B3" w:rsidP="00563643">
      <w:pPr>
        <w:pStyle w:val="Bibliography"/>
        <w:spacing w:after="160"/>
        <w:ind w:left="720" w:hanging="720"/>
        <w:jc w:val="both"/>
      </w:pPr>
      <w:r w:rsidRPr="003653CA">
        <w:t xml:space="preserve">Ferrie, Joseph P. </w:t>
      </w:r>
      <w:r w:rsidR="00865AD8">
        <w:t>“</w:t>
      </w:r>
      <w:r w:rsidRPr="003653CA">
        <w:t>A New Sample of Males Linked from the Public Use Microdata Sample of the 1850 U.S. Federal Census of Population to the 1860 U.S. Federal Census Manuscript Schedules.</w:t>
      </w:r>
      <w:r w:rsidR="00865AD8">
        <w:t>”</w:t>
      </w:r>
      <w:r w:rsidRPr="003653CA">
        <w:t xml:space="preserve"> </w:t>
      </w:r>
      <w:r w:rsidRPr="003653CA">
        <w:rPr>
          <w:i/>
          <w:iCs/>
        </w:rPr>
        <w:t xml:space="preserve">Historical Methods </w:t>
      </w:r>
      <w:r w:rsidRPr="003653CA">
        <w:t xml:space="preserve">29, no. 4 (1996): </w:t>
      </w:r>
      <w:r w:rsidR="0069078B" w:rsidRPr="003653CA">
        <w:t>pp. 141-156</w:t>
      </w:r>
      <w:r w:rsidR="00563643" w:rsidRPr="003653CA">
        <w:t>.</w:t>
      </w:r>
    </w:p>
    <w:p w14:paraId="468557B7" w14:textId="33134E53" w:rsidR="00996055" w:rsidRPr="003653CA" w:rsidRDefault="00996055" w:rsidP="00D145D6">
      <w:pPr>
        <w:pStyle w:val="Bibliography"/>
        <w:spacing w:after="160"/>
        <w:ind w:left="720" w:hanging="720"/>
        <w:jc w:val="both"/>
      </w:pPr>
      <w:r w:rsidRPr="003653CA">
        <w:t xml:space="preserve">Haider, Steven, and Gary Solon. </w:t>
      </w:r>
      <w:r w:rsidR="00865AD8">
        <w:t>“</w:t>
      </w:r>
      <w:r w:rsidRPr="003653CA">
        <w:t>Life-Cycle Variation in the Association between Current and Lifetime Earnings.</w:t>
      </w:r>
      <w:r w:rsidR="00865AD8">
        <w:t>”</w:t>
      </w:r>
      <w:r w:rsidRPr="003653CA">
        <w:t xml:space="preserve"> </w:t>
      </w:r>
      <w:r w:rsidRPr="003653CA">
        <w:rPr>
          <w:i/>
          <w:iCs/>
        </w:rPr>
        <w:t xml:space="preserve">American Economic Review </w:t>
      </w:r>
      <w:r w:rsidRPr="003653CA">
        <w:t>96, no.4 (September 2006): pp. 1308-1320.</w:t>
      </w:r>
    </w:p>
    <w:p w14:paraId="47291CBB" w14:textId="77777777" w:rsidR="00594DD8" w:rsidRPr="003653CA" w:rsidRDefault="00594DD8" w:rsidP="00594DD8">
      <w:pPr>
        <w:pStyle w:val="Bibliography"/>
        <w:spacing w:after="160"/>
        <w:ind w:left="720" w:hanging="720"/>
        <w:jc w:val="both"/>
      </w:pPr>
      <w:r w:rsidRPr="003653CA">
        <w:t xml:space="preserve">Higgs, Edward. </w:t>
      </w:r>
      <w:r w:rsidRPr="003653CA">
        <w:rPr>
          <w:i/>
          <w:iCs/>
        </w:rPr>
        <w:t>Making Sense of the Census Revisited: The Manuscript Returns for England and Wales, 1801-1901</w:t>
      </w:r>
      <w:r w:rsidRPr="003653CA">
        <w:t>. London: HMSO, 1989.</w:t>
      </w:r>
    </w:p>
    <w:p w14:paraId="0F4016F1" w14:textId="77777777" w:rsidR="00594DD8" w:rsidRPr="003653CA" w:rsidRDefault="00594DD8" w:rsidP="00594DD8">
      <w:pPr>
        <w:pStyle w:val="Bibliography"/>
        <w:spacing w:after="160"/>
        <w:ind w:left="720" w:hanging="720"/>
        <w:jc w:val="both"/>
      </w:pPr>
      <w:r w:rsidRPr="003653CA">
        <w:t xml:space="preserve">Higgs, Edward. </w:t>
      </w:r>
      <w:r w:rsidRPr="003653CA">
        <w:rPr>
          <w:i/>
          <w:iCs/>
        </w:rPr>
        <w:t>Making Sense of the Census Revisited: Census Records for England and Wales, 1801-1901 – a Handbook for Historical Researchers</w:t>
      </w:r>
      <w:r w:rsidRPr="003653CA">
        <w:t>. London: The National Archives and Institute of Historical Research, 2005.</w:t>
      </w:r>
    </w:p>
    <w:p w14:paraId="28BCC955" w14:textId="62D624D0" w:rsidR="00594DD8" w:rsidRPr="003653CA" w:rsidRDefault="00594DD8" w:rsidP="00594DD8">
      <w:pPr>
        <w:pStyle w:val="Bibliography"/>
        <w:spacing w:after="160"/>
        <w:ind w:left="720" w:hanging="720"/>
        <w:jc w:val="both"/>
      </w:pPr>
      <w:r w:rsidRPr="003653CA">
        <w:t xml:space="preserve">Higgs, Edward, Christine Jones, Kevin Schürer, and Amanda Wilkinson. </w:t>
      </w:r>
      <w:r w:rsidR="00865AD8">
        <w:t>“</w:t>
      </w:r>
      <w:r w:rsidRPr="003653CA">
        <w:t>Integrated Census Microdata (I-CeM) Guide.</w:t>
      </w:r>
      <w:r w:rsidR="00865AD8">
        <w:t>”</w:t>
      </w:r>
      <w:r w:rsidRPr="003653CA">
        <w:t xml:space="preserve"> Online document, University of Essex, Department of History (September 2013). https://www.essex.ac.uk/-/media/documents/research/‌icem_guide.pdf?la=en.</w:t>
      </w:r>
    </w:p>
    <w:p w14:paraId="1FB7EF67" w14:textId="1656DF00" w:rsidR="00594DD8" w:rsidRPr="00585293" w:rsidRDefault="00594DD8" w:rsidP="00594DD8">
      <w:pPr>
        <w:spacing w:after="160"/>
        <w:ind w:left="720" w:hanging="720"/>
        <w:jc w:val="both"/>
      </w:pPr>
      <w:r w:rsidRPr="00585293">
        <w:t xml:space="preserve">Long, Jason. </w:t>
      </w:r>
      <w:r w:rsidR="00865AD8">
        <w:t>“</w:t>
      </w:r>
      <w:r w:rsidRPr="00585293">
        <w:t>The Surprising Social Mobility of Victorian Britain</w:t>
      </w:r>
      <w:r w:rsidR="00865AD8">
        <w:t>.”</w:t>
      </w:r>
      <w:r w:rsidRPr="00585293">
        <w:t xml:space="preserve"> </w:t>
      </w:r>
      <w:r w:rsidRPr="00585293">
        <w:rPr>
          <w:i/>
          <w:iCs/>
        </w:rPr>
        <w:t>European Review of Economic History</w:t>
      </w:r>
      <w:r w:rsidRPr="00585293">
        <w:t xml:space="preserve"> 17, no. 1 (February 2013): pp. 1-23.</w:t>
      </w:r>
    </w:p>
    <w:p w14:paraId="5FC18E7E" w14:textId="2AD59C03" w:rsidR="00F9664F" w:rsidRPr="00585293" w:rsidRDefault="00F9664F" w:rsidP="00F9664F">
      <w:pPr>
        <w:spacing w:after="160"/>
        <w:ind w:left="720" w:hanging="720"/>
        <w:jc w:val="both"/>
      </w:pPr>
      <w:r w:rsidRPr="00585293">
        <w:t xml:space="preserve">Massey, Catherine G. </w:t>
      </w:r>
      <w:r w:rsidR="00865AD8">
        <w:t>“</w:t>
      </w:r>
      <w:r w:rsidR="004A0C86" w:rsidRPr="00585293">
        <w:t>Playing with Matches: An Assessment of Accuracy in Linked Historical Data</w:t>
      </w:r>
      <w:r w:rsidR="00865AD8">
        <w:t>.”</w:t>
      </w:r>
      <w:r w:rsidR="004A0C86" w:rsidRPr="00585293">
        <w:t xml:space="preserve"> </w:t>
      </w:r>
      <w:r w:rsidR="004A0C86" w:rsidRPr="00585293">
        <w:rPr>
          <w:i/>
          <w:iCs/>
        </w:rPr>
        <w:t>Historical Methods: A Journal of Quantitative and Interdisciplinary History</w:t>
      </w:r>
      <w:r w:rsidR="004A0C86" w:rsidRPr="00585293">
        <w:t xml:space="preserve"> 50, no. 3 (</w:t>
      </w:r>
      <w:r w:rsidR="00696ED4" w:rsidRPr="00585293">
        <w:t>2017): pp. 129-143</w:t>
      </w:r>
      <w:r w:rsidRPr="00585293">
        <w:t>.</w:t>
      </w:r>
    </w:p>
    <w:p w14:paraId="3CC8A7DE" w14:textId="701BBB97" w:rsidR="00053FDD" w:rsidRPr="00585293" w:rsidRDefault="00053FDD" w:rsidP="00053FDD">
      <w:pPr>
        <w:pStyle w:val="Bibliography"/>
        <w:spacing w:after="160"/>
        <w:ind w:left="720" w:hanging="720"/>
        <w:jc w:val="both"/>
      </w:pPr>
      <w:r w:rsidRPr="00585293">
        <w:t>Schürer, Kevin, Edward Higgs</w:t>
      </w:r>
      <w:r w:rsidR="003C17A7">
        <w:t>, and FINDMYPAST LIMITED</w:t>
      </w:r>
      <w:r w:rsidRPr="00585293">
        <w:t xml:space="preserve">. </w:t>
      </w:r>
      <w:r w:rsidRPr="00585293">
        <w:rPr>
          <w:i/>
          <w:iCs/>
        </w:rPr>
        <w:t>Integrated Census Microdata (I-CeM), 1851-1911</w:t>
      </w:r>
      <w:r w:rsidRPr="00585293">
        <w:t>. 4 April 2014</w:t>
      </w:r>
      <w:r w:rsidRPr="003653CA">
        <w:t xml:space="preserve">. Distributed by UK Data Service. SN 7481, </w:t>
      </w:r>
      <w:r w:rsidRPr="00585293">
        <w:t>http://doi.org/10.5255/UKDA-SN-7481-2.</w:t>
      </w:r>
    </w:p>
    <w:p w14:paraId="25B00023" w14:textId="165021BA" w:rsidR="00053FDD" w:rsidRPr="00585293" w:rsidRDefault="00053FDD" w:rsidP="00053FDD">
      <w:pPr>
        <w:pStyle w:val="Bibliography"/>
        <w:spacing w:after="160"/>
        <w:ind w:left="720" w:hanging="720"/>
        <w:jc w:val="both"/>
      </w:pPr>
      <w:r w:rsidRPr="00585293">
        <w:lastRenderedPageBreak/>
        <w:t>Schürer, Kevin, Edward Higgs</w:t>
      </w:r>
      <w:r w:rsidR="001C5035">
        <w:t>, and FINDMYPAST LIMITED</w:t>
      </w:r>
      <w:r w:rsidRPr="00585293">
        <w:t xml:space="preserve">. </w:t>
      </w:r>
      <w:r w:rsidRPr="00585293">
        <w:rPr>
          <w:i/>
          <w:iCs/>
        </w:rPr>
        <w:t>Integrated Census Microdata (I-CeM) Names and Addresses, 1851-1911: Special License Access</w:t>
      </w:r>
      <w:r w:rsidRPr="00585293">
        <w:t>. 2nd Edition. 21 December 2015</w:t>
      </w:r>
      <w:r w:rsidRPr="003653CA">
        <w:t xml:space="preserve">. Distributed by UK Data Service. SN 7856, </w:t>
      </w:r>
      <w:r w:rsidRPr="00585293">
        <w:t>http://doi.org/10.5255/UKDA-SN-7856-2.</w:t>
      </w:r>
    </w:p>
    <w:p w14:paraId="1FDD8D60" w14:textId="70822A3D" w:rsidR="00594DD8" w:rsidRPr="003653CA" w:rsidRDefault="00594DD8" w:rsidP="00594DD8">
      <w:pPr>
        <w:pStyle w:val="Bibliography"/>
        <w:spacing w:after="160"/>
        <w:ind w:left="720" w:hanging="720"/>
        <w:jc w:val="both"/>
      </w:pPr>
      <w:r w:rsidRPr="003653CA">
        <w:t xml:space="preserve">Tillott, P. M. </w:t>
      </w:r>
      <w:r w:rsidR="00865AD8">
        <w:t>“</w:t>
      </w:r>
      <w:r w:rsidRPr="003653CA">
        <w:t>The Analysis of Census Returns</w:t>
      </w:r>
      <w:r w:rsidR="00865AD8">
        <w:t>.”</w:t>
      </w:r>
      <w:r w:rsidRPr="003653CA">
        <w:t xml:space="preserve"> </w:t>
      </w:r>
      <w:r w:rsidRPr="003653CA">
        <w:rPr>
          <w:i/>
          <w:iCs/>
        </w:rPr>
        <w:t xml:space="preserve">Local Historian </w:t>
      </w:r>
      <w:r w:rsidRPr="003653CA">
        <w:t>8, no. 1 (1968): pp. 2-9.</w:t>
      </w:r>
    </w:p>
    <w:p w14:paraId="118552BA" w14:textId="7EF263B4" w:rsidR="00594DD8" w:rsidRPr="003653CA" w:rsidRDefault="00594DD8" w:rsidP="00594DD8">
      <w:pPr>
        <w:pStyle w:val="Bibliography"/>
        <w:spacing w:after="160"/>
        <w:ind w:left="720" w:hanging="720"/>
        <w:jc w:val="both"/>
      </w:pPr>
      <w:r w:rsidRPr="003653CA">
        <w:t xml:space="preserve">Tillott, P. </w:t>
      </w:r>
      <w:r w:rsidR="00865AD8">
        <w:t>“</w:t>
      </w:r>
      <w:r w:rsidRPr="003653CA">
        <w:t>Sources of Inaccuracy in the 1851 and 1861 Censuses</w:t>
      </w:r>
      <w:r w:rsidR="00865AD8">
        <w:t>.”</w:t>
      </w:r>
      <w:r w:rsidRPr="003653CA">
        <w:t xml:space="preserve"> in </w:t>
      </w:r>
      <w:r w:rsidRPr="003653CA">
        <w:rPr>
          <w:i/>
          <w:iCs/>
        </w:rPr>
        <w:t>Nineteenth-Century Society: Essays in the Use of Quantitative Methods for the Study of Social History</w:t>
      </w:r>
      <w:r w:rsidRPr="003653CA">
        <w:t>,</w:t>
      </w:r>
      <w:r w:rsidRPr="003653CA">
        <w:rPr>
          <w:i/>
          <w:iCs/>
        </w:rPr>
        <w:t xml:space="preserve"> </w:t>
      </w:r>
      <w:r w:rsidRPr="003653CA">
        <w:t>edited by E. A. Wrigley, pp. 82-133. London: Cambridge University Press, 1972.</w:t>
      </w:r>
    </w:p>
    <w:p w14:paraId="2F513652" w14:textId="0153F2DB" w:rsidR="00957D78" w:rsidRPr="00594DD8" w:rsidRDefault="00594DD8" w:rsidP="003653CA">
      <w:pPr>
        <w:pStyle w:val="Bibliography"/>
        <w:spacing w:after="160"/>
        <w:ind w:left="720" w:hanging="720"/>
        <w:jc w:val="both"/>
        <w:rPr>
          <w:rFonts w:eastAsiaTheme="majorEastAsia"/>
        </w:rPr>
      </w:pPr>
      <w:r w:rsidRPr="003653CA">
        <w:t xml:space="preserve">Van Leeuwen, Marco H. D., and Ineke Maas. </w:t>
      </w:r>
      <w:r w:rsidRPr="003653CA">
        <w:rPr>
          <w:i/>
          <w:iCs/>
        </w:rPr>
        <w:t>HISCLASS: A Historical International Social Class Scheme</w:t>
      </w:r>
      <w:r w:rsidRPr="003653CA">
        <w:t>. Leuven: Leuven University Press, 2011.</w:t>
      </w:r>
    </w:p>
    <w:sectPr w:rsidR="00957D78" w:rsidRPr="00594DD8" w:rsidSect="00BE06B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5241" w14:textId="77777777" w:rsidR="0099571F" w:rsidRPr="00585293" w:rsidRDefault="0099571F" w:rsidP="006C05C6">
      <w:r w:rsidRPr="00585293">
        <w:separator/>
      </w:r>
    </w:p>
  </w:endnote>
  <w:endnote w:type="continuationSeparator" w:id="0">
    <w:p w14:paraId="56B434E1" w14:textId="77777777" w:rsidR="0099571F" w:rsidRPr="00585293" w:rsidRDefault="0099571F" w:rsidP="006C05C6">
      <w:r w:rsidRPr="00585293">
        <w:continuationSeparator/>
      </w:r>
    </w:p>
  </w:endnote>
  <w:endnote w:type="continuationNotice" w:id="1">
    <w:p w14:paraId="50548AD7" w14:textId="77777777" w:rsidR="0099571F" w:rsidRPr="00585293" w:rsidRDefault="0099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51269"/>
      <w:docPartObj>
        <w:docPartGallery w:val="Page Numbers (Bottom of Page)"/>
        <w:docPartUnique/>
      </w:docPartObj>
    </w:sdtPr>
    <w:sdtEndPr/>
    <w:sdtContent>
      <w:p w14:paraId="676BC901" w14:textId="749B60D6" w:rsidR="0006158D" w:rsidRPr="00585293" w:rsidRDefault="0006158D">
        <w:pPr>
          <w:pStyle w:val="Footer"/>
          <w:jc w:val="center"/>
        </w:pPr>
        <w:r w:rsidRPr="003653CA">
          <w:fldChar w:fldCharType="begin"/>
        </w:r>
        <w:r w:rsidRPr="00585293">
          <w:instrText xml:space="preserve"> PAGE   \* MERGEFORMAT </w:instrText>
        </w:r>
        <w:r w:rsidRPr="003653CA">
          <w:fldChar w:fldCharType="separate"/>
        </w:r>
        <w:r w:rsidRPr="003653CA">
          <w:t>2</w:t>
        </w:r>
        <w:r w:rsidRPr="003653CA">
          <w:fldChar w:fldCharType="end"/>
        </w:r>
      </w:p>
    </w:sdtContent>
  </w:sdt>
  <w:p w14:paraId="1AF85F30" w14:textId="77777777" w:rsidR="00390BFE" w:rsidRPr="00585293" w:rsidRDefault="0039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2EEA2" w14:textId="77777777" w:rsidR="0099571F" w:rsidRPr="00585293" w:rsidRDefault="0099571F" w:rsidP="006C05C6">
      <w:r w:rsidRPr="00585293">
        <w:separator/>
      </w:r>
    </w:p>
  </w:footnote>
  <w:footnote w:type="continuationSeparator" w:id="0">
    <w:p w14:paraId="378DCEF0" w14:textId="77777777" w:rsidR="0099571F" w:rsidRPr="00585293" w:rsidRDefault="0099571F" w:rsidP="006C05C6">
      <w:r w:rsidRPr="00585293">
        <w:continuationSeparator/>
      </w:r>
    </w:p>
  </w:footnote>
  <w:footnote w:type="continuationNotice" w:id="1">
    <w:p w14:paraId="3B1A3647" w14:textId="77777777" w:rsidR="0099571F" w:rsidRPr="00585293" w:rsidRDefault="0099571F"/>
  </w:footnote>
  <w:footnote w:id="2">
    <w:p w14:paraId="41C198A6" w14:textId="2C8D2E5F" w:rsidR="00FA6BA1" w:rsidRPr="00585293" w:rsidRDefault="00FA6BA1" w:rsidP="008B797E">
      <w:pPr>
        <w:pStyle w:val="FootnoteText"/>
        <w:jc w:val="both"/>
      </w:pPr>
      <w:r w:rsidRPr="00585293">
        <w:rPr>
          <w:rStyle w:val="FootnoteReference"/>
        </w:rPr>
        <w:footnoteRef/>
      </w:r>
      <w:r w:rsidRPr="00585293">
        <w:t xml:space="preserve"> The requirements for an enumerator were: a person of intelligence and activity; able to read, write, and have some arithmetic knowledge; able to undertake the requisite physical exertion involved; must not be younger than 18 or older than 65; must be temperate, orderly, and respectable, conduct himself with strict propriety, and have the goodwill on the inhabitants of his district (women were allowed to become enumerators after 1891).</w:t>
      </w:r>
    </w:p>
  </w:footnote>
  <w:footnote w:id="3">
    <w:p w14:paraId="2AF7A934" w14:textId="31926E80" w:rsidR="0010320E" w:rsidRPr="00585293" w:rsidRDefault="0010320E" w:rsidP="008B797E">
      <w:pPr>
        <w:pStyle w:val="FootnoteText"/>
        <w:jc w:val="both"/>
      </w:pPr>
      <w:r w:rsidRPr="00585293">
        <w:rPr>
          <w:rStyle w:val="FootnoteReference"/>
        </w:rPr>
        <w:footnoteRef/>
      </w:r>
      <w:r w:rsidRPr="00585293">
        <w:t xml:space="preserve"> Linking procedures for both methods can be found in Abramitzky et al</w:t>
      </w:r>
      <w:r w:rsidR="00D37655">
        <w:t>. (2020).</w:t>
      </w:r>
    </w:p>
  </w:footnote>
  <w:footnote w:id="4">
    <w:p w14:paraId="0C0E247D" w14:textId="72E58F4E" w:rsidR="00616DE8" w:rsidRPr="00585293" w:rsidRDefault="00616DE8">
      <w:pPr>
        <w:pStyle w:val="FootnoteText"/>
      </w:pPr>
      <w:r w:rsidRPr="00585293">
        <w:rPr>
          <w:rStyle w:val="FootnoteReference"/>
        </w:rPr>
        <w:footnoteRef/>
      </w:r>
      <w:r w:rsidRPr="00585293">
        <w:t xml:space="preserve"> Though my review of the literature on census linkage </w:t>
      </w:r>
      <w:r w:rsidR="00FF2DDC" w:rsidRPr="00585293">
        <w:t>is by no means exhaustive, I have yet to come across any work that have used this method to check for false positives.</w:t>
      </w:r>
    </w:p>
  </w:footnote>
  <w:footnote w:id="5">
    <w:p w14:paraId="6B1EC794" w14:textId="77777777" w:rsidR="00DA2240" w:rsidRDefault="00DA2240" w:rsidP="00DA2240">
      <w:pPr>
        <w:pStyle w:val="FootnoteText"/>
      </w:pPr>
      <w:r w:rsidRPr="00585293">
        <w:rPr>
          <w:rStyle w:val="FootnoteReference"/>
        </w:rPr>
        <w:footnoteRef/>
      </w:r>
      <w:r w:rsidRPr="00585293">
        <w:t xml:space="preserve"> This is not to say that allowing birth years to differ by five years would entail a significantly higher rate of false positives in itself, only that it would cause a significantly higher number of false positives when linkage is conducted using a sample rather than the full census.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F94"/>
    <w:multiLevelType w:val="hybridMultilevel"/>
    <w:tmpl w:val="77CC7202"/>
    <w:lvl w:ilvl="0" w:tplc="215AE7FE">
      <w:start w:val="5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72A0"/>
    <w:multiLevelType w:val="hybridMultilevel"/>
    <w:tmpl w:val="9152968E"/>
    <w:lvl w:ilvl="0" w:tplc="166C9398">
      <w:start w:val="59"/>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504B56"/>
    <w:multiLevelType w:val="hybridMultilevel"/>
    <w:tmpl w:val="D38AE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2971"/>
    <w:multiLevelType w:val="hybridMultilevel"/>
    <w:tmpl w:val="F6F81252"/>
    <w:lvl w:ilvl="0" w:tplc="6BB460D2">
      <w:start w:val="5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706A4"/>
    <w:multiLevelType w:val="hybridMultilevel"/>
    <w:tmpl w:val="FD7ADF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63787"/>
    <w:multiLevelType w:val="hybridMultilevel"/>
    <w:tmpl w:val="FC643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D40FC3"/>
    <w:multiLevelType w:val="hybridMultilevel"/>
    <w:tmpl w:val="92089F40"/>
    <w:lvl w:ilvl="0" w:tplc="1DC0C47E">
      <w:start w:val="5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696774">
    <w:abstractNumId w:val="2"/>
  </w:num>
  <w:num w:numId="2" w16cid:durableId="600795795">
    <w:abstractNumId w:val="5"/>
  </w:num>
  <w:num w:numId="3" w16cid:durableId="1582368541">
    <w:abstractNumId w:val="4"/>
  </w:num>
  <w:num w:numId="4" w16cid:durableId="1669748013">
    <w:abstractNumId w:val="0"/>
  </w:num>
  <w:num w:numId="5" w16cid:durableId="1674064770">
    <w:abstractNumId w:val="6"/>
  </w:num>
  <w:num w:numId="6" w16cid:durableId="1712148560">
    <w:abstractNumId w:val="1"/>
  </w:num>
  <w:num w:numId="7" w16cid:durableId="66312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3"/>
    <w:rsid w:val="00000FA9"/>
    <w:rsid w:val="00001498"/>
    <w:rsid w:val="00001898"/>
    <w:rsid w:val="00001BDA"/>
    <w:rsid w:val="0000251D"/>
    <w:rsid w:val="0000352F"/>
    <w:rsid w:val="00004074"/>
    <w:rsid w:val="00004380"/>
    <w:rsid w:val="00005B9F"/>
    <w:rsid w:val="000064C3"/>
    <w:rsid w:val="00007B79"/>
    <w:rsid w:val="00010CBF"/>
    <w:rsid w:val="000110FB"/>
    <w:rsid w:val="000113ED"/>
    <w:rsid w:val="00011EAC"/>
    <w:rsid w:val="00012565"/>
    <w:rsid w:val="00014CAD"/>
    <w:rsid w:val="000166CB"/>
    <w:rsid w:val="000178F2"/>
    <w:rsid w:val="000179F0"/>
    <w:rsid w:val="00017C0E"/>
    <w:rsid w:val="00017E47"/>
    <w:rsid w:val="00017FDA"/>
    <w:rsid w:val="00020383"/>
    <w:rsid w:val="00021494"/>
    <w:rsid w:val="00021F2C"/>
    <w:rsid w:val="000222F2"/>
    <w:rsid w:val="00022A72"/>
    <w:rsid w:val="00022C08"/>
    <w:rsid w:val="00023761"/>
    <w:rsid w:val="0002492C"/>
    <w:rsid w:val="00024A9F"/>
    <w:rsid w:val="00024FBE"/>
    <w:rsid w:val="00026CC5"/>
    <w:rsid w:val="0002728C"/>
    <w:rsid w:val="00027BEB"/>
    <w:rsid w:val="00030232"/>
    <w:rsid w:val="0003029D"/>
    <w:rsid w:val="0003088E"/>
    <w:rsid w:val="00031049"/>
    <w:rsid w:val="000312F1"/>
    <w:rsid w:val="000328BA"/>
    <w:rsid w:val="00032F69"/>
    <w:rsid w:val="00032F6E"/>
    <w:rsid w:val="00033A45"/>
    <w:rsid w:val="00034B16"/>
    <w:rsid w:val="00034E89"/>
    <w:rsid w:val="0003693C"/>
    <w:rsid w:val="00036997"/>
    <w:rsid w:val="0003750B"/>
    <w:rsid w:val="00040635"/>
    <w:rsid w:val="00041F6C"/>
    <w:rsid w:val="0004206C"/>
    <w:rsid w:val="00042194"/>
    <w:rsid w:val="00042A5E"/>
    <w:rsid w:val="00042CFF"/>
    <w:rsid w:val="00042F35"/>
    <w:rsid w:val="000438C8"/>
    <w:rsid w:val="0004417C"/>
    <w:rsid w:val="00044397"/>
    <w:rsid w:val="0004713F"/>
    <w:rsid w:val="0005027C"/>
    <w:rsid w:val="00050905"/>
    <w:rsid w:val="00050BE5"/>
    <w:rsid w:val="00050C2F"/>
    <w:rsid w:val="00052867"/>
    <w:rsid w:val="00053D73"/>
    <w:rsid w:val="00053E4D"/>
    <w:rsid w:val="00053FDD"/>
    <w:rsid w:val="00054745"/>
    <w:rsid w:val="000556EA"/>
    <w:rsid w:val="0005679F"/>
    <w:rsid w:val="000568F7"/>
    <w:rsid w:val="00057089"/>
    <w:rsid w:val="00057B50"/>
    <w:rsid w:val="00060C8C"/>
    <w:rsid w:val="00061328"/>
    <w:rsid w:val="0006158D"/>
    <w:rsid w:val="0006225D"/>
    <w:rsid w:val="00063187"/>
    <w:rsid w:val="00063BC3"/>
    <w:rsid w:val="00064585"/>
    <w:rsid w:val="00064A53"/>
    <w:rsid w:val="00065B7E"/>
    <w:rsid w:val="00065F92"/>
    <w:rsid w:val="00066144"/>
    <w:rsid w:val="00071657"/>
    <w:rsid w:val="0007315B"/>
    <w:rsid w:val="0007384C"/>
    <w:rsid w:val="000740B9"/>
    <w:rsid w:val="00074110"/>
    <w:rsid w:val="0007481E"/>
    <w:rsid w:val="00075CEC"/>
    <w:rsid w:val="00076982"/>
    <w:rsid w:val="00077A78"/>
    <w:rsid w:val="00082196"/>
    <w:rsid w:val="000824C2"/>
    <w:rsid w:val="00084499"/>
    <w:rsid w:val="00084561"/>
    <w:rsid w:val="000853C5"/>
    <w:rsid w:val="00085491"/>
    <w:rsid w:val="00085683"/>
    <w:rsid w:val="00085EAA"/>
    <w:rsid w:val="000861F0"/>
    <w:rsid w:val="00087B8B"/>
    <w:rsid w:val="00090920"/>
    <w:rsid w:val="00091A70"/>
    <w:rsid w:val="00091C97"/>
    <w:rsid w:val="00091DF6"/>
    <w:rsid w:val="00091F29"/>
    <w:rsid w:val="000929B4"/>
    <w:rsid w:val="00093694"/>
    <w:rsid w:val="00094FFC"/>
    <w:rsid w:val="00095951"/>
    <w:rsid w:val="00096228"/>
    <w:rsid w:val="00096D95"/>
    <w:rsid w:val="0009713A"/>
    <w:rsid w:val="00097718"/>
    <w:rsid w:val="000A0485"/>
    <w:rsid w:val="000A1055"/>
    <w:rsid w:val="000A1328"/>
    <w:rsid w:val="000A1E9A"/>
    <w:rsid w:val="000A3E20"/>
    <w:rsid w:val="000A4DC7"/>
    <w:rsid w:val="000A4DF3"/>
    <w:rsid w:val="000B0146"/>
    <w:rsid w:val="000B06A9"/>
    <w:rsid w:val="000B0EF6"/>
    <w:rsid w:val="000B12D1"/>
    <w:rsid w:val="000B1804"/>
    <w:rsid w:val="000B25E4"/>
    <w:rsid w:val="000B4726"/>
    <w:rsid w:val="000B6AC4"/>
    <w:rsid w:val="000B733B"/>
    <w:rsid w:val="000C1192"/>
    <w:rsid w:val="000C3461"/>
    <w:rsid w:val="000C3A12"/>
    <w:rsid w:val="000C44CF"/>
    <w:rsid w:val="000C51AC"/>
    <w:rsid w:val="000C6459"/>
    <w:rsid w:val="000C77B1"/>
    <w:rsid w:val="000C7D07"/>
    <w:rsid w:val="000D010C"/>
    <w:rsid w:val="000D037A"/>
    <w:rsid w:val="000D0635"/>
    <w:rsid w:val="000D087A"/>
    <w:rsid w:val="000D2DEE"/>
    <w:rsid w:val="000D3129"/>
    <w:rsid w:val="000D3E80"/>
    <w:rsid w:val="000D5340"/>
    <w:rsid w:val="000D72D4"/>
    <w:rsid w:val="000E078B"/>
    <w:rsid w:val="000E090F"/>
    <w:rsid w:val="000E12D2"/>
    <w:rsid w:val="000E1D8F"/>
    <w:rsid w:val="000E22B9"/>
    <w:rsid w:val="000E3135"/>
    <w:rsid w:val="000E4516"/>
    <w:rsid w:val="000E5B10"/>
    <w:rsid w:val="000F07EB"/>
    <w:rsid w:val="000F0A80"/>
    <w:rsid w:val="000F194B"/>
    <w:rsid w:val="000F2E8A"/>
    <w:rsid w:val="000F48BB"/>
    <w:rsid w:val="000F6783"/>
    <w:rsid w:val="000F6F73"/>
    <w:rsid w:val="000F79AB"/>
    <w:rsid w:val="00100828"/>
    <w:rsid w:val="00101E11"/>
    <w:rsid w:val="001020CD"/>
    <w:rsid w:val="001027AA"/>
    <w:rsid w:val="00102C2D"/>
    <w:rsid w:val="0010320E"/>
    <w:rsid w:val="00104ABE"/>
    <w:rsid w:val="00104EE1"/>
    <w:rsid w:val="001061B1"/>
    <w:rsid w:val="00106799"/>
    <w:rsid w:val="00106857"/>
    <w:rsid w:val="00110169"/>
    <w:rsid w:val="00111856"/>
    <w:rsid w:val="0011242B"/>
    <w:rsid w:val="00113EA5"/>
    <w:rsid w:val="001147DA"/>
    <w:rsid w:val="001148F4"/>
    <w:rsid w:val="00116D9F"/>
    <w:rsid w:val="00117714"/>
    <w:rsid w:val="00117999"/>
    <w:rsid w:val="0012094F"/>
    <w:rsid w:val="00120A6F"/>
    <w:rsid w:val="0012136B"/>
    <w:rsid w:val="00121609"/>
    <w:rsid w:val="00122349"/>
    <w:rsid w:val="00124045"/>
    <w:rsid w:val="001245E2"/>
    <w:rsid w:val="00125B19"/>
    <w:rsid w:val="00126491"/>
    <w:rsid w:val="00131BFC"/>
    <w:rsid w:val="00131F7E"/>
    <w:rsid w:val="0013265D"/>
    <w:rsid w:val="001328B3"/>
    <w:rsid w:val="00132F80"/>
    <w:rsid w:val="0013325F"/>
    <w:rsid w:val="00134422"/>
    <w:rsid w:val="0013546F"/>
    <w:rsid w:val="00135B4E"/>
    <w:rsid w:val="00136440"/>
    <w:rsid w:val="00137231"/>
    <w:rsid w:val="001400EE"/>
    <w:rsid w:val="001419B6"/>
    <w:rsid w:val="00141E6A"/>
    <w:rsid w:val="0014210A"/>
    <w:rsid w:val="0014383E"/>
    <w:rsid w:val="0014441B"/>
    <w:rsid w:val="00144526"/>
    <w:rsid w:val="00145630"/>
    <w:rsid w:val="001459B7"/>
    <w:rsid w:val="001470EB"/>
    <w:rsid w:val="001476F3"/>
    <w:rsid w:val="00147C2C"/>
    <w:rsid w:val="00151F6E"/>
    <w:rsid w:val="001527DC"/>
    <w:rsid w:val="00152AA0"/>
    <w:rsid w:val="00153320"/>
    <w:rsid w:val="00153C1A"/>
    <w:rsid w:val="00153F7F"/>
    <w:rsid w:val="0015456F"/>
    <w:rsid w:val="00155DD5"/>
    <w:rsid w:val="001567E3"/>
    <w:rsid w:val="00156973"/>
    <w:rsid w:val="001569AC"/>
    <w:rsid w:val="001578DC"/>
    <w:rsid w:val="00160B4C"/>
    <w:rsid w:val="00163E3D"/>
    <w:rsid w:val="0016449E"/>
    <w:rsid w:val="00164A54"/>
    <w:rsid w:val="00164C9C"/>
    <w:rsid w:val="0016514C"/>
    <w:rsid w:val="00165691"/>
    <w:rsid w:val="0017006E"/>
    <w:rsid w:val="001704F9"/>
    <w:rsid w:val="00170622"/>
    <w:rsid w:val="001708E7"/>
    <w:rsid w:val="00171589"/>
    <w:rsid w:val="001718E0"/>
    <w:rsid w:val="00171B29"/>
    <w:rsid w:val="00172B45"/>
    <w:rsid w:val="00172BEA"/>
    <w:rsid w:val="0017514E"/>
    <w:rsid w:val="001763EB"/>
    <w:rsid w:val="00176CA4"/>
    <w:rsid w:val="00177608"/>
    <w:rsid w:val="00177C8B"/>
    <w:rsid w:val="00177D43"/>
    <w:rsid w:val="001809F6"/>
    <w:rsid w:val="00180C27"/>
    <w:rsid w:val="001812F9"/>
    <w:rsid w:val="001816C7"/>
    <w:rsid w:val="00183400"/>
    <w:rsid w:val="001848F1"/>
    <w:rsid w:val="0018665F"/>
    <w:rsid w:val="001878D1"/>
    <w:rsid w:val="001920AC"/>
    <w:rsid w:val="001922D9"/>
    <w:rsid w:val="00192E92"/>
    <w:rsid w:val="00194392"/>
    <w:rsid w:val="001947DA"/>
    <w:rsid w:val="00195D73"/>
    <w:rsid w:val="00197AC2"/>
    <w:rsid w:val="00197E92"/>
    <w:rsid w:val="00197EF5"/>
    <w:rsid w:val="001A0764"/>
    <w:rsid w:val="001A0E0C"/>
    <w:rsid w:val="001A22C0"/>
    <w:rsid w:val="001A246C"/>
    <w:rsid w:val="001A24B2"/>
    <w:rsid w:val="001A264C"/>
    <w:rsid w:val="001A2697"/>
    <w:rsid w:val="001A26FD"/>
    <w:rsid w:val="001A3981"/>
    <w:rsid w:val="001A53E0"/>
    <w:rsid w:val="001A5EFA"/>
    <w:rsid w:val="001A6DEB"/>
    <w:rsid w:val="001B009D"/>
    <w:rsid w:val="001B00F4"/>
    <w:rsid w:val="001B0F66"/>
    <w:rsid w:val="001B2227"/>
    <w:rsid w:val="001B27E7"/>
    <w:rsid w:val="001B2F4A"/>
    <w:rsid w:val="001B3C01"/>
    <w:rsid w:val="001B5586"/>
    <w:rsid w:val="001B5F97"/>
    <w:rsid w:val="001B718E"/>
    <w:rsid w:val="001B733A"/>
    <w:rsid w:val="001B78D8"/>
    <w:rsid w:val="001C11DD"/>
    <w:rsid w:val="001C1F7E"/>
    <w:rsid w:val="001C2344"/>
    <w:rsid w:val="001C2D49"/>
    <w:rsid w:val="001C341A"/>
    <w:rsid w:val="001C389A"/>
    <w:rsid w:val="001C492C"/>
    <w:rsid w:val="001C4DB0"/>
    <w:rsid w:val="001C5035"/>
    <w:rsid w:val="001C63AA"/>
    <w:rsid w:val="001C6B74"/>
    <w:rsid w:val="001C7589"/>
    <w:rsid w:val="001D0156"/>
    <w:rsid w:val="001D06C9"/>
    <w:rsid w:val="001D121C"/>
    <w:rsid w:val="001D235D"/>
    <w:rsid w:val="001D4166"/>
    <w:rsid w:val="001D494A"/>
    <w:rsid w:val="001D668E"/>
    <w:rsid w:val="001D779D"/>
    <w:rsid w:val="001D7AF0"/>
    <w:rsid w:val="001E0759"/>
    <w:rsid w:val="001E18D2"/>
    <w:rsid w:val="001E1A5A"/>
    <w:rsid w:val="001E36B5"/>
    <w:rsid w:val="001E3817"/>
    <w:rsid w:val="001E3876"/>
    <w:rsid w:val="001E3F0F"/>
    <w:rsid w:val="001E48C4"/>
    <w:rsid w:val="001E4B3B"/>
    <w:rsid w:val="001E5A7C"/>
    <w:rsid w:val="001E6DF9"/>
    <w:rsid w:val="001E6FD4"/>
    <w:rsid w:val="001F1A45"/>
    <w:rsid w:val="001F20C6"/>
    <w:rsid w:val="001F30B3"/>
    <w:rsid w:val="001F3543"/>
    <w:rsid w:val="001F3E3E"/>
    <w:rsid w:val="001F45D5"/>
    <w:rsid w:val="001F4AE6"/>
    <w:rsid w:val="001F520E"/>
    <w:rsid w:val="001F52D3"/>
    <w:rsid w:val="001F60DE"/>
    <w:rsid w:val="00200630"/>
    <w:rsid w:val="00200F04"/>
    <w:rsid w:val="002020C9"/>
    <w:rsid w:val="002022E7"/>
    <w:rsid w:val="00202A0D"/>
    <w:rsid w:val="00204832"/>
    <w:rsid w:val="00205FC7"/>
    <w:rsid w:val="0020603F"/>
    <w:rsid w:val="002062E2"/>
    <w:rsid w:val="002069E0"/>
    <w:rsid w:val="002072C2"/>
    <w:rsid w:val="002077D1"/>
    <w:rsid w:val="00207E8F"/>
    <w:rsid w:val="00210BB9"/>
    <w:rsid w:val="002124B4"/>
    <w:rsid w:val="00213C1E"/>
    <w:rsid w:val="00214C62"/>
    <w:rsid w:val="00214CEE"/>
    <w:rsid w:val="0021500D"/>
    <w:rsid w:val="00220425"/>
    <w:rsid w:val="00220835"/>
    <w:rsid w:val="00222E3E"/>
    <w:rsid w:val="0022382A"/>
    <w:rsid w:val="002249E7"/>
    <w:rsid w:val="00224AE1"/>
    <w:rsid w:val="00225BAF"/>
    <w:rsid w:val="00226972"/>
    <w:rsid w:val="00226FF1"/>
    <w:rsid w:val="002272CD"/>
    <w:rsid w:val="00227892"/>
    <w:rsid w:val="00231588"/>
    <w:rsid w:val="00231B51"/>
    <w:rsid w:val="002320AF"/>
    <w:rsid w:val="002323A9"/>
    <w:rsid w:val="002327D2"/>
    <w:rsid w:val="00232D5B"/>
    <w:rsid w:val="0023326A"/>
    <w:rsid w:val="00233C39"/>
    <w:rsid w:val="00236BD2"/>
    <w:rsid w:val="00237046"/>
    <w:rsid w:val="00237B39"/>
    <w:rsid w:val="00237F7F"/>
    <w:rsid w:val="00240513"/>
    <w:rsid w:val="00241F51"/>
    <w:rsid w:val="00242A1D"/>
    <w:rsid w:val="00243BE2"/>
    <w:rsid w:val="0024410B"/>
    <w:rsid w:val="00245373"/>
    <w:rsid w:val="002506F9"/>
    <w:rsid w:val="00250C8B"/>
    <w:rsid w:val="0025197D"/>
    <w:rsid w:val="00252156"/>
    <w:rsid w:val="00253291"/>
    <w:rsid w:val="00253312"/>
    <w:rsid w:val="00253E67"/>
    <w:rsid w:val="002543D5"/>
    <w:rsid w:val="00255FF5"/>
    <w:rsid w:val="0025671A"/>
    <w:rsid w:val="00261D83"/>
    <w:rsid w:val="0026271A"/>
    <w:rsid w:val="00262A6F"/>
    <w:rsid w:val="00262D95"/>
    <w:rsid w:val="002640C0"/>
    <w:rsid w:val="00264242"/>
    <w:rsid w:val="00265197"/>
    <w:rsid w:val="002652C3"/>
    <w:rsid w:val="0026538B"/>
    <w:rsid w:val="00265465"/>
    <w:rsid w:val="00265A02"/>
    <w:rsid w:val="00266773"/>
    <w:rsid w:val="00267218"/>
    <w:rsid w:val="00267B26"/>
    <w:rsid w:val="00267F57"/>
    <w:rsid w:val="002700B6"/>
    <w:rsid w:val="002704CF"/>
    <w:rsid w:val="00271369"/>
    <w:rsid w:val="00271533"/>
    <w:rsid w:val="0027160C"/>
    <w:rsid w:val="00271D1F"/>
    <w:rsid w:val="002724CA"/>
    <w:rsid w:val="00272C9E"/>
    <w:rsid w:val="002749DF"/>
    <w:rsid w:val="00274E48"/>
    <w:rsid w:val="0027557E"/>
    <w:rsid w:val="002759FC"/>
    <w:rsid w:val="00276054"/>
    <w:rsid w:val="00276C2E"/>
    <w:rsid w:val="00276F7A"/>
    <w:rsid w:val="002773E7"/>
    <w:rsid w:val="00280C07"/>
    <w:rsid w:val="002815C0"/>
    <w:rsid w:val="00282369"/>
    <w:rsid w:val="00282433"/>
    <w:rsid w:val="00282D19"/>
    <w:rsid w:val="00284339"/>
    <w:rsid w:val="00284EE3"/>
    <w:rsid w:val="002850E9"/>
    <w:rsid w:val="002874CC"/>
    <w:rsid w:val="0028799E"/>
    <w:rsid w:val="00287F8D"/>
    <w:rsid w:val="0029057B"/>
    <w:rsid w:val="00290DD1"/>
    <w:rsid w:val="002920A1"/>
    <w:rsid w:val="002926F6"/>
    <w:rsid w:val="00293FB8"/>
    <w:rsid w:val="002948FC"/>
    <w:rsid w:val="00295442"/>
    <w:rsid w:val="00296C26"/>
    <w:rsid w:val="00296F68"/>
    <w:rsid w:val="002A1A87"/>
    <w:rsid w:val="002A39D5"/>
    <w:rsid w:val="002A3C4E"/>
    <w:rsid w:val="002A49FA"/>
    <w:rsid w:val="002A4A2A"/>
    <w:rsid w:val="002A6A46"/>
    <w:rsid w:val="002A736F"/>
    <w:rsid w:val="002A7927"/>
    <w:rsid w:val="002A7BC9"/>
    <w:rsid w:val="002B0475"/>
    <w:rsid w:val="002B20ED"/>
    <w:rsid w:val="002B2240"/>
    <w:rsid w:val="002B450F"/>
    <w:rsid w:val="002B4976"/>
    <w:rsid w:val="002B5C8B"/>
    <w:rsid w:val="002B5CA9"/>
    <w:rsid w:val="002B7B03"/>
    <w:rsid w:val="002C02A7"/>
    <w:rsid w:val="002C0410"/>
    <w:rsid w:val="002C0BAE"/>
    <w:rsid w:val="002C1967"/>
    <w:rsid w:val="002C204C"/>
    <w:rsid w:val="002C2FD4"/>
    <w:rsid w:val="002C3E8E"/>
    <w:rsid w:val="002C43AF"/>
    <w:rsid w:val="002C47D2"/>
    <w:rsid w:val="002C4C97"/>
    <w:rsid w:val="002C5303"/>
    <w:rsid w:val="002C68D7"/>
    <w:rsid w:val="002C6F99"/>
    <w:rsid w:val="002C7FFD"/>
    <w:rsid w:val="002D0485"/>
    <w:rsid w:val="002D2448"/>
    <w:rsid w:val="002D3200"/>
    <w:rsid w:val="002D38B6"/>
    <w:rsid w:val="002D50B7"/>
    <w:rsid w:val="002D5618"/>
    <w:rsid w:val="002D6515"/>
    <w:rsid w:val="002E0CA0"/>
    <w:rsid w:val="002E25D6"/>
    <w:rsid w:val="002E2CD6"/>
    <w:rsid w:val="002E4159"/>
    <w:rsid w:val="002E55D5"/>
    <w:rsid w:val="002E7791"/>
    <w:rsid w:val="002E7832"/>
    <w:rsid w:val="002E7BC9"/>
    <w:rsid w:val="002F1441"/>
    <w:rsid w:val="002F1710"/>
    <w:rsid w:val="002F1E9B"/>
    <w:rsid w:val="002F2DE4"/>
    <w:rsid w:val="002F30DE"/>
    <w:rsid w:val="002F33BB"/>
    <w:rsid w:val="002F3AFF"/>
    <w:rsid w:val="002F3EDA"/>
    <w:rsid w:val="002F4F45"/>
    <w:rsid w:val="002F538D"/>
    <w:rsid w:val="002F632E"/>
    <w:rsid w:val="002F6B0A"/>
    <w:rsid w:val="002F77A2"/>
    <w:rsid w:val="002F7E39"/>
    <w:rsid w:val="0030052B"/>
    <w:rsid w:val="00301585"/>
    <w:rsid w:val="00303145"/>
    <w:rsid w:val="00304A6E"/>
    <w:rsid w:val="00304B36"/>
    <w:rsid w:val="00304BC8"/>
    <w:rsid w:val="0030649E"/>
    <w:rsid w:val="003100FE"/>
    <w:rsid w:val="00310669"/>
    <w:rsid w:val="0031089C"/>
    <w:rsid w:val="00311C31"/>
    <w:rsid w:val="0031486C"/>
    <w:rsid w:val="00315CFC"/>
    <w:rsid w:val="00317519"/>
    <w:rsid w:val="003176A2"/>
    <w:rsid w:val="00321E1F"/>
    <w:rsid w:val="003237E8"/>
    <w:rsid w:val="003239A2"/>
    <w:rsid w:val="003245EE"/>
    <w:rsid w:val="00325830"/>
    <w:rsid w:val="0032621A"/>
    <w:rsid w:val="003263B9"/>
    <w:rsid w:val="0032690D"/>
    <w:rsid w:val="00326D3B"/>
    <w:rsid w:val="00327286"/>
    <w:rsid w:val="00327819"/>
    <w:rsid w:val="00330ED0"/>
    <w:rsid w:val="003328C7"/>
    <w:rsid w:val="00332C23"/>
    <w:rsid w:val="0033309F"/>
    <w:rsid w:val="00333123"/>
    <w:rsid w:val="00334265"/>
    <w:rsid w:val="003349A9"/>
    <w:rsid w:val="00335C90"/>
    <w:rsid w:val="003361A8"/>
    <w:rsid w:val="00336232"/>
    <w:rsid w:val="003376BE"/>
    <w:rsid w:val="00337A26"/>
    <w:rsid w:val="003411C1"/>
    <w:rsid w:val="003415EE"/>
    <w:rsid w:val="003417B9"/>
    <w:rsid w:val="00341DE9"/>
    <w:rsid w:val="00342201"/>
    <w:rsid w:val="003439D6"/>
    <w:rsid w:val="0034753C"/>
    <w:rsid w:val="00347AB2"/>
    <w:rsid w:val="003523B6"/>
    <w:rsid w:val="003523E0"/>
    <w:rsid w:val="0035292A"/>
    <w:rsid w:val="00352B39"/>
    <w:rsid w:val="00352D13"/>
    <w:rsid w:val="00352E11"/>
    <w:rsid w:val="003536A6"/>
    <w:rsid w:val="00354E0F"/>
    <w:rsid w:val="00354E59"/>
    <w:rsid w:val="003560BB"/>
    <w:rsid w:val="003569E9"/>
    <w:rsid w:val="00357C1A"/>
    <w:rsid w:val="003600D3"/>
    <w:rsid w:val="00360FA7"/>
    <w:rsid w:val="0036207E"/>
    <w:rsid w:val="00362369"/>
    <w:rsid w:val="00362421"/>
    <w:rsid w:val="0036433A"/>
    <w:rsid w:val="00364F3D"/>
    <w:rsid w:val="0036533D"/>
    <w:rsid w:val="003653CA"/>
    <w:rsid w:val="003655AE"/>
    <w:rsid w:val="003662CD"/>
    <w:rsid w:val="00372544"/>
    <w:rsid w:val="0037317C"/>
    <w:rsid w:val="0037331C"/>
    <w:rsid w:val="00373462"/>
    <w:rsid w:val="003756FA"/>
    <w:rsid w:val="00377051"/>
    <w:rsid w:val="0038066A"/>
    <w:rsid w:val="00380D4A"/>
    <w:rsid w:val="00380DD7"/>
    <w:rsid w:val="00380E1F"/>
    <w:rsid w:val="0038136C"/>
    <w:rsid w:val="00383D27"/>
    <w:rsid w:val="00384024"/>
    <w:rsid w:val="00384502"/>
    <w:rsid w:val="0038655D"/>
    <w:rsid w:val="003876B6"/>
    <w:rsid w:val="003876D8"/>
    <w:rsid w:val="00387C4D"/>
    <w:rsid w:val="00390AFB"/>
    <w:rsid w:val="00390BFE"/>
    <w:rsid w:val="00391149"/>
    <w:rsid w:val="00392F51"/>
    <w:rsid w:val="00393354"/>
    <w:rsid w:val="003939B5"/>
    <w:rsid w:val="00394169"/>
    <w:rsid w:val="003955F5"/>
    <w:rsid w:val="00395B03"/>
    <w:rsid w:val="003967DC"/>
    <w:rsid w:val="0039761F"/>
    <w:rsid w:val="003A13FE"/>
    <w:rsid w:val="003A2037"/>
    <w:rsid w:val="003A2073"/>
    <w:rsid w:val="003A2280"/>
    <w:rsid w:val="003A58D1"/>
    <w:rsid w:val="003A5B03"/>
    <w:rsid w:val="003A5D00"/>
    <w:rsid w:val="003A5D0B"/>
    <w:rsid w:val="003A60CF"/>
    <w:rsid w:val="003A61DC"/>
    <w:rsid w:val="003A63D9"/>
    <w:rsid w:val="003A7256"/>
    <w:rsid w:val="003B0A15"/>
    <w:rsid w:val="003B1A52"/>
    <w:rsid w:val="003B2388"/>
    <w:rsid w:val="003B408A"/>
    <w:rsid w:val="003B4826"/>
    <w:rsid w:val="003B51AB"/>
    <w:rsid w:val="003C06E7"/>
    <w:rsid w:val="003C0929"/>
    <w:rsid w:val="003C09B3"/>
    <w:rsid w:val="003C1717"/>
    <w:rsid w:val="003C17A7"/>
    <w:rsid w:val="003C1AEE"/>
    <w:rsid w:val="003C1F39"/>
    <w:rsid w:val="003C3010"/>
    <w:rsid w:val="003C324A"/>
    <w:rsid w:val="003C32F0"/>
    <w:rsid w:val="003C3837"/>
    <w:rsid w:val="003C386F"/>
    <w:rsid w:val="003C3AE3"/>
    <w:rsid w:val="003C44F2"/>
    <w:rsid w:val="003C4BFF"/>
    <w:rsid w:val="003C5ADD"/>
    <w:rsid w:val="003C690C"/>
    <w:rsid w:val="003C6BB0"/>
    <w:rsid w:val="003C7D24"/>
    <w:rsid w:val="003D011B"/>
    <w:rsid w:val="003D16E6"/>
    <w:rsid w:val="003D28D6"/>
    <w:rsid w:val="003D2EE8"/>
    <w:rsid w:val="003D43D4"/>
    <w:rsid w:val="003D4B14"/>
    <w:rsid w:val="003D4B41"/>
    <w:rsid w:val="003D5CDD"/>
    <w:rsid w:val="003D5F4F"/>
    <w:rsid w:val="003D6459"/>
    <w:rsid w:val="003D7245"/>
    <w:rsid w:val="003E0C90"/>
    <w:rsid w:val="003E14D3"/>
    <w:rsid w:val="003E1CB9"/>
    <w:rsid w:val="003E2B08"/>
    <w:rsid w:val="003E2CB8"/>
    <w:rsid w:val="003E2EBC"/>
    <w:rsid w:val="003E2FE1"/>
    <w:rsid w:val="003E2FF1"/>
    <w:rsid w:val="003E4641"/>
    <w:rsid w:val="003E4794"/>
    <w:rsid w:val="003E6389"/>
    <w:rsid w:val="003E643D"/>
    <w:rsid w:val="003E657C"/>
    <w:rsid w:val="003E7248"/>
    <w:rsid w:val="003E763D"/>
    <w:rsid w:val="003F11D1"/>
    <w:rsid w:val="003F175D"/>
    <w:rsid w:val="003F27AF"/>
    <w:rsid w:val="003F2879"/>
    <w:rsid w:val="003F2A93"/>
    <w:rsid w:val="003F2CBB"/>
    <w:rsid w:val="003F3043"/>
    <w:rsid w:val="003F4115"/>
    <w:rsid w:val="003F5550"/>
    <w:rsid w:val="003F65FC"/>
    <w:rsid w:val="003F798F"/>
    <w:rsid w:val="003F7BD1"/>
    <w:rsid w:val="00400A6C"/>
    <w:rsid w:val="00403014"/>
    <w:rsid w:val="00403C46"/>
    <w:rsid w:val="004053B6"/>
    <w:rsid w:val="00405A7A"/>
    <w:rsid w:val="00406528"/>
    <w:rsid w:val="00406E1C"/>
    <w:rsid w:val="004074EA"/>
    <w:rsid w:val="0041019E"/>
    <w:rsid w:val="00411B9D"/>
    <w:rsid w:val="004127C9"/>
    <w:rsid w:val="004140D7"/>
    <w:rsid w:val="00415810"/>
    <w:rsid w:val="00420966"/>
    <w:rsid w:val="00421457"/>
    <w:rsid w:val="004216AE"/>
    <w:rsid w:val="00421B19"/>
    <w:rsid w:val="00421B6B"/>
    <w:rsid w:val="00421D90"/>
    <w:rsid w:val="00422EA5"/>
    <w:rsid w:val="004234F1"/>
    <w:rsid w:val="004238DB"/>
    <w:rsid w:val="004255D6"/>
    <w:rsid w:val="00425F70"/>
    <w:rsid w:val="004266D3"/>
    <w:rsid w:val="00430779"/>
    <w:rsid w:val="00430FCF"/>
    <w:rsid w:val="00431A49"/>
    <w:rsid w:val="004325FD"/>
    <w:rsid w:val="0043265E"/>
    <w:rsid w:val="0043281E"/>
    <w:rsid w:val="00432C77"/>
    <w:rsid w:val="00432D41"/>
    <w:rsid w:val="00433095"/>
    <w:rsid w:val="00433CDE"/>
    <w:rsid w:val="00434B7F"/>
    <w:rsid w:val="00435A14"/>
    <w:rsid w:val="00436888"/>
    <w:rsid w:val="00436D2B"/>
    <w:rsid w:val="0043712B"/>
    <w:rsid w:val="00437526"/>
    <w:rsid w:val="004408D4"/>
    <w:rsid w:val="00440E1F"/>
    <w:rsid w:val="004410D7"/>
    <w:rsid w:val="004424B6"/>
    <w:rsid w:val="00442715"/>
    <w:rsid w:val="00442AFB"/>
    <w:rsid w:val="004438F5"/>
    <w:rsid w:val="00444CF4"/>
    <w:rsid w:val="004450D9"/>
    <w:rsid w:val="00445822"/>
    <w:rsid w:val="00446921"/>
    <w:rsid w:val="004470A9"/>
    <w:rsid w:val="00450504"/>
    <w:rsid w:val="00450AB3"/>
    <w:rsid w:val="00450B1D"/>
    <w:rsid w:val="00452B55"/>
    <w:rsid w:val="00454BF1"/>
    <w:rsid w:val="004559EF"/>
    <w:rsid w:val="00456759"/>
    <w:rsid w:val="00457ADD"/>
    <w:rsid w:val="004604E1"/>
    <w:rsid w:val="0046231D"/>
    <w:rsid w:val="004626CE"/>
    <w:rsid w:val="00462AEA"/>
    <w:rsid w:val="00462C64"/>
    <w:rsid w:val="00463252"/>
    <w:rsid w:val="0046395D"/>
    <w:rsid w:val="00463A17"/>
    <w:rsid w:val="00463B92"/>
    <w:rsid w:val="00464B88"/>
    <w:rsid w:val="00467113"/>
    <w:rsid w:val="00471278"/>
    <w:rsid w:val="004712EA"/>
    <w:rsid w:val="00471BA4"/>
    <w:rsid w:val="00474572"/>
    <w:rsid w:val="004748C8"/>
    <w:rsid w:val="004748E0"/>
    <w:rsid w:val="00475CD3"/>
    <w:rsid w:val="00475DF1"/>
    <w:rsid w:val="004760CD"/>
    <w:rsid w:val="00476896"/>
    <w:rsid w:val="00477C5A"/>
    <w:rsid w:val="0048051E"/>
    <w:rsid w:val="00481006"/>
    <w:rsid w:val="00482375"/>
    <w:rsid w:val="00482BE6"/>
    <w:rsid w:val="00484821"/>
    <w:rsid w:val="00484DD8"/>
    <w:rsid w:val="004856FF"/>
    <w:rsid w:val="004859F0"/>
    <w:rsid w:val="004869E1"/>
    <w:rsid w:val="00490033"/>
    <w:rsid w:val="0049043B"/>
    <w:rsid w:val="00490664"/>
    <w:rsid w:val="0049083D"/>
    <w:rsid w:val="00490967"/>
    <w:rsid w:val="00490D6D"/>
    <w:rsid w:val="00491405"/>
    <w:rsid w:val="004917D2"/>
    <w:rsid w:val="00491A9B"/>
    <w:rsid w:val="00493082"/>
    <w:rsid w:val="0049383C"/>
    <w:rsid w:val="004951DC"/>
    <w:rsid w:val="0049571D"/>
    <w:rsid w:val="00497449"/>
    <w:rsid w:val="00497725"/>
    <w:rsid w:val="00497A80"/>
    <w:rsid w:val="00497DE0"/>
    <w:rsid w:val="004A0094"/>
    <w:rsid w:val="004A0C86"/>
    <w:rsid w:val="004A2038"/>
    <w:rsid w:val="004A20B1"/>
    <w:rsid w:val="004A3CDB"/>
    <w:rsid w:val="004A3DCC"/>
    <w:rsid w:val="004A3F8C"/>
    <w:rsid w:val="004A469D"/>
    <w:rsid w:val="004A5912"/>
    <w:rsid w:val="004A59F7"/>
    <w:rsid w:val="004A6040"/>
    <w:rsid w:val="004A7DE2"/>
    <w:rsid w:val="004B1D86"/>
    <w:rsid w:val="004B202E"/>
    <w:rsid w:val="004B23D6"/>
    <w:rsid w:val="004B2E76"/>
    <w:rsid w:val="004B4CA9"/>
    <w:rsid w:val="004B5533"/>
    <w:rsid w:val="004B6790"/>
    <w:rsid w:val="004B7DBF"/>
    <w:rsid w:val="004C08A2"/>
    <w:rsid w:val="004C170A"/>
    <w:rsid w:val="004C234C"/>
    <w:rsid w:val="004C2BF3"/>
    <w:rsid w:val="004C397C"/>
    <w:rsid w:val="004C4AE3"/>
    <w:rsid w:val="004C61BB"/>
    <w:rsid w:val="004C6663"/>
    <w:rsid w:val="004C7037"/>
    <w:rsid w:val="004C7A41"/>
    <w:rsid w:val="004D09B0"/>
    <w:rsid w:val="004D0EDB"/>
    <w:rsid w:val="004D1201"/>
    <w:rsid w:val="004D3EC9"/>
    <w:rsid w:val="004D4B83"/>
    <w:rsid w:val="004D6DD0"/>
    <w:rsid w:val="004D6F6F"/>
    <w:rsid w:val="004E1866"/>
    <w:rsid w:val="004E192B"/>
    <w:rsid w:val="004E1D6A"/>
    <w:rsid w:val="004E21F3"/>
    <w:rsid w:val="004E305E"/>
    <w:rsid w:val="004E3ACF"/>
    <w:rsid w:val="004E6312"/>
    <w:rsid w:val="004E7133"/>
    <w:rsid w:val="004E7144"/>
    <w:rsid w:val="004E7AA2"/>
    <w:rsid w:val="004F0996"/>
    <w:rsid w:val="004F143F"/>
    <w:rsid w:val="004F1784"/>
    <w:rsid w:val="004F2569"/>
    <w:rsid w:val="004F367A"/>
    <w:rsid w:val="004F6C9C"/>
    <w:rsid w:val="00500295"/>
    <w:rsid w:val="0050048C"/>
    <w:rsid w:val="0050212E"/>
    <w:rsid w:val="005027B7"/>
    <w:rsid w:val="00502CA0"/>
    <w:rsid w:val="00502D53"/>
    <w:rsid w:val="00503C73"/>
    <w:rsid w:val="00504700"/>
    <w:rsid w:val="00510B1F"/>
    <w:rsid w:val="00510C30"/>
    <w:rsid w:val="00511739"/>
    <w:rsid w:val="00511895"/>
    <w:rsid w:val="00511CFC"/>
    <w:rsid w:val="00511D49"/>
    <w:rsid w:val="00511F04"/>
    <w:rsid w:val="0051252A"/>
    <w:rsid w:val="00512E29"/>
    <w:rsid w:val="00513184"/>
    <w:rsid w:val="00514559"/>
    <w:rsid w:val="005154F1"/>
    <w:rsid w:val="00516125"/>
    <w:rsid w:val="00520462"/>
    <w:rsid w:val="00520D2A"/>
    <w:rsid w:val="0052109B"/>
    <w:rsid w:val="00521392"/>
    <w:rsid w:val="00521497"/>
    <w:rsid w:val="00521AB3"/>
    <w:rsid w:val="00522215"/>
    <w:rsid w:val="0052320E"/>
    <w:rsid w:val="00523A50"/>
    <w:rsid w:val="0052529C"/>
    <w:rsid w:val="00525A5A"/>
    <w:rsid w:val="00526FA1"/>
    <w:rsid w:val="0052797A"/>
    <w:rsid w:val="005307F2"/>
    <w:rsid w:val="0053190E"/>
    <w:rsid w:val="00532AF2"/>
    <w:rsid w:val="00533E6E"/>
    <w:rsid w:val="00533EAE"/>
    <w:rsid w:val="005350CD"/>
    <w:rsid w:val="0053514A"/>
    <w:rsid w:val="00535F54"/>
    <w:rsid w:val="00536217"/>
    <w:rsid w:val="005368C7"/>
    <w:rsid w:val="00536EA9"/>
    <w:rsid w:val="00537B94"/>
    <w:rsid w:val="0054062F"/>
    <w:rsid w:val="0054070A"/>
    <w:rsid w:val="00540D1F"/>
    <w:rsid w:val="00541123"/>
    <w:rsid w:val="00541449"/>
    <w:rsid w:val="005424A3"/>
    <w:rsid w:val="00542933"/>
    <w:rsid w:val="00542B7D"/>
    <w:rsid w:val="00544616"/>
    <w:rsid w:val="00544787"/>
    <w:rsid w:val="0054495B"/>
    <w:rsid w:val="005453D8"/>
    <w:rsid w:val="00546CB1"/>
    <w:rsid w:val="00547548"/>
    <w:rsid w:val="00550346"/>
    <w:rsid w:val="00552338"/>
    <w:rsid w:val="00552FE5"/>
    <w:rsid w:val="00553737"/>
    <w:rsid w:val="00553C7A"/>
    <w:rsid w:val="00555016"/>
    <w:rsid w:val="00555039"/>
    <w:rsid w:val="005573AE"/>
    <w:rsid w:val="00557619"/>
    <w:rsid w:val="005603F3"/>
    <w:rsid w:val="00561314"/>
    <w:rsid w:val="00561347"/>
    <w:rsid w:val="00562113"/>
    <w:rsid w:val="00562339"/>
    <w:rsid w:val="005624D6"/>
    <w:rsid w:val="00563643"/>
    <w:rsid w:val="0056467E"/>
    <w:rsid w:val="005646D7"/>
    <w:rsid w:val="00564C6C"/>
    <w:rsid w:val="00566586"/>
    <w:rsid w:val="00566CD9"/>
    <w:rsid w:val="00566ED5"/>
    <w:rsid w:val="00567F21"/>
    <w:rsid w:val="00570BFB"/>
    <w:rsid w:val="00570C72"/>
    <w:rsid w:val="00570F56"/>
    <w:rsid w:val="00571F0F"/>
    <w:rsid w:val="00572B13"/>
    <w:rsid w:val="00573B1D"/>
    <w:rsid w:val="00574349"/>
    <w:rsid w:val="00575D30"/>
    <w:rsid w:val="005769D0"/>
    <w:rsid w:val="005779C1"/>
    <w:rsid w:val="00577F3D"/>
    <w:rsid w:val="00580213"/>
    <w:rsid w:val="00580B9A"/>
    <w:rsid w:val="00581495"/>
    <w:rsid w:val="005818F0"/>
    <w:rsid w:val="00582472"/>
    <w:rsid w:val="005832F0"/>
    <w:rsid w:val="005832F6"/>
    <w:rsid w:val="00583973"/>
    <w:rsid w:val="00584BF4"/>
    <w:rsid w:val="00584FF9"/>
    <w:rsid w:val="00585293"/>
    <w:rsid w:val="00585E11"/>
    <w:rsid w:val="005866FF"/>
    <w:rsid w:val="0059159D"/>
    <w:rsid w:val="005918B2"/>
    <w:rsid w:val="00591A51"/>
    <w:rsid w:val="00594DD8"/>
    <w:rsid w:val="00596E97"/>
    <w:rsid w:val="00596FEA"/>
    <w:rsid w:val="00597F95"/>
    <w:rsid w:val="005A0327"/>
    <w:rsid w:val="005A099F"/>
    <w:rsid w:val="005A0E34"/>
    <w:rsid w:val="005A1A83"/>
    <w:rsid w:val="005A314B"/>
    <w:rsid w:val="005A31BE"/>
    <w:rsid w:val="005A4E2F"/>
    <w:rsid w:val="005A5368"/>
    <w:rsid w:val="005A6167"/>
    <w:rsid w:val="005A660D"/>
    <w:rsid w:val="005A7464"/>
    <w:rsid w:val="005B001A"/>
    <w:rsid w:val="005B0122"/>
    <w:rsid w:val="005B07DD"/>
    <w:rsid w:val="005B097D"/>
    <w:rsid w:val="005B1486"/>
    <w:rsid w:val="005B16D1"/>
    <w:rsid w:val="005B1800"/>
    <w:rsid w:val="005B2F7D"/>
    <w:rsid w:val="005B39C1"/>
    <w:rsid w:val="005B3EF4"/>
    <w:rsid w:val="005B4189"/>
    <w:rsid w:val="005B5C2E"/>
    <w:rsid w:val="005B719A"/>
    <w:rsid w:val="005B73C8"/>
    <w:rsid w:val="005C03C1"/>
    <w:rsid w:val="005C0485"/>
    <w:rsid w:val="005C0961"/>
    <w:rsid w:val="005C0BDA"/>
    <w:rsid w:val="005C1077"/>
    <w:rsid w:val="005C1542"/>
    <w:rsid w:val="005C1CF5"/>
    <w:rsid w:val="005C2139"/>
    <w:rsid w:val="005C23FF"/>
    <w:rsid w:val="005C2440"/>
    <w:rsid w:val="005C3B4F"/>
    <w:rsid w:val="005C44AB"/>
    <w:rsid w:val="005C46AB"/>
    <w:rsid w:val="005C5F20"/>
    <w:rsid w:val="005C6526"/>
    <w:rsid w:val="005C6A51"/>
    <w:rsid w:val="005D1463"/>
    <w:rsid w:val="005D2956"/>
    <w:rsid w:val="005D2FE6"/>
    <w:rsid w:val="005D3DD4"/>
    <w:rsid w:val="005D45C8"/>
    <w:rsid w:val="005D4955"/>
    <w:rsid w:val="005D4F98"/>
    <w:rsid w:val="005D509B"/>
    <w:rsid w:val="005D623E"/>
    <w:rsid w:val="005D6E49"/>
    <w:rsid w:val="005D707A"/>
    <w:rsid w:val="005D7DB7"/>
    <w:rsid w:val="005E08E3"/>
    <w:rsid w:val="005E1301"/>
    <w:rsid w:val="005E174A"/>
    <w:rsid w:val="005E215C"/>
    <w:rsid w:val="005E37CA"/>
    <w:rsid w:val="005E575C"/>
    <w:rsid w:val="005E5FA8"/>
    <w:rsid w:val="005E613A"/>
    <w:rsid w:val="005E67D1"/>
    <w:rsid w:val="005E6B7C"/>
    <w:rsid w:val="005E6DA5"/>
    <w:rsid w:val="005E7245"/>
    <w:rsid w:val="005E76CC"/>
    <w:rsid w:val="005F07D7"/>
    <w:rsid w:val="005F2076"/>
    <w:rsid w:val="005F3095"/>
    <w:rsid w:val="005F43A0"/>
    <w:rsid w:val="005F4FB4"/>
    <w:rsid w:val="005F6104"/>
    <w:rsid w:val="005F610A"/>
    <w:rsid w:val="005F7657"/>
    <w:rsid w:val="005F7F93"/>
    <w:rsid w:val="00600621"/>
    <w:rsid w:val="00601DEB"/>
    <w:rsid w:val="00602CF9"/>
    <w:rsid w:val="00603C7F"/>
    <w:rsid w:val="006046DF"/>
    <w:rsid w:val="00604926"/>
    <w:rsid w:val="00605725"/>
    <w:rsid w:val="006061A1"/>
    <w:rsid w:val="00606617"/>
    <w:rsid w:val="0060742A"/>
    <w:rsid w:val="006075DE"/>
    <w:rsid w:val="006109AD"/>
    <w:rsid w:val="00610D20"/>
    <w:rsid w:val="0061102F"/>
    <w:rsid w:val="006114C5"/>
    <w:rsid w:val="0061336F"/>
    <w:rsid w:val="00614955"/>
    <w:rsid w:val="006149A6"/>
    <w:rsid w:val="00615027"/>
    <w:rsid w:val="006151C2"/>
    <w:rsid w:val="006156BD"/>
    <w:rsid w:val="006162FA"/>
    <w:rsid w:val="00616DE8"/>
    <w:rsid w:val="00616E03"/>
    <w:rsid w:val="0061774D"/>
    <w:rsid w:val="00620032"/>
    <w:rsid w:val="00620357"/>
    <w:rsid w:val="00623216"/>
    <w:rsid w:val="00623C9A"/>
    <w:rsid w:val="00623EAA"/>
    <w:rsid w:val="006252E0"/>
    <w:rsid w:val="00625519"/>
    <w:rsid w:val="006256E7"/>
    <w:rsid w:val="00627286"/>
    <w:rsid w:val="00630C64"/>
    <w:rsid w:val="00631B23"/>
    <w:rsid w:val="006320C6"/>
    <w:rsid w:val="006351EC"/>
    <w:rsid w:val="00635AD2"/>
    <w:rsid w:val="00635DD3"/>
    <w:rsid w:val="00635EEB"/>
    <w:rsid w:val="00637CD6"/>
    <w:rsid w:val="00640CFD"/>
    <w:rsid w:val="00640FEC"/>
    <w:rsid w:val="0064353A"/>
    <w:rsid w:val="00643FB2"/>
    <w:rsid w:val="0064400B"/>
    <w:rsid w:val="0064481F"/>
    <w:rsid w:val="0064691D"/>
    <w:rsid w:val="00646B91"/>
    <w:rsid w:val="006470C6"/>
    <w:rsid w:val="0064744E"/>
    <w:rsid w:val="006476A7"/>
    <w:rsid w:val="00647E1A"/>
    <w:rsid w:val="00647F6E"/>
    <w:rsid w:val="00647F9A"/>
    <w:rsid w:val="00650075"/>
    <w:rsid w:val="0065097C"/>
    <w:rsid w:val="006511FA"/>
    <w:rsid w:val="00653499"/>
    <w:rsid w:val="006544FB"/>
    <w:rsid w:val="0065474B"/>
    <w:rsid w:val="00654A8A"/>
    <w:rsid w:val="00655320"/>
    <w:rsid w:val="00656654"/>
    <w:rsid w:val="00656A42"/>
    <w:rsid w:val="00657972"/>
    <w:rsid w:val="00657CB8"/>
    <w:rsid w:val="00660456"/>
    <w:rsid w:val="006605EA"/>
    <w:rsid w:val="00660CB5"/>
    <w:rsid w:val="0066162E"/>
    <w:rsid w:val="006622C5"/>
    <w:rsid w:val="0066295E"/>
    <w:rsid w:val="00662DE7"/>
    <w:rsid w:val="00663B60"/>
    <w:rsid w:val="006667F4"/>
    <w:rsid w:val="0066685A"/>
    <w:rsid w:val="00666AA4"/>
    <w:rsid w:val="00667705"/>
    <w:rsid w:val="006679AF"/>
    <w:rsid w:val="00667A1A"/>
    <w:rsid w:val="00667D6A"/>
    <w:rsid w:val="0067190E"/>
    <w:rsid w:val="006733F9"/>
    <w:rsid w:val="00673B9B"/>
    <w:rsid w:val="00673C94"/>
    <w:rsid w:val="00674C20"/>
    <w:rsid w:val="00674DA0"/>
    <w:rsid w:val="006751C3"/>
    <w:rsid w:val="00676636"/>
    <w:rsid w:val="00677552"/>
    <w:rsid w:val="0068039A"/>
    <w:rsid w:val="006804A8"/>
    <w:rsid w:val="00680BAF"/>
    <w:rsid w:val="00681074"/>
    <w:rsid w:val="006819B8"/>
    <w:rsid w:val="00681DFB"/>
    <w:rsid w:val="00682953"/>
    <w:rsid w:val="00682F8E"/>
    <w:rsid w:val="00683878"/>
    <w:rsid w:val="00683D11"/>
    <w:rsid w:val="00684278"/>
    <w:rsid w:val="00685299"/>
    <w:rsid w:val="0068559B"/>
    <w:rsid w:val="00685735"/>
    <w:rsid w:val="00685B74"/>
    <w:rsid w:val="00686912"/>
    <w:rsid w:val="00686C2D"/>
    <w:rsid w:val="00687DA7"/>
    <w:rsid w:val="006903FA"/>
    <w:rsid w:val="00690414"/>
    <w:rsid w:val="0069078B"/>
    <w:rsid w:val="0069090C"/>
    <w:rsid w:val="00690DF9"/>
    <w:rsid w:val="00691153"/>
    <w:rsid w:val="00693204"/>
    <w:rsid w:val="00694A7A"/>
    <w:rsid w:val="00695FD2"/>
    <w:rsid w:val="00696482"/>
    <w:rsid w:val="006965CD"/>
    <w:rsid w:val="00696ED4"/>
    <w:rsid w:val="006975DD"/>
    <w:rsid w:val="0069776E"/>
    <w:rsid w:val="0069784C"/>
    <w:rsid w:val="006A1F46"/>
    <w:rsid w:val="006A39ED"/>
    <w:rsid w:val="006A3DE3"/>
    <w:rsid w:val="006A5067"/>
    <w:rsid w:val="006A5474"/>
    <w:rsid w:val="006A5A27"/>
    <w:rsid w:val="006A5F98"/>
    <w:rsid w:val="006A7E7A"/>
    <w:rsid w:val="006B057D"/>
    <w:rsid w:val="006B2D8C"/>
    <w:rsid w:val="006B2F8E"/>
    <w:rsid w:val="006B7F7C"/>
    <w:rsid w:val="006C05C6"/>
    <w:rsid w:val="006C1359"/>
    <w:rsid w:val="006C2C2B"/>
    <w:rsid w:val="006C316F"/>
    <w:rsid w:val="006C4623"/>
    <w:rsid w:val="006C52D1"/>
    <w:rsid w:val="006C664B"/>
    <w:rsid w:val="006C6C15"/>
    <w:rsid w:val="006C7DEB"/>
    <w:rsid w:val="006D0225"/>
    <w:rsid w:val="006D07C5"/>
    <w:rsid w:val="006D08AB"/>
    <w:rsid w:val="006D092D"/>
    <w:rsid w:val="006D0FC0"/>
    <w:rsid w:val="006D17DC"/>
    <w:rsid w:val="006D1957"/>
    <w:rsid w:val="006D1D17"/>
    <w:rsid w:val="006D211E"/>
    <w:rsid w:val="006D2AFF"/>
    <w:rsid w:val="006D2C0C"/>
    <w:rsid w:val="006D360D"/>
    <w:rsid w:val="006D4591"/>
    <w:rsid w:val="006D4A56"/>
    <w:rsid w:val="006D4C39"/>
    <w:rsid w:val="006D4F7F"/>
    <w:rsid w:val="006D6309"/>
    <w:rsid w:val="006D681D"/>
    <w:rsid w:val="006D72FC"/>
    <w:rsid w:val="006E00B0"/>
    <w:rsid w:val="006E06C9"/>
    <w:rsid w:val="006E06DA"/>
    <w:rsid w:val="006E5279"/>
    <w:rsid w:val="006E625F"/>
    <w:rsid w:val="006E6950"/>
    <w:rsid w:val="006E6D03"/>
    <w:rsid w:val="006E6D29"/>
    <w:rsid w:val="006E7F2A"/>
    <w:rsid w:val="006F098C"/>
    <w:rsid w:val="006F1727"/>
    <w:rsid w:val="006F1881"/>
    <w:rsid w:val="006F2D7F"/>
    <w:rsid w:val="006F35D6"/>
    <w:rsid w:val="006F367E"/>
    <w:rsid w:val="006F3DEC"/>
    <w:rsid w:val="006F4805"/>
    <w:rsid w:val="006F530F"/>
    <w:rsid w:val="006F6AAB"/>
    <w:rsid w:val="006F7244"/>
    <w:rsid w:val="007016EF"/>
    <w:rsid w:val="00701C9E"/>
    <w:rsid w:val="00701DEE"/>
    <w:rsid w:val="00702DD4"/>
    <w:rsid w:val="007054AF"/>
    <w:rsid w:val="007074B7"/>
    <w:rsid w:val="007110E0"/>
    <w:rsid w:val="007111A1"/>
    <w:rsid w:val="007112CA"/>
    <w:rsid w:val="00713EED"/>
    <w:rsid w:val="0071520A"/>
    <w:rsid w:val="00715B3D"/>
    <w:rsid w:val="00720E15"/>
    <w:rsid w:val="0072177F"/>
    <w:rsid w:val="0072301B"/>
    <w:rsid w:val="0072510F"/>
    <w:rsid w:val="007251E7"/>
    <w:rsid w:val="00725622"/>
    <w:rsid w:val="00725BE7"/>
    <w:rsid w:val="00725D72"/>
    <w:rsid w:val="0072617A"/>
    <w:rsid w:val="00730253"/>
    <w:rsid w:val="00730971"/>
    <w:rsid w:val="00730AF4"/>
    <w:rsid w:val="00730DF6"/>
    <w:rsid w:val="00731C99"/>
    <w:rsid w:val="0073237D"/>
    <w:rsid w:val="00732947"/>
    <w:rsid w:val="00732A1B"/>
    <w:rsid w:val="007334A5"/>
    <w:rsid w:val="00733E3B"/>
    <w:rsid w:val="0073528D"/>
    <w:rsid w:val="00735C7E"/>
    <w:rsid w:val="007361B1"/>
    <w:rsid w:val="00736570"/>
    <w:rsid w:val="00736BDF"/>
    <w:rsid w:val="00736FC5"/>
    <w:rsid w:val="00741088"/>
    <w:rsid w:val="007411E3"/>
    <w:rsid w:val="007412B3"/>
    <w:rsid w:val="00741E69"/>
    <w:rsid w:val="00742493"/>
    <w:rsid w:val="007425DD"/>
    <w:rsid w:val="00742CCF"/>
    <w:rsid w:val="0074302F"/>
    <w:rsid w:val="00743C2F"/>
    <w:rsid w:val="00744035"/>
    <w:rsid w:val="007443A2"/>
    <w:rsid w:val="00744447"/>
    <w:rsid w:val="0074452D"/>
    <w:rsid w:val="007448F3"/>
    <w:rsid w:val="00744989"/>
    <w:rsid w:val="00745FD1"/>
    <w:rsid w:val="007461E8"/>
    <w:rsid w:val="00746842"/>
    <w:rsid w:val="00747417"/>
    <w:rsid w:val="00747815"/>
    <w:rsid w:val="0075007E"/>
    <w:rsid w:val="00750D16"/>
    <w:rsid w:val="00751208"/>
    <w:rsid w:val="0075124D"/>
    <w:rsid w:val="007516F0"/>
    <w:rsid w:val="007517D2"/>
    <w:rsid w:val="00751849"/>
    <w:rsid w:val="00751E25"/>
    <w:rsid w:val="00752847"/>
    <w:rsid w:val="00752EDD"/>
    <w:rsid w:val="0075332A"/>
    <w:rsid w:val="00754376"/>
    <w:rsid w:val="00754FDC"/>
    <w:rsid w:val="007550C2"/>
    <w:rsid w:val="00756D7C"/>
    <w:rsid w:val="007601DD"/>
    <w:rsid w:val="007612A3"/>
    <w:rsid w:val="00761671"/>
    <w:rsid w:val="00762383"/>
    <w:rsid w:val="007633D3"/>
    <w:rsid w:val="00764FCE"/>
    <w:rsid w:val="007653F2"/>
    <w:rsid w:val="0076628F"/>
    <w:rsid w:val="0077052B"/>
    <w:rsid w:val="007715ED"/>
    <w:rsid w:val="00772692"/>
    <w:rsid w:val="00773729"/>
    <w:rsid w:val="00773F2F"/>
    <w:rsid w:val="007749B5"/>
    <w:rsid w:val="007760FA"/>
    <w:rsid w:val="007770A7"/>
    <w:rsid w:val="00777526"/>
    <w:rsid w:val="0077763F"/>
    <w:rsid w:val="007777F5"/>
    <w:rsid w:val="0078012B"/>
    <w:rsid w:val="007804EA"/>
    <w:rsid w:val="00781141"/>
    <w:rsid w:val="00781BF3"/>
    <w:rsid w:val="0078218C"/>
    <w:rsid w:val="00782EE4"/>
    <w:rsid w:val="007832FE"/>
    <w:rsid w:val="007834C5"/>
    <w:rsid w:val="00783D3E"/>
    <w:rsid w:val="00784544"/>
    <w:rsid w:val="00785421"/>
    <w:rsid w:val="0078615B"/>
    <w:rsid w:val="007867F5"/>
    <w:rsid w:val="00786FA9"/>
    <w:rsid w:val="00786FB0"/>
    <w:rsid w:val="00787EA7"/>
    <w:rsid w:val="00790EC6"/>
    <w:rsid w:val="007940DA"/>
    <w:rsid w:val="00794782"/>
    <w:rsid w:val="00795C59"/>
    <w:rsid w:val="00796996"/>
    <w:rsid w:val="007969A8"/>
    <w:rsid w:val="007975EC"/>
    <w:rsid w:val="0079773F"/>
    <w:rsid w:val="00797B14"/>
    <w:rsid w:val="007A1473"/>
    <w:rsid w:val="007A1542"/>
    <w:rsid w:val="007A2209"/>
    <w:rsid w:val="007A3DD4"/>
    <w:rsid w:val="007A3F80"/>
    <w:rsid w:val="007A4817"/>
    <w:rsid w:val="007A494E"/>
    <w:rsid w:val="007A4A6F"/>
    <w:rsid w:val="007A6FBB"/>
    <w:rsid w:val="007A736F"/>
    <w:rsid w:val="007A79E7"/>
    <w:rsid w:val="007B035B"/>
    <w:rsid w:val="007B0B8E"/>
    <w:rsid w:val="007B0BFF"/>
    <w:rsid w:val="007B0E50"/>
    <w:rsid w:val="007B1160"/>
    <w:rsid w:val="007B172D"/>
    <w:rsid w:val="007B1C3A"/>
    <w:rsid w:val="007B1D4D"/>
    <w:rsid w:val="007B2FFA"/>
    <w:rsid w:val="007B347F"/>
    <w:rsid w:val="007B480A"/>
    <w:rsid w:val="007B5B1B"/>
    <w:rsid w:val="007B646B"/>
    <w:rsid w:val="007B6BFD"/>
    <w:rsid w:val="007B71D4"/>
    <w:rsid w:val="007B7920"/>
    <w:rsid w:val="007B7965"/>
    <w:rsid w:val="007B7A86"/>
    <w:rsid w:val="007B7CC1"/>
    <w:rsid w:val="007B7EE3"/>
    <w:rsid w:val="007C0430"/>
    <w:rsid w:val="007C07A7"/>
    <w:rsid w:val="007C1620"/>
    <w:rsid w:val="007C18BB"/>
    <w:rsid w:val="007C1B4C"/>
    <w:rsid w:val="007C2212"/>
    <w:rsid w:val="007C22E7"/>
    <w:rsid w:val="007C3051"/>
    <w:rsid w:val="007C32C6"/>
    <w:rsid w:val="007C49A3"/>
    <w:rsid w:val="007C64E2"/>
    <w:rsid w:val="007C6FE5"/>
    <w:rsid w:val="007C7C0E"/>
    <w:rsid w:val="007D06C0"/>
    <w:rsid w:val="007D0707"/>
    <w:rsid w:val="007D0761"/>
    <w:rsid w:val="007D10C6"/>
    <w:rsid w:val="007D2CB9"/>
    <w:rsid w:val="007D2EB7"/>
    <w:rsid w:val="007D3436"/>
    <w:rsid w:val="007D5A5A"/>
    <w:rsid w:val="007D6038"/>
    <w:rsid w:val="007D69C7"/>
    <w:rsid w:val="007D6B33"/>
    <w:rsid w:val="007D70D6"/>
    <w:rsid w:val="007D76D2"/>
    <w:rsid w:val="007D7853"/>
    <w:rsid w:val="007E034A"/>
    <w:rsid w:val="007E0BD0"/>
    <w:rsid w:val="007E213F"/>
    <w:rsid w:val="007E23E7"/>
    <w:rsid w:val="007E2A92"/>
    <w:rsid w:val="007E41B0"/>
    <w:rsid w:val="007E46C6"/>
    <w:rsid w:val="007E4FE1"/>
    <w:rsid w:val="007E575D"/>
    <w:rsid w:val="007E5BB4"/>
    <w:rsid w:val="007E5C14"/>
    <w:rsid w:val="007E5D01"/>
    <w:rsid w:val="007E6E62"/>
    <w:rsid w:val="007E733F"/>
    <w:rsid w:val="007E7858"/>
    <w:rsid w:val="007E78B3"/>
    <w:rsid w:val="007E7909"/>
    <w:rsid w:val="007F212E"/>
    <w:rsid w:val="007F2185"/>
    <w:rsid w:val="007F226B"/>
    <w:rsid w:val="007F32E1"/>
    <w:rsid w:val="007F3986"/>
    <w:rsid w:val="007F3A2A"/>
    <w:rsid w:val="007F417F"/>
    <w:rsid w:val="007F4282"/>
    <w:rsid w:val="007F625B"/>
    <w:rsid w:val="007F7245"/>
    <w:rsid w:val="007F76FE"/>
    <w:rsid w:val="008006E8"/>
    <w:rsid w:val="0080079C"/>
    <w:rsid w:val="00800D5D"/>
    <w:rsid w:val="00802F78"/>
    <w:rsid w:val="00803A84"/>
    <w:rsid w:val="00803B5D"/>
    <w:rsid w:val="00805634"/>
    <w:rsid w:val="00805894"/>
    <w:rsid w:val="00807D17"/>
    <w:rsid w:val="0081067E"/>
    <w:rsid w:val="008126BD"/>
    <w:rsid w:val="0081323E"/>
    <w:rsid w:val="008139D1"/>
    <w:rsid w:val="00814A0F"/>
    <w:rsid w:val="00815F6D"/>
    <w:rsid w:val="008162E9"/>
    <w:rsid w:val="0081666A"/>
    <w:rsid w:val="00816B9E"/>
    <w:rsid w:val="00821CCE"/>
    <w:rsid w:val="0082289E"/>
    <w:rsid w:val="008236E5"/>
    <w:rsid w:val="00823B70"/>
    <w:rsid w:val="008244DF"/>
    <w:rsid w:val="00824573"/>
    <w:rsid w:val="00824CA7"/>
    <w:rsid w:val="00824CC0"/>
    <w:rsid w:val="00825C8C"/>
    <w:rsid w:val="00825E8E"/>
    <w:rsid w:val="00826B4B"/>
    <w:rsid w:val="008270E0"/>
    <w:rsid w:val="008278D5"/>
    <w:rsid w:val="00830B42"/>
    <w:rsid w:val="00830EE9"/>
    <w:rsid w:val="0083244E"/>
    <w:rsid w:val="00832A5F"/>
    <w:rsid w:val="0083361F"/>
    <w:rsid w:val="00834BA5"/>
    <w:rsid w:val="00835641"/>
    <w:rsid w:val="00835909"/>
    <w:rsid w:val="00835A98"/>
    <w:rsid w:val="008360CA"/>
    <w:rsid w:val="00836407"/>
    <w:rsid w:val="00836F01"/>
    <w:rsid w:val="00840D1A"/>
    <w:rsid w:val="0084112A"/>
    <w:rsid w:val="00841AED"/>
    <w:rsid w:val="00842249"/>
    <w:rsid w:val="00842FEC"/>
    <w:rsid w:val="00844B73"/>
    <w:rsid w:val="00844F13"/>
    <w:rsid w:val="0084599D"/>
    <w:rsid w:val="00845C93"/>
    <w:rsid w:val="00846058"/>
    <w:rsid w:val="00847037"/>
    <w:rsid w:val="0084780A"/>
    <w:rsid w:val="008479E6"/>
    <w:rsid w:val="00847FA8"/>
    <w:rsid w:val="008503B3"/>
    <w:rsid w:val="008503B6"/>
    <w:rsid w:val="00850822"/>
    <w:rsid w:val="0085235F"/>
    <w:rsid w:val="00854A55"/>
    <w:rsid w:val="008558FD"/>
    <w:rsid w:val="0085751E"/>
    <w:rsid w:val="0085797E"/>
    <w:rsid w:val="00857B4B"/>
    <w:rsid w:val="00860AC9"/>
    <w:rsid w:val="0086111E"/>
    <w:rsid w:val="00861452"/>
    <w:rsid w:val="00861DF8"/>
    <w:rsid w:val="00862123"/>
    <w:rsid w:val="00862502"/>
    <w:rsid w:val="008627B2"/>
    <w:rsid w:val="00863E99"/>
    <w:rsid w:val="008646D3"/>
    <w:rsid w:val="00864967"/>
    <w:rsid w:val="00865AD8"/>
    <w:rsid w:val="00866806"/>
    <w:rsid w:val="0086780E"/>
    <w:rsid w:val="00872634"/>
    <w:rsid w:val="0087329B"/>
    <w:rsid w:val="008736B1"/>
    <w:rsid w:val="008741AD"/>
    <w:rsid w:val="008759A1"/>
    <w:rsid w:val="00875CC5"/>
    <w:rsid w:val="00876821"/>
    <w:rsid w:val="00876AD8"/>
    <w:rsid w:val="00877A49"/>
    <w:rsid w:val="00880CD9"/>
    <w:rsid w:val="00880FC2"/>
    <w:rsid w:val="008812D0"/>
    <w:rsid w:val="00882209"/>
    <w:rsid w:val="00882E4F"/>
    <w:rsid w:val="008832E3"/>
    <w:rsid w:val="00883340"/>
    <w:rsid w:val="008842C7"/>
    <w:rsid w:val="008842D5"/>
    <w:rsid w:val="00884356"/>
    <w:rsid w:val="00884DE2"/>
    <w:rsid w:val="0088556E"/>
    <w:rsid w:val="00885659"/>
    <w:rsid w:val="0088688F"/>
    <w:rsid w:val="008869EC"/>
    <w:rsid w:val="00887D82"/>
    <w:rsid w:val="00890247"/>
    <w:rsid w:val="0089111A"/>
    <w:rsid w:val="00891DB9"/>
    <w:rsid w:val="0089219A"/>
    <w:rsid w:val="00892AD3"/>
    <w:rsid w:val="00892F26"/>
    <w:rsid w:val="00893C74"/>
    <w:rsid w:val="00893FC6"/>
    <w:rsid w:val="0089551F"/>
    <w:rsid w:val="008965E4"/>
    <w:rsid w:val="008969AF"/>
    <w:rsid w:val="00897047"/>
    <w:rsid w:val="008A00FE"/>
    <w:rsid w:val="008A12F5"/>
    <w:rsid w:val="008A1A10"/>
    <w:rsid w:val="008A1A96"/>
    <w:rsid w:val="008A2C31"/>
    <w:rsid w:val="008A31A1"/>
    <w:rsid w:val="008A3688"/>
    <w:rsid w:val="008A6018"/>
    <w:rsid w:val="008A66C1"/>
    <w:rsid w:val="008B499B"/>
    <w:rsid w:val="008B4D82"/>
    <w:rsid w:val="008B6419"/>
    <w:rsid w:val="008B6ADA"/>
    <w:rsid w:val="008B7768"/>
    <w:rsid w:val="008B797E"/>
    <w:rsid w:val="008C0AD3"/>
    <w:rsid w:val="008C0AF6"/>
    <w:rsid w:val="008C13DA"/>
    <w:rsid w:val="008C176D"/>
    <w:rsid w:val="008C23D2"/>
    <w:rsid w:val="008C2C1B"/>
    <w:rsid w:val="008C5F05"/>
    <w:rsid w:val="008C63B2"/>
    <w:rsid w:val="008C6849"/>
    <w:rsid w:val="008C7E8C"/>
    <w:rsid w:val="008C7F1D"/>
    <w:rsid w:val="008D1A52"/>
    <w:rsid w:val="008D4749"/>
    <w:rsid w:val="008D4B0A"/>
    <w:rsid w:val="008D4CEC"/>
    <w:rsid w:val="008D60D4"/>
    <w:rsid w:val="008D6407"/>
    <w:rsid w:val="008E006A"/>
    <w:rsid w:val="008E14D2"/>
    <w:rsid w:val="008E26C2"/>
    <w:rsid w:val="008E2C76"/>
    <w:rsid w:val="008E3B76"/>
    <w:rsid w:val="008E3BA9"/>
    <w:rsid w:val="008E45D6"/>
    <w:rsid w:val="008E4E64"/>
    <w:rsid w:val="008E5833"/>
    <w:rsid w:val="008E5B85"/>
    <w:rsid w:val="008E5DC6"/>
    <w:rsid w:val="008E69FB"/>
    <w:rsid w:val="008E7153"/>
    <w:rsid w:val="008E7E79"/>
    <w:rsid w:val="008F02F9"/>
    <w:rsid w:val="008F1E1A"/>
    <w:rsid w:val="008F20A0"/>
    <w:rsid w:val="008F285F"/>
    <w:rsid w:val="008F2A5B"/>
    <w:rsid w:val="008F3CB1"/>
    <w:rsid w:val="008F3E1E"/>
    <w:rsid w:val="008F3F80"/>
    <w:rsid w:val="008F459A"/>
    <w:rsid w:val="008F5B8E"/>
    <w:rsid w:val="008F602B"/>
    <w:rsid w:val="008F66C9"/>
    <w:rsid w:val="009011F2"/>
    <w:rsid w:val="00901F73"/>
    <w:rsid w:val="00901FF6"/>
    <w:rsid w:val="00902311"/>
    <w:rsid w:val="00903BC3"/>
    <w:rsid w:val="00904318"/>
    <w:rsid w:val="00904A5A"/>
    <w:rsid w:val="00907933"/>
    <w:rsid w:val="00907D98"/>
    <w:rsid w:val="0091010C"/>
    <w:rsid w:val="00911994"/>
    <w:rsid w:val="009125C7"/>
    <w:rsid w:val="00912D34"/>
    <w:rsid w:val="00912E69"/>
    <w:rsid w:val="009132F2"/>
    <w:rsid w:val="009147F0"/>
    <w:rsid w:val="0091589D"/>
    <w:rsid w:val="009172C5"/>
    <w:rsid w:val="00917B82"/>
    <w:rsid w:val="00920779"/>
    <w:rsid w:val="0092176E"/>
    <w:rsid w:val="00922047"/>
    <w:rsid w:val="00922779"/>
    <w:rsid w:val="00922D40"/>
    <w:rsid w:val="009242EB"/>
    <w:rsid w:val="009249BE"/>
    <w:rsid w:val="009255A0"/>
    <w:rsid w:val="009258CB"/>
    <w:rsid w:val="00925CBA"/>
    <w:rsid w:val="00925DDE"/>
    <w:rsid w:val="00930182"/>
    <w:rsid w:val="009308D9"/>
    <w:rsid w:val="00931126"/>
    <w:rsid w:val="00931CB5"/>
    <w:rsid w:val="00931CDB"/>
    <w:rsid w:val="009324C3"/>
    <w:rsid w:val="00932774"/>
    <w:rsid w:val="009340E4"/>
    <w:rsid w:val="00935CA5"/>
    <w:rsid w:val="009367F1"/>
    <w:rsid w:val="009401E6"/>
    <w:rsid w:val="00940AE5"/>
    <w:rsid w:val="00940EBF"/>
    <w:rsid w:val="009410F1"/>
    <w:rsid w:val="00941206"/>
    <w:rsid w:val="00941764"/>
    <w:rsid w:val="009420DF"/>
    <w:rsid w:val="009426C6"/>
    <w:rsid w:val="009443B6"/>
    <w:rsid w:val="00944840"/>
    <w:rsid w:val="00944A99"/>
    <w:rsid w:val="00944F0F"/>
    <w:rsid w:val="00945BBC"/>
    <w:rsid w:val="0094734B"/>
    <w:rsid w:val="0094739B"/>
    <w:rsid w:val="00947EDD"/>
    <w:rsid w:val="00950571"/>
    <w:rsid w:val="0095160A"/>
    <w:rsid w:val="0095240A"/>
    <w:rsid w:val="0095292F"/>
    <w:rsid w:val="00953243"/>
    <w:rsid w:val="009533F6"/>
    <w:rsid w:val="00954A38"/>
    <w:rsid w:val="00954C86"/>
    <w:rsid w:val="0095587A"/>
    <w:rsid w:val="00955997"/>
    <w:rsid w:val="00956528"/>
    <w:rsid w:val="009569AB"/>
    <w:rsid w:val="00956B80"/>
    <w:rsid w:val="0095733C"/>
    <w:rsid w:val="00957C53"/>
    <w:rsid w:val="00957D78"/>
    <w:rsid w:val="00962217"/>
    <w:rsid w:val="0096234B"/>
    <w:rsid w:val="00964D45"/>
    <w:rsid w:val="0096581C"/>
    <w:rsid w:val="00965B51"/>
    <w:rsid w:val="00965B9B"/>
    <w:rsid w:val="009662E3"/>
    <w:rsid w:val="009663CD"/>
    <w:rsid w:val="009663EA"/>
    <w:rsid w:val="009666DC"/>
    <w:rsid w:val="0096693A"/>
    <w:rsid w:val="00966FBB"/>
    <w:rsid w:val="009670FC"/>
    <w:rsid w:val="00967D22"/>
    <w:rsid w:val="00970635"/>
    <w:rsid w:val="009716B2"/>
    <w:rsid w:val="009717C4"/>
    <w:rsid w:val="00971A8E"/>
    <w:rsid w:val="00971D0E"/>
    <w:rsid w:val="009729F9"/>
    <w:rsid w:val="00972DF6"/>
    <w:rsid w:val="009733EF"/>
    <w:rsid w:val="00973A34"/>
    <w:rsid w:val="00974004"/>
    <w:rsid w:val="00974FD2"/>
    <w:rsid w:val="009754E3"/>
    <w:rsid w:val="00975A1F"/>
    <w:rsid w:val="0097732A"/>
    <w:rsid w:val="00977555"/>
    <w:rsid w:val="00981C99"/>
    <w:rsid w:val="009831F4"/>
    <w:rsid w:val="00983E8F"/>
    <w:rsid w:val="00984F4A"/>
    <w:rsid w:val="00984FBD"/>
    <w:rsid w:val="0098554E"/>
    <w:rsid w:val="0098749A"/>
    <w:rsid w:val="00990600"/>
    <w:rsid w:val="009906C0"/>
    <w:rsid w:val="00990DDA"/>
    <w:rsid w:val="00992A71"/>
    <w:rsid w:val="0099571F"/>
    <w:rsid w:val="00996055"/>
    <w:rsid w:val="009968B4"/>
    <w:rsid w:val="00996B27"/>
    <w:rsid w:val="00997473"/>
    <w:rsid w:val="00997FE2"/>
    <w:rsid w:val="009A006A"/>
    <w:rsid w:val="009A20A8"/>
    <w:rsid w:val="009A2BF1"/>
    <w:rsid w:val="009A4B26"/>
    <w:rsid w:val="009A5E31"/>
    <w:rsid w:val="009A62DA"/>
    <w:rsid w:val="009A6C9B"/>
    <w:rsid w:val="009A72F8"/>
    <w:rsid w:val="009B00EC"/>
    <w:rsid w:val="009B026E"/>
    <w:rsid w:val="009B0300"/>
    <w:rsid w:val="009B2597"/>
    <w:rsid w:val="009B6DDE"/>
    <w:rsid w:val="009B6ECE"/>
    <w:rsid w:val="009B7063"/>
    <w:rsid w:val="009B7565"/>
    <w:rsid w:val="009B75F1"/>
    <w:rsid w:val="009C096D"/>
    <w:rsid w:val="009C0B12"/>
    <w:rsid w:val="009C0D94"/>
    <w:rsid w:val="009C1BD0"/>
    <w:rsid w:val="009C1FC7"/>
    <w:rsid w:val="009C33EF"/>
    <w:rsid w:val="009C5EE7"/>
    <w:rsid w:val="009C608B"/>
    <w:rsid w:val="009C63A2"/>
    <w:rsid w:val="009C646E"/>
    <w:rsid w:val="009D0174"/>
    <w:rsid w:val="009D09E2"/>
    <w:rsid w:val="009D11F8"/>
    <w:rsid w:val="009D1BB3"/>
    <w:rsid w:val="009D2594"/>
    <w:rsid w:val="009D3129"/>
    <w:rsid w:val="009D39A3"/>
    <w:rsid w:val="009D3A78"/>
    <w:rsid w:val="009D40CB"/>
    <w:rsid w:val="009D5C74"/>
    <w:rsid w:val="009D6F6E"/>
    <w:rsid w:val="009D7CC1"/>
    <w:rsid w:val="009D7E0F"/>
    <w:rsid w:val="009E0DF5"/>
    <w:rsid w:val="009E1967"/>
    <w:rsid w:val="009E1B2C"/>
    <w:rsid w:val="009E1C99"/>
    <w:rsid w:val="009E1F28"/>
    <w:rsid w:val="009E2002"/>
    <w:rsid w:val="009E205A"/>
    <w:rsid w:val="009E346D"/>
    <w:rsid w:val="009E38B8"/>
    <w:rsid w:val="009E3CB5"/>
    <w:rsid w:val="009E485E"/>
    <w:rsid w:val="009E4C93"/>
    <w:rsid w:val="009E5220"/>
    <w:rsid w:val="009E5FDD"/>
    <w:rsid w:val="009F09AE"/>
    <w:rsid w:val="009F0D9F"/>
    <w:rsid w:val="009F22E3"/>
    <w:rsid w:val="009F3378"/>
    <w:rsid w:val="009F5609"/>
    <w:rsid w:val="009F5BB2"/>
    <w:rsid w:val="009F6C03"/>
    <w:rsid w:val="00A0111D"/>
    <w:rsid w:val="00A01818"/>
    <w:rsid w:val="00A0182F"/>
    <w:rsid w:val="00A0218A"/>
    <w:rsid w:val="00A024FC"/>
    <w:rsid w:val="00A02530"/>
    <w:rsid w:val="00A03C55"/>
    <w:rsid w:val="00A04A6E"/>
    <w:rsid w:val="00A04B78"/>
    <w:rsid w:val="00A05030"/>
    <w:rsid w:val="00A054D1"/>
    <w:rsid w:val="00A07DCF"/>
    <w:rsid w:val="00A07DDA"/>
    <w:rsid w:val="00A10779"/>
    <w:rsid w:val="00A10A94"/>
    <w:rsid w:val="00A1105D"/>
    <w:rsid w:val="00A12725"/>
    <w:rsid w:val="00A12F5D"/>
    <w:rsid w:val="00A13806"/>
    <w:rsid w:val="00A14590"/>
    <w:rsid w:val="00A145DF"/>
    <w:rsid w:val="00A14EBC"/>
    <w:rsid w:val="00A15D43"/>
    <w:rsid w:val="00A169FB"/>
    <w:rsid w:val="00A16D34"/>
    <w:rsid w:val="00A17B14"/>
    <w:rsid w:val="00A214C6"/>
    <w:rsid w:val="00A21543"/>
    <w:rsid w:val="00A21AB9"/>
    <w:rsid w:val="00A21FB8"/>
    <w:rsid w:val="00A22F66"/>
    <w:rsid w:val="00A23671"/>
    <w:rsid w:val="00A23D63"/>
    <w:rsid w:val="00A2639B"/>
    <w:rsid w:val="00A26924"/>
    <w:rsid w:val="00A26BBA"/>
    <w:rsid w:val="00A26DF3"/>
    <w:rsid w:val="00A2700F"/>
    <w:rsid w:val="00A3056A"/>
    <w:rsid w:val="00A30687"/>
    <w:rsid w:val="00A310F6"/>
    <w:rsid w:val="00A31716"/>
    <w:rsid w:val="00A31717"/>
    <w:rsid w:val="00A31788"/>
    <w:rsid w:val="00A31AAA"/>
    <w:rsid w:val="00A32296"/>
    <w:rsid w:val="00A324C9"/>
    <w:rsid w:val="00A324DE"/>
    <w:rsid w:val="00A32E14"/>
    <w:rsid w:val="00A335CD"/>
    <w:rsid w:val="00A36AB7"/>
    <w:rsid w:val="00A36EAE"/>
    <w:rsid w:val="00A40D9B"/>
    <w:rsid w:val="00A419AD"/>
    <w:rsid w:val="00A4214C"/>
    <w:rsid w:val="00A42779"/>
    <w:rsid w:val="00A42D7E"/>
    <w:rsid w:val="00A4325B"/>
    <w:rsid w:val="00A43DC2"/>
    <w:rsid w:val="00A43F88"/>
    <w:rsid w:val="00A45969"/>
    <w:rsid w:val="00A46179"/>
    <w:rsid w:val="00A46DB2"/>
    <w:rsid w:val="00A46F04"/>
    <w:rsid w:val="00A47D36"/>
    <w:rsid w:val="00A5018F"/>
    <w:rsid w:val="00A5197A"/>
    <w:rsid w:val="00A527D3"/>
    <w:rsid w:val="00A529AA"/>
    <w:rsid w:val="00A52EA0"/>
    <w:rsid w:val="00A543B4"/>
    <w:rsid w:val="00A545CC"/>
    <w:rsid w:val="00A54E97"/>
    <w:rsid w:val="00A558DC"/>
    <w:rsid w:val="00A5602C"/>
    <w:rsid w:val="00A5675E"/>
    <w:rsid w:val="00A572E0"/>
    <w:rsid w:val="00A57894"/>
    <w:rsid w:val="00A60094"/>
    <w:rsid w:val="00A600EA"/>
    <w:rsid w:val="00A607FE"/>
    <w:rsid w:val="00A60E46"/>
    <w:rsid w:val="00A61031"/>
    <w:rsid w:val="00A61702"/>
    <w:rsid w:val="00A617CA"/>
    <w:rsid w:val="00A622AB"/>
    <w:rsid w:val="00A62CF3"/>
    <w:rsid w:val="00A6316A"/>
    <w:rsid w:val="00A6377B"/>
    <w:rsid w:val="00A663DB"/>
    <w:rsid w:val="00A67088"/>
    <w:rsid w:val="00A67226"/>
    <w:rsid w:val="00A67D01"/>
    <w:rsid w:val="00A713DA"/>
    <w:rsid w:val="00A7236D"/>
    <w:rsid w:val="00A72615"/>
    <w:rsid w:val="00A72656"/>
    <w:rsid w:val="00A72AD8"/>
    <w:rsid w:val="00A7345E"/>
    <w:rsid w:val="00A73839"/>
    <w:rsid w:val="00A73D95"/>
    <w:rsid w:val="00A7423F"/>
    <w:rsid w:val="00A7575A"/>
    <w:rsid w:val="00A75906"/>
    <w:rsid w:val="00A75DE6"/>
    <w:rsid w:val="00A76E89"/>
    <w:rsid w:val="00A76EE9"/>
    <w:rsid w:val="00A802FA"/>
    <w:rsid w:val="00A80324"/>
    <w:rsid w:val="00A80D28"/>
    <w:rsid w:val="00A80ECB"/>
    <w:rsid w:val="00A8154F"/>
    <w:rsid w:val="00A81B79"/>
    <w:rsid w:val="00A82440"/>
    <w:rsid w:val="00A83FA5"/>
    <w:rsid w:val="00A84AB7"/>
    <w:rsid w:val="00A84B33"/>
    <w:rsid w:val="00A85568"/>
    <w:rsid w:val="00A86C37"/>
    <w:rsid w:val="00A8730C"/>
    <w:rsid w:val="00A87C53"/>
    <w:rsid w:val="00A907A9"/>
    <w:rsid w:val="00A914C1"/>
    <w:rsid w:val="00A91AFA"/>
    <w:rsid w:val="00A9216D"/>
    <w:rsid w:val="00A930EC"/>
    <w:rsid w:val="00A939DF"/>
    <w:rsid w:val="00A93E8D"/>
    <w:rsid w:val="00A94741"/>
    <w:rsid w:val="00A94891"/>
    <w:rsid w:val="00A94C3D"/>
    <w:rsid w:val="00A94DF9"/>
    <w:rsid w:val="00A95292"/>
    <w:rsid w:val="00A957FD"/>
    <w:rsid w:val="00A95F58"/>
    <w:rsid w:val="00A960B2"/>
    <w:rsid w:val="00A960B6"/>
    <w:rsid w:val="00A965E7"/>
    <w:rsid w:val="00AA0592"/>
    <w:rsid w:val="00AA095A"/>
    <w:rsid w:val="00AA09BC"/>
    <w:rsid w:val="00AA0A58"/>
    <w:rsid w:val="00AA19A5"/>
    <w:rsid w:val="00AA1D20"/>
    <w:rsid w:val="00AA1F06"/>
    <w:rsid w:val="00AA207A"/>
    <w:rsid w:val="00AA2F17"/>
    <w:rsid w:val="00AA3146"/>
    <w:rsid w:val="00AA3C20"/>
    <w:rsid w:val="00AA6B70"/>
    <w:rsid w:val="00AA740E"/>
    <w:rsid w:val="00AB0EB3"/>
    <w:rsid w:val="00AB17B2"/>
    <w:rsid w:val="00AB2029"/>
    <w:rsid w:val="00AB2807"/>
    <w:rsid w:val="00AB338C"/>
    <w:rsid w:val="00AB3CDA"/>
    <w:rsid w:val="00AB42F7"/>
    <w:rsid w:val="00AB45F8"/>
    <w:rsid w:val="00AB5D09"/>
    <w:rsid w:val="00AB763F"/>
    <w:rsid w:val="00AC0601"/>
    <w:rsid w:val="00AC175D"/>
    <w:rsid w:val="00AC29E9"/>
    <w:rsid w:val="00AC359F"/>
    <w:rsid w:val="00AC39E9"/>
    <w:rsid w:val="00AC459F"/>
    <w:rsid w:val="00AC5435"/>
    <w:rsid w:val="00AC5A33"/>
    <w:rsid w:val="00AC5FEA"/>
    <w:rsid w:val="00AC607B"/>
    <w:rsid w:val="00AC6329"/>
    <w:rsid w:val="00AC6690"/>
    <w:rsid w:val="00AC7257"/>
    <w:rsid w:val="00AD0638"/>
    <w:rsid w:val="00AD0FC8"/>
    <w:rsid w:val="00AD262D"/>
    <w:rsid w:val="00AD2FCE"/>
    <w:rsid w:val="00AD427C"/>
    <w:rsid w:val="00AD5C83"/>
    <w:rsid w:val="00AD606F"/>
    <w:rsid w:val="00AD6903"/>
    <w:rsid w:val="00AD735B"/>
    <w:rsid w:val="00AD7478"/>
    <w:rsid w:val="00AD7DE5"/>
    <w:rsid w:val="00AE0031"/>
    <w:rsid w:val="00AE137C"/>
    <w:rsid w:val="00AE13B9"/>
    <w:rsid w:val="00AE1BED"/>
    <w:rsid w:val="00AE2679"/>
    <w:rsid w:val="00AE2E19"/>
    <w:rsid w:val="00AE388D"/>
    <w:rsid w:val="00AE3E7D"/>
    <w:rsid w:val="00AE43C9"/>
    <w:rsid w:val="00AE494D"/>
    <w:rsid w:val="00AE5430"/>
    <w:rsid w:val="00AE57A7"/>
    <w:rsid w:val="00AE6837"/>
    <w:rsid w:val="00AE69C3"/>
    <w:rsid w:val="00AE6E80"/>
    <w:rsid w:val="00AE7630"/>
    <w:rsid w:val="00AE7C4D"/>
    <w:rsid w:val="00AF01E3"/>
    <w:rsid w:val="00AF0F1A"/>
    <w:rsid w:val="00AF16C8"/>
    <w:rsid w:val="00AF1E28"/>
    <w:rsid w:val="00AF31A0"/>
    <w:rsid w:val="00AF3DEA"/>
    <w:rsid w:val="00AF5E6F"/>
    <w:rsid w:val="00AF61AA"/>
    <w:rsid w:val="00AF6BE9"/>
    <w:rsid w:val="00AF6C1E"/>
    <w:rsid w:val="00AF6D09"/>
    <w:rsid w:val="00AF7698"/>
    <w:rsid w:val="00AF78B7"/>
    <w:rsid w:val="00AF7AE3"/>
    <w:rsid w:val="00B0052A"/>
    <w:rsid w:val="00B0161A"/>
    <w:rsid w:val="00B01CDB"/>
    <w:rsid w:val="00B02126"/>
    <w:rsid w:val="00B039B7"/>
    <w:rsid w:val="00B061E6"/>
    <w:rsid w:val="00B07CE2"/>
    <w:rsid w:val="00B10026"/>
    <w:rsid w:val="00B10AEC"/>
    <w:rsid w:val="00B10C30"/>
    <w:rsid w:val="00B1267E"/>
    <w:rsid w:val="00B12961"/>
    <w:rsid w:val="00B14109"/>
    <w:rsid w:val="00B149B4"/>
    <w:rsid w:val="00B14C6A"/>
    <w:rsid w:val="00B15045"/>
    <w:rsid w:val="00B15460"/>
    <w:rsid w:val="00B15D7B"/>
    <w:rsid w:val="00B16EB2"/>
    <w:rsid w:val="00B21D46"/>
    <w:rsid w:val="00B220A4"/>
    <w:rsid w:val="00B2245F"/>
    <w:rsid w:val="00B22528"/>
    <w:rsid w:val="00B2304E"/>
    <w:rsid w:val="00B23A01"/>
    <w:rsid w:val="00B23AE3"/>
    <w:rsid w:val="00B249E8"/>
    <w:rsid w:val="00B2630D"/>
    <w:rsid w:val="00B263D1"/>
    <w:rsid w:val="00B27837"/>
    <w:rsid w:val="00B31004"/>
    <w:rsid w:val="00B31F61"/>
    <w:rsid w:val="00B329C7"/>
    <w:rsid w:val="00B32CF2"/>
    <w:rsid w:val="00B33E09"/>
    <w:rsid w:val="00B34C13"/>
    <w:rsid w:val="00B34F03"/>
    <w:rsid w:val="00B35BCB"/>
    <w:rsid w:val="00B36896"/>
    <w:rsid w:val="00B400FC"/>
    <w:rsid w:val="00B4026C"/>
    <w:rsid w:val="00B4083D"/>
    <w:rsid w:val="00B42392"/>
    <w:rsid w:val="00B42492"/>
    <w:rsid w:val="00B426CC"/>
    <w:rsid w:val="00B428EE"/>
    <w:rsid w:val="00B42D27"/>
    <w:rsid w:val="00B440F0"/>
    <w:rsid w:val="00B45AD8"/>
    <w:rsid w:val="00B45B69"/>
    <w:rsid w:val="00B45F64"/>
    <w:rsid w:val="00B46177"/>
    <w:rsid w:val="00B46958"/>
    <w:rsid w:val="00B520DE"/>
    <w:rsid w:val="00B523B2"/>
    <w:rsid w:val="00B523FA"/>
    <w:rsid w:val="00B542B4"/>
    <w:rsid w:val="00B54B68"/>
    <w:rsid w:val="00B5565F"/>
    <w:rsid w:val="00B556E5"/>
    <w:rsid w:val="00B56146"/>
    <w:rsid w:val="00B56C74"/>
    <w:rsid w:val="00B56CC0"/>
    <w:rsid w:val="00B57B6F"/>
    <w:rsid w:val="00B61952"/>
    <w:rsid w:val="00B6248B"/>
    <w:rsid w:val="00B624CB"/>
    <w:rsid w:val="00B6274E"/>
    <w:rsid w:val="00B62842"/>
    <w:rsid w:val="00B647CE"/>
    <w:rsid w:val="00B64ACE"/>
    <w:rsid w:val="00B65042"/>
    <w:rsid w:val="00B663E2"/>
    <w:rsid w:val="00B665F1"/>
    <w:rsid w:val="00B668C4"/>
    <w:rsid w:val="00B70309"/>
    <w:rsid w:val="00B70CC2"/>
    <w:rsid w:val="00B70DB4"/>
    <w:rsid w:val="00B71BCF"/>
    <w:rsid w:val="00B72159"/>
    <w:rsid w:val="00B723B6"/>
    <w:rsid w:val="00B7332A"/>
    <w:rsid w:val="00B73BF3"/>
    <w:rsid w:val="00B73C75"/>
    <w:rsid w:val="00B74197"/>
    <w:rsid w:val="00B74670"/>
    <w:rsid w:val="00B752BF"/>
    <w:rsid w:val="00B75BC0"/>
    <w:rsid w:val="00B76816"/>
    <w:rsid w:val="00B76EDC"/>
    <w:rsid w:val="00B775AB"/>
    <w:rsid w:val="00B807AE"/>
    <w:rsid w:val="00B80D3F"/>
    <w:rsid w:val="00B83199"/>
    <w:rsid w:val="00B83555"/>
    <w:rsid w:val="00B839EE"/>
    <w:rsid w:val="00B84B64"/>
    <w:rsid w:val="00B84BFC"/>
    <w:rsid w:val="00B854C0"/>
    <w:rsid w:val="00B85E79"/>
    <w:rsid w:val="00B8601A"/>
    <w:rsid w:val="00B8733C"/>
    <w:rsid w:val="00B9012E"/>
    <w:rsid w:val="00B90B7D"/>
    <w:rsid w:val="00B913A3"/>
    <w:rsid w:val="00B914E2"/>
    <w:rsid w:val="00B91A3A"/>
    <w:rsid w:val="00B928FB"/>
    <w:rsid w:val="00B936BD"/>
    <w:rsid w:val="00B93A89"/>
    <w:rsid w:val="00B94901"/>
    <w:rsid w:val="00B9498B"/>
    <w:rsid w:val="00B94E9B"/>
    <w:rsid w:val="00B95212"/>
    <w:rsid w:val="00B95D11"/>
    <w:rsid w:val="00BA050E"/>
    <w:rsid w:val="00BA0567"/>
    <w:rsid w:val="00BA0A6C"/>
    <w:rsid w:val="00BA1D13"/>
    <w:rsid w:val="00BA39E2"/>
    <w:rsid w:val="00BA3C2E"/>
    <w:rsid w:val="00BA3CAD"/>
    <w:rsid w:val="00BA4646"/>
    <w:rsid w:val="00BA74E4"/>
    <w:rsid w:val="00BA7B5D"/>
    <w:rsid w:val="00BA7FF2"/>
    <w:rsid w:val="00BB0CCF"/>
    <w:rsid w:val="00BB0E36"/>
    <w:rsid w:val="00BB10F8"/>
    <w:rsid w:val="00BB1E4A"/>
    <w:rsid w:val="00BB283A"/>
    <w:rsid w:val="00BB2C1B"/>
    <w:rsid w:val="00BB3388"/>
    <w:rsid w:val="00BB4E10"/>
    <w:rsid w:val="00BB5B58"/>
    <w:rsid w:val="00BB5C03"/>
    <w:rsid w:val="00BB5FEC"/>
    <w:rsid w:val="00BB6FC5"/>
    <w:rsid w:val="00BB71A7"/>
    <w:rsid w:val="00BB787D"/>
    <w:rsid w:val="00BB7D1C"/>
    <w:rsid w:val="00BC0E2E"/>
    <w:rsid w:val="00BC2826"/>
    <w:rsid w:val="00BC2DA2"/>
    <w:rsid w:val="00BC4A91"/>
    <w:rsid w:val="00BC4D94"/>
    <w:rsid w:val="00BC627C"/>
    <w:rsid w:val="00BC63B3"/>
    <w:rsid w:val="00BC753F"/>
    <w:rsid w:val="00BD00A3"/>
    <w:rsid w:val="00BD0ADF"/>
    <w:rsid w:val="00BD0F45"/>
    <w:rsid w:val="00BD241E"/>
    <w:rsid w:val="00BD271E"/>
    <w:rsid w:val="00BD31F5"/>
    <w:rsid w:val="00BD3E88"/>
    <w:rsid w:val="00BD3F5D"/>
    <w:rsid w:val="00BD4E2C"/>
    <w:rsid w:val="00BD5618"/>
    <w:rsid w:val="00BD5BE0"/>
    <w:rsid w:val="00BD5E1B"/>
    <w:rsid w:val="00BD683D"/>
    <w:rsid w:val="00BD6CD8"/>
    <w:rsid w:val="00BD7D10"/>
    <w:rsid w:val="00BE06B0"/>
    <w:rsid w:val="00BE0CFB"/>
    <w:rsid w:val="00BE38B5"/>
    <w:rsid w:val="00BE3CB1"/>
    <w:rsid w:val="00BE4276"/>
    <w:rsid w:val="00BE5AB5"/>
    <w:rsid w:val="00BE5B63"/>
    <w:rsid w:val="00BF04ED"/>
    <w:rsid w:val="00BF0CEA"/>
    <w:rsid w:val="00BF111E"/>
    <w:rsid w:val="00BF1290"/>
    <w:rsid w:val="00BF1D3D"/>
    <w:rsid w:val="00BF1E9C"/>
    <w:rsid w:val="00BF2516"/>
    <w:rsid w:val="00BF25AB"/>
    <w:rsid w:val="00BF28EE"/>
    <w:rsid w:val="00BF353A"/>
    <w:rsid w:val="00BF3C38"/>
    <w:rsid w:val="00BF3E7A"/>
    <w:rsid w:val="00BF3F03"/>
    <w:rsid w:val="00BF405D"/>
    <w:rsid w:val="00BF4DAC"/>
    <w:rsid w:val="00BF5E6E"/>
    <w:rsid w:val="00BF7EBC"/>
    <w:rsid w:val="00C00BA6"/>
    <w:rsid w:val="00C00D13"/>
    <w:rsid w:val="00C00D18"/>
    <w:rsid w:val="00C01CC9"/>
    <w:rsid w:val="00C02697"/>
    <w:rsid w:val="00C027A8"/>
    <w:rsid w:val="00C04208"/>
    <w:rsid w:val="00C04C9D"/>
    <w:rsid w:val="00C078F2"/>
    <w:rsid w:val="00C100D9"/>
    <w:rsid w:val="00C105CB"/>
    <w:rsid w:val="00C10891"/>
    <w:rsid w:val="00C10A77"/>
    <w:rsid w:val="00C135C7"/>
    <w:rsid w:val="00C13794"/>
    <w:rsid w:val="00C137EC"/>
    <w:rsid w:val="00C14523"/>
    <w:rsid w:val="00C15187"/>
    <w:rsid w:val="00C156AC"/>
    <w:rsid w:val="00C1668F"/>
    <w:rsid w:val="00C17515"/>
    <w:rsid w:val="00C17908"/>
    <w:rsid w:val="00C203DD"/>
    <w:rsid w:val="00C21195"/>
    <w:rsid w:val="00C21572"/>
    <w:rsid w:val="00C236D3"/>
    <w:rsid w:val="00C237F8"/>
    <w:rsid w:val="00C244EF"/>
    <w:rsid w:val="00C259B0"/>
    <w:rsid w:val="00C25FA2"/>
    <w:rsid w:val="00C30DAC"/>
    <w:rsid w:val="00C3142C"/>
    <w:rsid w:val="00C3200F"/>
    <w:rsid w:val="00C336D6"/>
    <w:rsid w:val="00C33711"/>
    <w:rsid w:val="00C337E8"/>
    <w:rsid w:val="00C33AD7"/>
    <w:rsid w:val="00C34613"/>
    <w:rsid w:val="00C34DAE"/>
    <w:rsid w:val="00C351E3"/>
    <w:rsid w:val="00C35293"/>
    <w:rsid w:val="00C356F9"/>
    <w:rsid w:val="00C36104"/>
    <w:rsid w:val="00C37E90"/>
    <w:rsid w:val="00C40021"/>
    <w:rsid w:val="00C42329"/>
    <w:rsid w:val="00C428E2"/>
    <w:rsid w:val="00C46728"/>
    <w:rsid w:val="00C46B8A"/>
    <w:rsid w:val="00C473BD"/>
    <w:rsid w:val="00C4777A"/>
    <w:rsid w:val="00C47C42"/>
    <w:rsid w:val="00C50441"/>
    <w:rsid w:val="00C50D37"/>
    <w:rsid w:val="00C51043"/>
    <w:rsid w:val="00C52468"/>
    <w:rsid w:val="00C53AF1"/>
    <w:rsid w:val="00C53D83"/>
    <w:rsid w:val="00C54A22"/>
    <w:rsid w:val="00C55D21"/>
    <w:rsid w:val="00C57132"/>
    <w:rsid w:val="00C607C4"/>
    <w:rsid w:val="00C60CBB"/>
    <w:rsid w:val="00C6111D"/>
    <w:rsid w:val="00C63771"/>
    <w:rsid w:val="00C63C19"/>
    <w:rsid w:val="00C63F8A"/>
    <w:rsid w:val="00C65602"/>
    <w:rsid w:val="00C656C7"/>
    <w:rsid w:val="00C66689"/>
    <w:rsid w:val="00C671D6"/>
    <w:rsid w:val="00C673D5"/>
    <w:rsid w:val="00C70A02"/>
    <w:rsid w:val="00C710D6"/>
    <w:rsid w:val="00C710F7"/>
    <w:rsid w:val="00C717F9"/>
    <w:rsid w:val="00C71B7C"/>
    <w:rsid w:val="00C71E76"/>
    <w:rsid w:val="00C7216C"/>
    <w:rsid w:val="00C73592"/>
    <w:rsid w:val="00C736AE"/>
    <w:rsid w:val="00C74542"/>
    <w:rsid w:val="00C75921"/>
    <w:rsid w:val="00C75AA9"/>
    <w:rsid w:val="00C75C0E"/>
    <w:rsid w:val="00C7622E"/>
    <w:rsid w:val="00C76757"/>
    <w:rsid w:val="00C77B2D"/>
    <w:rsid w:val="00C80058"/>
    <w:rsid w:val="00C80D10"/>
    <w:rsid w:val="00C81440"/>
    <w:rsid w:val="00C81918"/>
    <w:rsid w:val="00C827CC"/>
    <w:rsid w:val="00C83308"/>
    <w:rsid w:val="00C854CF"/>
    <w:rsid w:val="00C85BD8"/>
    <w:rsid w:val="00C85E6E"/>
    <w:rsid w:val="00C912AF"/>
    <w:rsid w:val="00C91576"/>
    <w:rsid w:val="00C91E21"/>
    <w:rsid w:val="00C92857"/>
    <w:rsid w:val="00C92AF6"/>
    <w:rsid w:val="00C93953"/>
    <w:rsid w:val="00C944B7"/>
    <w:rsid w:val="00C948F1"/>
    <w:rsid w:val="00C953E7"/>
    <w:rsid w:val="00C95C21"/>
    <w:rsid w:val="00C96011"/>
    <w:rsid w:val="00C96E3C"/>
    <w:rsid w:val="00C97536"/>
    <w:rsid w:val="00CA0106"/>
    <w:rsid w:val="00CA04F4"/>
    <w:rsid w:val="00CA055E"/>
    <w:rsid w:val="00CA1DA8"/>
    <w:rsid w:val="00CA20E2"/>
    <w:rsid w:val="00CA2DD1"/>
    <w:rsid w:val="00CA34E5"/>
    <w:rsid w:val="00CA4631"/>
    <w:rsid w:val="00CA5838"/>
    <w:rsid w:val="00CA6E6B"/>
    <w:rsid w:val="00CA7326"/>
    <w:rsid w:val="00CB02CE"/>
    <w:rsid w:val="00CB0728"/>
    <w:rsid w:val="00CB1E55"/>
    <w:rsid w:val="00CB4261"/>
    <w:rsid w:val="00CB4D52"/>
    <w:rsid w:val="00CB53DD"/>
    <w:rsid w:val="00CB5F4F"/>
    <w:rsid w:val="00CB6A10"/>
    <w:rsid w:val="00CB6BD0"/>
    <w:rsid w:val="00CB6EAE"/>
    <w:rsid w:val="00CB7031"/>
    <w:rsid w:val="00CC07CB"/>
    <w:rsid w:val="00CC0AE9"/>
    <w:rsid w:val="00CC110D"/>
    <w:rsid w:val="00CC1A76"/>
    <w:rsid w:val="00CC2A88"/>
    <w:rsid w:val="00CC7292"/>
    <w:rsid w:val="00CC7955"/>
    <w:rsid w:val="00CC79E4"/>
    <w:rsid w:val="00CC7BE6"/>
    <w:rsid w:val="00CD0328"/>
    <w:rsid w:val="00CD1759"/>
    <w:rsid w:val="00CD17AD"/>
    <w:rsid w:val="00CD3B30"/>
    <w:rsid w:val="00CD3FD6"/>
    <w:rsid w:val="00CD44C5"/>
    <w:rsid w:val="00CD4E02"/>
    <w:rsid w:val="00CD526A"/>
    <w:rsid w:val="00CD5D70"/>
    <w:rsid w:val="00CD7734"/>
    <w:rsid w:val="00CD78B1"/>
    <w:rsid w:val="00CD7A88"/>
    <w:rsid w:val="00CE0B0A"/>
    <w:rsid w:val="00CE28D5"/>
    <w:rsid w:val="00CE3D42"/>
    <w:rsid w:val="00CE3D7D"/>
    <w:rsid w:val="00CE5266"/>
    <w:rsid w:val="00CE552E"/>
    <w:rsid w:val="00CE5887"/>
    <w:rsid w:val="00CE5DA9"/>
    <w:rsid w:val="00CE66A4"/>
    <w:rsid w:val="00CE76E6"/>
    <w:rsid w:val="00CF160B"/>
    <w:rsid w:val="00CF19A2"/>
    <w:rsid w:val="00CF1B2A"/>
    <w:rsid w:val="00CF265F"/>
    <w:rsid w:val="00CF27EB"/>
    <w:rsid w:val="00CF2A1F"/>
    <w:rsid w:val="00CF3760"/>
    <w:rsid w:val="00CF3DD0"/>
    <w:rsid w:val="00CF40E8"/>
    <w:rsid w:val="00CF4365"/>
    <w:rsid w:val="00CF46C5"/>
    <w:rsid w:val="00CF56D3"/>
    <w:rsid w:val="00D01A56"/>
    <w:rsid w:val="00D0296F"/>
    <w:rsid w:val="00D046F5"/>
    <w:rsid w:val="00D04ADD"/>
    <w:rsid w:val="00D05022"/>
    <w:rsid w:val="00D0516E"/>
    <w:rsid w:val="00D05903"/>
    <w:rsid w:val="00D070B6"/>
    <w:rsid w:val="00D07B5B"/>
    <w:rsid w:val="00D10C67"/>
    <w:rsid w:val="00D114EB"/>
    <w:rsid w:val="00D1198A"/>
    <w:rsid w:val="00D138DC"/>
    <w:rsid w:val="00D145D6"/>
    <w:rsid w:val="00D17A3A"/>
    <w:rsid w:val="00D25CCB"/>
    <w:rsid w:val="00D26557"/>
    <w:rsid w:val="00D27171"/>
    <w:rsid w:val="00D27864"/>
    <w:rsid w:val="00D27C81"/>
    <w:rsid w:val="00D27D91"/>
    <w:rsid w:val="00D30B71"/>
    <w:rsid w:val="00D3110B"/>
    <w:rsid w:val="00D32338"/>
    <w:rsid w:val="00D32F20"/>
    <w:rsid w:val="00D3447B"/>
    <w:rsid w:val="00D3491D"/>
    <w:rsid w:val="00D3541C"/>
    <w:rsid w:val="00D3604B"/>
    <w:rsid w:val="00D37655"/>
    <w:rsid w:val="00D3777B"/>
    <w:rsid w:val="00D4090C"/>
    <w:rsid w:val="00D40FBF"/>
    <w:rsid w:val="00D41328"/>
    <w:rsid w:val="00D4235C"/>
    <w:rsid w:val="00D42B82"/>
    <w:rsid w:val="00D4562A"/>
    <w:rsid w:val="00D45D28"/>
    <w:rsid w:val="00D4663C"/>
    <w:rsid w:val="00D46AB5"/>
    <w:rsid w:val="00D46D29"/>
    <w:rsid w:val="00D4723F"/>
    <w:rsid w:val="00D473BB"/>
    <w:rsid w:val="00D475CD"/>
    <w:rsid w:val="00D51FED"/>
    <w:rsid w:val="00D521A0"/>
    <w:rsid w:val="00D551F3"/>
    <w:rsid w:val="00D60B98"/>
    <w:rsid w:val="00D6133E"/>
    <w:rsid w:val="00D62E25"/>
    <w:rsid w:val="00D656EB"/>
    <w:rsid w:val="00D65AB8"/>
    <w:rsid w:val="00D664A7"/>
    <w:rsid w:val="00D66F00"/>
    <w:rsid w:val="00D67355"/>
    <w:rsid w:val="00D67F57"/>
    <w:rsid w:val="00D67FB8"/>
    <w:rsid w:val="00D70448"/>
    <w:rsid w:val="00D70C72"/>
    <w:rsid w:val="00D71080"/>
    <w:rsid w:val="00D7211A"/>
    <w:rsid w:val="00D726C6"/>
    <w:rsid w:val="00D72F85"/>
    <w:rsid w:val="00D734B1"/>
    <w:rsid w:val="00D74ED3"/>
    <w:rsid w:val="00D75075"/>
    <w:rsid w:val="00D760C4"/>
    <w:rsid w:val="00D76E6F"/>
    <w:rsid w:val="00D76FD4"/>
    <w:rsid w:val="00D8011D"/>
    <w:rsid w:val="00D83682"/>
    <w:rsid w:val="00D83F94"/>
    <w:rsid w:val="00D8600D"/>
    <w:rsid w:val="00D86978"/>
    <w:rsid w:val="00D87479"/>
    <w:rsid w:val="00D9114B"/>
    <w:rsid w:val="00D91861"/>
    <w:rsid w:val="00D91E1D"/>
    <w:rsid w:val="00D92304"/>
    <w:rsid w:val="00D92CB0"/>
    <w:rsid w:val="00D93472"/>
    <w:rsid w:val="00D93972"/>
    <w:rsid w:val="00D93C33"/>
    <w:rsid w:val="00D95677"/>
    <w:rsid w:val="00D958AC"/>
    <w:rsid w:val="00D969DF"/>
    <w:rsid w:val="00D97148"/>
    <w:rsid w:val="00D97A90"/>
    <w:rsid w:val="00D97BBD"/>
    <w:rsid w:val="00DA01CE"/>
    <w:rsid w:val="00DA0511"/>
    <w:rsid w:val="00DA096E"/>
    <w:rsid w:val="00DA0BFD"/>
    <w:rsid w:val="00DA1246"/>
    <w:rsid w:val="00DA1E4A"/>
    <w:rsid w:val="00DA2240"/>
    <w:rsid w:val="00DA327F"/>
    <w:rsid w:val="00DA40D3"/>
    <w:rsid w:val="00DA606A"/>
    <w:rsid w:val="00DA6CAC"/>
    <w:rsid w:val="00DA6D9A"/>
    <w:rsid w:val="00DA713F"/>
    <w:rsid w:val="00DB00B3"/>
    <w:rsid w:val="00DB0573"/>
    <w:rsid w:val="00DB0D40"/>
    <w:rsid w:val="00DB0E5C"/>
    <w:rsid w:val="00DB20B7"/>
    <w:rsid w:val="00DB360A"/>
    <w:rsid w:val="00DB3D21"/>
    <w:rsid w:val="00DB4231"/>
    <w:rsid w:val="00DB7B37"/>
    <w:rsid w:val="00DC04AF"/>
    <w:rsid w:val="00DC235E"/>
    <w:rsid w:val="00DC24A8"/>
    <w:rsid w:val="00DC25C8"/>
    <w:rsid w:val="00DC27B8"/>
    <w:rsid w:val="00DC4C36"/>
    <w:rsid w:val="00DC4C83"/>
    <w:rsid w:val="00DC501F"/>
    <w:rsid w:val="00DC614E"/>
    <w:rsid w:val="00DC6A87"/>
    <w:rsid w:val="00DC7C1F"/>
    <w:rsid w:val="00DD0126"/>
    <w:rsid w:val="00DD0C20"/>
    <w:rsid w:val="00DD0CD0"/>
    <w:rsid w:val="00DD1353"/>
    <w:rsid w:val="00DD1426"/>
    <w:rsid w:val="00DD1AE7"/>
    <w:rsid w:val="00DD3201"/>
    <w:rsid w:val="00DD3211"/>
    <w:rsid w:val="00DD3266"/>
    <w:rsid w:val="00DD491D"/>
    <w:rsid w:val="00DD5A12"/>
    <w:rsid w:val="00DD60EB"/>
    <w:rsid w:val="00DD6237"/>
    <w:rsid w:val="00DD6238"/>
    <w:rsid w:val="00DD63F3"/>
    <w:rsid w:val="00DE0487"/>
    <w:rsid w:val="00DE1F49"/>
    <w:rsid w:val="00DE28B8"/>
    <w:rsid w:val="00DE297B"/>
    <w:rsid w:val="00DE2AA3"/>
    <w:rsid w:val="00DE39E6"/>
    <w:rsid w:val="00DE4B12"/>
    <w:rsid w:val="00DE53F2"/>
    <w:rsid w:val="00DE5560"/>
    <w:rsid w:val="00DE5DFF"/>
    <w:rsid w:val="00DE66ED"/>
    <w:rsid w:val="00DE6A66"/>
    <w:rsid w:val="00DE6FBC"/>
    <w:rsid w:val="00DE7903"/>
    <w:rsid w:val="00DE7A91"/>
    <w:rsid w:val="00DE7C17"/>
    <w:rsid w:val="00DF107E"/>
    <w:rsid w:val="00DF1105"/>
    <w:rsid w:val="00DF1884"/>
    <w:rsid w:val="00DF22C2"/>
    <w:rsid w:val="00DF231F"/>
    <w:rsid w:val="00DF2721"/>
    <w:rsid w:val="00DF27C5"/>
    <w:rsid w:val="00DF2DC8"/>
    <w:rsid w:val="00DF3562"/>
    <w:rsid w:val="00DF3B0F"/>
    <w:rsid w:val="00DF4D89"/>
    <w:rsid w:val="00DF6F40"/>
    <w:rsid w:val="00DF7BF5"/>
    <w:rsid w:val="00E0057D"/>
    <w:rsid w:val="00E01395"/>
    <w:rsid w:val="00E028D6"/>
    <w:rsid w:val="00E03EED"/>
    <w:rsid w:val="00E040D6"/>
    <w:rsid w:val="00E049CD"/>
    <w:rsid w:val="00E04B98"/>
    <w:rsid w:val="00E062D3"/>
    <w:rsid w:val="00E064E4"/>
    <w:rsid w:val="00E06C26"/>
    <w:rsid w:val="00E0780D"/>
    <w:rsid w:val="00E10634"/>
    <w:rsid w:val="00E10E10"/>
    <w:rsid w:val="00E121E7"/>
    <w:rsid w:val="00E1279C"/>
    <w:rsid w:val="00E12BE1"/>
    <w:rsid w:val="00E142F6"/>
    <w:rsid w:val="00E14E99"/>
    <w:rsid w:val="00E15035"/>
    <w:rsid w:val="00E173A8"/>
    <w:rsid w:val="00E17D40"/>
    <w:rsid w:val="00E207D4"/>
    <w:rsid w:val="00E21979"/>
    <w:rsid w:val="00E227B7"/>
    <w:rsid w:val="00E22CF4"/>
    <w:rsid w:val="00E248FB"/>
    <w:rsid w:val="00E26C50"/>
    <w:rsid w:val="00E2718A"/>
    <w:rsid w:val="00E27D89"/>
    <w:rsid w:val="00E30264"/>
    <w:rsid w:val="00E311D7"/>
    <w:rsid w:val="00E3228E"/>
    <w:rsid w:val="00E32463"/>
    <w:rsid w:val="00E32A60"/>
    <w:rsid w:val="00E33AF2"/>
    <w:rsid w:val="00E34448"/>
    <w:rsid w:val="00E354B7"/>
    <w:rsid w:val="00E35D9F"/>
    <w:rsid w:val="00E36836"/>
    <w:rsid w:val="00E40104"/>
    <w:rsid w:val="00E40FDD"/>
    <w:rsid w:val="00E41A50"/>
    <w:rsid w:val="00E423C6"/>
    <w:rsid w:val="00E42D38"/>
    <w:rsid w:val="00E445CD"/>
    <w:rsid w:val="00E462C5"/>
    <w:rsid w:val="00E463CA"/>
    <w:rsid w:val="00E47725"/>
    <w:rsid w:val="00E47BDC"/>
    <w:rsid w:val="00E513FF"/>
    <w:rsid w:val="00E51DB8"/>
    <w:rsid w:val="00E52B4F"/>
    <w:rsid w:val="00E5485C"/>
    <w:rsid w:val="00E549A3"/>
    <w:rsid w:val="00E549F1"/>
    <w:rsid w:val="00E54A7C"/>
    <w:rsid w:val="00E55B29"/>
    <w:rsid w:val="00E56057"/>
    <w:rsid w:val="00E57379"/>
    <w:rsid w:val="00E60C61"/>
    <w:rsid w:val="00E61FA0"/>
    <w:rsid w:val="00E620B4"/>
    <w:rsid w:val="00E63E01"/>
    <w:rsid w:val="00E6446F"/>
    <w:rsid w:val="00E672D3"/>
    <w:rsid w:val="00E67381"/>
    <w:rsid w:val="00E702B1"/>
    <w:rsid w:val="00E70534"/>
    <w:rsid w:val="00E711A0"/>
    <w:rsid w:val="00E71228"/>
    <w:rsid w:val="00E71402"/>
    <w:rsid w:val="00E71B1A"/>
    <w:rsid w:val="00E7210D"/>
    <w:rsid w:val="00E73741"/>
    <w:rsid w:val="00E74159"/>
    <w:rsid w:val="00E744AF"/>
    <w:rsid w:val="00E76DF1"/>
    <w:rsid w:val="00E76E91"/>
    <w:rsid w:val="00E772F7"/>
    <w:rsid w:val="00E77ECA"/>
    <w:rsid w:val="00E818A0"/>
    <w:rsid w:val="00E827DD"/>
    <w:rsid w:val="00E82E72"/>
    <w:rsid w:val="00E84067"/>
    <w:rsid w:val="00E85BDC"/>
    <w:rsid w:val="00E86A4A"/>
    <w:rsid w:val="00E9065A"/>
    <w:rsid w:val="00E90811"/>
    <w:rsid w:val="00E90A5A"/>
    <w:rsid w:val="00E9148B"/>
    <w:rsid w:val="00E91CFD"/>
    <w:rsid w:val="00E92302"/>
    <w:rsid w:val="00E92413"/>
    <w:rsid w:val="00E93184"/>
    <w:rsid w:val="00E939A3"/>
    <w:rsid w:val="00E94BA7"/>
    <w:rsid w:val="00E951BD"/>
    <w:rsid w:val="00E957EB"/>
    <w:rsid w:val="00E9629B"/>
    <w:rsid w:val="00EA19CC"/>
    <w:rsid w:val="00EA1C9F"/>
    <w:rsid w:val="00EA1DB5"/>
    <w:rsid w:val="00EA225E"/>
    <w:rsid w:val="00EA2454"/>
    <w:rsid w:val="00EA2F6E"/>
    <w:rsid w:val="00EA3436"/>
    <w:rsid w:val="00EA35EE"/>
    <w:rsid w:val="00EA3ABD"/>
    <w:rsid w:val="00EA4D93"/>
    <w:rsid w:val="00EA56C5"/>
    <w:rsid w:val="00EA6FCE"/>
    <w:rsid w:val="00EA7531"/>
    <w:rsid w:val="00EA7B47"/>
    <w:rsid w:val="00EA7CE7"/>
    <w:rsid w:val="00EB0002"/>
    <w:rsid w:val="00EB09D7"/>
    <w:rsid w:val="00EB0B5D"/>
    <w:rsid w:val="00EB0B9B"/>
    <w:rsid w:val="00EB0F23"/>
    <w:rsid w:val="00EB1634"/>
    <w:rsid w:val="00EB1985"/>
    <w:rsid w:val="00EB6890"/>
    <w:rsid w:val="00EB6BDC"/>
    <w:rsid w:val="00EB7972"/>
    <w:rsid w:val="00EC1546"/>
    <w:rsid w:val="00EC1821"/>
    <w:rsid w:val="00EC1CBA"/>
    <w:rsid w:val="00EC292F"/>
    <w:rsid w:val="00EC4698"/>
    <w:rsid w:val="00EC5023"/>
    <w:rsid w:val="00EC5597"/>
    <w:rsid w:val="00EC6749"/>
    <w:rsid w:val="00ED10AE"/>
    <w:rsid w:val="00ED2CEE"/>
    <w:rsid w:val="00ED2EDE"/>
    <w:rsid w:val="00ED3581"/>
    <w:rsid w:val="00ED3AA7"/>
    <w:rsid w:val="00ED624C"/>
    <w:rsid w:val="00ED6CDE"/>
    <w:rsid w:val="00ED7742"/>
    <w:rsid w:val="00ED7B5E"/>
    <w:rsid w:val="00EE27FC"/>
    <w:rsid w:val="00EE5BE5"/>
    <w:rsid w:val="00EE6EEE"/>
    <w:rsid w:val="00EE70D7"/>
    <w:rsid w:val="00EE77CE"/>
    <w:rsid w:val="00EE7BEE"/>
    <w:rsid w:val="00EF0511"/>
    <w:rsid w:val="00EF1651"/>
    <w:rsid w:val="00EF17B6"/>
    <w:rsid w:val="00EF1A31"/>
    <w:rsid w:val="00EF272D"/>
    <w:rsid w:val="00EF2AD9"/>
    <w:rsid w:val="00EF2EB4"/>
    <w:rsid w:val="00EF312C"/>
    <w:rsid w:val="00EF3130"/>
    <w:rsid w:val="00EF5021"/>
    <w:rsid w:val="00EF51A1"/>
    <w:rsid w:val="00EF7C36"/>
    <w:rsid w:val="00EF7CEF"/>
    <w:rsid w:val="00F00405"/>
    <w:rsid w:val="00F004B3"/>
    <w:rsid w:val="00F0138C"/>
    <w:rsid w:val="00F028CE"/>
    <w:rsid w:val="00F044EA"/>
    <w:rsid w:val="00F04FE5"/>
    <w:rsid w:val="00F05134"/>
    <w:rsid w:val="00F05C80"/>
    <w:rsid w:val="00F05D09"/>
    <w:rsid w:val="00F06123"/>
    <w:rsid w:val="00F06F52"/>
    <w:rsid w:val="00F07605"/>
    <w:rsid w:val="00F07D25"/>
    <w:rsid w:val="00F11107"/>
    <w:rsid w:val="00F12872"/>
    <w:rsid w:val="00F14899"/>
    <w:rsid w:val="00F16D50"/>
    <w:rsid w:val="00F232D3"/>
    <w:rsid w:val="00F2425B"/>
    <w:rsid w:val="00F2488C"/>
    <w:rsid w:val="00F24B29"/>
    <w:rsid w:val="00F25459"/>
    <w:rsid w:val="00F2547B"/>
    <w:rsid w:val="00F257C6"/>
    <w:rsid w:val="00F25F4E"/>
    <w:rsid w:val="00F26663"/>
    <w:rsid w:val="00F2688B"/>
    <w:rsid w:val="00F26C00"/>
    <w:rsid w:val="00F26C65"/>
    <w:rsid w:val="00F2726D"/>
    <w:rsid w:val="00F2780B"/>
    <w:rsid w:val="00F301D8"/>
    <w:rsid w:val="00F30472"/>
    <w:rsid w:val="00F30FA8"/>
    <w:rsid w:val="00F33CB6"/>
    <w:rsid w:val="00F350A4"/>
    <w:rsid w:val="00F35304"/>
    <w:rsid w:val="00F35A4F"/>
    <w:rsid w:val="00F35BC4"/>
    <w:rsid w:val="00F3728B"/>
    <w:rsid w:val="00F3735F"/>
    <w:rsid w:val="00F4016B"/>
    <w:rsid w:val="00F40CC8"/>
    <w:rsid w:val="00F41ABC"/>
    <w:rsid w:val="00F41B30"/>
    <w:rsid w:val="00F431EF"/>
    <w:rsid w:val="00F43D27"/>
    <w:rsid w:val="00F43F2A"/>
    <w:rsid w:val="00F44C9A"/>
    <w:rsid w:val="00F44D1F"/>
    <w:rsid w:val="00F44D5C"/>
    <w:rsid w:val="00F459AE"/>
    <w:rsid w:val="00F462C6"/>
    <w:rsid w:val="00F46A41"/>
    <w:rsid w:val="00F50D73"/>
    <w:rsid w:val="00F51F62"/>
    <w:rsid w:val="00F51FC4"/>
    <w:rsid w:val="00F52080"/>
    <w:rsid w:val="00F52246"/>
    <w:rsid w:val="00F5283C"/>
    <w:rsid w:val="00F530A6"/>
    <w:rsid w:val="00F53C14"/>
    <w:rsid w:val="00F552A0"/>
    <w:rsid w:val="00F561B8"/>
    <w:rsid w:val="00F5685C"/>
    <w:rsid w:val="00F570EF"/>
    <w:rsid w:val="00F60239"/>
    <w:rsid w:val="00F60B33"/>
    <w:rsid w:val="00F60C09"/>
    <w:rsid w:val="00F615A1"/>
    <w:rsid w:val="00F63553"/>
    <w:rsid w:val="00F64719"/>
    <w:rsid w:val="00F64B61"/>
    <w:rsid w:val="00F65C4D"/>
    <w:rsid w:val="00F65F12"/>
    <w:rsid w:val="00F6689F"/>
    <w:rsid w:val="00F66C06"/>
    <w:rsid w:val="00F67606"/>
    <w:rsid w:val="00F6788C"/>
    <w:rsid w:val="00F67D47"/>
    <w:rsid w:val="00F70A9F"/>
    <w:rsid w:val="00F71F25"/>
    <w:rsid w:val="00F728BB"/>
    <w:rsid w:val="00F737F1"/>
    <w:rsid w:val="00F77E58"/>
    <w:rsid w:val="00F800EF"/>
    <w:rsid w:val="00F805B4"/>
    <w:rsid w:val="00F81550"/>
    <w:rsid w:val="00F815EA"/>
    <w:rsid w:val="00F82EAB"/>
    <w:rsid w:val="00F843C9"/>
    <w:rsid w:val="00F84BE6"/>
    <w:rsid w:val="00F84E93"/>
    <w:rsid w:val="00F8560C"/>
    <w:rsid w:val="00F85629"/>
    <w:rsid w:val="00F85F15"/>
    <w:rsid w:val="00F87748"/>
    <w:rsid w:val="00F9036B"/>
    <w:rsid w:val="00F91B51"/>
    <w:rsid w:val="00F91EE4"/>
    <w:rsid w:val="00F92D6F"/>
    <w:rsid w:val="00F92DBC"/>
    <w:rsid w:val="00F93A09"/>
    <w:rsid w:val="00F93D6A"/>
    <w:rsid w:val="00F94609"/>
    <w:rsid w:val="00F95750"/>
    <w:rsid w:val="00F9664F"/>
    <w:rsid w:val="00F968BB"/>
    <w:rsid w:val="00F978AB"/>
    <w:rsid w:val="00FA0514"/>
    <w:rsid w:val="00FA0A8E"/>
    <w:rsid w:val="00FA1BE2"/>
    <w:rsid w:val="00FA2483"/>
    <w:rsid w:val="00FA56F7"/>
    <w:rsid w:val="00FA629E"/>
    <w:rsid w:val="00FA6BA1"/>
    <w:rsid w:val="00FA7088"/>
    <w:rsid w:val="00FA759C"/>
    <w:rsid w:val="00FB02BB"/>
    <w:rsid w:val="00FB0F5C"/>
    <w:rsid w:val="00FB32F9"/>
    <w:rsid w:val="00FB38A4"/>
    <w:rsid w:val="00FB41DF"/>
    <w:rsid w:val="00FB57B5"/>
    <w:rsid w:val="00FB702C"/>
    <w:rsid w:val="00FB7A3B"/>
    <w:rsid w:val="00FC02BF"/>
    <w:rsid w:val="00FC403A"/>
    <w:rsid w:val="00FC407E"/>
    <w:rsid w:val="00FC418A"/>
    <w:rsid w:val="00FC4482"/>
    <w:rsid w:val="00FC5278"/>
    <w:rsid w:val="00FC5FEC"/>
    <w:rsid w:val="00FC623F"/>
    <w:rsid w:val="00FC69C0"/>
    <w:rsid w:val="00FC7F6F"/>
    <w:rsid w:val="00FD372F"/>
    <w:rsid w:val="00FD41BD"/>
    <w:rsid w:val="00FD454F"/>
    <w:rsid w:val="00FD4A46"/>
    <w:rsid w:val="00FD4DC7"/>
    <w:rsid w:val="00FD4FA5"/>
    <w:rsid w:val="00FD5987"/>
    <w:rsid w:val="00FD5C13"/>
    <w:rsid w:val="00FD6BFE"/>
    <w:rsid w:val="00FD7014"/>
    <w:rsid w:val="00FD7E0C"/>
    <w:rsid w:val="00FE05D7"/>
    <w:rsid w:val="00FE0E9D"/>
    <w:rsid w:val="00FE19F4"/>
    <w:rsid w:val="00FE1D13"/>
    <w:rsid w:val="00FE1F69"/>
    <w:rsid w:val="00FE258E"/>
    <w:rsid w:val="00FE3176"/>
    <w:rsid w:val="00FE395B"/>
    <w:rsid w:val="00FE3B74"/>
    <w:rsid w:val="00FE3F83"/>
    <w:rsid w:val="00FE472C"/>
    <w:rsid w:val="00FE5080"/>
    <w:rsid w:val="00FE60E6"/>
    <w:rsid w:val="00FE62A6"/>
    <w:rsid w:val="00FE64BA"/>
    <w:rsid w:val="00FE66CE"/>
    <w:rsid w:val="00FE707E"/>
    <w:rsid w:val="00FF22BB"/>
    <w:rsid w:val="00FF2DDC"/>
    <w:rsid w:val="00FF3661"/>
    <w:rsid w:val="00FF3828"/>
    <w:rsid w:val="00FF4AE2"/>
    <w:rsid w:val="00FF4DD1"/>
    <w:rsid w:val="00FF5356"/>
    <w:rsid w:val="00FF7E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8A6B"/>
  <w15:chartTrackingRefBased/>
  <w15:docId w15:val="{91B80DE3-A41D-46D1-8801-6CEA339A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E6"/>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145630"/>
    <w:pPr>
      <w:keepNext/>
      <w:keepLines/>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A6B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30"/>
    <w:rPr>
      <w:rFonts w:eastAsiaTheme="majorEastAsia" w:cstheme="majorBidi"/>
      <w:sz w:val="32"/>
      <w:szCs w:val="32"/>
    </w:rPr>
  </w:style>
  <w:style w:type="paragraph" w:styleId="Bibliography">
    <w:name w:val="Bibliography"/>
    <w:basedOn w:val="Normal"/>
    <w:next w:val="Normal"/>
    <w:uiPriority w:val="37"/>
    <w:unhideWhenUsed/>
    <w:rsid w:val="00BD00A3"/>
  </w:style>
  <w:style w:type="paragraph" w:styleId="FootnoteText">
    <w:name w:val="footnote text"/>
    <w:basedOn w:val="Normal"/>
    <w:link w:val="FootnoteTextChar"/>
    <w:uiPriority w:val="99"/>
    <w:semiHidden/>
    <w:unhideWhenUsed/>
    <w:rsid w:val="006C05C6"/>
    <w:rPr>
      <w:sz w:val="20"/>
      <w:szCs w:val="20"/>
    </w:rPr>
  </w:style>
  <w:style w:type="character" w:customStyle="1" w:styleId="FootnoteTextChar">
    <w:name w:val="Footnote Text Char"/>
    <w:basedOn w:val="DefaultParagraphFont"/>
    <w:link w:val="FootnoteText"/>
    <w:uiPriority w:val="99"/>
    <w:semiHidden/>
    <w:rsid w:val="006C05C6"/>
    <w:rPr>
      <w:sz w:val="20"/>
      <w:szCs w:val="20"/>
    </w:rPr>
  </w:style>
  <w:style w:type="character" w:styleId="FootnoteReference">
    <w:name w:val="footnote reference"/>
    <w:basedOn w:val="DefaultParagraphFont"/>
    <w:uiPriority w:val="99"/>
    <w:semiHidden/>
    <w:unhideWhenUsed/>
    <w:rsid w:val="006C05C6"/>
    <w:rPr>
      <w:vertAlign w:val="superscript"/>
    </w:rPr>
  </w:style>
  <w:style w:type="character" w:customStyle="1" w:styleId="Heading2Char">
    <w:name w:val="Heading 2 Char"/>
    <w:basedOn w:val="DefaultParagraphFont"/>
    <w:link w:val="Heading2"/>
    <w:uiPriority w:val="9"/>
    <w:rsid w:val="00FA6B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44D5C"/>
    <w:pPr>
      <w:ind w:left="720"/>
      <w:contextualSpacing/>
    </w:pPr>
  </w:style>
  <w:style w:type="character" w:styleId="PlaceholderText">
    <w:name w:val="Placeholder Text"/>
    <w:basedOn w:val="DefaultParagraphFont"/>
    <w:uiPriority w:val="99"/>
    <w:semiHidden/>
    <w:rsid w:val="008E5DC6"/>
    <w:rPr>
      <w:color w:val="808080"/>
    </w:rPr>
  </w:style>
  <w:style w:type="paragraph" w:styleId="Caption">
    <w:name w:val="caption"/>
    <w:basedOn w:val="Normal"/>
    <w:next w:val="Normal"/>
    <w:uiPriority w:val="35"/>
    <w:unhideWhenUsed/>
    <w:qFormat/>
    <w:rsid w:val="0066685A"/>
    <w:pPr>
      <w:spacing w:after="200"/>
    </w:pPr>
    <w:rPr>
      <w:i/>
      <w:iCs/>
      <w:color w:val="44546A" w:themeColor="text2"/>
      <w:sz w:val="18"/>
      <w:szCs w:val="18"/>
    </w:rPr>
  </w:style>
  <w:style w:type="paragraph" w:styleId="Header">
    <w:name w:val="header"/>
    <w:basedOn w:val="Normal"/>
    <w:link w:val="HeaderChar"/>
    <w:uiPriority w:val="99"/>
    <w:unhideWhenUsed/>
    <w:rsid w:val="00736BDF"/>
    <w:pPr>
      <w:tabs>
        <w:tab w:val="center" w:pos="4513"/>
        <w:tab w:val="right" w:pos="9026"/>
      </w:tabs>
    </w:pPr>
  </w:style>
  <w:style w:type="character" w:customStyle="1" w:styleId="HeaderChar">
    <w:name w:val="Header Char"/>
    <w:basedOn w:val="DefaultParagraphFont"/>
    <w:link w:val="Header"/>
    <w:uiPriority w:val="99"/>
    <w:rsid w:val="00736BDF"/>
  </w:style>
  <w:style w:type="paragraph" w:styleId="Footer">
    <w:name w:val="footer"/>
    <w:basedOn w:val="Normal"/>
    <w:link w:val="FooterChar"/>
    <w:uiPriority w:val="99"/>
    <w:unhideWhenUsed/>
    <w:rsid w:val="00736BDF"/>
    <w:pPr>
      <w:tabs>
        <w:tab w:val="center" w:pos="4513"/>
        <w:tab w:val="right" w:pos="9026"/>
      </w:tabs>
    </w:pPr>
  </w:style>
  <w:style w:type="character" w:customStyle="1" w:styleId="FooterChar">
    <w:name w:val="Footer Char"/>
    <w:basedOn w:val="DefaultParagraphFont"/>
    <w:link w:val="Footer"/>
    <w:uiPriority w:val="99"/>
    <w:rsid w:val="00736BDF"/>
  </w:style>
  <w:style w:type="table" w:styleId="TableGrid">
    <w:name w:val="Table Grid"/>
    <w:basedOn w:val="TableNormal"/>
    <w:uiPriority w:val="39"/>
    <w:rsid w:val="0058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AB3"/>
    <w:rPr>
      <w:color w:val="0563C1" w:themeColor="hyperlink"/>
      <w:u w:val="single"/>
    </w:rPr>
  </w:style>
  <w:style w:type="character" w:styleId="UnresolvedMention">
    <w:name w:val="Unresolved Mention"/>
    <w:basedOn w:val="DefaultParagraphFont"/>
    <w:uiPriority w:val="99"/>
    <w:semiHidden/>
    <w:unhideWhenUsed/>
    <w:rsid w:val="00450AB3"/>
    <w:rPr>
      <w:color w:val="605E5C"/>
      <w:shd w:val="clear" w:color="auto" w:fill="E1DFDD"/>
    </w:rPr>
  </w:style>
  <w:style w:type="paragraph" w:styleId="NoSpacing">
    <w:name w:val="No Spacing"/>
    <w:link w:val="NoSpacingChar"/>
    <w:uiPriority w:val="1"/>
    <w:qFormat/>
    <w:rsid w:val="00DF231F"/>
    <w:pPr>
      <w:spacing w:after="0" w:line="240" w:lineRule="auto"/>
    </w:pPr>
    <w:rPr>
      <w:rFonts w:asciiTheme="minorHAnsi" w:hAnsiTheme="minorHAnsi"/>
      <w:lang w:val="en-US" w:eastAsia="en-US"/>
    </w:rPr>
  </w:style>
  <w:style w:type="character" w:customStyle="1" w:styleId="NoSpacingChar">
    <w:name w:val="No Spacing Char"/>
    <w:basedOn w:val="DefaultParagraphFont"/>
    <w:link w:val="NoSpacing"/>
    <w:uiPriority w:val="1"/>
    <w:rsid w:val="00DF231F"/>
    <w:rPr>
      <w:rFonts w:asciiTheme="minorHAnsi" w:hAnsiTheme="minorHAnsi"/>
      <w:lang w:val="en-US" w:eastAsia="en-US"/>
    </w:rPr>
  </w:style>
  <w:style w:type="paragraph" w:styleId="Revision">
    <w:name w:val="Revision"/>
    <w:hidden/>
    <w:uiPriority w:val="99"/>
    <w:semiHidden/>
    <w:rsid w:val="00032F6E"/>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490">
      <w:bodyDiv w:val="1"/>
      <w:marLeft w:val="0"/>
      <w:marRight w:val="0"/>
      <w:marTop w:val="0"/>
      <w:marBottom w:val="0"/>
      <w:divBdr>
        <w:top w:val="none" w:sz="0" w:space="0" w:color="auto"/>
        <w:left w:val="none" w:sz="0" w:space="0" w:color="auto"/>
        <w:bottom w:val="none" w:sz="0" w:space="0" w:color="auto"/>
        <w:right w:val="none" w:sz="0" w:space="0" w:color="auto"/>
      </w:divBdr>
    </w:div>
    <w:div w:id="43144927">
      <w:bodyDiv w:val="1"/>
      <w:marLeft w:val="0"/>
      <w:marRight w:val="0"/>
      <w:marTop w:val="0"/>
      <w:marBottom w:val="0"/>
      <w:divBdr>
        <w:top w:val="none" w:sz="0" w:space="0" w:color="auto"/>
        <w:left w:val="none" w:sz="0" w:space="0" w:color="auto"/>
        <w:bottom w:val="none" w:sz="0" w:space="0" w:color="auto"/>
        <w:right w:val="none" w:sz="0" w:space="0" w:color="auto"/>
      </w:divBdr>
    </w:div>
    <w:div w:id="60031099">
      <w:bodyDiv w:val="1"/>
      <w:marLeft w:val="0"/>
      <w:marRight w:val="0"/>
      <w:marTop w:val="0"/>
      <w:marBottom w:val="0"/>
      <w:divBdr>
        <w:top w:val="none" w:sz="0" w:space="0" w:color="auto"/>
        <w:left w:val="none" w:sz="0" w:space="0" w:color="auto"/>
        <w:bottom w:val="none" w:sz="0" w:space="0" w:color="auto"/>
        <w:right w:val="none" w:sz="0" w:space="0" w:color="auto"/>
      </w:divBdr>
    </w:div>
    <w:div w:id="154223758">
      <w:bodyDiv w:val="1"/>
      <w:marLeft w:val="0"/>
      <w:marRight w:val="0"/>
      <w:marTop w:val="0"/>
      <w:marBottom w:val="0"/>
      <w:divBdr>
        <w:top w:val="none" w:sz="0" w:space="0" w:color="auto"/>
        <w:left w:val="none" w:sz="0" w:space="0" w:color="auto"/>
        <w:bottom w:val="none" w:sz="0" w:space="0" w:color="auto"/>
        <w:right w:val="none" w:sz="0" w:space="0" w:color="auto"/>
      </w:divBdr>
    </w:div>
    <w:div w:id="160388926">
      <w:bodyDiv w:val="1"/>
      <w:marLeft w:val="0"/>
      <w:marRight w:val="0"/>
      <w:marTop w:val="0"/>
      <w:marBottom w:val="0"/>
      <w:divBdr>
        <w:top w:val="none" w:sz="0" w:space="0" w:color="auto"/>
        <w:left w:val="none" w:sz="0" w:space="0" w:color="auto"/>
        <w:bottom w:val="none" w:sz="0" w:space="0" w:color="auto"/>
        <w:right w:val="none" w:sz="0" w:space="0" w:color="auto"/>
      </w:divBdr>
      <w:divsChild>
        <w:div w:id="955212065">
          <w:marLeft w:val="480"/>
          <w:marRight w:val="0"/>
          <w:marTop w:val="0"/>
          <w:marBottom w:val="0"/>
          <w:divBdr>
            <w:top w:val="none" w:sz="0" w:space="0" w:color="auto"/>
            <w:left w:val="none" w:sz="0" w:space="0" w:color="auto"/>
            <w:bottom w:val="none" w:sz="0" w:space="0" w:color="auto"/>
            <w:right w:val="none" w:sz="0" w:space="0" w:color="auto"/>
          </w:divBdr>
        </w:div>
        <w:div w:id="1102263957">
          <w:marLeft w:val="480"/>
          <w:marRight w:val="0"/>
          <w:marTop w:val="0"/>
          <w:marBottom w:val="0"/>
          <w:divBdr>
            <w:top w:val="none" w:sz="0" w:space="0" w:color="auto"/>
            <w:left w:val="none" w:sz="0" w:space="0" w:color="auto"/>
            <w:bottom w:val="none" w:sz="0" w:space="0" w:color="auto"/>
            <w:right w:val="none" w:sz="0" w:space="0" w:color="auto"/>
          </w:divBdr>
        </w:div>
        <w:div w:id="2022849745">
          <w:marLeft w:val="480"/>
          <w:marRight w:val="0"/>
          <w:marTop w:val="0"/>
          <w:marBottom w:val="0"/>
          <w:divBdr>
            <w:top w:val="none" w:sz="0" w:space="0" w:color="auto"/>
            <w:left w:val="none" w:sz="0" w:space="0" w:color="auto"/>
            <w:bottom w:val="none" w:sz="0" w:space="0" w:color="auto"/>
            <w:right w:val="none" w:sz="0" w:space="0" w:color="auto"/>
          </w:divBdr>
        </w:div>
      </w:divsChild>
    </w:div>
    <w:div w:id="168643403">
      <w:bodyDiv w:val="1"/>
      <w:marLeft w:val="0"/>
      <w:marRight w:val="0"/>
      <w:marTop w:val="0"/>
      <w:marBottom w:val="0"/>
      <w:divBdr>
        <w:top w:val="none" w:sz="0" w:space="0" w:color="auto"/>
        <w:left w:val="none" w:sz="0" w:space="0" w:color="auto"/>
        <w:bottom w:val="none" w:sz="0" w:space="0" w:color="auto"/>
        <w:right w:val="none" w:sz="0" w:space="0" w:color="auto"/>
      </w:divBdr>
      <w:divsChild>
        <w:div w:id="163400259">
          <w:marLeft w:val="480"/>
          <w:marRight w:val="0"/>
          <w:marTop w:val="0"/>
          <w:marBottom w:val="0"/>
          <w:divBdr>
            <w:top w:val="none" w:sz="0" w:space="0" w:color="auto"/>
            <w:left w:val="none" w:sz="0" w:space="0" w:color="auto"/>
            <w:bottom w:val="none" w:sz="0" w:space="0" w:color="auto"/>
            <w:right w:val="none" w:sz="0" w:space="0" w:color="auto"/>
          </w:divBdr>
        </w:div>
      </w:divsChild>
    </w:div>
    <w:div w:id="192547721">
      <w:bodyDiv w:val="1"/>
      <w:marLeft w:val="0"/>
      <w:marRight w:val="0"/>
      <w:marTop w:val="0"/>
      <w:marBottom w:val="0"/>
      <w:divBdr>
        <w:top w:val="none" w:sz="0" w:space="0" w:color="auto"/>
        <w:left w:val="none" w:sz="0" w:space="0" w:color="auto"/>
        <w:bottom w:val="none" w:sz="0" w:space="0" w:color="auto"/>
        <w:right w:val="none" w:sz="0" w:space="0" w:color="auto"/>
      </w:divBdr>
    </w:div>
    <w:div w:id="258173764">
      <w:bodyDiv w:val="1"/>
      <w:marLeft w:val="0"/>
      <w:marRight w:val="0"/>
      <w:marTop w:val="0"/>
      <w:marBottom w:val="0"/>
      <w:divBdr>
        <w:top w:val="none" w:sz="0" w:space="0" w:color="auto"/>
        <w:left w:val="none" w:sz="0" w:space="0" w:color="auto"/>
        <w:bottom w:val="none" w:sz="0" w:space="0" w:color="auto"/>
        <w:right w:val="none" w:sz="0" w:space="0" w:color="auto"/>
      </w:divBdr>
    </w:div>
    <w:div w:id="306933098">
      <w:bodyDiv w:val="1"/>
      <w:marLeft w:val="0"/>
      <w:marRight w:val="0"/>
      <w:marTop w:val="0"/>
      <w:marBottom w:val="0"/>
      <w:divBdr>
        <w:top w:val="none" w:sz="0" w:space="0" w:color="auto"/>
        <w:left w:val="none" w:sz="0" w:space="0" w:color="auto"/>
        <w:bottom w:val="none" w:sz="0" w:space="0" w:color="auto"/>
        <w:right w:val="none" w:sz="0" w:space="0" w:color="auto"/>
      </w:divBdr>
    </w:div>
    <w:div w:id="319306729">
      <w:bodyDiv w:val="1"/>
      <w:marLeft w:val="0"/>
      <w:marRight w:val="0"/>
      <w:marTop w:val="0"/>
      <w:marBottom w:val="0"/>
      <w:divBdr>
        <w:top w:val="none" w:sz="0" w:space="0" w:color="auto"/>
        <w:left w:val="none" w:sz="0" w:space="0" w:color="auto"/>
        <w:bottom w:val="none" w:sz="0" w:space="0" w:color="auto"/>
        <w:right w:val="none" w:sz="0" w:space="0" w:color="auto"/>
      </w:divBdr>
    </w:div>
    <w:div w:id="440150484">
      <w:bodyDiv w:val="1"/>
      <w:marLeft w:val="0"/>
      <w:marRight w:val="0"/>
      <w:marTop w:val="0"/>
      <w:marBottom w:val="0"/>
      <w:divBdr>
        <w:top w:val="none" w:sz="0" w:space="0" w:color="auto"/>
        <w:left w:val="none" w:sz="0" w:space="0" w:color="auto"/>
        <w:bottom w:val="none" w:sz="0" w:space="0" w:color="auto"/>
        <w:right w:val="none" w:sz="0" w:space="0" w:color="auto"/>
      </w:divBdr>
    </w:div>
    <w:div w:id="488253980">
      <w:bodyDiv w:val="1"/>
      <w:marLeft w:val="0"/>
      <w:marRight w:val="0"/>
      <w:marTop w:val="0"/>
      <w:marBottom w:val="0"/>
      <w:divBdr>
        <w:top w:val="none" w:sz="0" w:space="0" w:color="auto"/>
        <w:left w:val="none" w:sz="0" w:space="0" w:color="auto"/>
        <w:bottom w:val="none" w:sz="0" w:space="0" w:color="auto"/>
        <w:right w:val="none" w:sz="0" w:space="0" w:color="auto"/>
      </w:divBdr>
    </w:div>
    <w:div w:id="494226634">
      <w:bodyDiv w:val="1"/>
      <w:marLeft w:val="0"/>
      <w:marRight w:val="0"/>
      <w:marTop w:val="0"/>
      <w:marBottom w:val="0"/>
      <w:divBdr>
        <w:top w:val="none" w:sz="0" w:space="0" w:color="auto"/>
        <w:left w:val="none" w:sz="0" w:space="0" w:color="auto"/>
        <w:bottom w:val="none" w:sz="0" w:space="0" w:color="auto"/>
        <w:right w:val="none" w:sz="0" w:space="0" w:color="auto"/>
      </w:divBdr>
    </w:div>
    <w:div w:id="584144953">
      <w:bodyDiv w:val="1"/>
      <w:marLeft w:val="0"/>
      <w:marRight w:val="0"/>
      <w:marTop w:val="0"/>
      <w:marBottom w:val="0"/>
      <w:divBdr>
        <w:top w:val="none" w:sz="0" w:space="0" w:color="auto"/>
        <w:left w:val="none" w:sz="0" w:space="0" w:color="auto"/>
        <w:bottom w:val="none" w:sz="0" w:space="0" w:color="auto"/>
        <w:right w:val="none" w:sz="0" w:space="0" w:color="auto"/>
      </w:divBdr>
    </w:div>
    <w:div w:id="608440303">
      <w:bodyDiv w:val="1"/>
      <w:marLeft w:val="0"/>
      <w:marRight w:val="0"/>
      <w:marTop w:val="0"/>
      <w:marBottom w:val="0"/>
      <w:divBdr>
        <w:top w:val="none" w:sz="0" w:space="0" w:color="auto"/>
        <w:left w:val="none" w:sz="0" w:space="0" w:color="auto"/>
        <w:bottom w:val="none" w:sz="0" w:space="0" w:color="auto"/>
        <w:right w:val="none" w:sz="0" w:space="0" w:color="auto"/>
      </w:divBdr>
    </w:div>
    <w:div w:id="610356505">
      <w:bodyDiv w:val="1"/>
      <w:marLeft w:val="0"/>
      <w:marRight w:val="0"/>
      <w:marTop w:val="0"/>
      <w:marBottom w:val="0"/>
      <w:divBdr>
        <w:top w:val="none" w:sz="0" w:space="0" w:color="auto"/>
        <w:left w:val="none" w:sz="0" w:space="0" w:color="auto"/>
        <w:bottom w:val="none" w:sz="0" w:space="0" w:color="auto"/>
        <w:right w:val="none" w:sz="0" w:space="0" w:color="auto"/>
      </w:divBdr>
    </w:div>
    <w:div w:id="655380506">
      <w:bodyDiv w:val="1"/>
      <w:marLeft w:val="0"/>
      <w:marRight w:val="0"/>
      <w:marTop w:val="0"/>
      <w:marBottom w:val="0"/>
      <w:divBdr>
        <w:top w:val="none" w:sz="0" w:space="0" w:color="auto"/>
        <w:left w:val="none" w:sz="0" w:space="0" w:color="auto"/>
        <w:bottom w:val="none" w:sz="0" w:space="0" w:color="auto"/>
        <w:right w:val="none" w:sz="0" w:space="0" w:color="auto"/>
      </w:divBdr>
    </w:div>
    <w:div w:id="660355136">
      <w:bodyDiv w:val="1"/>
      <w:marLeft w:val="0"/>
      <w:marRight w:val="0"/>
      <w:marTop w:val="0"/>
      <w:marBottom w:val="0"/>
      <w:divBdr>
        <w:top w:val="none" w:sz="0" w:space="0" w:color="auto"/>
        <w:left w:val="none" w:sz="0" w:space="0" w:color="auto"/>
        <w:bottom w:val="none" w:sz="0" w:space="0" w:color="auto"/>
        <w:right w:val="none" w:sz="0" w:space="0" w:color="auto"/>
      </w:divBdr>
    </w:div>
    <w:div w:id="668168820">
      <w:bodyDiv w:val="1"/>
      <w:marLeft w:val="0"/>
      <w:marRight w:val="0"/>
      <w:marTop w:val="0"/>
      <w:marBottom w:val="0"/>
      <w:divBdr>
        <w:top w:val="none" w:sz="0" w:space="0" w:color="auto"/>
        <w:left w:val="none" w:sz="0" w:space="0" w:color="auto"/>
        <w:bottom w:val="none" w:sz="0" w:space="0" w:color="auto"/>
        <w:right w:val="none" w:sz="0" w:space="0" w:color="auto"/>
      </w:divBdr>
    </w:div>
    <w:div w:id="795372976">
      <w:bodyDiv w:val="1"/>
      <w:marLeft w:val="0"/>
      <w:marRight w:val="0"/>
      <w:marTop w:val="0"/>
      <w:marBottom w:val="0"/>
      <w:divBdr>
        <w:top w:val="none" w:sz="0" w:space="0" w:color="auto"/>
        <w:left w:val="none" w:sz="0" w:space="0" w:color="auto"/>
        <w:bottom w:val="none" w:sz="0" w:space="0" w:color="auto"/>
        <w:right w:val="none" w:sz="0" w:space="0" w:color="auto"/>
      </w:divBdr>
    </w:div>
    <w:div w:id="808210716">
      <w:bodyDiv w:val="1"/>
      <w:marLeft w:val="0"/>
      <w:marRight w:val="0"/>
      <w:marTop w:val="0"/>
      <w:marBottom w:val="0"/>
      <w:divBdr>
        <w:top w:val="none" w:sz="0" w:space="0" w:color="auto"/>
        <w:left w:val="none" w:sz="0" w:space="0" w:color="auto"/>
        <w:bottom w:val="none" w:sz="0" w:space="0" w:color="auto"/>
        <w:right w:val="none" w:sz="0" w:space="0" w:color="auto"/>
      </w:divBdr>
    </w:div>
    <w:div w:id="855925487">
      <w:bodyDiv w:val="1"/>
      <w:marLeft w:val="0"/>
      <w:marRight w:val="0"/>
      <w:marTop w:val="0"/>
      <w:marBottom w:val="0"/>
      <w:divBdr>
        <w:top w:val="none" w:sz="0" w:space="0" w:color="auto"/>
        <w:left w:val="none" w:sz="0" w:space="0" w:color="auto"/>
        <w:bottom w:val="none" w:sz="0" w:space="0" w:color="auto"/>
        <w:right w:val="none" w:sz="0" w:space="0" w:color="auto"/>
      </w:divBdr>
    </w:div>
    <w:div w:id="879784714">
      <w:bodyDiv w:val="1"/>
      <w:marLeft w:val="0"/>
      <w:marRight w:val="0"/>
      <w:marTop w:val="0"/>
      <w:marBottom w:val="0"/>
      <w:divBdr>
        <w:top w:val="none" w:sz="0" w:space="0" w:color="auto"/>
        <w:left w:val="none" w:sz="0" w:space="0" w:color="auto"/>
        <w:bottom w:val="none" w:sz="0" w:space="0" w:color="auto"/>
        <w:right w:val="none" w:sz="0" w:space="0" w:color="auto"/>
      </w:divBdr>
    </w:div>
    <w:div w:id="931669291">
      <w:bodyDiv w:val="1"/>
      <w:marLeft w:val="0"/>
      <w:marRight w:val="0"/>
      <w:marTop w:val="0"/>
      <w:marBottom w:val="0"/>
      <w:divBdr>
        <w:top w:val="none" w:sz="0" w:space="0" w:color="auto"/>
        <w:left w:val="none" w:sz="0" w:space="0" w:color="auto"/>
        <w:bottom w:val="none" w:sz="0" w:space="0" w:color="auto"/>
        <w:right w:val="none" w:sz="0" w:space="0" w:color="auto"/>
      </w:divBdr>
    </w:div>
    <w:div w:id="949163023">
      <w:bodyDiv w:val="1"/>
      <w:marLeft w:val="0"/>
      <w:marRight w:val="0"/>
      <w:marTop w:val="0"/>
      <w:marBottom w:val="0"/>
      <w:divBdr>
        <w:top w:val="none" w:sz="0" w:space="0" w:color="auto"/>
        <w:left w:val="none" w:sz="0" w:space="0" w:color="auto"/>
        <w:bottom w:val="none" w:sz="0" w:space="0" w:color="auto"/>
        <w:right w:val="none" w:sz="0" w:space="0" w:color="auto"/>
      </w:divBdr>
    </w:div>
    <w:div w:id="973175859">
      <w:bodyDiv w:val="1"/>
      <w:marLeft w:val="0"/>
      <w:marRight w:val="0"/>
      <w:marTop w:val="0"/>
      <w:marBottom w:val="0"/>
      <w:divBdr>
        <w:top w:val="none" w:sz="0" w:space="0" w:color="auto"/>
        <w:left w:val="none" w:sz="0" w:space="0" w:color="auto"/>
        <w:bottom w:val="none" w:sz="0" w:space="0" w:color="auto"/>
        <w:right w:val="none" w:sz="0" w:space="0" w:color="auto"/>
      </w:divBdr>
    </w:div>
    <w:div w:id="1033186273">
      <w:bodyDiv w:val="1"/>
      <w:marLeft w:val="0"/>
      <w:marRight w:val="0"/>
      <w:marTop w:val="0"/>
      <w:marBottom w:val="0"/>
      <w:divBdr>
        <w:top w:val="none" w:sz="0" w:space="0" w:color="auto"/>
        <w:left w:val="none" w:sz="0" w:space="0" w:color="auto"/>
        <w:bottom w:val="none" w:sz="0" w:space="0" w:color="auto"/>
        <w:right w:val="none" w:sz="0" w:space="0" w:color="auto"/>
      </w:divBdr>
    </w:div>
    <w:div w:id="1073241826">
      <w:bodyDiv w:val="1"/>
      <w:marLeft w:val="0"/>
      <w:marRight w:val="0"/>
      <w:marTop w:val="0"/>
      <w:marBottom w:val="0"/>
      <w:divBdr>
        <w:top w:val="none" w:sz="0" w:space="0" w:color="auto"/>
        <w:left w:val="none" w:sz="0" w:space="0" w:color="auto"/>
        <w:bottom w:val="none" w:sz="0" w:space="0" w:color="auto"/>
        <w:right w:val="none" w:sz="0" w:space="0" w:color="auto"/>
      </w:divBdr>
    </w:div>
    <w:div w:id="1089960716">
      <w:bodyDiv w:val="1"/>
      <w:marLeft w:val="0"/>
      <w:marRight w:val="0"/>
      <w:marTop w:val="0"/>
      <w:marBottom w:val="0"/>
      <w:divBdr>
        <w:top w:val="none" w:sz="0" w:space="0" w:color="auto"/>
        <w:left w:val="none" w:sz="0" w:space="0" w:color="auto"/>
        <w:bottom w:val="none" w:sz="0" w:space="0" w:color="auto"/>
        <w:right w:val="none" w:sz="0" w:space="0" w:color="auto"/>
      </w:divBdr>
    </w:div>
    <w:div w:id="1128932230">
      <w:bodyDiv w:val="1"/>
      <w:marLeft w:val="0"/>
      <w:marRight w:val="0"/>
      <w:marTop w:val="0"/>
      <w:marBottom w:val="0"/>
      <w:divBdr>
        <w:top w:val="none" w:sz="0" w:space="0" w:color="auto"/>
        <w:left w:val="none" w:sz="0" w:space="0" w:color="auto"/>
        <w:bottom w:val="none" w:sz="0" w:space="0" w:color="auto"/>
        <w:right w:val="none" w:sz="0" w:space="0" w:color="auto"/>
      </w:divBdr>
    </w:div>
    <w:div w:id="1162353951">
      <w:bodyDiv w:val="1"/>
      <w:marLeft w:val="0"/>
      <w:marRight w:val="0"/>
      <w:marTop w:val="0"/>
      <w:marBottom w:val="0"/>
      <w:divBdr>
        <w:top w:val="none" w:sz="0" w:space="0" w:color="auto"/>
        <w:left w:val="none" w:sz="0" w:space="0" w:color="auto"/>
        <w:bottom w:val="none" w:sz="0" w:space="0" w:color="auto"/>
        <w:right w:val="none" w:sz="0" w:space="0" w:color="auto"/>
      </w:divBdr>
      <w:divsChild>
        <w:div w:id="77603642">
          <w:marLeft w:val="480"/>
          <w:marRight w:val="0"/>
          <w:marTop w:val="0"/>
          <w:marBottom w:val="0"/>
          <w:divBdr>
            <w:top w:val="none" w:sz="0" w:space="0" w:color="auto"/>
            <w:left w:val="none" w:sz="0" w:space="0" w:color="auto"/>
            <w:bottom w:val="none" w:sz="0" w:space="0" w:color="auto"/>
            <w:right w:val="none" w:sz="0" w:space="0" w:color="auto"/>
          </w:divBdr>
        </w:div>
        <w:div w:id="99886188">
          <w:marLeft w:val="480"/>
          <w:marRight w:val="0"/>
          <w:marTop w:val="0"/>
          <w:marBottom w:val="0"/>
          <w:divBdr>
            <w:top w:val="none" w:sz="0" w:space="0" w:color="auto"/>
            <w:left w:val="none" w:sz="0" w:space="0" w:color="auto"/>
            <w:bottom w:val="none" w:sz="0" w:space="0" w:color="auto"/>
            <w:right w:val="none" w:sz="0" w:space="0" w:color="auto"/>
          </w:divBdr>
        </w:div>
        <w:div w:id="397899378">
          <w:marLeft w:val="480"/>
          <w:marRight w:val="0"/>
          <w:marTop w:val="0"/>
          <w:marBottom w:val="0"/>
          <w:divBdr>
            <w:top w:val="none" w:sz="0" w:space="0" w:color="auto"/>
            <w:left w:val="none" w:sz="0" w:space="0" w:color="auto"/>
            <w:bottom w:val="none" w:sz="0" w:space="0" w:color="auto"/>
            <w:right w:val="none" w:sz="0" w:space="0" w:color="auto"/>
          </w:divBdr>
        </w:div>
        <w:div w:id="461576974">
          <w:marLeft w:val="480"/>
          <w:marRight w:val="0"/>
          <w:marTop w:val="0"/>
          <w:marBottom w:val="0"/>
          <w:divBdr>
            <w:top w:val="none" w:sz="0" w:space="0" w:color="auto"/>
            <w:left w:val="none" w:sz="0" w:space="0" w:color="auto"/>
            <w:bottom w:val="none" w:sz="0" w:space="0" w:color="auto"/>
            <w:right w:val="none" w:sz="0" w:space="0" w:color="auto"/>
          </w:divBdr>
        </w:div>
        <w:div w:id="1698504062">
          <w:marLeft w:val="480"/>
          <w:marRight w:val="0"/>
          <w:marTop w:val="0"/>
          <w:marBottom w:val="0"/>
          <w:divBdr>
            <w:top w:val="none" w:sz="0" w:space="0" w:color="auto"/>
            <w:left w:val="none" w:sz="0" w:space="0" w:color="auto"/>
            <w:bottom w:val="none" w:sz="0" w:space="0" w:color="auto"/>
            <w:right w:val="none" w:sz="0" w:space="0" w:color="auto"/>
          </w:divBdr>
        </w:div>
        <w:div w:id="2004426080">
          <w:marLeft w:val="480"/>
          <w:marRight w:val="0"/>
          <w:marTop w:val="0"/>
          <w:marBottom w:val="0"/>
          <w:divBdr>
            <w:top w:val="none" w:sz="0" w:space="0" w:color="auto"/>
            <w:left w:val="none" w:sz="0" w:space="0" w:color="auto"/>
            <w:bottom w:val="none" w:sz="0" w:space="0" w:color="auto"/>
            <w:right w:val="none" w:sz="0" w:space="0" w:color="auto"/>
          </w:divBdr>
        </w:div>
      </w:divsChild>
    </w:div>
    <w:div w:id="1164054997">
      <w:bodyDiv w:val="1"/>
      <w:marLeft w:val="0"/>
      <w:marRight w:val="0"/>
      <w:marTop w:val="0"/>
      <w:marBottom w:val="0"/>
      <w:divBdr>
        <w:top w:val="none" w:sz="0" w:space="0" w:color="auto"/>
        <w:left w:val="none" w:sz="0" w:space="0" w:color="auto"/>
        <w:bottom w:val="none" w:sz="0" w:space="0" w:color="auto"/>
        <w:right w:val="none" w:sz="0" w:space="0" w:color="auto"/>
      </w:divBdr>
    </w:div>
    <w:div w:id="1183789201">
      <w:bodyDiv w:val="1"/>
      <w:marLeft w:val="0"/>
      <w:marRight w:val="0"/>
      <w:marTop w:val="0"/>
      <w:marBottom w:val="0"/>
      <w:divBdr>
        <w:top w:val="none" w:sz="0" w:space="0" w:color="auto"/>
        <w:left w:val="none" w:sz="0" w:space="0" w:color="auto"/>
        <w:bottom w:val="none" w:sz="0" w:space="0" w:color="auto"/>
        <w:right w:val="none" w:sz="0" w:space="0" w:color="auto"/>
      </w:divBdr>
    </w:div>
    <w:div w:id="1257713509">
      <w:bodyDiv w:val="1"/>
      <w:marLeft w:val="0"/>
      <w:marRight w:val="0"/>
      <w:marTop w:val="0"/>
      <w:marBottom w:val="0"/>
      <w:divBdr>
        <w:top w:val="none" w:sz="0" w:space="0" w:color="auto"/>
        <w:left w:val="none" w:sz="0" w:space="0" w:color="auto"/>
        <w:bottom w:val="none" w:sz="0" w:space="0" w:color="auto"/>
        <w:right w:val="none" w:sz="0" w:space="0" w:color="auto"/>
      </w:divBdr>
    </w:div>
    <w:div w:id="1317684861">
      <w:bodyDiv w:val="1"/>
      <w:marLeft w:val="0"/>
      <w:marRight w:val="0"/>
      <w:marTop w:val="0"/>
      <w:marBottom w:val="0"/>
      <w:divBdr>
        <w:top w:val="none" w:sz="0" w:space="0" w:color="auto"/>
        <w:left w:val="none" w:sz="0" w:space="0" w:color="auto"/>
        <w:bottom w:val="none" w:sz="0" w:space="0" w:color="auto"/>
        <w:right w:val="none" w:sz="0" w:space="0" w:color="auto"/>
      </w:divBdr>
      <w:divsChild>
        <w:div w:id="107314023">
          <w:marLeft w:val="1800"/>
          <w:marRight w:val="0"/>
          <w:marTop w:val="100"/>
          <w:marBottom w:val="0"/>
          <w:divBdr>
            <w:top w:val="none" w:sz="0" w:space="0" w:color="auto"/>
            <w:left w:val="none" w:sz="0" w:space="0" w:color="auto"/>
            <w:bottom w:val="none" w:sz="0" w:space="0" w:color="auto"/>
            <w:right w:val="none" w:sz="0" w:space="0" w:color="auto"/>
          </w:divBdr>
        </w:div>
      </w:divsChild>
    </w:div>
    <w:div w:id="1325428423">
      <w:bodyDiv w:val="1"/>
      <w:marLeft w:val="0"/>
      <w:marRight w:val="0"/>
      <w:marTop w:val="0"/>
      <w:marBottom w:val="0"/>
      <w:divBdr>
        <w:top w:val="none" w:sz="0" w:space="0" w:color="auto"/>
        <w:left w:val="none" w:sz="0" w:space="0" w:color="auto"/>
        <w:bottom w:val="none" w:sz="0" w:space="0" w:color="auto"/>
        <w:right w:val="none" w:sz="0" w:space="0" w:color="auto"/>
      </w:divBdr>
    </w:div>
    <w:div w:id="1465000782">
      <w:bodyDiv w:val="1"/>
      <w:marLeft w:val="0"/>
      <w:marRight w:val="0"/>
      <w:marTop w:val="0"/>
      <w:marBottom w:val="0"/>
      <w:divBdr>
        <w:top w:val="none" w:sz="0" w:space="0" w:color="auto"/>
        <w:left w:val="none" w:sz="0" w:space="0" w:color="auto"/>
        <w:bottom w:val="none" w:sz="0" w:space="0" w:color="auto"/>
        <w:right w:val="none" w:sz="0" w:space="0" w:color="auto"/>
      </w:divBdr>
    </w:div>
    <w:div w:id="1508717785">
      <w:bodyDiv w:val="1"/>
      <w:marLeft w:val="0"/>
      <w:marRight w:val="0"/>
      <w:marTop w:val="0"/>
      <w:marBottom w:val="0"/>
      <w:divBdr>
        <w:top w:val="none" w:sz="0" w:space="0" w:color="auto"/>
        <w:left w:val="none" w:sz="0" w:space="0" w:color="auto"/>
        <w:bottom w:val="none" w:sz="0" w:space="0" w:color="auto"/>
        <w:right w:val="none" w:sz="0" w:space="0" w:color="auto"/>
      </w:divBdr>
    </w:div>
    <w:div w:id="1536234517">
      <w:bodyDiv w:val="1"/>
      <w:marLeft w:val="0"/>
      <w:marRight w:val="0"/>
      <w:marTop w:val="0"/>
      <w:marBottom w:val="0"/>
      <w:divBdr>
        <w:top w:val="none" w:sz="0" w:space="0" w:color="auto"/>
        <w:left w:val="none" w:sz="0" w:space="0" w:color="auto"/>
        <w:bottom w:val="none" w:sz="0" w:space="0" w:color="auto"/>
        <w:right w:val="none" w:sz="0" w:space="0" w:color="auto"/>
      </w:divBdr>
    </w:div>
    <w:div w:id="1580089871">
      <w:bodyDiv w:val="1"/>
      <w:marLeft w:val="0"/>
      <w:marRight w:val="0"/>
      <w:marTop w:val="0"/>
      <w:marBottom w:val="0"/>
      <w:divBdr>
        <w:top w:val="none" w:sz="0" w:space="0" w:color="auto"/>
        <w:left w:val="none" w:sz="0" w:space="0" w:color="auto"/>
        <w:bottom w:val="none" w:sz="0" w:space="0" w:color="auto"/>
        <w:right w:val="none" w:sz="0" w:space="0" w:color="auto"/>
      </w:divBdr>
    </w:div>
    <w:div w:id="1599605422">
      <w:bodyDiv w:val="1"/>
      <w:marLeft w:val="0"/>
      <w:marRight w:val="0"/>
      <w:marTop w:val="0"/>
      <w:marBottom w:val="0"/>
      <w:divBdr>
        <w:top w:val="none" w:sz="0" w:space="0" w:color="auto"/>
        <w:left w:val="none" w:sz="0" w:space="0" w:color="auto"/>
        <w:bottom w:val="none" w:sz="0" w:space="0" w:color="auto"/>
        <w:right w:val="none" w:sz="0" w:space="0" w:color="auto"/>
      </w:divBdr>
    </w:div>
    <w:div w:id="1706519373">
      <w:bodyDiv w:val="1"/>
      <w:marLeft w:val="0"/>
      <w:marRight w:val="0"/>
      <w:marTop w:val="0"/>
      <w:marBottom w:val="0"/>
      <w:divBdr>
        <w:top w:val="none" w:sz="0" w:space="0" w:color="auto"/>
        <w:left w:val="none" w:sz="0" w:space="0" w:color="auto"/>
        <w:bottom w:val="none" w:sz="0" w:space="0" w:color="auto"/>
        <w:right w:val="none" w:sz="0" w:space="0" w:color="auto"/>
      </w:divBdr>
    </w:div>
    <w:div w:id="1763645421">
      <w:bodyDiv w:val="1"/>
      <w:marLeft w:val="0"/>
      <w:marRight w:val="0"/>
      <w:marTop w:val="0"/>
      <w:marBottom w:val="0"/>
      <w:divBdr>
        <w:top w:val="none" w:sz="0" w:space="0" w:color="auto"/>
        <w:left w:val="none" w:sz="0" w:space="0" w:color="auto"/>
        <w:bottom w:val="none" w:sz="0" w:space="0" w:color="auto"/>
        <w:right w:val="none" w:sz="0" w:space="0" w:color="auto"/>
      </w:divBdr>
      <w:divsChild>
        <w:div w:id="1246379402">
          <w:marLeft w:val="480"/>
          <w:marRight w:val="0"/>
          <w:marTop w:val="0"/>
          <w:marBottom w:val="0"/>
          <w:divBdr>
            <w:top w:val="none" w:sz="0" w:space="0" w:color="auto"/>
            <w:left w:val="none" w:sz="0" w:space="0" w:color="auto"/>
            <w:bottom w:val="none" w:sz="0" w:space="0" w:color="auto"/>
            <w:right w:val="none" w:sz="0" w:space="0" w:color="auto"/>
          </w:divBdr>
        </w:div>
      </w:divsChild>
    </w:div>
    <w:div w:id="1779448643">
      <w:bodyDiv w:val="1"/>
      <w:marLeft w:val="0"/>
      <w:marRight w:val="0"/>
      <w:marTop w:val="0"/>
      <w:marBottom w:val="0"/>
      <w:divBdr>
        <w:top w:val="none" w:sz="0" w:space="0" w:color="auto"/>
        <w:left w:val="none" w:sz="0" w:space="0" w:color="auto"/>
        <w:bottom w:val="none" w:sz="0" w:space="0" w:color="auto"/>
        <w:right w:val="none" w:sz="0" w:space="0" w:color="auto"/>
      </w:divBdr>
    </w:div>
    <w:div w:id="1872452954">
      <w:bodyDiv w:val="1"/>
      <w:marLeft w:val="0"/>
      <w:marRight w:val="0"/>
      <w:marTop w:val="0"/>
      <w:marBottom w:val="0"/>
      <w:divBdr>
        <w:top w:val="none" w:sz="0" w:space="0" w:color="auto"/>
        <w:left w:val="none" w:sz="0" w:space="0" w:color="auto"/>
        <w:bottom w:val="none" w:sz="0" w:space="0" w:color="auto"/>
        <w:right w:val="none" w:sz="0" w:space="0" w:color="auto"/>
      </w:divBdr>
    </w:div>
    <w:div w:id="1874414797">
      <w:bodyDiv w:val="1"/>
      <w:marLeft w:val="0"/>
      <w:marRight w:val="0"/>
      <w:marTop w:val="0"/>
      <w:marBottom w:val="0"/>
      <w:divBdr>
        <w:top w:val="none" w:sz="0" w:space="0" w:color="auto"/>
        <w:left w:val="none" w:sz="0" w:space="0" w:color="auto"/>
        <w:bottom w:val="none" w:sz="0" w:space="0" w:color="auto"/>
        <w:right w:val="none" w:sz="0" w:space="0" w:color="auto"/>
      </w:divBdr>
    </w:div>
    <w:div w:id="1876118338">
      <w:bodyDiv w:val="1"/>
      <w:marLeft w:val="0"/>
      <w:marRight w:val="0"/>
      <w:marTop w:val="0"/>
      <w:marBottom w:val="0"/>
      <w:divBdr>
        <w:top w:val="none" w:sz="0" w:space="0" w:color="auto"/>
        <w:left w:val="none" w:sz="0" w:space="0" w:color="auto"/>
        <w:bottom w:val="none" w:sz="0" w:space="0" w:color="auto"/>
        <w:right w:val="none" w:sz="0" w:space="0" w:color="auto"/>
      </w:divBdr>
      <w:divsChild>
        <w:div w:id="321547868">
          <w:marLeft w:val="480"/>
          <w:marRight w:val="0"/>
          <w:marTop w:val="0"/>
          <w:marBottom w:val="0"/>
          <w:divBdr>
            <w:top w:val="none" w:sz="0" w:space="0" w:color="auto"/>
            <w:left w:val="none" w:sz="0" w:space="0" w:color="auto"/>
            <w:bottom w:val="none" w:sz="0" w:space="0" w:color="auto"/>
            <w:right w:val="none" w:sz="0" w:space="0" w:color="auto"/>
          </w:divBdr>
        </w:div>
        <w:div w:id="1396390156">
          <w:marLeft w:val="480"/>
          <w:marRight w:val="0"/>
          <w:marTop w:val="0"/>
          <w:marBottom w:val="0"/>
          <w:divBdr>
            <w:top w:val="none" w:sz="0" w:space="0" w:color="auto"/>
            <w:left w:val="none" w:sz="0" w:space="0" w:color="auto"/>
            <w:bottom w:val="none" w:sz="0" w:space="0" w:color="auto"/>
            <w:right w:val="none" w:sz="0" w:space="0" w:color="auto"/>
          </w:divBdr>
        </w:div>
        <w:div w:id="1830822112">
          <w:marLeft w:val="480"/>
          <w:marRight w:val="0"/>
          <w:marTop w:val="0"/>
          <w:marBottom w:val="0"/>
          <w:divBdr>
            <w:top w:val="none" w:sz="0" w:space="0" w:color="auto"/>
            <w:left w:val="none" w:sz="0" w:space="0" w:color="auto"/>
            <w:bottom w:val="none" w:sz="0" w:space="0" w:color="auto"/>
            <w:right w:val="none" w:sz="0" w:space="0" w:color="auto"/>
          </w:divBdr>
        </w:div>
      </w:divsChild>
    </w:div>
    <w:div w:id="1876119975">
      <w:bodyDiv w:val="1"/>
      <w:marLeft w:val="0"/>
      <w:marRight w:val="0"/>
      <w:marTop w:val="0"/>
      <w:marBottom w:val="0"/>
      <w:divBdr>
        <w:top w:val="none" w:sz="0" w:space="0" w:color="auto"/>
        <w:left w:val="none" w:sz="0" w:space="0" w:color="auto"/>
        <w:bottom w:val="none" w:sz="0" w:space="0" w:color="auto"/>
        <w:right w:val="none" w:sz="0" w:space="0" w:color="auto"/>
      </w:divBdr>
    </w:div>
    <w:div w:id="1949309035">
      <w:bodyDiv w:val="1"/>
      <w:marLeft w:val="0"/>
      <w:marRight w:val="0"/>
      <w:marTop w:val="0"/>
      <w:marBottom w:val="0"/>
      <w:divBdr>
        <w:top w:val="none" w:sz="0" w:space="0" w:color="auto"/>
        <w:left w:val="none" w:sz="0" w:space="0" w:color="auto"/>
        <w:bottom w:val="none" w:sz="0" w:space="0" w:color="auto"/>
        <w:right w:val="none" w:sz="0" w:space="0" w:color="auto"/>
      </w:divBdr>
    </w:div>
    <w:div w:id="2023119074">
      <w:bodyDiv w:val="1"/>
      <w:marLeft w:val="0"/>
      <w:marRight w:val="0"/>
      <w:marTop w:val="0"/>
      <w:marBottom w:val="0"/>
      <w:divBdr>
        <w:top w:val="none" w:sz="0" w:space="0" w:color="auto"/>
        <w:left w:val="none" w:sz="0" w:space="0" w:color="auto"/>
        <w:bottom w:val="none" w:sz="0" w:space="0" w:color="auto"/>
        <w:right w:val="none" w:sz="0" w:space="0" w:color="auto"/>
      </w:divBdr>
    </w:div>
    <w:div w:id="20732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718BBB-EE41-4821-B5E1-24BF2B88D4A2}"/>
      </w:docPartPr>
      <w:docPartBody>
        <w:p w:rsidR="00914F23" w:rsidRDefault="00E0550B">
          <w:r w:rsidRPr="00504E49">
            <w:rPr>
              <w:rStyle w:val="PlaceholderText"/>
            </w:rPr>
            <w:t>Click or tap here to enter text.</w:t>
          </w:r>
        </w:p>
      </w:docPartBody>
    </w:docPart>
    <w:docPart>
      <w:docPartPr>
        <w:name w:val="47F352448D444BF6AB49B6340D951C4C"/>
        <w:category>
          <w:name w:val="General"/>
          <w:gallery w:val="placeholder"/>
        </w:category>
        <w:types>
          <w:type w:val="bbPlcHdr"/>
        </w:types>
        <w:behaviors>
          <w:behavior w:val="content"/>
        </w:behaviors>
        <w:guid w:val="{D4036456-90BC-4048-9E0F-79172A647143}"/>
      </w:docPartPr>
      <w:docPartBody>
        <w:p w:rsidR="005F32D8" w:rsidRDefault="00316C14" w:rsidP="00316C14">
          <w:pPr>
            <w:pStyle w:val="47F352448D444BF6AB49B6340D951C4C"/>
          </w:pPr>
          <w:r w:rsidRPr="00504E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0B"/>
    <w:rsid w:val="00065F92"/>
    <w:rsid w:val="00097965"/>
    <w:rsid w:val="000B36C5"/>
    <w:rsid w:val="001E2AED"/>
    <w:rsid w:val="00200463"/>
    <w:rsid w:val="0020289C"/>
    <w:rsid w:val="00316C14"/>
    <w:rsid w:val="0043151C"/>
    <w:rsid w:val="004527D1"/>
    <w:rsid w:val="005B6187"/>
    <w:rsid w:val="005C0E8A"/>
    <w:rsid w:val="005F32D8"/>
    <w:rsid w:val="00806106"/>
    <w:rsid w:val="00812FA5"/>
    <w:rsid w:val="008447F7"/>
    <w:rsid w:val="00914F23"/>
    <w:rsid w:val="00A17582"/>
    <w:rsid w:val="00AE09E2"/>
    <w:rsid w:val="00AE750C"/>
    <w:rsid w:val="00B3621C"/>
    <w:rsid w:val="00CA2B0E"/>
    <w:rsid w:val="00CE500F"/>
    <w:rsid w:val="00E0550B"/>
    <w:rsid w:val="00F506CD"/>
    <w:rsid w:val="00F62E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C14"/>
    <w:rPr>
      <w:color w:val="808080"/>
    </w:rPr>
  </w:style>
  <w:style w:type="paragraph" w:customStyle="1" w:styleId="47F352448D444BF6AB49B6340D951C4C">
    <w:name w:val="47F352448D444BF6AB49B6340D951C4C"/>
    <w:rsid w:val="00316C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7B7EDA-8532-45C1-A468-7ABBEC561E1C}">
  <we:reference id="wa104382081" version="1.46.0.0" store="en-GB" storeType="OMEX"/>
  <we:alternateReferences>
    <we:reference id="wa104382081" version="1.46.0.0" store="en-GB" storeType="OMEX"/>
  </we:alternateReferences>
  <we:properties>
    <we:property name="MENDELEY_CITATIONS" value="[{&quot;citationID&quot;:&quot;MENDELEY_CITATION_bdd50e8b-eaa7-4a21-b459-14248306d91a&quot;,&quot;properties&quot;:{&quot;noteIndex&quot;:0},&quot;isEdited&quot;:false,&quot;manualOverride&quot;:{&quot;isManuallyOverridden&quot;:true,&quot;citeprocText&quot;:&quot;(Smiles 1863)&quot;,&quot;manualOverrideText&quot;:&quot;Samuel Smiles (1863)&quot;},&quot;citationTag&quot;:&quot;MENDELEY_CITATION_v3_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&quot;,&quot;citationItems&quot;:[{&quot;id&quot;:&quot;7e03850a-65b9-3297-af6c-c0072764aacc&quot;,&quot;itemData&quot;:{&quot;type&quot;:&quot;book&quot;,&quot;id&quot;:&quot;7e03850a-65b9-3297-af6c-c0072764aacc&quot;,&quot;title&quot;:&quot;Self-Help with Illustrations of Conduct and Perseverance&quot;,&quot;author&quot;:[{&quot;family&quot;:&quot;Smiles&quot;,&quot;given&quot;:&quot;Samuel&quot;,&quot;parse-names&quot;:false,&quot;dropping-particle&quot;:&quot;&quot;,&quot;non-dropping-particle&quot;:&quot;&quot;}],&quot;issued&quot;:{&quot;date-parts&quot;:[[1863]]},&quot;publisher-place&quot;:&quot;Boston&quot;,&quot;publisher&quot;:&quot;Ticknor and Fields&quot;,&quot;container-title-short&quot;:&quot;&quot;},&quot;isTemporary&quot;:false}]},{&quot;citationID&quot;:&quot;MENDELEY_CITATION_6fa848c1-a5ea-4475-8028-6cd8762eb2fd&quot;,&quot;properties&quot;:{&quot;noteIndex&quot;:0},&quot;isEdited&quot;:false,&quot;manualOverride&quot;:{&quot;isManuallyOverridden&quot;:true,&quot;citeprocText&quot;:&quot;(Adams 1931)&quot;,&quot;manualOverrideText&quot;:&quot;James Truslow Adams (1931)&quot;},&quot;citationTag&quot;:&quot;MENDELEY_CITATION_v3_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&quot;,&quot;citationItems&quot;:[{&quot;id&quot;:&quot;9e22b270-48a2-3e8e-b45f-f93125a185cd&quot;,&quot;itemData&quot;:{&quot;type&quot;:&quot;book&quot;,&quot;id&quot;:&quot;9e22b270-48a2-3e8e-b45f-f93125a185cd&quot;,&quot;title&quot;:&quot;The Epic of America&quot;,&quot;author&quot;:[{&quot;family&quot;:&quot;Adams&quot;,&quot;given&quot;:&quot;James Truslow&quot;,&quot;parse-names&quot;:false,&quot;dropping-particle&quot;:&quot;&quot;,&quot;non-dropping-particle&quot;:&quot;&quot;}],&quot;issued&quot;:{&quot;date-parts&quot;:[[1931]]},&quot;publisher-place&quot;:&quot;Boston&quot;,&quot;publisher&quot;:&quot;Little, Brown, and Co.&quot;,&quot;container-title-short&quot;:&quot;&quot;},&quot;isTemporary&quot;:false}]},{&quot;citationID&quot;:&quot;MENDELEY_CITATION_16987992-36d7-4140-a896-6a2f41687db9&quot;,&quot;properties&quot;:{&quot;noteIndex&quot;:0},&quot;isEdited&quot;:false,&quot;manualOverride&quot;:{&quot;isManuallyOverridden&quot;:false,&quot;citeprocText&quot;:&quot;(Becker and Tomes 1986)&quot;,&quot;manualOverrideText&quot;:&quot;&quot;},&quot;citationTag&quot;:&quot;MENDELEY_CITATION_v3_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&quot;,&quot;citationItems&quot;:[{&quot;id&quot;:&quot;66d0a480-c511-3286-841a-7029b2da2ed6&quot;,&quot;itemData&quot;:{&quot;type&quot;:&quot;article-journal&quot;,&quot;id&quot;:&quot;66d0a480-c511-3286-841a-7029b2da2ed6&quot;,&quot;title&quot;:&quot;Human Capital and the Rise and Fall of Families&quot;,&quot;author&quot;:[{&quot;family&quot;:&quot;Becker&quot;,&quot;given&quot;:&quot;Gary S&quot;,&quot;parse-names&quot;:false,&quot;dropping-particle&quot;:&quot;&quot;,&quot;non-dropping-particle&quot;:&quot;&quot;},{&quot;family&quot;:&quot;Tomes&quot;,&quot;given&quot;:&quot;Nigel&quot;,&quot;parse-names&quot;:false,&quot;dropping-particle&quot;:&quot;&quot;,&quot;non-dropping-particle&quot;:&quot;&quot;}],&quot;container-title&quot;:&quot;Journal of Labor Economics&quot;,&quot;issued&quot;:{&quot;date-parts&quot;:[[1986]]},&quot;page&quot;:&quot;S1-S39&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paper develops a model of the transmission of earnings, assets, and consumption from parents to descendants. The model assumes utility-maximizing parents who are concerned about the welfare of their children. The degree of intergenerational mobility is determined by the interaction of this utility-maximizing behavior with investment and consumption opportunities in different generations and with different kinds of luck. We examine a number of empirical studies for different countries. Regression to the mean in earnings in rich countries appears to be rapid. Almost all the earnings advantages or disadvantages of ancestors are wiped out in three generations.&quot;,&quot;issue&quot;:&quot;3&quot;,&quot;volume&quot;:&quot;4&quot;,&quot;container-title-short&quot;:&quot;&quot;},&quot;isTemporary&quot;:false}]},{&quot;citationID&quot;:&quot;MENDELEY_CITATION_5bb889cc-2f73-4e88-9b7f-69fea4ab5b03&quot;,&quot;properties&quot;:{&quot;noteIndex&quot;:0},&quot;isEdited&quot;:false,&quot;manualOverride&quot;:{&quot;isManuallyOverridden&quot;:true,&quot;citeprocText&quot;:&quot;(Long 2013)&quot;,&quot;manualOverrideText&quot;:&quot;Long (2013)&quot;},&quot;citationTag&quot;:&quot;MENDELEY_CITATION_v3_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&quot;,&quot;citationItems&quot;:[{&quot;id&quot;:&quot;93dc488a-3531-3893-8b95-24d461938ccc&quot;,&quot;itemData&quot;:{&quot;type&quot;:&quot;article-journal&quot;,&quot;id&quot;:&quot;93dc488a-3531-3893-8b95-24d461938ccc&quot;,&quot;title&quot;:&quot;The Surprising Social Mobility of Victorian Britain&quot;,&quot;author&quot;:[{&quot;family&quot;:&quot;Long&quot;,&quot;given&quot;:&quot;Jason&quot;,&quot;parse-names&quot;:false,&quot;dropping-particle&quot;:&quot;&quot;,&quot;non-dropping-particle&quot;:&quot;&quot;}],&quot;container-title&quot;:&quot;European Review of Economic History&quot;,&quot;DOI&quot;:&quot;10.1093/ereh/hes020&quot;,&quot;ISSN&quot;:&quot;14740044&quot;,&quot;issued&quot;:{&quot;date-parts&quot;:[[2013]]},&quot;page&quot;:&quot;1-23&quot;,&quot;abstract&quot;:&quot;This paper derives new estimates of social mobility in England and Wales between 1851 and 1901, using a large new dataset of fathers and sons linked across censuses from 1851–1881 and 1881–1901. Mobility rates were substantially greater than has been previously estimated, to the extent that mobility in the 1850s was only slightly less than in the 1970s. The development of mass public education in England after 1870 thus had surprisingly modest effects over the long run. Earnings mobility increased moderately for the first generation under public education (1881–1901), but did not increase over the course of the twentieth century.&quot;,&quot;publisher&quot;:&quot;Oxford University Press&quot;,&quot;issue&quot;:&quot;1&quot;,&quot;volume&quot;:&quot;17&quot;,&quot;container-title-short&quot;:&quot;&quot;},&quot;isTemporary&quot;:false}]},{&quot;citationID&quot;:&quot;MENDELEY_CITATION_c5df77b2-8e7e-4542-8270-eb512a56484d&quot;,&quot;properties&quot;:{&quot;noteIndex&quot;:0},&quot;isEdited&quot;:false,&quot;manualOverride&quot;:{&quot;isManuallyOverridden&quot;:true,&quot;citeprocText&quot;:&quot;(Clark and Cummins 2015)&quot;,&quot;manualOverrideText&quot;:&quot;Clark and Cummins (2015)&quot;},&quot;citationTag&quot;:&quot;MENDELEY_CITATION_v3_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&quot;,&quot;citationItems&quot;:[{&quot;id&quot;:&quot;3499b1ac-3601-36e7-8c73-f6838a5348ee&quot;,&quot;itemData&quot;:{&quot;type&quot;:&quot;article-journal&quot;,&quot;id&quot;:&quot;3499b1ac-3601-36e7-8c73-f6838a5348ee&quot;,&quot;title&quot;:&quot;Intergenerational wealth mobility in England, 1858-2012: Surnames and social mobility&quot;,&quot;author&quot;:[{&quot;family&quot;:&quot;Clark&quot;,&quot;given&quot;:&quot;Gregory&quot;,&quot;parse-names&quot;:false,&quot;dropping-particle&quot;:&quot;&quot;,&quot;non-dropping-particle&quot;:&quot;&quot;},{&quot;family&quot;:&quot;Cummins&quot;,&quot;given&quot;:&quot;Neil&quot;,&quot;parse-names&quot;:false,&quot;dropping-particle&quot;:&quot;&quot;,&quot;non-dropping-particle&quot;:&quot;&quot;}],&quot;container-title&quot;:&quot;Economic Journal&quot;,&quot;DOI&quot;:&quot;10.1111/ecoj.12165&quot;,&quot;ISSN&quot;:&quot;14680297&quot;,&quot;issued&quot;:{&quot;date-parts&quot;:[[2015,2,1]]},&quot;page&quot;:&quot;61-85&quot;,&quot;abstract&quot;:&quot;This article uses a panel of 18,869 people with rare surnames whose wealth is observed at death in England and Wales 1858-2012 to measure the intergenerational elasticity of wealth over five generations. We show, using rare surnames to track families, that wealth is much more persistent than standard one generation estimates would suggest. There is still a significant correlation between the wealth of families five generations apart. We show that this finding can be reconciled with standard estimates of wealth mobility by positing an underlying first order Markov process of wealth inheritance with an intergenerational elasticity of 0.70-0.75 throughout the years 1858-2012.&quot;,&quot;publisher&quot;:&quot;Blackwell Publishing Ltd&quot;,&quot;issue&quot;:&quot;582&quot;,&quot;volume&quot;:&quot;125&quot;,&quot;container-title-short&quot;:&quot;&quot;},&quot;isTemporary&quot;:false}]},{&quot;citationID&quot;:&quot;MENDELEY_CITATION_31b40e8b-8603-4987-a118-12b8d3a21221&quot;,&quot;properties&quot;:{&quot;noteIndex&quot;:0},&quot;isEdited&quot;:false,&quot;manualOverride&quot;:{&quot;isManuallyOverridden&quot;:true,&quot;citeprocText&quot;:&quot;(Ward 2021)&quot;,&quot;manualOverrideText&quot;:&quot;Ward (2021)&quot;},&quot;citationTag&quot;:&quot;MENDELEY_CITATION_v3_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&quot;,&quot;citationItems&quot;:[{&quot;id&quot;:&quot;26864daf-5afd-3cb1-847e-c0daf8f20013&quot;,&quot;itemData&quot;:{&quot;type&quot;:&quot;report&quot;,&quot;id&quot;:&quot;26864daf-5afd-3cb1-847e-c0daf8f20013&quot;,&quot;title&quot;:&quot;Intergenerational Mobility in American History: Accounting for Race and Measurement Error&quot;,&quot;author&quot;:[{&quot;family&quot;:&quot;Ward&quot;,&quot;given&quot;:&quot;Zachary&quot;,&quot;parse-names&quot;:false,&quot;dropping-particle&quot;:&quot;&quot;,&quot;non-dropping-particle&quot;:&quot;&quot;}],&quot;number&quot;:&quot;29256&quot;,&quot;collection-title&quot;:&quot;NBER Working Paper&quot;,&quot;URL&quot;:&quot;http://www.nber.org/data-appendix/w29256&quot;,&quot;issued&quot;:{&quot;date-parts&quot;:[[2021,9]]},&quot;publisher-place&quot;:&quot;Cambridge, Massachusetts&quot;,&quot;number-of-pages&quot;:&quot;1-46&quot;,&quot;container-title-short&quot;:&quot;&quot;},&quot;isTemporary&quot;:false}]},{&quot;citationID&quot;:&quot;MENDELEY_CITATION_3758223e-d603-45ca-83ca-d1ac4bc1e3e1&quot;,&quot;properties&quot;:{&quot;noteIndex&quot;:0},&quot;isEdited&quot;:false,&quot;manualOverride&quot;:{&quot;isManuallyOverridden&quot;:false,&quot;citeprocText&quot;:&quot;(Thomas 2004)&quot;,&quot;manualOverrideText&quot;:&quot;&quot;},&quot;citationTag&quot;:&quot;MENDELEY_CITATION_v3_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&quot;,&quot;citationItems&quot;:[{&quot;id&quot;:&quot;855b9df3-911a-369b-91b5-509c9ac982f7&quot;,&quot;itemData&quot;:{&quot;type&quot;:&quot;chapter&quot;,&quot;id&quot;:&quot;855b9df3-911a-369b-91b5-509c9ac982f7&quot;,&quot;title&quot;:&quot;The Service Sector&quot;,&quot;author&quot;:[{&quot;family&quot;:&quot;Thomas&quot;,&quot;given&quot;:&quot;Mark&quot;,&quot;parse-names&quot;:false,&quot;dropping-particle&quot;:&quot;&quot;,&quot;non-dropping-particle&quot;:&quot;&quot;}],&quot;container-title&quot;:&quot;The Cambridge Economic History of Modern Britain Volume II: Economic Maturity, 1860-1939&quot;,&quot;editor&quot;:[{&quot;family&quot;:&quot;Floud&quot;,&quot;given&quot;:&quot;Roderick&quot;,&quot;parse-names&quot;:false,&quot;dropping-particle&quot;:&quot;&quot;,&quot;non-dropping-particle&quot;:&quot;&quot;},{&quot;family&quot;:&quot;Johnson&quot;,&quot;given&quot;:&quot;Paul&quot;,&quot;parse-names&quot;:false,&quot;dropping-particle&quot;:&quot;&quot;,&quot;non-dropping-particle&quot;:&quot;&quot;}],&quot;DOI&quot;:&quot;10.1017/CHOL9780521820370.006&quot;,&quot;ISBN&quot;:&quot;9781139054539&quot;,&quot;issued&quot;:{&quot;date-parts&quot;:[[2004]]},&quot;publisher-place&quot;:&quot;Cambridge&quot;,&quot;page&quot;:&quot;99-132&quot;,&quot;abstract&quot;:&quot;The importance of services to the achievements of the industrial revolution is gradually becoming realised. Britain may have been by 1851 the ‘workshop of the world’, but it was also the pioneer service economy, with over 30 per cent of its labour force already devoted to the provision of services to domestic and overseas markets, contributing almost half of national income. Services further increased in statistical significance after 1850: by 1939, half the labour force was employed in the tertiary sector. It seems right to argue that services played an important role in the maturing of modern Britain. Yet it may also be right to argue that they played a role in slowing down British economic growth and contributing to the catch-up by other economies. THE TERTIARY SECTOR The boundaries of the service sector are famously imprecise, its content notoriously heterogeneous. Fisher (1952), who coined the term, ‘tertiary sector’, to distinguish services from primary (agriculture, mining) and secondary (manufacturing, construction) activities, noted that it was defined not from any positive attributes, but rather as a residual claimant, ‘a miscellaneous rag-bag into which everything has to be thrown that cannot conveniently be fitted anywhere else’. The heterogeneity is reflected in Adam Smith's famous compilation, ‘some both of the gravest and most important, and some of the most frivolous professions: churchmen, lawyers, physicians, men of letters of all kinds; players, buffoons, musicians, opera singers, opera dancers, etc.’ (Smith 1976 [1776]: 331).&quot;,&quot;publisher&quot;:&quot;Cambridge University Press&quot;,&quot;container-title-short&quot;:&quot;&quot;},&quot;isTemporary&quot;:false}]},{&quot;citationID&quot;:&quot;MENDELEY_CITATION_2250927b-355d-4357-a045-7b85ca0bb549&quot;,&quot;properties&quot;:{&quot;noteIndex&quot;:0},&quot;isEdited&quot;:false,&quot;manualOverride&quot;:{&quot;isManuallyOverridden&quot;:false,&quot;citeprocText&quot;:&quot;(Baines and Woods 2004; Bogart et al. 2022)&quot;,&quot;manualOverrideText&quot;:&quot;&quot;},&quot;citationTag&quot;:&quot;MENDELEY_CITATION_v3_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&quot;,&quot;citationItems&quot;:[{&quot;id&quot;:&quot;72e71383-6d61-32e5-af06-6dd8d84a6b00&quot;,&quot;itemData&quot;:{&quot;type&quot;:&quot;chapter&quot;,&quot;id&quot;:&quot;72e71383-6d61-32e5-af06-6dd8d84a6b00&quot;,&quot;title&quot;:&quot;Population and regional development&quot;,&quot;author&quot;:[{&quot;family&quot;:&quot;Baines&quot;,&quot;given&quot;:&quot;Dudley&quot;,&quot;parse-names&quot;:false,&quot;dropping-particle&quot;:&quot;&quot;,&quot;non-dropping-particle&quot;:&quot;&quot;},{&quot;family&quot;:&quot;Woods&quot;,&quot;given&quot;:&quot;Robert&quot;,&quot;parse-names&quot;:false,&quot;dropping-particle&quot;:&quot;&quot;,&quot;non-dropping-particle&quot;:&quot;&quot;}],&quot;container-title&quot;:&quot;The Cambridge Economic History of Modern Britain Volume II: Economic Maturity, 1860-1939&quot;,&quot;editor&quot;:[{&quot;family&quot;:&quot;Floud&quot;,&quot;given&quot;:&quot;Roderick&quot;,&quot;parse-names&quot;:false,&quot;dropping-particle&quot;:&quot;&quot;,&quot;non-dropping-particle&quot;:&quot;&quot;},{&quot;family&quot;:&quot;Johnson&quot;,&quot;given&quot;:&quot;Paul&quot;,&quot;parse-names&quot;:false,&quot;dropping-particle&quot;:&quot;&quot;,&quot;non-dropping-particle&quot;:&quot;&quot;}],&quot;DOI&quot;:&quot;10.1017/CHOL9780521820370.003&quot;,&quot;ISBN&quot;:&quot;9781139054539&quot;,&quot;issued&quot;:{&quot;date-parts&quot;:[[2004]]},&quot;publisher-place&quot;:&quot;Cambridge&quot;,&quot;page&quot;:&quot;25-55&quot;,&quot;abstract&quot;:&quot;INTRODUCTION: POPULATION GROWTH IN THE LONG TERM Population growth (or in rare cases decline) occurs for one of three reasons: changes in the number of births, changes in the number of deaths and changes in the migration balance. However, simple birth, death and migration rates (e.g. deaths per 1,000 people) are rather crude measures. For example, it is possible for the overall death rate to be rising while deaths at each age are falling. This could occur if the population was ageing – i.e., the number in the older age groups was rising. In this case, improvements caused, say, by improved nutrition, would be masked. Demographers therefore prefer to talk about mortality and fertility, which are defined below and which measure deaths and births holding age structure constant. (The measurement of migration poses some particular problems, which are discussed below.) The main features of population change between the 1840s and the 1940s are as follows. The population of Great Britain increased by nearly two and half times from 18.5 to 45.8 million. Most of the growth occurred in the cities and suburbs, especially London and the great cities of the north and Midlands. There was considerable migration from the countryside and the more remote the area the more likely that it would be depopulated. Many people left Britain for overseas destinations. Most of them went to the new Europe overseas – countries with a low population density (and high resource/population ratio). These countries were also attracting emigrants from many other parts of Europe. Further, there was a rather smaller flow of immigrants from continental Europe and Ireland into Britain.&quot;,&quot;publisher&quot;:&quot;Cambridge University Press&quot;,&quot;container-title-short&quot;:&quot;&quot;},&quot;isTemporary&quot;:false},{&quot;id&quot;:&quot;a39b4f44-d568-322a-a56d-fd5db248933c&quot;,&quot;itemData&quot;:{&quot;type&quot;:&quot;article-journal&quot;,&quot;id&quot;:&quot;a39b4f44-d568-322a-a56d-fd5db248933c&quot;,&quot;title&quot;:&quot;Railways, Divergence, and Structural Change in 19th Century England and Wales&quot;,&quot;author&quot;:[{&quot;family&quot;:&quot;Bogart&quot;,&quot;given&quot;:&quot;Dan&quot;,&quot;parse-names&quot;:false,&quot;dropping-particle&quot;:&quot;&quot;,&quot;non-dropping-particle&quot;:&quot;&quot;},{&quot;family&quot;:&quot;You&quot;,&quot;given&quot;:&quot;Xuesheng&quot;,&quot;parse-names&quot;:false,&quot;dropping-particle&quot;:&quot;&quot;,&quot;non-dropping-particle&quot;:&quot;&quot;},{&quot;family&quot;:&quot;Alvarez-Palau&quot;,&quot;given&quot;:&quot;Eduard J.&quot;,&quot;parse-names&quot;:false,&quot;dropping-particle&quot;:&quot;&quot;,&quot;non-dropping-particle&quot;:&quot;&quot;},{&quot;family&quot;:&quot;Satchell&quot;,&quot;given&quot;:&quot;Max&quot;,&quot;parse-names&quot;:false,&quot;dropping-particle&quot;:&quot;&quot;,&quot;non-dropping-particle&quot;:&quot;&quot;},{&quot;family&quot;:&quot;Shaw-Taylor&quot;,&quot;given&quot;:&quot;Leigh&quot;,&quot;parse-names&quot;:false,&quot;dropping-particle&quot;:&quot;&quot;,&quot;non-dropping-particle&quot;:&quot;&quot;}],&quot;container-title&quot;:&quot;Journal of Urban Economics&quot;,&quot;DOI&quot;:&quot;10.1016/j.jue.2021.103390&quot;,&quot;ISSN&quot;:&quot;00941190&quot;,&quot;issued&quot;:{&quot;date-parts&quot;:[[2022,3,1]]},&quot;abstract&quot;:&quot;Railways transformed inland transport during the nineteenth century. In this paper, we study how railways led to local population change and divergence in England and Wales as it underwent dramatic urbanization. We make use of detailed data on railway stations, population, and occupational structure in more than 9000 spatial units. A network of least cost paths based on major towns and the length of the 1851 rail network is also created to address endogeneity. Our instrumental variable estimates show that having a railway station in a locality by 1851 led to significantly higher population growth from 1851 to 1891 and shifted the male occupational structure out of agriculture. Moreover, we estimate that having stations increased population growth more if localities had greater initial population density and for those 3–15 km from stations, they had less growth compared to localities more distant from stations. Overall, we find that railways reinforced the population hierarchy of the early nineteenth century and contributed to further spatial divergence. Their implications for the geographic distribution of population were large.&quot;,&quot;publisher&quot;:&quot;Academic Press Inc.&quot;,&quot;volume&quot;:&quot;128&quot;,&quot;container-title-short&quot;:&quot;&quot;},&quot;isTemporary&quot;:false}]},{&quot;citationID&quot;:&quot;MENDELEY_CITATION_89a58fcb-e1e7-4bea-b6b7-818fd288d1a2&quot;,&quot;properties&quot;:{&quot;noteIndex&quot;:0},&quot;isEdited&quot;:false,&quot;manualOverride&quot;:{&quot;isManuallyOverridden&quot;:true,&quot;citeprocText&quot;:&quot;(Miles 1993; 1999)&quot;,&quot;manualOverrideText&quot;:&quot;Miles (1993, 1999)&quot;},&quot;citationTag&quot;:&quot;MENDELEY_CITATION_v3_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&quot;,&quot;citationItems&quot;:[{&quot;id&quot;:&quot;d6862b36-70ce-389f-8b8c-74805cc8d628&quot;,&quot;itemData&quot;:{&quot;type&quot;:&quot;chapter&quot;,&quot;id&quot;:&quot;d6862b36-70ce-389f-8b8c-74805cc8d628&quot;,&quot;title&quot;:&quot;How Open was Nineteenth-Century British Society? Social Mobility and Equality of Opportunity, 1839-1914&quot;,&quot;author&quot;:[{&quot;family&quot;:&quot;Miles&quot;,&quot;given&quot;:&quot;Andrew&quot;,&quot;parse-names&quot;:false,&quot;dropping-particle&quot;:&quot;&quot;,&quot;non-dropping-particle&quot;:&quot;&quot;}],&quot;container-title&quot;:&quot;Building European Society: Occupational Change and Social Mobility in Europe, 1840-1940&quot;,&quot;editor&quot;:[{&quot;family&quot;:&quot;Miles&quot;,&quot;given&quot;:&quot;Andrew&quot;,&quot;parse-names&quot;:false,&quot;dropping-particle&quot;:&quot;&quot;,&quot;non-dropping-particle&quot;:&quot;&quot;},{&quot;family&quot;:&quot;Vincent&quot;,&quot;given&quot;:&quot;David&quot;,&quot;parse-names&quot;:false,&quot;dropping-particle&quot;:&quot;&quot;,&quot;non-dropping-particle&quot;:&quot;&quot;}],&quot;issued&quot;:{&quot;date-parts&quot;:[[1993]]},&quot;publisher-place&quot;:&quot;Manchester&quot;,&quot;page&quot;:&quot;18-39&quot;,&quot;publisher&quot;:&quot;Manchester University Press&quot;,&quot;container-title-short&quot;:&quot;&quot;},&quot;isTemporary&quot;:false},{&quot;id&quot;:&quot;d625b9a7-8c8c-3ca2-8b92-c21e595be27a&quot;,&quot;itemData&quot;:{&quot;type&quot;:&quot;book&quot;,&quot;id&quot;:&quot;d625b9a7-8c8c-3ca2-8b92-c21e595be27a&quot;,&quot;title&quot;:&quot;Social Mobility in Nineteenth- and Early-Twentieth Century England&quot;,&quot;author&quot;:[{&quot;family&quot;:&quot;Miles&quot;,&quot;given&quot;:&quot;Andrew&quot;,&quot;parse-names&quot;:false,&quot;dropping-particle&quot;:&quot;&quot;,&quot;non-dropping-particle&quot;:&quot;&quot;}],&quot;issued&quot;:{&quot;date-parts&quot;:[[1999]]},&quot;publisher-place&quot;:&quot;New York&quot;,&quot;publisher&quot;:&quot;St. Martin’s Press&quot;,&quot;container-title-short&quot;:&quot;&quot;},&quot;isTemporary&quot;:false}]},{&quot;citationID&quot;:&quot;MENDELEY_CITATION_471176ee-a749-4522-a58c-d1c91191e9e0&quot;,&quot;properties&quot;:{&quot;noteIndex&quot;:0},&quot;isEdited&quot;:false,&quot;manualOverride&quot;:{&quot;isManuallyOverridden&quot;:true,&quot;citeprocText&quot;:&quot;(Mitch 1993; 2005)&quot;,&quot;manualOverrideText&quot;:&quot;Mitch (1993, 2005)&quot;},&quot;citationTag&quot;:&quot;MENDELEY_CITATION_v3_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&quot;,&quot;citationItems&quot;:[{&quot;id&quot;:&quot;8e31425d-a7dd-348b-a9a4-781c4aec7443&quot;,&quot;itemData&quot;:{&quot;type&quot;:&quot;chapter&quot;,&quot;id&quot;:&quot;8e31425d-a7dd-348b-a9a4-781c4aec7443&quot;,&quot;title&quot;:&quot;“Inequalities Which Every One May Remove”: Occupational Recruitment, Endogamy, and the Homogeneity of Social Origins in Victorian England&quot;,&quot;author&quot;:[{&quot;family&quot;:&quot;Mitch&quot;,&quot;given&quot;:&quot;David&quot;,&quot;parse-names&quot;:false,&quot;dropping-particle&quot;:&quot;&quot;,&quot;non-dropping-particle&quot;:&quot;&quot;}],&quot;container-title&quot;:&quot;Building European Society: Occupational Change and Social Mobility in Europe, 1840-1940&quot;,&quot;editor&quot;:[{&quot;family&quot;:&quot;Miles&quot;,&quot;given&quot;:&quot;Andrew&quot;,&quot;parse-names&quot;:false,&quot;dropping-particle&quot;:&quot;&quot;,&quot;non-dropping-particle&quot;:&quot;&quot;},{&quot;family&quot;:&quot;Vincent&quot;,&quot;given&quot;:&quot;David&quot;,&quot;parse-names&quot;:false,&quot;dropping-particle&quot;:&quot;&quot;,&quot;non-dropping-particle&quot;:&quot;&quot;}],&quot;issued&quot;:{&quot;date-parts&quot;:[[1993]]},&quot;publisher-place&quot;:&quot;Manchester&quot;,&quot;page&quot;:&quot;140-164&quot;,&quot;publisher&quot;:&quot;Manchester University Press&quot;,&quot;container-title-short&quot;:&quot;&quot;},&quot;isTemporary&quot;:false},{&quot;id&quot;:&quot;a10375b7-440b-3a59-acc1-0e6a39f2dc5f&quot;,&quot;itemData&quot;:{&quot;type&quot;:&quot;article-journal&quot;,&quot;id&quot;:&quot;a10375b7-440b-3a59-acc1-0e6a39f2dc5f&quot;,&quot;title&quot;:&quot;Literacy and Occupational Mobility in Rural Versus Urban Victorian England: Evidence from the Linked Marriage Register and Census Records for Birmingham and Norfolk, 1851 and 1881&quot;,&quot;author&quot;:[{&quot;family&quot;:&quot;Mitch&quot;,&quot;given&quot;:&quot;David&quot;,&quot;parse-names&quot;:false,&quot;dropping-particle&quot;:&quot;&quot;,&quot;non-dropping-particle&quot;:&quot;&quot;}],&quot;container-title&quot;:&quot;Historical Methods&quot;,&quot;DOI&quot;:&quot;10.3200/HMTS.38.1.26-38&quot;,&quot;ISSN&quot;:&quot;19401906&quot;,&quot;issued&quot;:{&quot;date-parts&quot;:[[2005,1,1]]},&quot;page&quot;:&quot;26-38&quot;,&quot;abstract&quot;:&quot;Samples drawn from marriage registers in Birmingham and rural Norfolk, England, which report the occupational status for both the groom and his father, were matched with the 1851 and 1881 English censuses, which also contain occupational information. After performing several checks for selection bias, the author concludes: First, although most occupational mobility took place within 10 years of marriage—when the groom was roughly between the ages of 25 and 35—some continued after he turned 50. Second, approximately 35 percent of the men in each area eventually had an occupational status different from their fathers, and about 30 percent changed occupational status over their careers, belying the stereotype of impenetrable walls between classes in Victorian England. Third, upward occupational mobility seemed to slow in both regions as the period under consideration progressed. Fourth, although occupational mobility rates overall were comparable in these urban and rural areas, it was much easier for an individual to rise from an unskilled to a skilled status in Birmingham than it was in Norfolk. Fifth, and perhaps most surprising, literacy had a greater effect on social mobility in rural Norfolk than in urban Birmingham. © 2005 Taylor &amp; Francis Group, LLC.&quot;,&quot;issue&quot;:&quot;1&quot;,&quot;volume&quot;:&quot;38&quot;,&quot;container-title-short&quot;:&quot;&quot;},&quot;isTemporary&quot;:false}]},{&quot;citationID&quot;:&quot;MENDELEY_CITATION_bd10ab4b-3920-4526-b6cf-3f198e815176&quot;,&quot;properties&quot;:{&quot;noteIndex&quot;:0},&quot;isEdited&quot;:false,&quot;manualOverride&quot;:{&quot;isManuallyOverridden&quot;:true,&quot;citeprocText&quot;:&quot;(Delger and Kok 1998)&quot;,&quot;manualOverrideText&quot;:&quot;Delger and Kok (1998)&quot;},&quot;citationTag&quot;:&quot;MENDELEY_CITATION_v3_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&quot;,&quot;citationItems&quot;:[{&quot;id&quot;:&quot;6de1b6d0-550c-3a5d-bc28-b0f8caa83ca3&quot;,&quot;itemData&quot;:{&quot;type&quot;:&quot;article-journal&quot;,&quot;id&quot;:&quot;6de1b6d0-550c-3a5d-bc28-b0f8caa83ca3&quot;,&quot;title&quot;:&quot;Bridegrooms and biases: A critical look at the study of intergenerational mobility on the basis of marriage certificates&quot;,&quot;author&quot;:[{&quot;family&quot;:&quot;Delger&quot;,&quot;given&quot;:&quot;Henk&quot;,&quot;parse-names&quot;:false,&quot;dropping-particle&quot;:&quot;&quot;,&quot;non-dropping-particle&quot;:&quot;&quot;},{&quot;family&quot;:&quot;Kok&quot;,&quot;given&quot;:&quot;Jan&quot;,&quot;parse-names&quot;:false,&quot;dropping-particle&quot;:&quot;&quot;,&quot;non-dropping-particle&quot;:&quot;&quot;}],&quot;container-title&quot;:&quot;Historical Methods&quot;,&quot;DOI&quot;:&quot;10.1080/01615449809601194&quot;,&quot;ISSN&quot;:&quot;19401906&quot;,&quot;issued&quot;:{&quot;date-parts&quot;:[[1998]]},&quot;page&quot;:&quot;113-121&quot;,&quot;issue&quot;:&quot;3&quot;,&quot;volume&quot;:&quot;31&quot;,&quot;container-title-short&quot;:&quot;&quot;},&quot;isTemporary&quot;:false}]},{&quot;citationID&quot;:&quot;MENDELEY_CITATION_a0d281cb-9693-4866-9b08-ba912077ee7b&quot;,&quot;properties&quot;:{&quot;noteIndex&quot;:0},&quot;isEdited&quot;:false,&quot;manualOverride&quot;:{&quot;isManuallyOverridden&quot;:true,&quot;citeprocText&quot;:&quot;(Long 2013)&quot;,&quot;manualOverrideText&quot;:&quot;Long (2013)&quot;},&quot;citationTag&quot;:&quot;MENDELEY_CITATION_v3_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&quot;,&quot;citationItems&quot;:[{&quot;id&quot;:&quot;93dc488a-3531-3893-8b95-24d461938ccc&quot;,&quot;itemData&quot;:{&quot;type&quot;:&quot;article-journal&quot;,&quot;id&quot;:&quot;93dc488a-3531-3893-8b95-24d461938ccc&quot;,&quot;title&quot;:&quot;The Surprising Social Mobility of Victorian Britain&quot;,&quot;author&quot;:[{&quot;family&quot;:&quot;Long&quot;,&quot;given&quot;:&quot;Jason&quot;,&quot;parse-names&quot;:false,&quot;dropping-particle&quot;:&quot;&quot;,&quot;non-dropping-particle&quot;:&quot;&quot;}],&quot;container-title&quot;:&quot;European Review of Economic History&quot;,&quot;DOI&quot;:&quot;10.1093/ereh/hes020&quot;,&quot;ISSN&quot;:&quot;14740044&quot;,&quot;issued&quot;:{&quot;date-parts&quot;:[[2013]]},&quot;page&quot;:&quot;1-23&quot;,&quot;abstract&quot;:&quot;This paper derives new estimates of social mobility in England and Wales between 1851 and 1901, using a large new dataset of fathers and sons linked across censuses from 1851–1881 and 1881–1901. Mobility rates were substantially greater than has been previously estimated, to the extent that mobility in the 1850s was only slightly less than in the 1970s. The development of mass public education in England after 1870 thus had surprisingly modest effects over the long run. Earnings mobility increased moderately for the first generation under public education (1881–1901), but did not increase over the course of the twentieth century.&quot;,&quot;publisher&quot;:&quot;Oxford University Press&quot;,&quot;issue&quot;:&quot;1&quot;,&quot;volume&quot;:&quot;17&quot;,&quot;container-title-short&quot;:&quot;&quot;},&quot;isTemporary&quot;:false}]},{&quot;citationID&quot;:&quot;MENDELEY_CITATION_a3ac96ca-f488-45a1-8a34-1e8821cfc057&quot;,&quot;properties&quot;:{&quot;noteIndex&quot;:0},&quot;isEdited&quot;:false,&quot;manualOverride&quot;:{&quot;isManuallyOverridden&quot;:true,&quot;citeprocText&quot;:&quot;(Clark and Cummins 2015)&quot;,&quot;manualOverrideText&quot;:&quot;Clark and Cummins (2015)&quot;},&quot;citationTag&quot;:&quot;MENDELEY_CITATION_v3_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&quot;,&quot;citationItems&quot;:[{&quot;id&quot;:&quot;3499b1ac-3601-36e7-8c73-f6838a5348ee&quot;,&quot;itemData&quot;:{&quot;type&quot;:&quot;article-journal&quot;,&quot;id&quot;:&quot;3499b1ac-3601-36e7-8c73-f6838a5348ee&quot;,&quot;title&quot;:&quot;Intergenerational wealth mobility in England, 1858-2012: Surnames and social mobility&quot;,&quot;author&quot;:[{&quot;family&quot;:&quot;Clark&quot;,&quot;given&quot;:&quot;Gregory&quot;,&quot;parse-names&quot;:false,&quot;dropping-particle&quot;:&quot;&quot;,&quot;non-dropping-particle&quot;:&quot;&quot;},{&quot;family&quot;:&quot;Cummins&quot;,&quot;given&quot;:&quot;Neil&quot;,&quot;parse-names&quot;:false,&quot;dropping-particle&quot;:&quot;&quot;,&quot;non-dropping-particle&quot;:&quot;&quot;}],&quot;container-title&quot;:&quot;Economic Journal&quot;,&quot;DOI&quot;:&quot;10.1111/ecoj.12165&quot;,&quot;ISSN&quot;:&quot;14680297&quot;,&quot;issued&quot;:{&quot;date-parts&quot;:[[2015,2,1]]},&quot;page&quot;:&quot;61-85&quot;,&quot;abstract&quot;:&quot;This article uses a panel of 18,869 people with rare surnames whose wealth is observed at death in England and Wales 1858-2012 to measure the intergenerational elasticity of wealth over five generations. We show, using rare surnames to track families, that wealth is much more persistent than standard one generation estimates would suggest. There is still a significant correlation between the wealth of families five generations apart. We show that this finding can be reconciled with standard estimates of wealth mobility by positing an underlying first order Markov process of wealth inheritance with an intergenerational elasticity of 0.70-0.75 throughout the years 1858-2012.&quot;,&quot;publisher&quot;:&quot;Blackwell Publishing Ltd&quot;,&quot;issue&quot;:&quot;582&quot;,&quot;volume&quot;:&quot;125&quot;,&quot;container-title-short&quot;:&quot;&quot;},&quot;isTemporary&quot;:false}]},{&quot;citationID&quot;:&quot;MENDELEY_CITATION_fed7ebbe-8ea5-42de-81b1-ce29a2171d2e&quot;,&quot;properties&quot;:{&quot;noteIndex&quot;:0},&quot;isEdited&quot;:false,&quot;manualOverride&quot;:{&quot;isManuallyOverridden&quot;:true,&quot;citeprocText&quot;:&quot;(Bailey et al. 2019)&quot;,&quot;manualOverrideText&quot;:&quot;Bailey et al. (2019)&quot;},&quot;citationTag&quot;:&quot;MENDELEY_CITATION_v3_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&quot;,&quot;citationItems&quot;:[{&quot;id&quot;:&quot;f50cb4bb-9df1-34db-a1fd-2248b5d48739&quot;,&quot;itemData&quot;:{&quot;type&quot;:&quot;report&quot;,&quot;id&quot;:&quot;f50cb4bb-9df1-34db-a1fd-2248b5d48739&quot;,&quot;title&quot;:&quot;How Well Do Automated Linking Methods Perform? Lessons from U.S. Historical Data&quot;,&quot;author&quot;:[{&quot;family&quot;:&quot;Bailey&quot;,&quot;given&quot;:&quot;Martha&quot;,&quot;parse-names&quot;:false,&quot;dropping-particle&quot;:&quot;&quot;,&quot;non-dropping-particle&quot;:&quot;&quot;},{&quot;family&quot;:&quot;Cole&quot;,&quot;given&quot;:&quot;Connor&quot;,&quot;parse-names&quot;:false,&quot;dropping-particle&quot;:&quot;&quot;,&quot;non-dropping-particle&quot;:&quot;&quot;},{&quot;family&quot;:&quot;Henderson&quot;,&quot;given&quot;:&quot;Morgan&quot;,&quot;parse-names&quot;:false,&quot;dropping-particle&quot;:&quot;&quot;,&quot;non-dropping-particle&quot;:&quot;&quot;},{&quot;family&quot;:&quot;Massey&quot;,&quot;given&quot;:&quot;Catherine&quot;,&quot;parse-names&quot;:false,&quot;dropping-particle&quot;:&quot;&quot;,&quot;non-dropping-particle&quot;:&quot;&quot;}],&quot;number&quot;:&quot;24019&quot;,&quot;collection-title&quot;:&quot;NBER Working Paper&quot;,&quot;issued&quot;:{&quot;date-parts&quot;:[[2019,5]]},&quot;publisher-place&quot;:&quot;Cambridge, Massachusetts&quot;,&quot;number-of-pages&quot;:&quot;1-65&quot;,&quot;abstract&quot;:&quot;This paper reviews the literature in historical record linkage in the U.S. and examines the performance of widely-used automated record linking algorithms in two high-quality historical datasets and one synthetic ground truth. Focusing on algorithms in current practice, our findings highlight the important effects of linking methods on data quality. We find that (1) no method (including hand-linking) consistently produces representative samples; (2) 15 to 37 percent of links chosen by prominent machine linking algorithms are identified as false links by human reviewers; and (3) these false links are systematically related to baseline sample characteristics, suggesting that machine algorithms may introduce complicated forms of bias into analyses. We find that prominent linking algorithms attenuate estimates of the intergenerational income elasticity by up to 20 percent and common variations in algorithm choices result in greater attenuation. These results recommend that current practice could be improved by placing more emphasis on reducing false links and less emphasis on increasing match rates. We conclude with constructive suggestions for reducing linking errors and directions for future research.&quot;,&quot;container-title-short&quot;:&quot;&quot;},&quot;isTemporary&quot;:false}]},{&quot;citationID&quot;:&quot;MENDELEY_CITATION_5f41347c-7153-4491-8bd1-ec3db204dcd8&quot;,&quot;properties&quot;:{&quot;noteIndex&quot;:0},&quot;isEdited&quot;:false,&quot;manualOverride&quot;:{&quot;isManuallyOverridden&quot;:true,&quot;citeprocText&quot;:&quot;(Anbinder et al. 2021)&quot;,&quot;manualOverrideText&quot;:&quot;Anbinder et al. (2021)&quot;},&quot;citationTag&quot;:&quot;MENDELEY_CITATION_v3_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&quot;,&quot;citationItems&quot;:[{&quot;id&quot;:&quot;a4e53237-1b4e-3f18-8bdf-c819cdfd0cdc&quot;,&quot;itemData&quot;:{&quot;type&quot;:&quot;report&quot;,&quot;id&quot;:&quot;a4e53237-1b4e-3f18-8bdf-c819cdfd0cdc&quot;,&quot;title&quot;:&quot;The Problem of False Positives in Automated Census Linking:\nEvidence from Nineteenth-Century New York's Irish Immigrants&quot;,&quot;author&quot;:[{&quot;family&quot;:&quot;Anbinder&quot;,&quot;given&quot;:&quot;Tyler&quot;,&quot;parse-names&quot;:false,&quot;dropping-particle&quot;:&quot;&quot;,&quot;non-dropping-particle&quot;:&quot;&quot;},{&quot;family&quot;:&quot;Cormac&quot;,&quot;given&quot;:&quot;Dylan Connor&quot;,&quot;parse-names&quot;:false,&quot;dropping-particle&quot;:&quot;&quot;,&quot;non-dropping-particle&quot;:&quot;&quot;},{&quot;family&quot;:&quot;Gráda&quot;,&quot;given&quot;:&quot;Ó&quot;,&quot;parse-names&quot;:false,&quot;dropping-particle&quot;:&quot;&quot;,&quot;non-dropping-particle&quot;:&quot;&quot;},{&quot;family&quot;:&quot;Wegge&quot;,&quot;given&quot;:&quot;Simone&quot;,&quot;parse-names&quot;:false,&quot;dropping-particle&quot;:&quot;&quot;,&quot;non-dropping-particle&quot;:&quot;&quot;}],&quot;number&quot;:&quot;568&quot;,&quot;collection-title&quot;:&quot;CAGE Working Paper&quot;,&quot;issued&quot;:{&quot;date-parts&quot;:[[2021,6]]},&quot;publisher-place&quot;:&quot;Warwick&quot;,&quot;number-of-pages&quot;:&quot;1-55&quot;,&quot;container-title-short&quot;:&quot;&quot;},&quot;isTemporary&quot;:false}]},{&quot;citationID&quot;:&quot;MENDELEY_CITATION_a07e58e6-0147-4bc2-ae54-817976c0aba7&quot;,&quot;properties&quot;:{&quot;noteIndex&quot;:0},&quot;isEdited&quot;:false,&quot;manualOverride&quot;:{&quot;isManuallyOverridden&quot;:true,&quot;citeprocText&quot;:&quot;(Long 2013)&quot;,&quot;manualOverrideText&quot;:&quot;Long (2013)&quot;},&quot;citationTag&quot;:&quot;MENDELEY_CITATION_v3_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&quot;,&quot;citationItems&quot;:[{&quot;id&quot;:&quot;93dc488a-3531-3893-8b95-24d461938ccc&quot;,&quot;itemData&quot;:{&quot;type&quot;:&quot;article-journal&quot;,&quot;id&quot;:&quot;93dc488a-3531-3893-8b95-24d461938ccc&quot;,&quot;title&quot;:&quot;The Surprising Social Mobility of Victorian Britain&quot;,&quot;author&quot;:[{&quot;family&quot;:&quot;Long&quot;,&quot;given&quot;:&quot;Jason&quot;,&quot;parse-names&quot;:false,&quot;dropping-particle&quot;:&quot;&quot;,&quot;non-dropping-particle&quot;:&quot;&quot;}],&quot;container-title&quot;:&quot;European Review of Economic History&quot;,&quot;DOI&quot;:&quot;10.1093/ereh/hes020&quot;,&quot;ISSN&quot;:&quot;14740044&quot;,&quot;issued&quot;:{&quot;date-parts&quot;:[[2013]]},&quot;page&quot;:&quot;1-23&quot;,&quot;abstract&quot;:&quot;This paper derives new estimates of social mobility in England and Wales between 1851 and 1901, using a large new dataset of fathers and sons linked across censuses from 1851–1881 and 1881–1901. Mobility rates were substantially greater than has been previously estimated, to the extent that mobility in the 1850s was only slightly less than in the 1970s. The development of mass public education in England after 1870 thus had surprisingly modest effects over the long run. Earnings mobility increased moderately for the first generation under public education (1881–1901), but did not increase over the course of the twentieth century.&quot;,&quot;publisher&quot;:&quot;Oxford University Press&quot;,&quot;issue&quot;:&quot;1&quot;,&quot;volume&quot;:&quot;17&quot;,&quot;container-title-short&quot;:&quot;&quot;},&quot;isTemporary&quot;:false}]},{&quot;citationID&quot;:&quot;MENDELEY_CITATION_1eaa88cb-3b40-4663-b610-f69d5df36afa&quot;,&quot;properties&quot;:{&quot;noteIndex&quot;:0},&quot;isEdited&quot;:false,&quot;manualOverride&quot;:{&quot;isManuallyOverridden&quot;:true,&quot;citeprocText&quot;:&quot;(Ward 2021)&quot;,&quot;manualOverrideText&quot;:&quot;Ward (2021)&quot;},&quot;citationTag&quot;:&quot;MENDELEY_CITATION_v3_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&quot;,&quot;citationItems&quot;:[{&quot;id&quot;:&quot;26864daf-5afd-3cb1-847e-c0daf8f20013&quot;,&quot;itemData&quot;:{&quot;type&quot;:&quot;report&quot;,&quot;id&quot;:&quot;26864daf-5afd-3cb1-847e-c0daf8f20013&quot;,&quot;title&quot;:&quot;Intergenerational Mobility in American History: Accounting for Race and Measurement Error&quot;,&quot;author&quot;:[{&quot;family&quot;:&quot;Ward&quot;,&quot;given&quot;:&quot;Zachary&quot;,&quot;parse-names&quot;:false,&quot;dropping-particle&quot;:&quot;&quot;,&quot;non-dropping-particle&quot;:&quot;&quot;}],&quot;number&quot;:&quot;29256&quot;,&quot;collection-title&quot;:&quot;NBER Working Paper&quot;,&quot;URL&quot;:&quot;http://www.nber.org/data-appendix/w29256&quot;,&quot;issued&quot;:{&quot;date-parts&quot;:[[2021,9]]},&quot;publisher-place&quot;:&quot;Cambridge, Massachusetts&quot;,&quot;number-of-pages&quot;:&quot;1-46&quot;,&quot;container-title-short&quot;:&quot;&quot;},&quot;isTemporary&quot;:false}]},{&quot;citationID&quot;:&quot;MENDELEY_CITATION_dfaf46ba-0de4-43cb-bdfc-c91837812858&quot;,&quot;properties&quot;:{&quot;noteIndex&quot;:0},&quot;isEdited&quot;:false,&quot;manualOverride&quot;:{&quot;isManuallyOverridden&quot;:false,&quot;citeprocText&quot;:&quot;(Long and Ferrie 2013)&quot;,&quot;manualOverrideText&quot;:&quot;&quot;},&quot;citationTag&quot;:&quot;MENDELEY_CITATION_v3_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&quot;,&quot;citationItems&quot;:[{&quot;id&quot;:&quot;567d66de-a286-3221-b98d-7129e39d54b1&quot;,&quot;itemData&quot;:{&quot;type&quot;:&quot;article-journal&quot;,&quot;id&quot;:&quot;567d66de-a286-3221-b98d-7129e39d54b1&quot;,&quot;title&quot;:&quot;Intergenerational Occupational Mobility in GB and US since 1850&quot;,&quot;author&quot;:[{&quot;family&quot;:&quot;Long&quot;,&quot;given&quot;:&quot;Jason&quot;,&quot;parse-names&quot;:false,&quot;dropping-particle&quot;:&quot;&quot;,&quot;non-dropping-particle&quot;:&quot;&quot;},{&quot;family&quot;:&quot;Ferrie&quot;,&quot;given&quot;:&quot;Joseph&quot;,&quot;parse-names&quot;:false,&quot;dropping-particle&quot;:&quot;&quot;,&quot;non-dropping-particle&quot;:&quot;&quot;}],&quot;container-title&quot;:&quot;American Economic Review&quot;,&quot;issued&quot;:{&quot;date-parts&quot;:[[2013,6]]},&quot;page&quot;:&quot;1109-1137&quot;,&quot;issue&quot;:&quot;4&quot;,&quot;volume&quot;:&quot;103&quot;,&quot;container-title-short&quot;:&quot;&quot;},&quot;isTemporary&quot;:false}]},{&quot;citationID&quot;:&quot;MENDELEY_CITATION_92e05a76-fa31-49fc-9e63-6190e7ec78d0&quot;,&quot;properties&quot;:{&quot;noteIndex&quot;:0},&quot;isEdited&quot;:false,&quot;manualOverride&quot;:{&quot;isManuallyOverridden&quot;:false,&quot;citeprocText&quot;:&quot;(Long and Ferrie 2013)&quot;,&quot;manualOverrideText&quot;:&quot;&quot;},&quot;citationTag&quot;:&quot;MENDELEY_CITATION_v3_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&quot;,&quot;citationItems&quot;:[{&quot;id&quot;:&quot;567d66de-a286-3221-b98d-7129e39d54b1&quot;,&quot;itemData&quot;:{&quot;type&quot;:&quot;article-journal&quot;,&quot;id&quot;:&quot;567d66de-a286-3221-b98d-7129e39d54b1&quot;,&quot;title&quot;:&quot;Intergenerational Occupational Mobility in GB and US since 1850&quot;,&quot;author&quot;:[{&quot;family&quot;:&quot;Long&quot;,&quot;given&quot;:&quot;Jason&quot;,&quot;parse-names&quot;:false,&quot;dropping-particle&quot;:&quot;&quot;,&quot;non-dropping-particle&quot;:&quot;&quot;},{&quot;family&quot;:&quot;Ferrie&quot;,&quot;given&quot;:&quot;Joseph&quot;,&quot;parse-names&quot;:false,&quot;dropping-particle&quot;:&quot;&quot;,&quot;non-dropping-particle&quot;:&quot;&quot;}],&quot;container-title&quot;:&quot;American Economic Review&quot;,&quot;issued&quot;:{&quot;date-parts&quot;:[[2013,6]]},&quot;page&quot;:&quot;1109-1137&quot;,&quot;issue&quot;:&quot;4&quot;,&quot;volume&quot;:&quot;103&quot;,&quot;container-title-short&quot;:&quot;&quot;},&quot;isTemporary&quot;:false}]},{&quot;citationID&quot;:&quot;MENDELEY_CITATION_f05a56bb-ff28-432d-a7fb-05f860d92312&quot;,&quot;properties&quot;:{&quot;noteIndex&quot;:0},&quot;isEdited&quot;:false,&quot;manualOverride&quot;:{&quot;isManuallyOverridden&quot;:false,&quot;citeprocText&quot;:&quot;(Pérez 2019)&quot;,&quot;manualOverrideText&quot;:&quot;&quot;},&quot;citationTag&quot;:&quot;MENDELEY_CITATION_v3_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&quot;,&quot;citationItems&quot;:[{&quot;id&quot;:&quot;3d151525-4ee4-3f3a-ae7e-670f5cc9f073&quot;,&quot;itemData&quot;:{&quot;type&quot;:&quot;article-journal&quot;,&quot;id&quot;:&quot;3d151525-4ee4-3f3a-ae7e-670f5cc9f073&quot;,&quot;title&quot;:&quot;Intergenerational Occupational Mobility across Three Continents&quot;,&quot;author&quot;:[{&quot;family&quot;:&quot;Pérez&quot;,&quot;given&quot;:&quot;Santiago&quot;,&quot;parse-names&quot;:false,&quot;dropping-particle&quot;:&quot;&quot;,&quot;non-dropping-particle&quot;:&quot;&quot;}],&quot;container-title&quot;:&quot;Journal of Economic History&quot;,&quot;DOI&quot;:&quot;10.1017/S0022050719000032&quot;,&quot;ISSN&quot;:&quot;14716372&quot;,&quot;issued&quot;:{&quot;date-parts&quot;:[[2019,6,1]]},&quot;page&quot;:&quot;383-416&quot;,&quot;abstract&quot;:&quot;I compare rates of intergenerational occupational mobility across four countries in the late nineteenth century: 1869-1895 Argentina, 1850-1880 United States, 1851-1881 Britain, and 1865-1900 Norway. Argentina and the United States had similar levels of intergenerational mobility, and these levels were above those of Britain and Norway. These findings suggest that the higher mobility of nineteenth-century United States relative to Britain might not have been a reflection of American exceptionalism, but rather a manifestation of more widespread differences between settler economies of the New World and Europe.&quot;,&quot;publisher&quot;:&quot;Cambridge University Press&quot;,&quot;issue&quot;:&quot;2&quot;,&quot;volume&quot;:&quot;79&quot;,&quot;container-title-short&quot;:&quot;&quot;},&quot;isTemporary&quot;:false}]},{&quot;citationID&quot;:&quot;MENDELEY_CITATION_48ceeaad-f7ce-47fb-90d4-152d3eca6eae&quot;,&quot;properties&quot;:{&quot;noteIndex&quot;:0},&quot;isEdited&quot;:false,&quot;manualOverride&quot;:{&quot;isManuallyOverridden&quot;:false,&quot;citeprocText&quot;:&quot;(Higgs et al. 2013)&quot;,&quot;manualOverrideText&quot;:&quot;&quot;},&quot;citationTag&quot;:&quot;MENDELEY_CITATION_v3_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&quot;,&quot;citationItems&quot;:[{&quot;id&quot;:&quot;b98e8968-fcce-3d05-9357-517d07e7dfd9&quot;,&quot;itemData&quot;:{&quot;type&quot;:&quot;report&quot;,&quot;id&quot;:&quot;b98e8968-fcce-3d05-9357-517d07e7dfd9&quot;,&quot;title&quot;:&quot;Integrated Census Microdata (I-CeM) Guide&quot;,&quot;author&quot;:[{&quot;family&quot;:&quot;Higgs&quot;,&quot;given&quot;:&quot;Edward&quot;,&quot;parse-names&quot;:false,&quot;dropping-particle&quot;:&quot;&quot;,&quot;non-dropping-particle&quot;:&quot;&quot;},{&quot;family&quot;:&quot;Jones&quot;,&quot;given&quot;:&quot;Christine&quot;,&quot;parse-names&quot;:false,&quot;dropping-particle&quot;:&quot;&quot;,&quot;non-dropping-particle&quot;:&quot;&quot;},{&quot;family&quot;:&quot;Schürer&quot;,&quot;given&quot;:&quot;Kevin&quot;,&quot;parse-names&quot;:false,&quot;dropping-particle&quot;:&quot;&quot;,&quot;non-dropping-particle&quot;:&quot;&quot;},{&quot;family&quot;:&quot;Wilkinson&quot;,&quot;given&quot;:&quot;Amanda&quot;,&quot;parse-names&quot;:false,&quot;dropping-particle&quot;:&quot;&quot;,&quot;non-dropping-particle&quot;:&quot;&quot;}],&quot;issued&quot;:{&quot;date-parts&quot;:[[2013,9]]},&quot;container-title-short&quot;:&quot;&quot;},&quot;isTemporary&quot;:false}]},{&quot;citationID&quot;:&quot;MENDELEY_CITATION_62809c19-dfbe-42b3-a7aa-b51740d03388&quot;,&quot;properties&quot;:{&quot;noteIndex&quot;:0},&quot;isEdited&quot;:false,&quot;manualOverride&quot;:{&quot;isManuallyOverridden&quot;:true,&quot;citeprocText&quot;:&quot;(Higgs et al. 2013)&quot;,&quot;manualOverrideText&quot;:&quot;Higgs et al. (2013)&quot;},&quot;citationTag&quot;:&quot;MENDELEY_CITATION_v3_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&quot;,&quot;citationItems&quot;:[{&quot;id&quot;:&quot;b98e8968-fcce-3d05-9357-517d07e7dfd9&quot;,&quot;itemData&quot;:{&quot;type&quot;:&quot;report&quot;,&quot;id&quot;:&quot;b98e8968-fcce-3d05-9357-517d07e7dfd9&quot;,&quot;title&quot;:&quot;Integrated Census Microdata (I-CeM) Guide&quot;,&quot;author&quot;:[{&quot;family&quot;:&quot;Higgs&quot;,&quot;given&quot;:&quot;Edward&quot;,&quot;parse-names&quot;:false,&quot;dropping-particle&quot;:&quot;&quot;,&quot;non-dropping-particle&quot;:&quot;&quot;},{&quot;family&quot;:&quot;Jones&quot;,&quot;given&quot;:&quot;Christine&quot;,&quot;parse-names&quot;:false,&quot;dropping-particle&quot;:&quot;&quot;,&quot;non-dropping-particle&quot;:&quot;&quot;},{&quot;family&quot;:&quot;Schürer&quot;,&quot;given&quot;:&quot;Kevin&quot;,&quot;parse-names&quot;:false,&quot;dropping-particle&quot;:&quot;&quot;,&quot;non-dropping-particle&quot;:&quot;&quot;},{&quot;family&quot;:&quot;Wilkinson&quot;,&quot;given&quot;:&quot;Amanda&quot;,&quot;parse-names&quot;:false,&quot;dropping-particle&quot;:&quot;&quot;,&quot;non-dropping-particle&quot;:&quot;&quot;}],&quot;issued&quot;:{&quot;date-parts&quot;:[[2013,9]]},&quot;container-title-short&quot;:&quot;&quot;},&quot;isTemporary&quot;:false}]},{&quot;citationID&quot;:&quot;MENDELEY_CITATION_f9c28968-185c-46c8-b224-fcb6c74a9ff1&quot;,&quot;properties&quot;:{&quot;noteIndex&quot;:0},&quot;isEdited&quot;:false,&quot;manualOverride&quot;:{&quot;isManuallyOverridden&quot;:true,&quot;citeprocText&quot;:&quot;(Lambert et al. 2013)&quot;,&quot;manualOverrideText&quot;:&quot;Lambert et al. (2013)&quot;},&quot;citationTag&quot;:&quot;MENDELEY_CITATION_v3_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&quot;,&quot;citationItems&quot;:[{&quot;id&quot;:&quot;20125cb1-00f9-3632-94dd-bcbcd620e795&quot;,&quot;itemData&quot;:{&quot;type&quot;:&quot;article-journal&quot;,&quot;id&quot;:&quot;20125cb1-00f9-3632-94dd-bcbcd620e795&quot;,&quot;title&quot;:&quot;The Construction of HISCAM: A Stratification Scale Based on Social Interactions for Historical Comparative Research&quot;,&quot;author&quot;:[{&quot;family&quot;:&quot;Lambert&quot;,&quot;given&quot;:&quot;Paul S.&quot;,&quot;parse-names&quot;:false,&quot;dropping-particle&quot;:&quot;&quot;,&quot;non-dropping-particle&quot;:&quot;&quot;},{&quot;family&quot;:&quot;Zijdeman&quot;,&quot;given&quot;:&quot;Richard L.&quot;,&quot;parse-names&quot;:false,&quot;dropping-particle&quot;:&quot;&quot;,&quot;non-dropping-particle&quot;:&quot;&quot;},{&quot;family&quot;:&quot;Leeuwen&quot;,&quot;given&quot;:&quot;Marco H.D.&quot;,&quot;parse-names&quot;:false,&quot;dropping-particle&quot;:&quot;&quot;,&quot;non-dropping-particle&quot;:&quot;van&quot;},{&quot;family&quot;:&quot;Maas&quot;,&quot;given&quot;:&quot;Ineke&quot;,&quot;parse-names&quot;:false,&quot;dropping-particle&quot;:&quot;&quot;,&quot;non-dropping-particle&quot;:&quot;&quot;},{&quot;family&quot;:&quot;Prandy&quot;,&quot;given&quot;:&quot;Kenneth&quot;,&quot;parse-names&quot;:false,&quot;dropping-particle&quot;:&quot;&quot;,&quot;non-dropping-particle&quot;:&quot;&quot;}],&quot;container-title&quot;:&quot;Historical Methods&quot;,&quot;DOI&quot;:&quot;10.1080/01615440.2012.715569&quot;,&quot;ISSN&quot;:&quot;01615440&quot;,&quot;issued&quot;:{&quot;date-parts&quot;:[[2013,4,1]]},&quot;page&quot;:&quot;77-89&quot;,&quot;abstract&quot;:&quot;A new occupational stratification scale, \&quot;HISCAM\&quot; (historical CAMSIS), has been developed to facilitate the analysis of data coded to the Historical International Standard Classification of Occupations. This article describes the derivation and properties of the HISCAM measure. The scale was derived using patterns of inter-generational occupational connections, replicating a method of \&quot;social interaction distance\&quot; analysis which is widely used in contemporary sociology. Analysis was performed on data for the period of 1800-1938, principally derived from marriage registers covering Belgium, Britain, Canada, France, Germany, the Netherlands, and Sweden, and encompassing over two million inter-generational relationships. Researchers report how several different HISCAM scales were evaluated and show how this approach can explain social stratification and inequality in the past. © 2013 Taylor and Francis Group, LLC.&quot;,&quot;issue&quot;:&quot;2&quot;,&quot;volume&quot;:&quot;46&quot;,&quot;container-title-short&quot;:&quot;&quot;},&quot;isTemporary&quot;:false}]},{&quot;citationID&quot;:&quot;MENDELEY_CITATION_2f0ca1fc-1dfa-437e-bb6d-876cb4a51684&quot;,&quot;properties&quot;:{&quot;noteIndex&quot;:0},&quot;isEdited&quot;:false,&quot;manualOverride&quot;:{&quot;isManuallyOverridden&quot;:false,&quot;citeprocText&quot;:&quot;(Mazumder 2005)&quot;,&quot;manualOverrideText&quot;:&quot;&quot;},&quot;citationTag&quot;:&quot;MENDELEY_CITATION_v3_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&quot;,&quot;citationItems&quot;:[{&quot;id&quot;:&quot;5c394d8c-10b2-303b-adb2-53e6078abc28&quot;,&quot;itemData&quot;:{&quot;type&quot;:&quot;article-journal&quot;,&quot;id&quot;:&quot;5c394d8c-10b2-303b-adb2-53e6078abc28&quot;,&quot;title&quot;:&quot;Fortunate Sons: New Estimates of Intergenerational Mobility in the United States Using Social Security Earnings Data&quot;,&quot;author&quot;:[{&quot;family&quot;:&quot;Mazumder&quot;,&quot;given&quot;:&quot;Bhashkar&quot;,&quot;parse-names&quot;:false,&quot;dropping-particle&quot;:&quot;&quot;,&quot;non-dropping-particle&quot;:&quot;&quot;}],&quot;container-title&quot;:&quot;Review of Economics and Statistics&quot;,&quot;URL&quot;:&quot;https://about.jstor.org/terms&quot;,&quot;issued&quot;:{&quot;date-parts&quot;:[[2005,5]]},&quot;page&quot;:&quot;235-255&quot;,&quot;issue&quot;:&quot;2&quot;,&quot;volume&quot;:&quot;87&quot;,&quot;container-title-short&quot;:&quot;&quot;},&quot;isTemporary&quot;:false}]},{&quot;citationID&quot;:&quot;MENDELEY_CITATION_fe324f81-254e-4f31-b6a4-e527069be306&quot;,&quot;properties&quot;:{&quot;noteIndex&quot;:0},&quot;isEdited&quot;:false,&quot;manualOverride&quot;:{&quot;isManuallyOverridden&quot;:true,&quot;citeprocText&quot;:&quot;(Altonji and Dunn 1991; Solon 1992; Zimmerman 1992)&quot;,&quot;manualOverrideText&quot;:&quot;Altonji and Dunn 1991, Solon 1992, and Zimmerman 1992&quot;},&quot;citationTag&quot;:&quot;MENDELEY_CITATION_v3_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&quot;,&quot;citationItems&quot;:[{&quot;id&quot;:&quot;c9857c22-883d-34f2-8a19-2966bc9047c7&quot;,&quot;itemData&quot;:{&quot;type&quot;:&quot;report&quot;,&quot;id&quot;:&quot;c9857c22-883d-34f2-8a19-2966bc9047c7&quot;,&quot;title&quot;:&quot;Relationships Among the Family Incomes and Labor Market Outcomes of Relatives&quot;,&quot;author&quot;:[{&quot;family&quot;:&quot;Altonji&quot;,&quot;given&quot;:&quot;Joseph G.&quot;,&quot;parse-names&quot;:false,&quot;dropping-particle&quot;:&quot;&quot;,&quot;non-dropping-particle&quot;:&quot;&quot;},{&quot;family&quot;:&quot;Dunn&quot;,&quot;given&quot;:&quot;Thomas A.&quot;,&quot;parse-names&quot;:false,&quot;dropping-particle&quot;:&quot;&quot;,&quot;non-dropping-particle&quot;:&quot;&quot;}],&quot;number&quot;:&quot;3724&quot;,&quot;collection-title&quot;:&quot;Working Paper&quot;,&quot;issued&quot;:{&quot;date-parts&quot;:[[1991,6]]},&quot;publisher-place&quot;:&quot;Cambridge, Massachusetts&quot;,&quot;container-title-short&quot;:&quot;&quot;},&quot;isTemporary&quot;:false},{&quot;id&quot;:&quot;810061d2-b57b-3a9d-b934-7b9ab28f066c&quot;,&quot;itemData&quot;:{&quot;type&quot;:&quot;article-journal&quot;,&quot;id&quot;:&quot;810061d2-b57b-3a9d-b934-7b9ab28f066c&quot;,&quot;title&quot;:&quot;Intergenerational Income Mobility in the United States&quot;,&quot;author&quot;:[{&quot;family&quot;:&quot;Solon&quot;,&quot;given&quot;:&quot;Gary&quot;,&quot;parse-names&quot;:false,&quot;dropping-particle&quot;:&quot;&quot;,&quot;non-dropping-particle&quot;:&quot;&quot;}],&quot;container-title&quot;:&quot;American Economic Review&quot;,&quot;issued&quot;:{&quot;date-parts&quot;:[[1992,6]]},&quot;page&quot;:&quot;393-408&quot;,&quot;issue&quot;:&quot;3&quot;,&quot;volume&quot;:&quot;82&quot;,&quot;container-title-short&quot;:&quot;&quot;},&quot;isTemporary&quot;:false},{&quot;id&quot;:&quot;da533d27-175e-3b44-9de6-fd7e227c1d50&quot;,&quot;itemData&quot;:{&quot;type&quot;:&quot;article-journal&quot;,&quot;id&quot;:&quot;da533d27-175e-3b44-9de6-fd7e227c1d50&quot;,&quot;title&quot;:&quot;Regression Toward Mediocrity in Economic Stature&quot;,&quot;author&quot;:[{&quot;family&quot;:&quot;Zimmerman&quot;,&quot;given&quot;:&quot;David J.&quot;,&quot;parse-names&quot;:false,&quot;dropping-particle&quot;:&quot;&quot;,&quot;non-dropping-particle&quot;:&quot;&quot;}],&quot;container-title&quot;:&quot;American Economic Review&quot;,&quot;issued&quot;:{&quot;date-parts&quot;:[[1992,6]]},&quot;page&quot;:&quot;409-429&quot;,&quot;issue&quot;:&quot;3&quot;,&quot;volume&quot;:&quot;82&quot;,&quot;container-title-short&quot;:&quot;&quot;},&quot;isTemporary&quot;:false}]},{&quot;citationID&quot;:&quot;MENDELEY_CITATION_9ace19e2-17b3-4a72-9313-bfdbbb51952a&quot;,&quot;properties&quot;:{&quot;noteIndex&quot;:0},&quot;isEdited&quot;:false,&quot;manualOverride&quot;:{&quot;isManuallyOverridden&quot;:true,&quot;citeprocText&quot;:&quot;(Dearden, Machin, and Reed 1997; Grawe 2004)&quot;,&quot;manualOverrideText&quot;:&quot;Dearden, Machin, and Reed 1997 and Grawe 2004&quot;},&quot;citationTag&quot;:&quot;MENDELEY_CITATION_v3_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&quot;,&quot;citationItems&quot;:[{&quot;id&quot;:&quot;6123880a-6ba7-3472-aff0-503f10f15cca&quot;,&quot;itemData&quot;:{&quot;type&quot;:&quot;article-journal&quot;,&quot;id&quot;:&quot;6123880a-6ba7-3472-aff0-503f10f15cca&quot;,&quot;title&quot;:&quot;Intergenerational Mobility in Britain&quot;,&quot;author&quot;:[{&quot;family&quot;:&quot;Dearden&quot;,&quot;given&quot;:&quot;Lorraine&quot;,&quot;parse-names&quot;:false,&quot;dropping-particle&quot;:&quot;&quot;,&quot;non-dropping-particle&quot;:&quot;&quot;},{&quot;family&quot;:&quot;Machin&quot;,&quot;given&quot;:&quot;Stephen&quot;,&quot;parse-names&quot;:false,&quot;dropping-particle&quot;:&quot;&quot;,&quot;non-dropping-particle&quot;:&quot;&quot;},{&quot;family&quot;:&quot;Reed&quot;,&quot;given&quot;:&quot;Howard&quot;,&quot;parse-names&quot;:false,&quot;dropping-particle&quot;:&quot;&quot;,&quot;non-dropping-particle&quot;:&quot;&quot;}],&quot;container-title&quot;:&quot;Economic Journal&quot;,&quot;URL&quot;:&quot;https://about.jstor.org/terms&quot;,&quot;issued&quot;:{&quot;date-parts&quot;:[[1997]]},&quot;page&quot;:&quot;47-66&quot;,&quot;issue&quot;:&quot;440&quot;,&quot;volume&quot;:&quot;107&quot;,&quot;container-title-short&quot;:&quot;&quot;},&quot;isTemporary&quot;:false},{&quot;id&quot;:&quot;244420f1-abc4-39a0-93ea-cb16566119aa&quot;,&quot;itemData&quot;:{&quot;type&quot;:&quot;chapter&quot;,&quot;id&quot;:&quot;244420f1-abc4-39a0-93ea-cb16566119aa&quot;,&quot;title&quot;:&quot;Intergenerational Mobility for Whom? The Experience of High- and Low-Earning Sons in International Perspective&quot;,&quot;author&quot;:[{&quot;family&quot;:&quot;Grawe&quot;,&quot;given&quot;:&quot;Nathan D.&quot;,&quot;parse-names&quot;:false,&quot;dropping-particle&quot;:&quot;&quot;,&quot;non-dropping-particle&quot;:&quot;&quot;}],&quot;container-title&quot;:&quot;Generational Income Mobility in North America and Europe&quot;,&quot;editor&quot;:[{&quot;family&quot;:&quot;Corak&quot;,&quot;given&quot;:&quot;Miles&quot;,&quot;parse-names&quot;:false,&quot;dropping-particle&quot;:&quot;&quot;,&quot;non-dropping-particle&quot;:&quot;&quot;}],&quot;DOI&quot;:&quot;10.1017/CBO9780511492549&quot;,&quot;ISBN&quot;:&quot;9780521827607&quot;,&quot;issued&quot;:{&quot;date-parts&quot;:[[2004,11,25]]},&quot;publisher-place&quot;:&quot;Cambridge&quot;,&quot;page&quot;:&quot;58-88&quot;,&quot;publisher&quot;:&quot;Cambridge University Press&quot;,&quot;container-title-short&quot;:&quot;&quot;},&quot;isTemporary&quot;:false}]},{&quot;citationID&quot;:&quot;MENDELEY_CITATION_53b7ff87-7a27-4b95-b6cc-e15205a486af&quot;,&quot;properties&quot;:{&quot;noteIndex&quot;:0},&quot;isEdited&quot;:false,&quot;manualOverride&quot;:{&quot;isManuallyOverridden&quot;:false,&quot;citeprocText&quot;:&quot;(Ward 2021)&quot;,&quot;manualOverrideText&quot;:&quot;&quot;},&quot;citationTag&quot;:&quot;MENDELEY_CITATION_v3_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&quot;,&quot;citationItems&quot;:[{&quot;id&quot;:&quot;26864daf-5afd-3cb1-847e-c0daf8f20013&quot;,&quot;itemData&quot;:{&quot;type&quot;:&quot;report&quot;,&quot;id&quot;:&quot;26864daf-5afd-3cb1-847e-c0daf8f20013&quot;,&quot;title&quot;:&quot;Intergenerational Mobility in American History: Accounting for Race and Measurement Error&quot;,&quot;author&quot;:[{&quot;family&quot;:&quot;Ward&quot;,&quot;given&quot;:&quot;Zachary&quot;,&quot;parse-names&quot;:false,&quot;dropping-particle&quot;:&quot;&quot;,&quot;non-dropping-particle&quot;:&quot;&quot;}],&quot;number&quot;:&quot;29256&quot;,&quot;collection-title&quot;:&quot;NBER Working Paper&quot;,&quot;URL&quot;:&quot;http://www.nber.org/data-appendix/w29256&quot;,&quot;issued&quot;:{&quot;date-parts&quot;:[[2021,9]]},&quot;publisher-place&quot;:&quot;Cambridge, Massachusetts&quot;,&quot;number-of-pages&quot;:&quot;1-46&quot;,&quot;container-title-short&quot;:&quot;&quot;},&quot;isTemporary&quot;:false}]},{&quot;citationID&quot;:&quot;MENDELEY_CITATION_9f748f1e-7b69-4173-b4e5-3336d3eb5c36&quot;,&quot;properties&quot;:{&quot;noteIndex&quot;:0},&quot;isEdited&quot;:false,&quot;manualOverride&quot;:{&quot;isManuallyOverridden&quot;:false,&quot;citeprocText&quot;:&quot;(Haider and Solon 2006)&quot;,&quot;manualOverrideText&quot;:&quot;&quot;},&quot;citationTag&quot;:&quot;MENDELEY_CITATION_v3_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&quot;,&quot;citationItems&quot;:[{&quot;id&quot;:&quot;749c61a0-65c5-37bd-ac72-c80749253a9b&quot;,&quot;itemData&quot;:{&quot;type&quot;:&quot;article-journal&quot;,&quot;id&quot;:&quot;749c61a0-65c5-37bd-ac72-c80749253a9b&quot;,&quot;title&quot;:&quot;Life-Cycle Variation in the Association between Current and Lifetime Earnings&quot;,&quot;author&quot;:[{&quot;family&quot;:&quot;Haider&quot;,&quot;given&quot;:&quot;Steven&quot;,&quot;parse-names&quot;:false,&quot;dropping-particle&quot;:&quot;&quot;,&quot;non-dropping-particle&quot;:&quot;&quot;},{&quot;family&quot;:&quot;Solon&quot;,&quot;given&quot;:&quot;Gary&quot;,&quot;parse-names&quot;:false,&quot;dropping-particle&quot;:&quot;&quot;,&quot;non-dropping-particle&quot;:&quot;&quot;}],&quot;container-title&quot;:&quot;American Economic Review&quot;,&quot;issued&quot;:{&quot;date-parts&quot;:[[2006,9]]},&quot;page&quot;:&quot;1308-1320&quot;,&quot;issue&quot;:&quot;4&quot;,&quot;volume&quot;:&quot;96&quot;,&quot;container-title-short&quot;:&quot;&quot;},&quot;isTemporary&quot;:false}]},{&quot;citationID&quot;:&quot;MENDELEY_CITATION_c4cf3ad3-3fa6-4db2-a56b-1aff61946caa&quot;,&quot;properties&quot;:{&quot;noteIndex&quot;:0},&quot;isEdited&quot;:false,&quot;manualOverride&quot;:{&quot;isManuallyOverridden&quot;:true,&quot;citeprocText&quot;:&quot;(Haider and Solon 2006; Modalsli and Vosters 2019)&quot;,&quot;manualOverrideText&quot;:&quot;(Haider and Solon, 2006; Modalsli and Vosters, 2019)&quot;},&quot;citationTag&quot;:&quot;MENDELEY_CITATION_v3_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&quot;,&quot;citationItems&quot;:[{&quot;id&quot;:&quot;749c61a0-65c5-37bd-ac72-c80749253a9b&quot;,&quot;itemData&quot;:{&quot;type&quot;:&quot;article-journal&quot;,&quot;id&quot;:&quot;749c61a0-65c5-37bd-ac72-c80749253a9b&quot;,&quot;title&quot;:&quot;Life-Cycle Variation in the Association between Current and Lifetime Earnings&quot;,&quot;author&quot;:[{&quot;family&quot;:&quot;Haider&quot;,&quot;given&quot;:&quot;Steven&quot;,&quot;parse-names&quot;:false,&quot;dropping-particle&quot;:&quot;&quot;,&quot;non-dropping-particle&quot;:&quot;&quot;},{&quot;family&quot;:&quot;Solon&quot;,&quot;given&quot;:&quot;Gary&quot;,&quot;parse-names&quot;:false,&quot;dropping-particle&quot;:&quot;&quot;,&quot;non-dropping-particle&quot;:&quot;&quot;}],&quot;container-title&quot;:&quot;American Economic Review&quot;,&quot;issued&quot;:{&quot;date-parts&quot;:[[2006,9]]},&quot;page&quot;:&quot;1308-1320&quot;,&quot;issue&quot;:&quot;4&quot;,&quot;volume&quot;:&quot;96&quot;,&quot;container-title-short&quot;:&quot;&quot;},&quot;isTemporary&quot;:false},{&quot;id&quot;:&quot;601e5464-cca1-30c5-badb-76233da69e97&quot;,&quot;itemData&quot;:{&quot;type&quot;:&quot;report&quot;,&quot;id&quot;:&quot;601e5464-cca1-30c5-badb-76233da69e97&quot;,&quot;title&quot;:&quot;Spillover bias in multigenerational income regressions Standard&quot;,&quot;author&quot;:[{&quot;family&quot;:&quot;Modalsli&quot;,&quot;given&quot;:&quot;Jørgen Heibø&quot;,&quot;parse-names&quot;:false,&quot;dropping-particle&quot;:&quot;&quot;,&quot;non-dropping-particle&quot;:&quot;&quot;},{&quot;family&quot;:&quot;Vosters&quot;,&quot;given&quot;:&quot;Kelly&quot;,&quot;parse-names&quot;:false,&quot;dropping-particle&quot;:&quot;&quot;,&quot;non-dropping-particle&quot;:&quot;&quot;}],&quot;number&quot;:&quot;897&quot;,&quot;collection-title&quot;:&quot;Discussion Papers&quot;,&quot;URL&quot;:&quot;http://hdl.handle.net/10419/210957&quot;,&quot;issued&quot;:{&quot;date-parts&quot;:[[2019]]},&quot;publisher-place&quot;:&quot;Oslo&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container-title-short&quot;:&quot;&quot;},&quot;isTemporary&quot;:false}]},{&quot;citationID&quot;:&quot;MENDELEY_CITATION_4274401b-1ba0-40a2-97b8-9b96ad4b2254&quot;,&quot;properties&quot;:{&quot;noteIndex&quot;:0},&quot;isEdited&quot;:false,&quot;manualOverride&quot;:{&quot;isManuallyOverridden&quot;:true,&quot;citeprocText&quot;:&quot;(Lambert et al. 2013)&quot;,&quot;manualOverrideText&quot;:&quot;(Lambert et al., 2013)&quot;},&quot;citationTag&quot;:&quot;MENDELEY_CITATION_v3_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&quot;,&quot;citationItems&quot;:[{&quot;id&quot;:&quot;20125cb1-00f9-3632-94dd-bcbcd620e795&quot;,&quot;itemData&quot;:{&quot;type&quot;:&quot;article-journal&quot;,&quot;id&quot;:&quot;20125cb1-00f9-3632-94dd-bcbcd620e795&quot;,&quot;title&quot;:&quot;The Construction of HISCAM: A Stratification Scale Based on Social Interactions for Historical Comparative Research&quot;,&quot;author&quot;:[{&quot;family&quot;:&quot;Lambert&quot;,&quot;given&quot;:&quot;Paul S.&quot;,&quot;parse-names&quot;:false,&quot;dropping-particle&quot;:&quot;&quot;,&quot;non-dropping-particle&quot;:&quot;&quot;},{&quot;family&quot;:&quot;Zijdeman&quot;,&quot;given&quot;:&quot;Richard L.&quot;,&quot;parse-names&quot;:false,&quot;dropping-particle&quot;:&quot;&quot;,&quot;non-dropping-particle&quot;:&quot;&quot;},{&quot;family&quot;:&quot;Leeuwen&quot;,&quot;given&quot;:&quot;Marco H.D.&quot;,&quot;parse-names&quot;:false,&quot;dropping-particle&quot;:&quot;&quot;,&quot;non-dropping-particle&quot;:&quot;van&quot;},{&quot;family&quot;:&quot;Maas&quot;,&quot;given&quot;:&quot;Ineke&quot;,&quot;parse-names&quot;:false,&quot;dropping-particle&quot;:&quot;&quot;,&quot;non-dropping-particle&quot;:&quot;&quot;},{&quot;family&quot;:&quot;Prandy&quot;,&quot;given&quot;:&quot;Kenneth&quot;,&quot;parse-names&quot;:false,&quot;dropping-particle&quot;:&quot;&quot;,&quot;non-dropping-particle&quot;:&quot;&quot;}],&quot;container-title&quot;:&quot;Historical Methods&quot;,&quot;DOI&quot;:&quot;10.1080/01615440.2012.715569&quot;,&quot;ISSN&quot;:&quot;01615440&quot;,&quot;issued&quot;:{&quot;date-parts&quot;:[[2013,4,1]]},&quot;page&quot;:&quot;77-89&quot;,&quot;abstract&quot;:&quot;A new occupational stratification scale, \&quot;HISCAM\&quot; (historical CAMSIS), has been developed to facilitate the analysis of data coded to the Historical International Standard Classification of Occupations. This article describes the derivation and properties of the HISCAM measure. The scale was derived using patterns of inter-generational occupational connections, replicating a method of \&quot;social interaction distance\&quot; analysis which is widely used in contemporary sociology. Analysis was performed on data for the period of 1800-1938, principally derived from marriage registers covering Belgium, Britain, Canada, France, Germany, the Netherlands, and Sweden, and encompassing over two million inter-generational relationships. Researchers report how several different HISCAM scales were evaluated and show how this approach can explain social stratification and inequality in the past. © 2013 Taylor and Francis Group, LLC.&quot;,&quot;issue&quot;:&quot;2&quot;,&quot;volume&quot;:&quot;46&quot;,&quot;container-title-short&quot;:&quot;&quot;},&quot;isTemporary&quot;:false}]},{&quot;citationID&quot;:&quot;MENDELEY_CITATION_3f4e86da-b24e-458c-b43e-cb5314a90741&quot;,&quot;properties&quot;:{&quot;noteIndex&quot;:0},&quot;isEdited&quot;:false,&quot;manualOverride&quot;:{&quot;isManuallyOverridden&quot;:false,&quot;citeprocText&quot;:&quot;(Higgs 1989)&quot;,&quot;manualOverrideText&quot;:&quot;&quot;},&quot;citationTag&quot;:&quot;MENDELEY_CITATION_v3_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&quot;,&quot;citationItems&quot;:[{&quot;id&quot;:&quot;eae8f0e1-9f82-3d1e-b27d-5b3ea8ce5ce2&quot;,&quot;itemData&quot;:{&quot;type&quot;:&quot;book&quot;,&quot;id&quot;:&quot;eae8f0e1-9f82-3d1e-b27d-5b3ea8ce5ce2&quot;,&quot;title&quot;:&quot;Making Sense of the Census Revisited: The Manuscript Returns for England and Wales, 1801-1901&quot;,&quot;author&quot;:[{&quot;family&quot;:&quot;Higgs&quot;,&quot;given&quot;:&quot;Edward&quot;,&quot;parse-names&quot;:false,&quot;dropping-particle&quot;:&quot;&quot;,&quot;non-dropping-particle&quot;:&quot;&quot;}],&quot;issued&quot;:{&quot;date-parts&quot;:[[1989]]},&quot;publisher-place&quot;:&quot;London&quot;,&quot;publisher&quot;:&quot;HMSO&quot;,&quot;container-title-short&quot;:&quot;&quot;},&quot;isTemporary&quot;:false}]},{&quot;citationID&quot;:&quot;MENDELEY_CITATION_65008fc1-6433-47c5-8934-31d9aca4d812&quot;,&quot;properties&quot;:{&quot;noteIndex&quot;:0},&quot;isEdited&quot;:false,&quot;manualOverride&quot;:{&quot;isManuallyOverridden&quot;:true,&quot;citeprocText&quot;:&quot;(Higgs 2005)&quot;,&quot;manualOverrideText&quot;:&quot;(Higgs, 2005)&quot;},&quot;citationTag&quot;:&quot;MENDELEY_CITATION_v3_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&quot;,&quot;citationItems&quot;:[{&quot;id&quot;:&quot;1f302563-92e4-3b08-869c-302ea6257f5b&quot;,&quot;itemData&quot;:{&quot;type&quot;:&quot;book&quot;,&quot;id&quot;:&quot;1f302563-92e4-3b08-869c-302ea6257f5b&quot;,&quot;title&quot;:&quot;Making Sense of the Census Revisited: Census Records for England and Wales, 1801-1901 – a Handbook for Historical Researchers&quot;,&quot;author&quot;:[{&quot;family&quot;:&quot;Higgs&quot;,&quot;given&quot;:&quot;Edward&quot;,&quot;parse-names&quot;:false,&quot;dropping-particle&quot;:&quot;&quot;,&quot;non-dropping-particle&quot;:&quot;&quot;}],&quot;issued&quot;:{&quot;date-parts&quot;:[[2005]]},&quot;publisher-place&quot;:&quot;London&quot;,&quot;publisher&quot;:&quot;The National Archives and Institute of Historical Research&quot;,&quot;container-title-short&quot;:&quot;&quot;},&quot;isTemporary&quot;:false}]},{&quot;citationID&quot;:&quot;MENDELEY_CITATION_26f841af-1894-444e-b90a-037a976ef6cc&quot;,&quot;properties&quot;:{&quot;noteIndex&quot;:0},&quot;isEdited&quot;:false,&quot;manualOverride&quot;:{&quot;isManuallyOverridden&quot;:true,&quot;citeprocText&quot;:&quot;(Higgs et al. 2013)&quot;,&quot;manualOverrideText&quot;:&quot;(Higgs et al., 2013)&quot;},&quot;citationTag&quot;:&quot;MENDELEY_CITATION_v3_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&quot;,&quot;citationItems&quot;:[{&quot;id&quot;:&quot;b98e8968-fcce-3d05-9357-517d07e7dfd9&quot;,&quot;itemData&quot;:{&quot;type&quot;:&quot;report&quot;,&quot;id&quot;:&quot;b98e8968-fcce-3d05-9357-517d07e7dfd9&quot;,&quot;title&quot;:&quot;Integrated Census Microdata (I-CeM) Guide&quot;,&quot;author&quot;:[{&quot;family&quot;:&quot;Higgs&quot;,&quot;given&quot;:&quot;Edward&quot;,&quot;parse-names&quot;:false,&quot;dropping-particle&quot;:&quot;&quot;,&quot;non-dropping-particle&quot;:&quot;&quot;},{&quot;family&quot;:&quot;Jones&quot;,&quot;given&quot;:&quot;Christine&quot;,&quot;parse-names&quot;:false,&quot;dropping-particle&quot;:&quot;&quot;,&quot;non-dropping-particle&quot;:&quot;&quot;},{&quot;family&quot;:&quot;Schürer&quot;,&quot;given&quot;:&quot;Kevin&quot;,&quot;parse-names&quot;:false,&quot;dropping-particle&quot;:&quot;&quot;,&quot;non-dropping-particle&quot;:&quot;&quot;},{&quot;family&quot;:&quot;Wilkinson&quot;,&quot;given&quot;:&quot;Amanda&quot;,&quot;parse-names&quot;:false,&quot;dropping-particle&quot;:&quot;&quot;,&quot;non-dropping-particle&quot;:&quot;&quot;}],&quot;issued&quot;:{&quot;date-parts&quot;:[[2013,9]]},&quot;container-title-short&quot;:&quot;&quot;},&quot;isTemporary&quot;:false}]},{&quot;citationID&quot;:&quot;MENDELEY_CITATION_35d25621-697e-4a63-aebb-88fa78aeb9af&quot;,&quot;properties&quot;:{&quot;noteIndex&quot;:0},&quot;isEdited&quot;:false,&quot;manualOverride&quot;:{&quot;isManuallyOverridden&quot;:true,&quot;citeprocText&quot;:&quot;(Arkell 1994)&quot;,&quot;manualOverrideText&quot;:&quot;(Arkell, 1994)&quot;},&quot;citationTag&quot;:&quot;MENDELEY_CITATION_v3_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&quot;,&quot;citationItems&quot;:[{&quot;id&quot;:&quot;cef98b6b-37f7-3f13-a936-3a6a391075ef&quot;,&quot;itemData&quot;:{&quot;type&quot;:&quot;article-journal&quot;,&quot;id&quot;:&quot;cef98b6b-37f7-3f13-a936-3a6a391075ef&quot;,&quot;title&quot;:&quot;Identifying the Census Enumerators – Cornwall in 1851&quot;,&quot;author&quot;:[{&quot;family&quot;:&quot;Arkell&quot;,&quot;given&quot;:&quot;Tom&quot;,&quot;parse-names&quot;:false,&quot;dropping-particle&quot;:&quot;&quot;,&quot;non-dropping-particle&quot;:&quot;&quot;}],&quot;container-title&quot;:&quot;Local Population Studies&quot;,&quot;issued&quot;:{&quot;date-parts&quot;:[[1994]]},&quot;page&quot;:&quot;70-75&quot;,&quot;volume&quot;:&quot;53&quot;,&quot;container-title-short&quot;:&quot;&quot;},&quot;isTemporary&quot;:false}]},{&quot;citationID&quot;:&quot;MENDELEY_CITATION_acdae410-5666-4e97-b1db-bc2c75b9c823&quot;,&quot;properties&quot;:{&quot;noteIndex&quot;:0},&quot;isEdited&quot;:false,&quot;manualOverride&quot;:{&quot;isManuallyOverridden&quot;:true,&quot;citeprocText&quot;:&quot;(P. M. Tillott 1968)&quot;,&quot;manualOverrideText&quot;:&quot;(Tillott, 1968)&quot;},&quot;citationTag&quot;:&quot;MENDELEY_CITATION_v3_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&quot;,&quot;citationItems&quot;:[{&quot;id&quot;:&quot;e412a42a-d7dd-30ed-ac1b-f5a997da7eae&quot;,&quot;itemData&quot;:{&quot;type&quot;:&quot;article-journal&quot;,&quot;id&quot;:&quot;e412a42a-d7dd-30ed-ac1b-f5a997da7eae&quot;,&quot;title&quot;:&quot;The Analysis of Census Returns&quot;,&quot;author&quot;:[{&quot;family&quot;:&quot;Tillott&quot;,&quot;given&quot;:&quot;P. M.&quot;,&quot;parse-names&quot;:false,&quot;dropping-particle&quot;:&quot;&quot;,&quot;non-dropping-particle&quot;:&quot;&quot;}],&quot;container-title&quot;:&quot;Local Historian&quot;,&quot;issued&quot;:{&quot;date-parts&quot;:[[1968]]},&quot;page&quot;:&quot;2-9&quot;,&quot;issue&quot;:&quot;1&quot;,&quot;volume&quot;:&quot;8&quot;,&quot;container-title-short&quot;:&quot;&quot;},&quot;isTemporary&quot;:false}]},{&quot;citationID&quot;:&quot;MENDELEY_CITATION_e808fba7-55a6-4937-985f-222cd10ed02d&quot;,&quot;properties&quot;:{&quot;noteIndex&quot;:0},&quot;isEdited&quot;:false,&quot;manualOverride&quot;:{&quot;isManuallyOverridden&quot;:true,&quot;citeprocText&quot;:&quot;(P. Tillott 1972)&quot;,&quot;manualOverrideText&quot;:&quot;Tillott (1972)&quot;},&quot;citationTag&quot;:&quot;MENDELEY_CITATION_v3_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&quot;,&quot;citationItems&quot;:[{&quot;id&quot;:&quot;41dd0844-306a-36f8-bcc1-68f7023f2c8f&quot;,&quot;itemData&quot;:{&quot;type&quot;:&quot;chapter&quot;,&quot;id&quot;:&quot;41dd0844-306a-36f8-bcc1-68f7023f2c8f&quot;,&quot;title&quot;:&quot;Sources of Inaccuracy in the 1851 and 1861 Censuses&quot;,&quot;author&quot;:[{&quot;family&quot;:&quot;Tillott&quot;,&quot;given&quot;:&quot;P&quot;,&quot;parse-names&quot;:false,&quot;dropping-particle&quot;:&quot;&quot;,&quot;non-dropping-particle&quot;:&quot;&quot;}],&quot;container-title&quot;:&quot;Nineteenth-Century Society: Essays in the Use of Quantitative Methods for the Study of Social History&quot;,&quot;editor&quot;:[{&quot;family&quot;:&quot;Wrigley&quot;,&quot;given&quot;:&quot;E. A.&quot;,&quot;parse-names&quot;:false,&quot;dropping-particle&quot;:&quot;&quot;,&quot;non-dropping-particle&quot;:&quot;&quot;}],&quot;issued&quot;:{&quot;date-parts&quot;:[[1972]]},&quot;publisher-place&quot;:&quot;London&quot;,&quot;page&quot;:&quot;82-133&quot;,&quot;publisher&quot;:&quot;Cambridge University Press&quot;,&quot;container-title-short&quot;:&quot;&quot;},&quot;isTemporary&quot;:false}]},{&quot;citationID&quot;:&quot;MENDELEY_CITATION_2c788dca-a883-4567-8a9b-36e7d4962b39&quot;,&quot;properties&quot;:{&quot;noteIndex&quot;:0},&quot;isEdited&quot;:false,&quot;manualOverride&quot;:{&quot;isManuallyOverridden&quot;:true,&quot;citeprocText&quot;:&quot;(P. Tillott 1972)&quot;,&quot;manualOverrideText&quot;:&quot;(Tillott, 1972)&quot;},&quot;citationTag&quot;:&quot;MENDELEY_CITATION_v3_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&quot;,&quot;citationItems&quot;:[{&quot;id&quot;:&quot;41dd0844-306a-36f8-bcc1-68f7023f2c8f&quot;,&quot;itemData&quot;:{&quot;type&quot;:&quot;chapter&quot;,&quot;id&quot;:&quot;41dd0844-306a-36f8-bcc1-68f7023f2c8f&quot;,&quot;title&quot;:&quot;Sources of Inaccuracy in the 1851 and 1861 Censuses&quot;,&quot;author&quot;:[{&quot;family&quot;:&quot;Tillott&quot;,&quot;given&quot;:&quot;P&quot;,&quot;parse-names&quot;:false,&quot;dropping-particle&quot;:&quot;&quot;,&quot;non-dropping-particle&quot;:&quot;&quot;}],&quot;container-title&quot;:&quot;Nineteenth-Century Society: Essays in the Use of Quantitative Methods for the Study of Social History&quot;,&quot;editor&quot;:[{&quot;family&quot;:&quot;Wrigley&quot;,&quot;given&quot;:&quot;E. A.&quot;,&quot;parse-names&quot;:false,&quot;dropping-particle&quot;:&quot;&quot;,&quot;non-dropping-particle&quot;:&quot;&quot;}],&quot;issued&quot;:{&quot;date-parts&quot;:[[1972]]},&quot;publisher-place&quot;:&quot;London&quot;,&quot;page&quot;:&quot;82-133&quot;,&quot;publisher&quot;:&quot;Cambridge University Press&quot;,&quot;container-title-short&quot;:&quot;&quot;},&quot;isTemporary&quot;:false}]},{&quot;citationID&quot;:&quot;MENDELEY_CITATION_853fbf98-9458-454a-b2ba-2a780ee84582&quot;,&quot;properties&quot;:{&quot;noteIndex&quot;:0},&quot;isEdited&quot;:false,&quot;manualOverride&quot;:{&quot;isManuallyOverridden&quot;:true,&quot;citeprocText&quot;:&quot;(P. Tillott 1972; Higgs 2005)&quot;,&quot;manualOverrideText&quot;:&quot;(Tillott, 1972; Higgs, 2005)&quot;},&quot;citationTag&quot;:&quot;MENDELEY_CITATION_v3_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&quot;,&quot;citationItems&quot;:[{&quot;id&quot;:&quot;41dd0844-306a-36f8-bcc1-68f7023f2c8f&quot;,&quot;itemData&quot;:{&quot;type&quot;:&quot;chapter&quot;,&quot;id&quot;:&quot;41dd0844-306a-36f8-bcc1-68f7023f2c8f&quot;,&quot;title&quot;:&quot;Sources of Inaccuracy in the 1851 and 1861 Censuses&quot;,&quot;author&quot;:[{&quot;family&quot;:&quot;Tillott&quot;,&quot;given&quot;:&quot;P&quot;,&quot;parse-names&quot;:false,&quot;dropping-particle&quot;:&quot;&quot;,&quot;non-dropping-particle&quot;:&quot;&quot;}],&quot;container-title&quot;:&quot;Nineteenth-Century Society: Essays in the Use of Quantitative Methods for the Study of Social History&quot;,&quot;editor&quot;:[{&quot;family&quot;:&quot;Wrigley&quot;,&quot;given&quot;:&quot;E. A.&quot;,&quot;parse-names&quot;:false,&quot;dropping-particle&quot;:&quot;&quot;,&quot;non-dropping-particle&quot;:&quot;&quot;}],&quot;issued&quot;:{&quot;date-parts&quot;:[[1972]]},&quot;publisher-place&quot;:&quot;London&quot;,&quot;page&quot;:&quot;82-133&quot;,&quot;publisher&quot;:&quot;Cambridge University Press&quot;,&quot;container-title-short&quot;:&quot;&quot;},&quot;isTemporary&quot;:false},{&quot;id&quot;:&quot;1f302563-92e4-3b08-869c-302ea6257f5b&quot;,&quot;itemData&quot;:{&quot;type&quot;:&quot;book&quot;,&quot;id&quot;:&quot;1f302563-92e4-3b08-869c-302ea6257f5b&quot;,&quot;title&quot;:&quot;Making Sense of the Census Revisited: Census Records for England and Wales, 1801-1901 – a Handbook for Historical Researchers&quot;,&quot;author&quot;:[{&quot;family&quot;:&quot;Higgs&quot;,&quot;given&quot;:&quot;Edward&quot;,&quot;parse-names&quot;:false,&quot;dropping-particle&quot;:&quot;&quot;,&quot;non-dropping-particle&quot;:&quot;&quot;}],&quot;issued&quot;:{&quot;date-parts&quot;:[[2005]]},&quot;publisher-place&quot;:&quot;London&quot;,&quot;publisher&quot;:&quot;The National Archives and Institute of Historical Research&quot;,&quot;container-title-short&quot;:&quot;&quot;},&quot;isTemporary&quot;:false}]},{&quot;citationID&quot;:&quot;MENDELEY_CITATION_f8ca24a3-6b1d-4ad1-a4d7-d27c5ac6155f&quot;,&quot;properties&quot;:{&quot;noteIndex&quot;:0},&quot;isEdited&quot;:false,&quot;manualOverride&quot;:{&quot;isManuallyOverridden&quot;:true,&quot;citeprocText&quot;:&quot;(Higgs et al. 2013)&quot;,&quot;manualOverrideText&quot;:&quot;(Higgs et al., 2013)&quot;},&quot;citationTag&quot;:&quot;MENDELEY_CITATION_v3_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&quot;,&quot;citationItems&quot;:[{&quot;id&quot;:&quot;b98e8968-fcce-3d05-9357-517d07e7dfd9&quot;,&quot;itemData&quot;:{&quot;type&quot;:&quot;report&quot;,&quot;id&quot;:&quot;b98e8968-fcce-3d05-9357-517d07e7dfd9&quot;,&quot;title&quot;:&quot;Integrated Census Microdata (I-CeM) Guide&quot;,&quot;author&quot;:[{&quot;family&quot;:&quot;Higgs&quot;,&quot;given&quot;:&quot;Edward&quot;,&quot;parse-names&quot;:false,&quot;dropping-particle&quot;:&quot;&quot;,&quot;non-dropping-particle&quot;:&quot;&quot;},{&quot;family&quot;:&quot;Jones&quot;,&quot;given&quot;:&quot;Christine&quot;,&quot;parse-names&quot;:false,&quot;dropping-particle&quot;:&quot;&quot;,&quot;non-dropping-particle&quot;:&quot;&quot;},{&quot;family&quot;:&quot;Schürer&quot;,&quot;given&quot;:&quot;Kevin&quot;,&quot;parse-names&quot;:false,&quot;dropping-particle&quot;:&quot;&quot;,&quot;non-dropping-particle&quot;:&quot;&quot;},{&quot;family&quot;:&quot;Wilkinson&quot;,&quot;given&quot;:&quot;Amanda&quot;,&quot;parse-names&quot;:false,&quot;dropping-particle&quot;:&quot;&quot;,&quot;non-dropping-particle&quot;:&quot;&quot;}],&quot;issued&quot;:{&quot;date-parts&quot;:[[2013,9]]},&quot;container-title-short&quot;:&quot;&quot;},&quot;isTemporary&quot;:false}]},{&quot;citationID&quot;:&quot;MENDELEY_CITATION_049a5c97-34f6-48b9-be9c-98395c00a52e&quot;,&quot;properties&quot;:{&quot;noteIndex&quot;:0},&quot;isEdited&quot;:false,&quot;manualOverride&quot;:{&quot;isManuallyOverridden&quot;:true,&quot;citeprocText&quot;:&quot;(Abramitzky et al. 2020)&quot;,&quot;manualOverrideText&quot;:&quot;(Abramitzky et al., 2020)&quot;},&quot;citationTag&quot;:&quot;MENDELEY_CITATION_v3_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&quot;,&quot;citationItems&quot;:[{&quot;id&quot;:&quot;48ac414e-2674-39bb-beb4-1c8631187ef8&quot;,&quot;itemData&quot;:{&quot;type&quot;:&quot;report&quot;,&quot;id&quot;:&quot;48ac414e-2674-39bb-beb4-1c8631187ef8&quot;,&quot;title&quot;:&quot;Automated Linking of Historical Data&quot;,&quot;author&quot;:[{&quot;family&quot;:&quot;Abramitzky&quot;,&quot;given&quot;:&quot;Ran&quot;,&quot;parse-names&quot;:false,&quot;dropping-particle&quot;:&quot;&quot;,&quot;non-dropping-particle&quot;:&quot;&quot;},{&quot;family&quot;:&quot;Boustan&quot;,&quot;given&quot;:&quot;Leah&quot;,&quot;parse-names&quot;:false,&quot;dropping-particle&quot;:&quot;&quot;,&quot;non-dropping-particle&quot;:&quot;&quot;},{&quot;family&quot;:&quot;Eriksson&quot;,&quot;given&quot;:&quot;Katherine&quot;,&quot;parse-names&quot;:false,&quot;dropping-particle&quot;:&quot;&quot;,&quot;non-dropping-particle&quot;:&quot;&quot;},{&quot;family&quot;:&quot;Feigenbaum James&quot;,&quot;given&quot;:&quot;&quot;,&quot;parse-names&quot;:false,&quot;dropping-particle&quot;:&quot;&quot;,&quot;non-dropping-particle&quot;:&quot;&quot;},{&quot;family&quot;:&quot;Pérez&quot;,&quot;given&quot;:&quot;Santiago&quot;,&quot;parse-names&quot;:false,&quot;dropping-particle&quot;:&quot;&quot;,&quot;non-dropping-particle&quot;:&quot;&quot;}],&quot;number&quot;:&quot;25825&quot;,&quot;collection-title&quot;:&quot;NBER Working Paper&quot;,&quot;issued&quot;:{&quot;date-parts&quot;:[[2020,6]]},&quot;publisher-place&quot;:&quot;Cambridge, Massachusetts&quot;,&quot;number-of-pages&quot;:&quot;1-43&quot;,&quot;abstract&quot;:&quot;The recent digitization of complete count census data is an extraordinary opportunity for social scientists to create large longitudinal datasets by linking individuals from one census to another or from other sources to the census. We evaluate different automated methods for record linkage, performing a series of comparisons across methods and against hand linking. We have three main findings that lead us to conclude that automated methods perform well. First, a number of automated methods generate very low (less than 5%) false positive rates. The automated methods trace out a frontier illustrating the tradeoff between the false positive rate and the (true) match rate. Relative to more conservative automated algorithms, humans tend to link more observations but at a cost of higher rates of false positives. Second, when human linkers and algorithms use the same linking variables, there is relatively little disagreement between them. Third, across a number of plausible analyses, coefficient estimates and parameters of interest are very similar when using linked samples based on each of the different automated methods. We provide code and Stata commands to implement the various automated methods.&quot;,&quot;container-title-short&quot;:&quot;&quot;},&quot;isTemporary&quot;:false}]},{&quot;citationID&quot;:&quot;MENDELEY_CITATION_290adc5d-a48c-4d79-a461-ff3b5f5d3ac3&quot;,&quot;properties&quot;:{&quot;noteIndex&quot;:0},&quot;isEdited&quot;:false,&quot;manualOverride&quot;:{&quot;isManuallyOverridden&quot;:true,&quot;citeprocText&quot;:&quot;(Bailey et al. 2019)&quot;,&quot;manualOverrideText&quot;:&quot;Bailey et al. (2019)&quot;},&quot;citationTag&quot;:&quot;MENDELEY_CITATION_v3_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&quot;,&quot;citationItems&quot;:[{&quot;id&quot;:&quot;f50cb4bb-9df1-34db-a1fd-2248b5d48739&quot;,&quot;itemData&quot;:{&quot;type&quot;:&quot;report&quot;,&quot;id&quot;:&quot;f50cb4bb-9df1-34db-a1fd-2248b5d48739&quot;,&quot;title&quot;:&quot;How Well Do Automated Linking Methods Perform? Lessons from U.S. Historical Data&quot;,&quot;author&quot;:[{&quot;family&quot;:&quot;Bailey&quot;,&quot;given&quot;:&quot;Martha&quot;,&quot;parse-names&quot;:false,&quot;dropping-particle&quot;:&quot;&quot;,&quot;non-dropping-particle&quot;:&quot;&quot;},{&quot;family&quot;:&quot;Cole&quot;,&quot;given&quot;:&quot;Connor&quot;,&quot;parse-names&quot;:false,&quot;dropping-particle&quot;:&quot;&quot;,&quot;non-dropping-particle&quot;:&quot;&quot;},{&quot;family&quot;:&quot;Henderson&quot;,&quot;given&quot;:&quot;Morgan&quot;,&quot;parse-names&quot;:false,&quot;dropping-particle&quot;:&quot;&quot;,&quot;non-dropping-particle&quot;:&quot;&quot;},{&quot;family&quot;:&quot;Massey&quot;,&quot;given&quot;:&quot;Catherine&quot;,&quot;parse-names&quot;:false,&quot;dropping-particle&quot;:&quot;&quot;,&quot;non-dropping-particle&quot;:&quot;&quot;}],&quot;number&quot;:&quot;24019&quot;,&quot;collection-title&quot;:&quot;NBER Working Paper&quot;,&quot;issued&quot;:{&quot;date-parts&quot;:[[2019,5]]},&quot;publisher-place&quot;:&quot;Cambridge, Massachusetts&quot;,&quot;number-of-pages&quot;:&quot;1-65&quot;,&quot;abstract&quot;:&quot;This paper reviews the literature in historical record linkage in the U.S. and examines the performance of widely-used automated record linking algorithms in two high-quality historical datasets and one synthetic ground truth. Focusing on algorithms in current practice, our findings highlight the important effects of linking methods on data quality. We find that (1) no method (including hand-linking) consistently produces representative samples; (2) 15 to 37 percent of links chosen by prominent machine linking algorithms are identified as false links by human reviewers; and (3) these false links are systematically related to baseline sample characteristics, suggesting that machine algorithms may introduce complicated forms of bias into analyses. We find that prominent linking algorithms attenuate estimates of the intergenerational income elasticity by up to 20 percent and common variations in algorithm choices result in greater attenuation. These results recommend that current practice could be improved by placing more emphasis on reducing false links and less emphasis on increasing match rates. We conclude with constructive suggestions for reducing linking errors and directions for future research.&quot;,&quot;container-title-short&quot;:&quot;&quot;},&quot;isTemporary&quot;:false}]},{&quot;citationID&quot;:&quot;MENDELEY_CITATION_0440aab4-f2da-4e53-897c-95d6bb9d7be8&quot;,&quot;properties&quot;:{&quot;noteIndex&quot;:0},&quot;isEdited&quot;:false,&quot;manualOverride&quot;:{&quot;isManuallyOverridden&quot;:true,&quot;citeprocText&quot;:&quot;(Ferrie 1996)&quot;,&quot;manualOverrideText&quot;:&quot;Ferrie (1996)&quot;},&quot;citationTag&quot;:&quot;MENDELEY_CITATION_v3_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&quot;,&quot;citationItems&quot;:[{&quot;id&quot;:&quot;6d6c1b5f-5963-39a7-a0eb-fa778e8ea6cd&quot;,&quot;itemData&quot;:{&quot;type&quot;:&quot;article-journal&quot;,&quot;id&quot;:&quot;6d6c1b5f-5963-39a7-a0eb-fa778e8ea6cd&quot;,&quot;title&quot;:&quot;A New Sample of Males Linked from the Public Use Microdata Sample of the 1850 U.S. Federal Census of Population to the 1860 U.S. Federal Census Manuscript Schedules&quot;,&quot;author&quot;:[{&quot;family&quot;:&quot;Ferrie&quot;,&quot;given&quot;:&quot;Joseph P.&quot;,&quot;parse-names&quot;:false,&quot;dropping-particle&quot;:&quot;&quot;,&quot;non-dropping-particle&quot;:&quot;&quot;}],&quot;container-title&quot;:&quot;Historical Methods&quot;,&quot;issued&quot;:{&quot;date-parts&quot;:[[1996]]},&quot;page&quot;:&quot;141-156&quot;,&quot;issue&quot;:&quot;4&quot;,&quot;volume&quot;:&quot;29&quot;,&quot;container-title-short&quot;:&quot;&quot;},&quot;isTemporary&quot;:false}]},{&quot;citationID&quot;:&quot;MENDELEY_CITATION_352c3cfa-59bc-4fbe-bf9b-27c3dd398c95&quot;,&quot;properties&quot;:{&quot;noteIndex&quot;:0},&quot;isEdited&quot;:false,&quot;manualOverride&quot;:{&quot;isManuallyOverridden&quot;:true,&quot;citeprocText&quot;:&quot;(Feigenbaum 2018)&quot;,&quot;manualOverrideText&quot;:&quot;Feigenbaum (2018)&quot;},&quot;citationTag&quot;:&quot;MENDELEY_CITATION_v3_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&quot;,&quot;citationItems&quot;:[{&quot;id&quot;:&quot;cb1f2962-ae79-3db5-a26b-44d18407d884&quot;,&quot;itemData&quot;:{&quot;type&quot;:&quot;article-journal&quot;,&quot;id&quot;:&quot;cb1f2962-ae79-3db5-a26b-44d18407d884&quot;,&quot;title&quot;:&quot;Multiple Measures of Historical Intergenerational Mobility: Iowa 1915 to 1940&quot;,&quot;author&quot;:[{&quot;family&quot;:&quot;Feigenbaum&quot;,&quot;given&quot;:&quot;James J.&quot;,&quot;parse-names&quot;:false,&quot;dropping-particle&quot;:&quot;&quot;,&quot;non-dropping-particle&quot;:&quot;&quot;}],&quot;container-title&quot;:&quot;Economic Journal&quot;,&quot;DOI&quot;:&quot;10.1111/ecoj.12525&quot;,&quot;ISSN&quot;:&quot;14680297&quot;,&quot;issued&quot;:{&quot;date-parts&quot;:[[2018,7,1]]},&quot;page&quot;:&quot;F446-F481&quot;,&quot;abstract&quot;:&quot;Was intergenerational economic mobility high in the early twentieth century in the US? Comparisons of mobility across time are complicated by the constraints of the data available. I match fathers from the Iowa State Census of 1915 to their sons in the 1940 Federal Census, the first state and federal censuses with data on income and years of education. I can estimate intergenerational mobility between 1915 and 1940 based on earnings, education, occupation, and names. Across all these measures, I document broad consensus that rates of persistence were low in Iowa in the early twentieth century.&quot;,&quot;publisher&quot;:&quot;Blackwell Publishing Ltd&quot;,&quot;issue&quot;:&quot;612&quot;,&quot;volume&quot;:&quot;128&quot;,&quot;container-title-short&quot;:&quot;&quot;},&quot;isTemporary&quot;:false}]},{&quot;citationID&quot;:&quot;MENDELEY_CITATION_95fea07b-e7a2-4222-a044-9487faf6a470&quot;,&quot;properties&quot;:{&quot;noteIndex&quot;:0},&quot;isEdited&quot;:false,&quot;manualOverride&quot;:{&quot;isManuallyOverridden&quot;:true,&quot;citeprocText&quot;:&quot;(Abramitzky, Mill, and Pérez 2020)&quot;,&quot;manualOverrideText&quot;:&quot;Abramitzky, Mill, and Pérez (2020)&quot;},&quot;citationTag&quot;:&quot;MENDELEY_CITATION_v3_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&quot;,&quot;citationItems&quot;:[{&quot;id&quot;:&quot;5a069f80-21a6-3063-875c-5206ce6ed1fc&quot;,&quot;itemData&quot;:{&quot;type&quot;:&quot;article-journal&quot;,&quot;id&quot;:&quot;5a069f80-21a6-3063-875c-5206ce6ed1fc&quot;,&quot;title&quot;:&quot;Linking Individuals across Historical Sources: A Fully Automated Approach&quot;,&quot;author&quot;:[{&quot;family&quot;:&quot;Abramitzky&quot;,&quot;given&quot;:&quot;Ran&quot;,&quot;parse-names&quot;:false,&quot;dropping-particle&quot;:&quot;&quot;,&quot;non-dropping-particle&quot;:&quot;&quot;},{&quot;family&quot;:&quot;Mill&quot;,&quot;given&quot;:&quot;Roy&quot;,&quot;parse-names&quot;:false,&quot;dropping-particle&quot;:&quot;&quot;,&quot;non-dropping-particle&quot;:&quot;&quot;},{&quot;family&quot;:&quot;Pérez&quot;,&quot;given&quot;:&quot;Santiago&quot;,&quot;parse-names&quot;:false,&quot;dropping-particle&quot;:&quot;&quot;,&quot;non-dropping-particle&quot;:&quot;&quot;}],&quot;container-title&quot;:&quot;Historical Methods&quot;,&quot;DOI&quot;:&quot;10.1080/01615440.2018.1543034&quot;,&quot;ISSN&quot;:&quot;19401906&quot;,&quot;issued&quot;:{&quot;date-parts&quot;:[[2020,4,2]]},&quot;page&quot;:&quot;94-111&quot;,&quot;abstract&quot;:&quot;Linking individuals across historical datasets relies on information such as name and age that is both non-unique and prone to enumeration and transcription errors. These errors make it impossible to find the correct match with certainty. In the first part of the paper, we suggest a fully automated probabilistic method for linking historical datasets that enables researchers to create samples at the frontier of minimizing type I (false positives) and type II (false negatives) errors. The first step guides researchers in the choice of which variables to use for linking. The second step uses the Expectation-Maximization (EM) algorithm, a standard tool in statistics, to compute the probability that each two records correspond to the same individual. The third step suggests how to use these estimated probabilities to choose which records to use in the analysis. In the second part of the paper, we apply the method to link historical population censuses in the US and Norway, and use these samples to estimate measures of intergenerational occupational mobility. The estimates using our method are remarkably similar to the ones using IPUMS’, which relies on hand linking to create a training sample. We created an R code and a Stata command that implement this method.&quot;,&quot;publisher&quot;:&quot;Routledge&quot;,&quot;issue&quot;:&quot;2&quot;,&quot;volume&quot;:&quot;53&quot;,&quot;container-title-short&quot;:&quot;&quot;},&quot;isTemporary&quot;:false}]},{&quot;citationID&quot;:&quot;MENDELEY_CITATION_7bb438ce-2a17-4552-ba29-2b9a0460dc7c&quot;,&quot;properties&quot;:{&quot;noteIndex&quot;:0},&quot;isEdited&quot;:false,&quot;manualOverride&quot;:{&quot;isManuallyOverridden&quot;:false,&quot;citeprocText&quot;:&quot;(Black and Devereux 2010)&quot;,&quot;manualOverrideText&quot;:&quot;&quot;},&quot;citationTag&quot;:&quot;MENDELEY_CITATION_v3_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&quot;,&quot;citationItems&quot;:[{&quot;id&quot;:&quot;20ad5b74-8e68-3ca8-9294-144d86c89701&quot;,&quot;itemData&quot;:{&quot;type&quot;:&quot;report&quot;,&quot;id&quot;:&quot;20ad5b74-8e68-3ca8-9294-144d86c89701&quot;,&quot;title&quot;:&quot;Recent Developments in Intergenerational Mobility&quot;,&quot;author&quot;:[{&quot;family&quot;:&quot;Black&quot;,&quot;given&quot;:&quot;Sandra E&quot;,&quot;parse-names&quot;:false,&quot;dropping-particle&quot;:&quot;&quot;,&quot;non-dropping-particle&quot;:&quot;&quot;},{&quot;family&quot;:&quot;Devereux&quot;,&quot;given&quot;:&quot;Paul J&quot;,&quot;parse-names&quot;:false,&quot;dropping-particle&quot;:&quot;&quot;,&quot;non-dropping-particle&quot;:&quot;&quot;}],&quot;number&quot;:&quot;15889&quot;,&quot;collection-title&quot;:&quot;NBER Working Paper&quot;,&quot;URL&quot;:&quot;http://www.nber.org/papers/w15889&quot;,&quot;issued&quot;:{&quot;date-parts&quot;:[[2010,4]]},&quot;publisher-place&quot;:&quot;Cambridge, Massachusetts&quot;,&quot;number-of-pages&quot;:&quot;1-90&quot;,&quot;container-title-short&quot;:&quot;&quot;},&quot;isTemporary&quot;:false}]},{&quot;citationID&quot;:&quot;MENDELEY_CITATION_881815fa-2e75-49ce-adc6-98e2a771f4df&quot;,&quot;properties&quot;:{&quot;noteIndex&quot;:0},&quot;isEdited&quot;:false,&quot;manualOverride&quot;:{&quot;isManuallyOverridden&quot;:true,&quot;citeprocText&quot;:&quot;(Haider and Solon 2006)&quot;,&quot;manualOverrideText&quot;:&quot;(Haider and Solon, 2006)&quot;},&quot;citationTag&quot;:&quot;MENDELEY_CITATION_v3_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&quot;,&quot;citationItems&quot;:[{&quot;id&quot;:&quot;749c61a0-65c5-37bd-ac72-c80749253a9b&quot;,&quot;itemData&quot;:{&quot;type&quot;:&quot;article-journal&quot;,&quot;id&quot;:&quot;749c61a0-65c5-37bd-ac72-c80749253a9b&quot;,&quot;title&quot;:&quot;Life-Cycle Variation in the Association between Current and Lifetime Earnings&quot;,&quot;author&quot;:[{&quot;family&quot;:&quot;Haider&quot;,&quot;given&quot;:&quot;Steven&quot;,&quot;parse-names&quot;:false,&quot;dropping-particle&quot;:&quot;&quot;,&quot;non-dropping-particle&quot;:&quot;&quot;},{&quot;family&quot;:&quot;Solon&quot;,&quot;given&quot;:&quot;Gary&quot;,&quot;parse-names&quot;:false,&quot;dropping-particle&quot;:&quot;&quot;,&quot;non-dropping-particle&quot;:&quot;&quot;}],&quot;container-title&quot;:&quot;American Economic Review&quot;,&quot;issued&quot;:{&quot;date-parts&quot;:[[2006,9]]},&quot;page&quot;:&quot;1308-1320&quot;,&quot;issue&quot;:&quot;4&quot;,&quot;volume&quot;:&quot;96&quot;,&quot;container-title-short&quot;:&quot;&quot;},&quot;isTemporary&quot;:false}]},{&quot;citationID&quot;:&quot;MENDELEY_CITATION_713c95a2-ef03-4b84-aa98-497e66900bcb&quot;,&quot;properties&quot;:{&quot;noteIndex&quot;:0},&quot;isEdited&quot;:false,&quot;manualOverride&quot;:{&quot;isManuallyOverridden&quot;:false,&quot;citeprocText&quot;:&quot;(Corak 2006)&quot;,&quot;manualOverrideText&quot;:&quot;&quot;},&quot;citationTag&quot;:&quot;MENDELEY_CITATION_v3_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&quot;,&quot;citationItems&quot;:[{&quot;id&quot;:&quot;c0d2c9d8-a73c-33ca-ac7c-cc5b442922cd&quot;,&quot;itemData&quot;:{&quot;type&quot;:&quot;report&quot;,&quot;id&quot;:&quot;c0d2c9d8-a73c-33ca-ac7c-cc5b442922cd&quot;,&quot;title&quot;:&quot;Do Poor Children Become Poor Adults? Lessons from a Cross Country Comparison of Generational Earnings Mobility&quot;,&quot;author&quot;:[{&quot;family&quot;:&quot;Corak&quot;,&quot;given&quot;:&quot;Miles&quot;,&quot;parse-names&quot;:false,&quot;dropping-particle&quot;:&quot;&quot;,&quot;non-dropping-particle&quot;:&quot;&quot;}],&quot;number&quot;:&quot;1993&quot;,&quot;collection-title&quot;:&quot;IZA Discussion Paper&quot;,&quot;issued&quot;:{&quot;date-parts&quot;:[[2006,3]]},&quot;container-title-short&quot;:&quot;&quot;},&quot;isTemporary&quot;:false}]}]"/>
    <we:property name="MENDELEY_CITATIONS_STYLE" value="{&quot;id&quot;:&quot;https://www.zotero.org/styles/chicago-author-date&quot;,&quot;title&quot;:&quot;Chicago Manual of Style 17th edition (author-date)&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750B96E-5F64-41E6-AB3A-B7923795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Zhu11,Z</dc:creator>
  <cp:keywords/>
  <dc:description/>
  <cp:lastModifiedBy>Zhu11,Z</cp:lastModifiedBy>
  <cp:revision>23</cp:revision>
  <cp:lastPrinted>2023-07-17T10:45:00Z</cp:lastPrinted>
  <dcterms:created xsi:type="dcterms:W3CDTF">2023-11-11T11:25:00Z</dcterms:created>
  <dcterms:modified xsi:type="dcterms:W3CDTF">2024-09-04T12:05:00Z</dcterms:modified>
</cp:coreProperties>
</file>