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81414" w14:textId="77777777" w:rsidR="00734757" w:rsidRPr="00A70F6D" w:rsidRDefault="00734757" w:rsidP="00734757">
      <w:pPr>
        <w:spacing w:line="240" w:lineRule="auto"/>
        <w:ind w:firstLine="0"/>
        <w:rPr>
          <w:lang w:val="en-US"/>
        </w:rPr>
      </w:pPr>
    </w:p>
    <w:p w14:paraId="11174BCA" w14:textId="107CDEF5" w:rsidR="00734757" w:rsidRPr="00A70F6D" w:rsidRDefault="00734757" w:rsidP="008A1967">
      <w:pPr>
        <w:numPr>
          <w:ilvl w:val="0"/>
          <w:numId w:val="10"/>
        </w:numPr>
        <w:spacing w:before="120" w:after="280" w:line="240" w:lineRule="auto"/>
        <w:jc w:val="center"/>
        <w:outlineLvl w:val="1"/>
        <w:rPr>
          <w:rFonts w:eastAsiaTheme="majorEastAsia" w:cstheme="majorBidi"/>
          <w:bCs/>
          <w:iCs/>
          <w:sz w:val="22"/>
          <w:szCs w:val="32"/>
          <w:lang w:val="en-US"/>
        </w:rPr>
      </w:pPr>
      <w:bookmarkStart w:id="0" w:name="_Toc57848034"/>
      <w:r w:rsidRPr="00A70F6D">
        <w:rPr>
          <w:rFonts w:eastAsiaTheme="majorEastAsia" w:cstheme="majorBidi"/>
          <w:bCs/>
          <w:iCs/>
          <w:sz w:val="22"/>
          <w:szCs w:val="32"/>
          <w:lang w:val="en-US"/>
        </w:rPr>
        <w:t>APPENDICES</w:t>
      </w:r>
      <w:bookmarkEnd w:id="0"/>
    </w:p>
    <w:p w14:paraId="45C3360F" w14:textId="195CA6B7" w:rsidR="00734757" w:rsidRPr="00A70F6D" w:rsidRDefault="00734757" w:rsidP="00307ACA">
      <w:pPr>
        <w:spacing w:before="240" w:after="400" w:line="240" w:lineRule="auto"/>
        <w:ind w:left="1985" w:firstLine="0"/>
        <w:jc w:val="left"/>
        <w:outlineLvl w:val="2"/>
        <w:rPr>
          <w:rFonts w:eastAsiaTheme="majorEastAsia" w:cstheme="majorBidi"/>
          <w:iCs/>
          <w:sz w:val="22"/>
          <w:lang w:val="en-US"/>
        </w:rPr>
      </w:pPr>
      <w:bookmarkStart w:id="1" w:name="_Toc57848035"/>
      <w:r w:rsidRPr="00A70F6D">
        <w:rPr>
          <w:rFonts w:eastAsiaTheme="majorEastAsia" w:cstheme="majorBidi"/>
          <w:iCs/>
          <w:sz w:val="22"/>
          <w:lang w:val="en-US"/>
        </w:rPr>
        <w:t>Appendix 1: Measuring trade intensity</w:t>
      </w:r>
      <w:bookmarkEnd w:id="1"/>
    </w:p>
    <w:p w14:paraId="6CFDC7B2" w14:textId="77777777" w:rsidR="00734757" w:rsidRPr="00A70F6D" w:rsidRDefault="00734757" w:rsidP="00734757">
      <w:pPr>
        <w:spacing w:line="240" w:lineRule="auto"/>
        <w:rPr>
          <w:rFonts w:cs="Times New Roman"/>
          <w:szCs w:val="24"/>
          <w:lang w:val="en-US"/>
        </w:rPr>
      </w:pPr>
      <w:r w:rsidRPr="00A70F6D">
        <w:rPr>
          <w:rFonts w:cs="Times New Roman"/>
          <w:szCs w:val="24"/>
          <w:lang w:val="en-US"/>
        </w:rPr>
        <w:t xml:space="preserve">To measure trade intensity between two countries, I use the </w:t>
      </w:r>
      <w:proofErr w:type="spellStart"/>
      <w:r w:rsidRPr="00A70F6D">
        <w:rPr>
          <w:rFonts w:cs="Times New Roman"/>
          <w:szCs w:val="24"/>
          <w:lang w:val="en-US"/>
        </w:rPr>
        <w:t>Koijma</w:t>
      </w:r>
      <w:proofErr w:type="spellEnd"/>
      <w:r w:rsidRPr="00A70F6D">
        <w:rPr>
          <w:rFonts w:cs="Times New Roman"/>
          <w:szCs w:val="24"/>
          <w:lang w:val="en-US"/>
        </w:rPr>
        <w:t xml:space="preserve"> index presented by Drysdale and Garnaut (1982):</w:t>
      </w:r>
    </w:p>
    <w:p w14:paraId="5EE2E73B" w14:textId="77777777" w:rsidR="00734757" w:rsidRPr="00A70F6D" w:rsidRDefault="008C74D1" w:rsidP="00734757">
      <w:pPr>
        <w:spacing w:line="240" w:lineRule="auto"/>
        <w:rPr>
          <w:rFonts w:eastAsiaTheme="minorEastAsia" w:cs="Times New Roman"/>
          <w:szCs w:val="24"/>
          <w:lang w:val="en-US"/>
        </w:rPr>
      </w:pPr>
      <m:oMathPara>
        <m:oMath>
          <m:sSub>
            <m:sSubPr>
              <m:ctrlPr>
                <w:rPr>
                  <w:rFonts w:ascii="Cambria Math" w:hAnsi="Cambria Math" w:cs="Times New Roman"/>
                  <w:i/>
                  <w:szCs w:val="24"/>
                  <w:lang w:val="en-US"/>
                </w:rPr>
              </m:ctrlPr>
            </m:sSubPr>
            <m:e>
              <m:r>
                <w:rPr>
                  <w:rFonts w:ascii="Cambria Math" w:hAnsi="Cambria Math" w:cs="Times New Roman"/>
                  <w:szCs w:val="24"/>
                  <w:lang w:val="en-US"/>
                </w:rPr>
                <m:t>I</m:t>
              </m:r>
            </m:e>
            <m:sub>
              <m:r>
                <w:rPr>
                  <w:rFonts w:ascii="Cambria Math" w:hAnsi="Cambria Math" w:cs="Times New Roman"/>
                  <w:szCs w:val="24"/>
                  <w:lang w:val="en-US"/>
                </w:rPr>
                <m:t>i</m:t>
              </m:r>
              <m:r>
                <w:rPr>
                  <w:rFonts w:ascii="Cambria Math" w:hAnsi="Cambria Math" w:cs="Times New Roman"/>
                  <w:szCs w:val="24"/>
                  <w:lang w:val="en-US"/>
                </w:rPr>
                <m:t>,</m:t>
              </m:r>
              <m:r>
                <w:rPr>
                  <w:rFonts w:ascii="Cambria Math" w:hAnsi="Cambria Math" w:cs="Times New Roman"/>
                  <w:szCs w:val="24"/>
                  <w:lang w:val="en-US"/>
                </w:rPr>
                <m:t>j</m:t>
              </m:r>
            </m:sub>
          </m:sSub>
          <m:r>
            <w:rPr>
              <w:rFonts w:ascii="Cambria Math" w:hAnsi="Cambria Math" w:cs="Times New Roman"/>
              <w:szCs w:val="24"/>
              <w:lang w:val="en-US"/>
            </w:rPr>
            <m:t>=(</m:t>
          </m:r>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X</m:t>
                  </m:r>
                </m:e>
                <m:sub>
                  <m:r>
                    <w:rPr>
                      <w:rFonts w:ascii="Cambria Math" w:hAnsi="Cambria Math" w:cs="Times New Roman"/>
                      <w:szCs w:val="24"/>
                      <w:lang w:val="en-US"/>
                    </w:rPr>
                    <m:t>ij</m:t>
                  </m:r>
                </m:sub>
              </m:sSub>
            </m:num>
            <m:den>
              <m:r>
                <w:rPr>
                  <w:rFonts w:ascii="Cambria Math" w:hAnsi="Cambria Math" w:cs="Times New Roman"/>
                  <w:szCs w:val="24"/>
                  <w:lang w:val="en-US"/>
                </w:rPr>
                <m:t>Xi</m:t>
              </m:r>
            </m:den>
          </m:f>
          <m:r>
            <w:rPr>
              <w:rFonts w:ascii="Cambria Math" w:hAnsi="Cambria Math" w:cs="Times New Roman"/>
              <w:szCs w:val="24"/>
              <w:lang w:val="en-US"/>
            </w:rPr>
            <m:t>)/(</m:t>
          </m:r>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M</m:t>
                  </m:r>
                </m:e>
                <m:sub>
                  <m:r>
                    <w:rPr>
                      <w:rFonts w:ascii="Cambria Math" w:hAnsi="Cambria Math" w:cs="Times New Roman"/>
                      <w:szCs w:val="24"/>
                      <w:lang w:val="en-US"/>
                    </w:rPr>
                    <m:t>j</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M</m:t>
                  </m:r>
                </m:e>
                <m:sub>
                  <m:r>
                    <w:rPr>
                      <w:rFonts w:ascii="Cambria Math" w:hAnsi="Cambria Math" w:cs="Times New Roman"/>
                      <w:szCs w:val="24"/>
                      <w:lang w:val="en-US"/>
                    </w:rPr>
                    <m:t>w</m:t>
                  </m:r>
                </m:sub>
              </m:sSub>
              <m:r>
                <w:rPr>
                  <w:rFonts w:ascii="Cambria Math" w:hAnsi="Cambria Math" w:cs="Times New Roman"/>
                  <w:szCs w:val="24"/>
                  <w:lang w:val="en-US"/>
                </w:rPr>
                <m:t>-</m:t>
              </m:r>
              <m:r>
                <w:rPr>
                  <w:rFonts w:ascii="Cambria Math" w:hAnsi="Cambria Math" w:cs="Times New Roman"/>
                  <w:szCs w:val="24"/>
                  <w:lang w:val="en-US"/>
                </w:rPr>
                <m:t>Mi</m:t>
              </m:r>
            </m:den>
          </m:f>
          <m:r>
            <w:rPr>
              <w:rFonts w:ascii="Cambria Math" w:hAnsi="Cambria Math" w:cs="Times New Roman"/>
              <w:szCs w:val="24"/>
              <w:lang w:val="en-US"/>
            </w:rPr>
            <m:t xml:space="preserve">) </m:t>
          </m:r>
        </m:oMath>
      </m:oMathPara>
    </w:p>
    <w:p w14:paraId="41CDAE1B" w14:textId="77777777" w:rsidR="00734757" w:rsidRPr="00A70F6D" w:rsidRDefault="00734757" w:rsidP="00734757">
      <w:pPr>
        <w:spacing w:line="240" w:lineRule="auto"/>
        <w:rPr>
          <w:rFonts w:eastAsiaTheme="minorEastAsia" w:cs="Times New Roman"/>
          <w:szCs w:val="24"/>
          <w:lang w:val="en-US"/>
        </w:rPr>
      </w:pPr>
      <w:r w:rsidRPr="00A70F6D">
        <w:rPr>
          <w:rFonts w:eastAsiaTheme="minorEastAsia" w:cs="Times New Roman"/>
          <w:szCs w:val="24"/>
          <w:lang w:val="en-US"/>
        </w:rPr>
        <w:t>Where:</w:t>
      </w:r>
      <w:r w:rsidRPr="00A70F6D">
        <w:rPr>
          <w:rFonts w:eastAsiaTheme="minorEastAsia" w:cs="Times New Roman"/>
          <w:szCs w:val="24"/>
          <w:lang w:val="en-US"/>
        </w:rPr>
        <w:tab/>
      </w: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X</m:t>
            </m:r>
          </m:e>
          <m:sub>
            <m:r>
              <w:rPr>
                <w:rFonts w:ascii="Cambria Math" w:eastAsiaTheme="minorEastAsia" w:hAnsi="Cambria Math" w:cs="Times New Roman"/>
                <w:szCs w:val="24"/>
                <w:lang w:val="en-US"/>
              </w:rPr>
              <m:t>ij</m:t>
            </m:r>
          </m:sub>
        </m:sSub>
      </m:oMath>
      <w:r w:rsidRPr="00A70F6D">
        <w:rPr>
          <w:rFonts w:eastAsiaTheme="minorEastAsia" w:cs="Times New Roman"/>
          <w:szCs w:val="24"/>
          <w:lang w:val="en-US"/>
        </w:rPr>
        <w:t xml:space="preserve"> is country </w:t>
      </w:r>
      <w:r w:rsidRPr="00A70F6D">
        <w:rPr>
          <w:rFonts w:eastAsiaTheme="minorEastAsia" w:cs="Times New Roman"/>
          <w:i/>
          <w:iCs/>
          <w:szCs w:val="24"/>
          <w:lang w:val="en-US"/>
        </w:rPr>
        <w:t>i</w:t>
      </w:r>
      <w:r w:rsidRPr="00A70F6D">
        <w:rPr>
          <w:rFonts w:eastAsiaTheme="minorEastAsia" w:cs="Times New Roman"/>
          <w:szCs w:val="24"/>
          <w:lang w:val="en-US"/>
        </w:rPr>
        <w:t xml:space="preserve">'s exports to country </w:t>
      </w:r>
      <w:r w:rsidRPr="00A70F6D">
        <w:rPr>
          <w:rFonts w:eastAsiaTheme="minorEastAsia" w:cs="Times New Roman"/>
          <w:i/>
          <w:iCs/>
          <w:szCs w:val="24"/>
          <w:lang w:val="en-US"/>
        </w:rPr>
        <w:t>j</w:t>
      </w:r>
    </w:p>
    <w:p w14:paraId="0A9D1C53" w14:textId="77777777" w:rsidR="00734757" w:rsidRPr="00A70F6D" w:rsidRDefault="008C74D1" w:rsidP="00734757">
      <w:pPr>
        <w:spacing w:line="240" w:lineRule="auto"/>
        <w:rPr>
          <w:rFonts w:eastAsiaTheme="minorEastAsia" w:cs="Times New Roman"/>
          <w:szCs w:val="24"/>
          <w:lang w:val="en-US"/>
        </w:rPr>
      </w:pP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X</m:t>
            </m:r>
          </m:e>
          <m:sub>
            <m:r>
              <w:rPr>
                <w:rFonts w:ascii="Cambria Math" w:eastAsiaTheme="minorEastAsia" w:hAnsi="Cambria Math" w:cs="Times New Roman"/>
                <w:szCs w:val="24"/>
                <w:lang w:val="en-US"/>
              </w:rPr>
              <m:t>i</m:t>
            </m:r>
          </m:sub>
        </m:sSub>
      </m:oMath>
      <w:r w:rsidR="00734757" w:rsidRPr="00A70F6D">
        <w:rPr>
          <w:rFonts w:eastAsiaTheme="minorEastAsia" w:cs="Times New Roman"/>
          <w:szCs w:val="24"/>
          <w:lang w:val="en-US"/>
        </w:rPr>
        <w:t xml:space="preserve"> is </w:t>
      </w:r>
      <w:r w:rsidR="00734757" w:rsidRPr="00A70F6D">
        <w:rPr>
          <w:rFonts w:eastAsiaTheme="minorEastAsia" w:cs="Times New Roman"/>
          <w:i/>
          <w:iCs/>
          <w:szCs w:val="24"/>
          <w:lang w:val="en-US"/>
        </w:rPr>
        <w:t>i</w:t>
      </w:r>
      <w:r w:rsidR="00734757" w:rsidRPr="00A70F6D">
        <w:rPr>
          <w:rFonts w:eastAsiaTheme="minorEastAsia" w:cs="Times New Roman"/>
          <w:szCs w:val="24"/>
          <w:lang w:val="en-US"/>
        </w:rPr>
        <w:t>'s total exports</w:t>
      </w:r>
    </w:p>
    <w:p w14:paraId="48545FD0" w14:textId="77777777" w:rsidR="00734757" w:rsidRPr="00A70F6D" w:rsidRDefault="008C74D1" w:rsidP="00734757">
      <w:pPr>
        <w:spacing w:line="240" w:lineRule="auto"/>
        <w:rPr>
          <w:rFonts w:eastAsiaTheme="minorEastAsia" w:cs="Times New Roman"/>
          <w:szCs w:val="24"/>
          <w:lang w:val="en-US"/>
        </w:rPr>
      </w:pP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M</m:t>
            </m:r>
          </m:e>
          <m:sub>
            <m:r>
              <w:rPr>
                <w:rFonts w:ascii="Cambria Math" w:eastAsiaTheme="minorEastAsia" w:hAnsi="Cambria Math" w:cs="Times New Roman"/>
                <w:szCs w:val="24"/>
                <w:lang w:val="en-US"/>
              </w:rPr>
              <m:t>j</m:t>
            </m:r>
          </m:sub>
        </m:sSub>
        <m:r>
          <w:rPr>
            <w:rFonts w:ascii="Cambria Math" w:eastAsiaTheme="minorEastAsia" w:hAnsi="Cambria Math" w:cs="Times New Roman"/>
            <w:szCs w:val="24"/>
            <w:lang w:val="en-US"/>
          </w:rPr>
          <m:t xml:space="preserve"> </m:t>
        </m:r>
      </m:oMath>
      <w:r w:rsidR="00734757" w:rsidRPr="00A70F6D">
        <w:rPr>
          <w:rFonts w:eastAsiaTheme="minorEastAsia" w:cs="Times New Roman"/>
          <w:szCs w:val="24"/>
          <w:lang w:val="en-US"/>
        </w:rPr>
        <w:t>is j’s total imports,</w:t>
      </w:r>
    </w:p>
    <w:p w14:paraId="67EC8939" w14:textId="77777777" w:rsidR="00734757" w:rsidRPr="00A70F6D" w:rsidRDefault="008C74D1" w:rsidP="00734757">
      <w:pPr>
        <w:spacing w:line="240" w:lineRule="auto"/>
        <w:rPr>
          <w:rFonts w:eastAsiaTheme="minorEastAsia" w:cs="Times New Roman"/>
          <w:szCs w:val="24"/>
          <w:lang w:val="en-US"/>
        </w:rPr>
      </w:pP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M</m:t>
            </m:r>
          </m:e>
          <m:sub>
            <m:r>
              <w:rPr>
                <w:rFonts w:ascii="Cambria Math" w:eastAsiaTheme="minorEastAsia" w:hAnsi="Cambria Math" w:cs="Times New Roman"/>
                <w:szCs w:val="24"/>
                <w:lang w:val="en-US"/>
              </w:rPr>
              <m:t>i</m:t>
            </m:r>
          </m:sub>
        </m:sSub>
      </m:oMath>
      <w:r w:rsidR="00734757" w:rsidRPr="00A70F6D">
        <w:rPr>
          <w:rFonts w:eastAsiaTheme="minorEastAsia" w:cs="Times New Roman"/>
          <w:szCs w:val="24"/>
          <w:lang w:val="en-US"/>
        </w:rPr>
        <w:t xml:space="preserve"> is </w:t>
      </w:r>
      <w:r w:rsidR="00734757" w:rsidRPr="00A70F6D">
        <w:rPr>
          <w:rFonts w:eastAsiaTheme="minorEastAsia" w:cs="Times New Roman"/>
          <w:i/>
          <w:iCs/>
          <w:szCs w:val="24"/>
          <w:lang w:val="en-US"/>
        </w:rPr>
        <w:t>i</w:t>
      </w:r>
      <w:r w:rsidR="00734757" w:rsidRPr="00A70F6D">
        <w:rPr>
          <w:rFonts w:eastAsiaTheme="minorEastAsia" w:cs="Times New Roman"/>
          <w:szCs w:val="24"/>
          <w:lang w:val="en-US"/>
        </w:rPr>
        <w:t>'s total imports, and</w:t>
      </w:r>
    </w:p>
    <w:p w14:paraId="785947AA" w14:textId="77777777" w:rsidR="00734757" w:rsidRPr="00A70F6D" w:rsidRDefault="008C74D1" w:rsidP="00734757">
      <w:pPr>
        <w:spacing w:line="240" w:lineRule="auto"/>
        <w:rPr>
          <w:rFonts w:eastAsiaTheme="minorEastAsia" w:cs="Times New Roman"/>
          <w:szCs w:val="24"/>
          <w:lang w:val="en-US"/>
        </w:rPr>
      </w:pP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M</m:t>
            </m:r>
          </m:e>
          <m:sub>
            <m:r>
              <w:rPr>
                <w:rFonts w:ascii="Cambria Math" w:eastAsiaTheme="minorEastAsia" w:hAnsi="Cambria Math" w:cs="Times New Roman"/>
                <w:szCs w:val="24"/>
                <w:lang w:val="en-US"/>
              </w:rPr>
              <m:t>w</m:t>
            </m:r>
          </m:sub>
        </m:sSub>
      </m:oMath>
      <w:r w:rsidR="00734757" w:rsidRPr="00A70F6D">
        <w:rPr>
          <w:rFonts w:eastAsiaTheme="minorEastAsia" w:cs="Times New Roman"/>
          <w:szCs w:val="24"/>
          <w:lang w:val="en-US"/>
        </w:rPr>
        <w:t xml:space="preserve"> is total world imports.</w:t>
      </w:r>
    </w:p>
    <w:bookmarkStart w:id="2" w:name="_GoBack"/>
    <w:bookmarkEnd w:id="2"/>
    <w:p w14:paraId="141F3D8C" w14:textId="2EF07F99" w:rsidR="00734757" w:rsidRPr="00A70F6D" w:rsidRDefault="008C74D1" w:rsidP="00734757">
      <w:pPr>
        <w:spacing w:line="240" w:lineRule="auto"/>
        <w:rPr>
          <w:rFonts w:eastAsiaTheme="minorEastAsia" w:cs="Times New Roman"/>
          <w:szCs w:val="24"/>
          <w:lang w:val="en-US"/>
        </w:rPr>
      </w:pP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M</m:t>
            </m:r>
          </m:e>
          <m:sub>
            <m:r>
              <w:rPr>
                <w:rFonts w:ascii="Cambria Math" w:eastAsiaTheme="minorEastAsia" w:hAnsi="Cambria Math" w:cs="Times New Roman"/>
                <w:szCs w:val="24"/>
                <w:lang w:val="en-US"/>
              </w:rPr>
              <m:t>i</m:t>
            </m:r>
          </m:sub>
        </m:sSub>
      </m:oMath>
      <w:r w:rsidR="00734757" w:rsidRPr="00A70F6D">
        <w:rPr>
          <w:rFonts w:eastAsiaTheme="minorEastAsia" w:cs="Times New Roman"/>
          <w:szCs w:val="24"/>
          <w:lang w:val="en-US"/>
        </w:rPr>
        <w:t xml:space="preserve"> is subtracted from </w:t>
      </w: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M</m:t>
            </m:r>
          </m:e>
          <m:sub>
            <m:r>
              <w:rPr>
                <w:rFonts w:ascii="Cambria Math" w:eastAsiaTheme="minorEastAsia" w:hAnsi="Cambria Math" w:cs="Times New Roman"/>
                <w:szCs w:val="24"/>
                <w:lang w:val="en-US"/>
              </w:rPr>
              <m:t>w</m:t>
            </m:r>
          </m:sub>
        </m:sSub>
      </m:oMath>
      <w:r w:rsidR="00734757" w:rsidRPr="00A70F6D">
        <w:rPr>
          <w:rFonts w:eastAsiaTheme="minorEastAsia" w:cs="Times New Roman"/>
          <w:szCs w:val="24"/>
          <w:lang w:val="en-US"/>
        </w:rPr>
        <w:t xml:space="preserve">in the above expression because a country cannot export goods to itself. </w:t>
      </w:r>
    </w:p>
    <w:p w14:paraId="0D88CFD8" w14:textId="77777777" w:rsidR="00734757" w:rsidRPr="00A70F6D" w:rsidRDefault="00734757" w:rsidP="00734757">
      <w:pPr>
        <w:spacing w:line="240" w:lineRule="auto"/>
        <w:rPr>
          <w:rFonts w:eastAsiaTheme="minorEastAsia" w:cs="Times New Roman"/>
          <w:szCs w:val="24"/>
          <w:lang w:val="en-US"/>
        </w:rPr>
      </w:pPr>
    </w:p>
    <w:p w14:paraId="549A5CD8" w14:textId="77777777" w:rsidR="00734757" w:rsidRPr="00A70F6D" w:rsidRDefault="00734757" w:rsidP="00123DED">
      <w:pPr>
        <w:spacing w:before="240" w:after="400" w:line="240" w:lineRule="auto"/>
        <w:ind w:left="1843" w:firstLine="0"/>
        <w:jc w:val="left"/>
        <w:outlineLvl w:val="2"/>
        <w:rPr>
          <w:rFonts w:eastAsiaTheme="majorEastAsia" w:cstheme="majorBidi"/>
          <w:iCs/>
          <w:sz w:val="22"/>
          <w:lang w:val="en-US"/>
        </w:rPr>
      </w:pPr>
      <w:r w:rsidRPr="00A70F6D">
        <w:rPr>
          <w:rFonts w:eastAsiaTheme="majorEastAsia" w:cstheme="majorBidi"/>
          <w:iCs/>
          <w:sz w:val="22"/>
          <w:lang w:val="en-US"/>
        </w:rPr>
        <w:t xml:space="preserve">Appendix 2: Counterfactual analysis of portfolio returns between a mixed sterling and dollar reserve portfolio and a sterling portfolio.  </w:t>
      </w:r>
    </w:p>
    <w:p w14:paraId="40E8C055" w14:textId="77777777" w:rsidR="00734757" w:rsidRPr="00A70F6D" w:rsidRDefault="00734757" w:rsidP="00734757">
      <w:pPr>
        <w:spacing w:line="240" w:lineRule="auto"/>
        <w:ind w:firstLine="0"/>
      </w:pPr>
      <w:r w:rsidRPr="00A70F6D">
        <w:t xml:space="preserve">I compare the cumulative returns of two portfolios for sterling area countries: the first portfolio  </w:t>
      </w:r>
      <m:oMath>
        <m:sSubSup>
          <m:sSubSupPr>
            <m:ctrlPr>
              <w:rPr>
                <w:rFonts w:ascii="Cambria Math" w:hAnsi="Cambria Math"/>
                <w:i/>
              </w:rPr>
            </m:ctrlPr>
          </m:sSubSupPr>
          <m:e>
            <m:r>
              <w:rPr>
                <w:rFonts w:ascii="Cambria Math" w:hAnsi="Cambria Math"/>
              </w:rPr>
              <m:t>P</m:t>
            </m:r>
          </m:e>
          <m:sub>
            <m:r>
              <w:rPr>
                <w:rFonts w:ascii="Cambria Math" w:hAnsi="Cambria Math"/>
              </w:rPr>
              <m:t>(i,t)</m:t>
            </m:r>
          </m:sub>
          <m:sup>
            <m:r>
              <w:rPr>
                <w:rFonts w:ascii="Cambria Math" w:hAnsi="Cambria Math"/>
              </w:rPr>
              <m:t>O</m:t>
            </m:r>
          </m:sup>
        </m:sSubSup>
      </m:oMath>
      <w:r w:rsidRPr="00A70F6D">
        <w:t xml:space="preserve"> is composed by the observed sterling balances </w:t>
      </w:r>
      <m:oMath>
        <m:sSubSup>
          <m:sSubSupPr>
            <m:ctrlPr>
              <w:rPr>
                <w:rFonts w:ascii="Cambria Math" w:hAnsi="Cambria Math"/>
                <w:i/>
              </w:rPr>
            </m:ctrlPr>
          </m:sSubSupPr>
          <m:e>
            <m:r>
              <w:rPr>
                <w:rFonts w:ascii="Cambria Math" w:hAnsi="Cambria Math"/>
              </w:rPr>
              <m:t>£</m:t>
            </m:r>
          </m:e>
          <m:sub>
            <m:r>
              <w:rPr>
                <w:rFonts w:ascii="Cambria Math" w:hAnsi="Cambria Math"/>
              </w:rPr>
              <m:t>i,t</m:t>
            </m:r>
          </m:sub>
          <m:sup>
            <m:r>
              <w:rPr>
                <w:rFonts w:ascii="Cambria Math" w:hAnsi="Cambria Math"/>
              </w:rPr>
              <m:t>O</m:t>
            </m:r>
          </m:sup>
        </m:sSubSup>
      </m:oMath>
      <w:r w:rsidRPr="00A70F6D">
        <w:t xml:space="preserve"> of country </w:t>
      </w:r>
      <w:proofErr w:type="spellStart"/>
      <w:r w:rsidRPr="00A70F6D">
        <w:rPr>
          <w:i/>
          <w:iCs/>
        </w:rPr>
        <w:t>i</w:t>
      </w:r>
      <w:proofErr w:type="spellEnd"/>
      <w:r w:rsidRPr="00A70F6D">
        <w:t xml:space="preserve"> for year </w:t>
      </w:r>
      <w:r w:rsidRPr="00A70F6D">
        <w:rPr>
          <w:i/>
          <w:iCs/>
        </w:rPr>
        <w:t>t</w:t>
      </w:r>
      <w:r w:rsidRPr="00A70F6D">
        <w:t xml:space="preserve"> and the second one </w:t>
      </w:r>
      <m:oMath>
        <m:sSubSup>
          <m:sSubSupPr>
            <m:ctrlPr>
              <w:rPr>
                <w:rFonts w:ascii="Cambria Math" w:hAnsi="Cambria Math"/>
                <w:i/>
              </w:rPr>
            </m:ctrlPr>
          </m:sSubSupPr>
          <m:e>
            <m:r>
              <w:rPr>
                <w:rFonts w:ascii="Cambria Math" w:hAnsi="Cambria Math"/>
              </w:rPr>
              <m:t>P</m:t>
            </m:r>
          </m:e>
          <m:sub>
            <m:r>
              <w:rPr>
                <w:rFonts w:ascii="Cambria Math" w:hAnsi="Cambria Math"/>
              </w:rPr>
              <m:t>(i,t)</m:t>
            </m:r>
          </m:sub>
          <m:sup>
            <m:r>
              <w:rPr>
                <w:rFonts w:ascii="Cambria Math" w:hAnsi="Cambria Math"/>
              </w:rPr>
              <m:t>th</m:t>
            </m:r>
          </m:sup>
        </m:sSubSup>
      </m:oMath>
      <w:r w:rsidRPr="00A70F6D">
        <w:t xml:space="preserve"> a theoretical portfolio in which sterling share is set at a working level of 20%</w:t>
      </w:r>
      <w:r w:rsidRPr="00A70F6D">
        <w:rPr>
          <w:vertAlign w:val="superscript"/>
        </w:rPr>
        <w:footnoteReference w:id="1"/>
      </w:r>
      <w:r w:rsidRPr="00A70F6D">
        <w:t xml:space="preserve"> of the total central bank reserves. I define theoretical sterling balances </w:t>
      </w:r>
      <m:oMath>
        <m:sSubSup>
          <m:sSubSupPr>
            <m:ctrlPr>
              <w:rPr>
                <w:rFonts w:ascii="Cambria Math" w:hAnsi="Cambria Math"/>
                <w:i/>
              </w:rPr>
            </m:ctrlPr>
          </m:sSubSupPr>
          <m:e>
            <m:r>
              <w:rPr>
                <w:rFonts w:ascii="Cambria Math" w:hAnsi="Cambria Math"/>
              </w:rPr>
              <m:t>£</m:t>
            </m:r>
          </m:e>
          <m:sub>
            <m:r>
              <w:rPr>
                <w:rFonts w:ascii="Cambria Math" w:hAnsi="Cambria Math"/>
              </w:rPr>
              <m:t>i,t</m:t>
            </m:r>
          </m:sub>
          <m:sup>
            <m:r>
              <w:rPr>
                <w:rFonts w:ascii="Cambria Math" w:hAnsi="Cambria Math"/>
              </w:rPr>
              <m:t>th</m:t>
            </m:r>
          </m:sup>
        </m:sSubSup>
        <m:r>
          <w:rPr>
            <w:rFonts w:ascii="Cambria Math" w:hAnsi="Cambria Math"/>
          </w:rPr>
          <m:t>=0.2*total reserve</m:t>
        </m:r>
        <m:sSub>
          <m:sSubPr>
            <m:ctrlPr>
              <w:rPr>
                <w:rFonts w:ascii="Cambria Math" w:hAnsi="Cambria Math"/>
                <w:i/>
              </w:rPr>
            </m:ctrlPr>
          </m:sSubPr>
          <m:e>
            <m:r>
              <w:rPr>
                <w:rFonts w:ascii="Cambria Math" w:hAnsi="Cambria Math"/>
              </w:rPr>
              <m:t>s</m:t>
            </m:r>
          </m:e>
          <m:sub>
            <m:r>
              <w:rPr>
                <w:rFonts w:ascii="Cambria Math" w:hAnsi="Cambria Math"/>
              </w:rPr>
              <m:t>i,t</m:t>
            </m:r>
          </m:sub>
        </m:sSub>
      </m:oMath>
      <w:r w:rsidRPr="00A70F6D">
        <w:t>.</w:t>
      </w:r>
    </w:p>
    <w:p w14:paraId="3C274C01" w14:textId="77777777" w:rsidR="00734757" w:rsidRPr="00A70F6D" w:rsidRDefault="00734757" w:rsidP="00734757">
      <w:pPr>
        <w:spacing w:line="240" w:lineRule="auto"/>
        <w:ind w:firstLine="0"/>
      </w:pPr>
      <w:r w:rsidRPr="00A70F6D">
        <w:t xml:space="preserve">I make the hypothesis that all sterling accumulated above that 20% threshold would be converted in dollar at the current exchange rate </w:t>
      </w:r>
      <m:oMath>
        <m:sSub>
          <m:sSubPr>
            <m:ctrlPr>
              <w:rPr>
                <w:rFonts w:ascii="Cambria Math" w:hAnsi="Cambria Math"/>
                <w:i/>
              </w:rPr>
            </m:ctrlPr>
          </m:sSubPr>
          <m:e>
            <m:r>
              <w:rPr>
                <w:rFonts w:ascii="Cambria Math" w:hAnsi="Cambria Math"/>
              </w:rPr>
              <m:t>ϵ</m:t>
            </m:r>
          </m:e>
          <m:sub>
            <m:r>
              <w:rPr>
                <w:rFonts w:ascii="Cambria Math" w:hAnsi="Cambria Math"/>
              </w:rPr>
              <m:t>t</m:t>
            </m:r>
          </m:sub>
        </m:sSub>
      </m:oMath>
      <w:r w:rsidRPr="00A70F6D">
        <w:t xml:space="preserve"> by the central bank and kept as dollar investment in the central bank reserve portfolio.  I define the theoretical dollar reserve as: </w:t>
      </w:r>
    </w:p>
    <w:p w14:paraId="4A9B9502" w14:textId="0EDE029E" w:rsidR="00734757" w:rsidRPr="00A70F6D" w:rsidRDefault="008C74D1" w:rsidP="00734757">
      <w:pPr>
        <w:spacing w:line="240" w:lineRule="auto"/>
        <w:ind w:firstLine="0"/>
      </w:pPr>
      <m:oMathPara>
        <m:oMath>
          <m:sSubSup>
            <m:sSubSupPr>
              <m:ctrlPr>
                <w:rPr>
                  <w:rFonts w:ascii="Cambria Math" w:hAnsi="Cambria Math"/>
                  <w:i/>
                </w:rPr>
              </m:ctrlPr>
            </m:sSubSupPr>
            <m:e>
              <m:r>
                <w:rPr>
                  <w:rFonts w:ascii="Cambria Math" w:hAnsi="Cambria Math"/>
                  <w:lang w:val="en-US"/>
                </w:rPr>
                <m:t>$</m:t>
              </m:r>
            </m:e>
            <m:sub>
              <m:r>
                <w:rPr>
                  <w:rFonts w:ascii="Cambria Math" w:hAnsi="Cambria Math"/>
                </w:rPr>
                <m:t>i</m:t>
              </m:r>
              <m:r>
                <w:rPr>
                  <w:rFonts w:ascii="Cambria Math" w:hAnsi="Cambria Math"/>
                  <w:lang w:val="en-US"/>
                </w:rPr>
                <m:t>,</m:t>
              </m:r>
              <m:r>
                <w:rPr>
                  <w:rFonts w:ascii="Cambria Math" w:hAnsi="Cambria Math"/>
                  <w:lang w:val="en-US"/>
                </w:rPr>
                <m:t>t</m:t>
              </m:r>
            </m:sub>
            <m:sup>
              <m:r>
                <w:rPr>
                  <w:rFonts w:ascii="Cambria Math" w:hAnsi="Cambria Math"/>
                </w:rPr>
                <m:t>t</m:t>
              </m:r>
              <m:r>
                <w:rPr>
                  <w:rFonts w:ascii="Cambria Math" w:hAnsi="Cambria Math"/>
                  <w:lang w:val="en-US"/>
                </w:rPr>
                <m:t>h</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m:t>
                  </m:r>
                </m:e>
                <m:sub>
                  <m:r>
                    <w:rPr>
                      <w:rFonts w:ascii="Cambria Math" w:hAnsi="Cambria Math"/>
                    </w:rPr>
                    <m:t>i</m:t>
                  </m:r>
                  <m:r>
                    <w:rPr>
                      <w:rFonts w:ascii="Cambria Math" w:hAnsi="Cambria Math"/>
                    </w:rPr>
                    <m:t>,</m:t>
                  </m:r>
                  <m:r>
                    <w:rPr>
                      <w:rFonts w:ascii="Cambria Math" w:hAnsi="Cambria Math"/>
                    </w:rPr>
                    <m:t>y</m:t>
                  </m:r>
                </m:sub>
                <m:sup>
                  <m:r>
                    <w:rPr>
                      <w:rFonts w:ascii="Cambria Math" w:hAnsi="Cambria Math"/>
                    </w:rPr>
                    <m:t>O</m:t>
                  </m:r>
                </m:sup>
              </m:sSubSup>
              <m:r>
                <w:rPr>
                  <w:rFonts w:ascii="Cambria Math" w:hAnsi="Cambria Math"/>
                </w:rPr>
                <m:t>-</m:t>
              </m:r>
              <m:sSubSup>
                <m:sSubSupPr>
                  <m:ctrlPr>
                    <w:rPr>
                      <w:rFonts w:ascii="Cambria Math" w:hAnsi="Cambria Math"/>
                      <w:i/>
                    </w:rPr>
                  </m:ctrlPr>
                </m:sSubSupPr>
                <m:e>
                  <m:r>
                    <w:rPr>
                      <w:rFonts w:ascii="Cambria Math" w:hAnsi="Cambria Math"/>
                    </w:rPr>
                    <m:t>£</m:t>
                  </m:r>
                </m:e>
                <m:sub>
                  <m:r>
                    <w:rPr>
                      <w:rFonts w:ascii="Cambria Math" w:hAnsi="Cambria Math"/>
                    </w:rPr>
                    <m:t>i</m:t>
                  </m:r>
                  <m:r>
                    <w:rPr>
                      <w:rFonts w:ascii="Cambria Math" w:hAnsi="Cambria Math"/>
                    </w:rPr>
                    <m:t>,</m:t>
                  </m:r>
                  <m:r>
                    <w:rPr>
                      <w:rFonts w:ascii="Cambria Math" w:hAnsi="Cambria Math"/>
                    </w:rPr>
                    <m:t>y</m:t>
                  </m:r>
                </m:sub>
                <m:sup>
                  <m:r>
                    <w:rPr>
                      <w:rFonts w:ascii="Cambria Math" w:hAnsi="Cambria Math"/>
                    </w:rPr>
                    <m:t>t</m:t>
                  </m:r>
                  <m:r>
                    <w:rPr>
                      <w:rFonts w:ascii="Cambria Math" w:hAnsi="Cambria Math"/>
                    </w:rPr>
                    <m:t>h</m:t>
                  </m:r>
                </m:sup>
              </m:sSubSup>
            </m:num>
            <m:den>
              <m:sSub>
                <m:sSubPr>
                  <m:ctrlPr>
                    <w:rPr>
                      <w:rFonts w:ascii="Cambria Math" w:hAnsi="Cambria Math"/>
                      <w:i/>
                    </w:rPr>
                  </m:ctrlPr>
                </m:sSubPr>
                <m:e>
                  <m:r>
                    <w:rPr>
                      <w:rFonts w:ascii="Cambria Math" w:hAnsi="Cambria Math"/>
                    </w:rPr>
                    <m:t>ϵ</m:t>
                  </m:r>
                </m:e>
                <m:sub>
                  <m:r>
                    <w:rPr>
                      <w:rFonts w:ascii="Cambria Math" w:hAnsi="Cambria Math"/>
                    </w:rPr>
                    <m:t>y</m:t>
                  </m:r>
                </m:sub>
              </m:sSub>
            </m:den>
          </m:f>
        </m:oMath>
      </m:oMathPara>
    </w:p>
    <w:p w14:paraId="4DB054FA" w14:textId="77777777" w:rsidR="00734757" w:rsidRPr="00A70F6D" w:rsidRDefault="00734757" w:rsidP="00734757">
      <w:pPr>
        <w:spacing w:line="240" w:lineRule="auto"/>
        <w:ind w:firstLine="0"/>
      </w:pPr>
      <w:r w:rsidRPr="00A70F6D">
        <w:t xml:space="preserve">I compare these two portfolios </w:t>
      </w:r>
      <m:oMath>
        <m:sSubSup>
          <m:sSubSupPr>
            <m:ctrlPr>
              <w:rPr>
                <w:rFonts w:ascii="Cambria Math" w:hAnsi="Cambria Math"/>
                <w:i/>
              </w:rPr>
            </m:ctrlPr>
          </m:sSubSupPr>
          <m:e>
            <m:r>
              <w:rPr>
                <w:rFonts w:ascii="Cambria Math" w:hAnsi="Cambria Math"/>
              </w:rPr>
              <m:t>P</m:t>
            </m:r>
          </m:e>
          <m:sub>
            <m:r>
              <w:rPr>
                <w:rFonts w:ascii="Cambria Math" w:hAnsi="Cambria Math"/>
              </w:rPr>
              <m:t>(i,t)</m:t>
            </m:r>
          </m:sub>
          <m:sup>
            <m:r>
              <w:rPr>
                <w:rFonts w:ascii="Cambria Math" w:hAnsi="Cambria Math"/>
              </w:rPr>
              <m:t>O</m:t>
            </m:r>
          </m:sup>
        </m:sSubSup>
        <m:r>
          <w:rPr>
            <w:rFonts w:ascii="Cambria Math" w:hAnsi="Cambria Math"/>
          </w:rPr>
          <m:t>=</m:t>
        </m:r>
        <m:sSubSup>
          <m:sSubSupPr>
            <m:ctrlPr>
              <w:rPr>
                <w:rFonts w:ascii="Cambria Math" w:hAnsi="Cambria Math"/>
                <w:i/>
              </w:rPr>
            </m:ctrlPr>
          </m:sSubSupPr>
          <m:e>
            <m:r>
              <w:rPr>
                <w:rFonts w:ascii="Cambria Math" w:hAnsi="Cambria Math"/>
              </w:rPr>
              <m:t>£</m:t>
            </m:r>
          </m:e>
          <m:sub>
            <m:r>
              <w:rPr>
                <w:rFonts w:ascii="Cambria Math" w:hAnsi="Cambria Math"/>
              </w:rPr>
              <m:t>i,t</m:t>
            </m:r>
          </m:sub>
          <m:sup>
            <m:r>
              <w:rPr>
                <w:rFonts w:ascii="Cambria Math" w:hAnsi="Cambria Math"/>
              </w:rPr>
              <m:t>O</m:t>
            </m:r>
          </m:sup>
        </m:sSubSup>
        <m:r>
          <w:rPr>
            <w:rFonts w:ascii="Cambria Math" w:hAnsi="Cambria Math"/>
          </w:rPr>
          <m:t xml:space="preserve"> </m:t>
        </m:r>
      </m:oMath>
      <w:r w:rsidRPr="00A70F6D">
        <w:rPr>
          <w:lang w:val="en-US"/>
        </w:rPr>
        <w:t xml:space="preserve">and </w:t>
      </w:r>
      <m:oMath>
        <m:sSubSup>
          <m:sSubSupPr>
            <m:ctrlPr>
              <w:rPr>
                <w:rFonts w:ascii="Cambria Math" w:hAnsi="Cambria Math"/>
                <w:i/>
              </w:rPr>
            </m:ctrlPr>
          </m:sSubSupPr>
          <m:e>
            <m:r>
              <w:rPr>
                <w:rFonts w:ascii="Cambria Math" w:hAnsi="Cambria Math"/>
              </w:rPr>
              <m:t>P</m:t>
            </m:r>
          </m:e>
          <m:sub>
            <m:r>
              <w:rPr>
                <w:rFonts w:ascii="Cambria Math" w:hAnsi="Cambria Math"/>
                <w:lang w:val="en-US"/>
              </w:rPr>
              <m:t>(</m:t>
            </m:r>
            <m: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up>
            <m:r>
              <w:rPr>
                <w:rFonts w:ascii="Cambria Math" w:hAnsi="Cambria Math"/>
              </w:rPr>
              <m:t>t</m:t>
            </m:r>
            <m:r>
              <w:rPr>
                <w:rFonts w:ascii="Cambria Math" w:hAnsi="Cambria Math"/>
                <w:lang w:val="en-US"/>
              </w:rPr>
              <m:t>h</m:t>
            </m:r>
          </m:sup>
        </m:sSubSup>
        <m:r>
          <w:rPr>
            <w:rFonts w:ascii="Cambria Math" w:hAnsi="Cambria Math"/>
            <w:lang w:val="en-US"/>
          </w:rPr>
          <m:t>=</m:t>
        </m:r>
        <m:sSubSup>
          <m:sSubSupPr>
            <m:ctrlPr>
              <w:rPr>
                <w:rFonts w:ascii="Cambria Math" w:hAnsi="Cambria Math"/>
                <w:i/>
              </w:rPr>
            </m:ctrlPr>
          </m:sSubSupPr>
          <m:e>
            <m:r>
              <w:rPr>
                <w:rFonts w:ascii="Cambria Math" w:hAnsi="Cambria Math"/>
                <w:lang w:val="en-US"/>
              </w:rPr>
              <m:t>£</m:t>
            </m:r>
          </m:e>
          <m:sub>
            <m:r>
              <w:rPr>
                <w:rFonts w:ascii="Cambria Math" w:hAnsi="Cambria Math"/>
              </w:rPr>
              <m:t>i</m:t>
            </m:r>
            <m:r>
              <w:rPr>
                <w:rFonts w:ascii="Cambria Math" w:hAnsi="Cambria Math"/>
                <w:lang w:val="en-US"/>
              </w:rPr>
              <m:t>,</m:t>
            </m:r>
            <m:r>
              <w:rPr>
                <w:rFonts w:ascii="Cambria Math" w:hAnsi="Cambria Math"/>
              </w:rPr>
              <m:t>t</m:t>
            </m:r>
          </m:sub>
          <m:sup>
            <m:r>
              <w:rPr>
                <w:rFonts w:ascii="Cambria Math" w:hAnsi="Cambria Math"/>
              </w:rPr>
              <m:t>t</m:t>
            </m:r>
            <m:r>
              <w:rPr>
                <w:rFonts w:ascii="Cambria Math" w:hAnsi="Cambria Math"/>
                <w:lang w:val="en-US"/>
              </w:rPr>
              <m:t>h</m:t>
            </m:r>
          </m:sup>
        </m:sSubSup>
        <m:r>
          <w:rPr>
            <w:rFonts w:ascii="Cambria Math" w:hAnsi="Cambria Math"/>
            <w:lang w:val="en-US"/>
          </w:rPr>
          <m:t>+</m:t>
        </m:r>
        <m:sSubSup>
          <m:sSubSupPr>
            <m:ctrlPr>
              <w:rPr>
                <w:rFonts w:ascii="Cambria Math" w:hAnsi="Cambria Math"/>
                <w:i/>
              </w:rPr>
            </m:ctrlPr>
          </m:sSubSupPr>
          <m:e>
            <m:r>
              <w:rPr>
                <w:rFonts w:ascii="Cambria Math" w:hAnsi="Cambria Math"/>
                <w:lang w:val="en-US"/>
              </w:rPr>
              <m:t>$</m:t>
            </m:r>
          </m:e>
          <m:sub>
            <m:r>
              <w:rPr>
                <w:rFonts w:ascii="Cambria Math" w:hAnsi="Cambria Math"/>
              </w:rPr>
              <m:t>i</m:t>
            </m:r>
            <m:r>
              <w:rPr>
                <w:rFonts w:ascii="Cambria Math" w:hAnsi="Cambria Math"/>
                <w:lang w:val="en-US"/>
              </w:rPr>
              <m:t>,t</m:t>
            </m:r>
          </m:sub>
          <m:sup>
            <m:r>
              <w:rPr>
                <w:rFonts w:ascii="Cambria Math" w:hAnsi="Cambria Math"/>
              </w:rPr>
              <m:t>t</m:t>
            </m:r>
            <m:r>
              <w:rPr>
                <w:rFonts w:ascii="Cambria Math" w:hAnsi="Cambria Math"/>
                <w:lang w:val="en-US"/>
              </w:rPr>
              <m:t>h</m:t>
            </m:r>
          </m:sup>
        </m:sSubSup>
      </m:oMath>
      <w:r w:rsidRPr="00A70F6D">
        <w:t>.</w:t>
      </w:r>
    </w:p>
    <w:p w14:paraId="00B8E034" w14:textId="77777777" w:rsidR="00734757" w:rsidRPr="00A70F6D" w:rsidRDefault="00734757" w:rsidP="00734757">
      <w:pPr>
        <w:spacing w:line="240" w:lineRule="auto"/>
        <w:ind w:firstLine="0"/>
      </w:pPr>
      <w:r w:rsidRPr="00A70F6D">
        <w:rPr>
          <w:lang w:val="en-US"/>
        </w:rPr>
        <w:t xml:space="preserve">I draw from Ben Bassat (1980) to </w:t>
      </w:r>
      <w:r w:rsidRPr="00A70F6D">
        <w:t xml:space="preserve">calculate real rate of return </w:t>
      </w:r>
      <m:oMath>
        <m:sSub>
          <m:sSubPr>
            <m:ctrlPr>
              <w:rPr>
                <w:rFonts w:ascii="Cambria Math" w:hAnsi="Cambria Math"/>
                <w:i/>
              </w:rPr>
            </m:ctrlPr>
          </m:sSubPr>
          <m:e>
            <m:r>
              <w:rPr>
                <w:rFonts w:ascii="Cambria Math" w:hAnsi="Cambria Math"/>
              </w:rPr>
              <m:t>ρ</m:t>
            </m:r>
          </m:e>
          <m:sub>
            <m:r>
              <w:rPr>
                <w:rFonts w:ascii="Cambria Math" w:hAnsi="Cambria Math"/>
              </w:rPr>
              <m:t>c</m:t>
            </m:r>
          </m:sub>
        </m:sSub>
      </m:oMath>
      <w:r w:rsidRPr="00A70F6D">
        <w:t xml:space="preserve"> of a currency </w:t>
      </w:r>
      <w:r w:rsidRPr="00A70F6D">
        <w:rPr>
          <w:i/>
          <w:iCs/>
        </w:rPr>
        <w:t>c</w:t>
      </w:r>
      <w:r w:rsidRPr="00A70F6D">
        <w:t xml:space="preserve"> as function of the interest rate </w:t>
      </w:r>
      <m:oMath>
        <m:sSub>
          <m:sSubPr>
            <m:ctrlPr>
              <w:rPr>
                <w:rFonts w:ascii="Cambria Math" w:hAnsi="Cambria Math"/>
                <w:i/>
              </w:rPr>
            </m:ctrlPr>
          </m:sSubPr>
          <m:e>
            <m:r>
              <w:rPr>
                <w:rFonts w:ascii="Cambria Math" w:hAnsi="Cambria Math"/>
              </w:rPr>
              <m:t>r</m:t>
            </m:r>
          </m:e>
          <m:sub>
            <m:r>
              <w:rPr>
                <w:rFonts w:ascii="Cambria Math" w:hAnsi="Cambria Math"/>
              </w:rPr>
              <m:t>c</m:t>
            </m:r>
          </m:sub>
        </m:sSub>
      </m:oMath>
      <w:r w:rsidRPr="00A70F6D">
        <w:t xml:space="preserve"> of and the inflation rate </w:t>
      </w:r>
      <m:oMath>
        <m:sSub>
          <m:sSubPr>
            <m:ctrlPr>
              <w:rPr>
                <w:rFonts w:ascii="Cambria Math" w:hAnsi="Cambria Math"/>
                <w:i/>
              </w:rPr>
            </m:ctrlPr>
          </m:sSubPr>
          <m:e>
            <m:r>
              <w:rPr>
                <w:rFonts w:ascii="Cambria Math" w:hAnsi="Cambria Math"/>
              </w:rPr>
              <m:t>e</m:t>
            </m:r>
          </m:e>
          <m:sub>
            <m:r>
              <w:rPr>
                <w:rFonts w:ascii="Cambria Math" w:hAnsi="Cambria Math"/>
              </w:rPr>
              <m:t>c</m:t>
            </m:r>
          </m:sub>
        </m:sSub>
      </m:oMath>
      <w:r w:rsidRPr="00A70F6D">
        <w:t xml:space="preserve">. </w:t>
      </w:r>
    </w:p>
    <w:p w14:paraId="4F7DD526" w14:textId="77777777" w:rsidR="00734757" w:rsidRPr="00A70F6D" w:rsidRDefault="008C74D1" w:rsidP="00734757">
      <w:pPr>
        <w:spacing w:line="240" w:lineRule="auto"/>
        <w:ind w:firstLine="0"/>
        <w:jc w:val="center"/>
      </w:pPr>
      <m:oMath>
        <m:sSub>
          <m:sSubPr>
            <m:ctrlPr>
              <w:rPr>
                <w:rFonts w:ascii="Cambria Math" w:hAnsi="Cambria Math"/>
                <w:i/>
              </w:rPr>
            </m:ctrlPr>
          </m:sSubPr>
          <m:e>
            <m:r>
              <w:rPr>
                <w:rFonts w:ascii="Cambria Math" w:hAnsi="Cambria Math"/>
              </w:rPr>
              <m:t>ρ</m:t>
            </m:r>
          </m:e>
          <m:sub>
            <m:r>
              <w:rPr>
                <w:rFonts w:ascii="Cambria Math" w:hAnsi="Cambria Math"/>
              </w:rPr>
              <m:t>c</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c</m:t>
                    </m:r>
                  </m:sub>
                </m:sSub>
              </m:e>
            </m:d>
          </m:num>
          <m:den>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c</m:t>
                </m:r>
              </m:sub>
            </m:sSub>
            <m:r>
              <w:rPr>
                <w:rFonts w:ascii="Cambria Math" w:hAnsi="Cambria Math"/>
              </w:rPr>
              <m:t>)</m:t>
            </m:r>
          </m:den>
        </m:f>
        <m:r>
          <w:rPr>
            <w:rFonts w:ascii="Cambria Math" w:hAnsi="Cambria Math"/>
          </w:rPr>
          <m:t>-</m:t>
        </m:r>
        <m:r>
          <w:rPr>
            <w:rFonts w:ascii="Cambria Math" w:hAnsi="Cambria Math"/>
          </w:rPr>
          <m:t>1</m:t>
        </m:r>
      </m:oMath>
      <w:r w:rsidR="00734757" w:rsidRPr="00A70F6D">
        <w:t>.</w:t>
      </w:r>
    </w:p>
    <w:p w14:paraId="2966FDBB" w14:textId="0CF87B72" w:rsidR="00734757" w:rsidRPr="00A70F6D" w:rsidRDefault="00734757" w:rsidP="00734757">
      <w:pPr>
        <w:spacing w:line="240" w:lineRule="auto"/>
        <w:ind w:firstLine="0"/>
      </w:pPr>
      <w:r w:rsidRPr="00A70F6D">
        <w:t xml:space="preserve">As investments in foreign exchanges can have multiple forms, I draw from Schenk (1994) p.42 who quotes a 1957 study of the Bank of England and describes that “half of the sterling balances were held as securities and half in liquid form. Of the liquid assets, half were held in deposit and current accounts and half were UK Treasury Bills.” I make a simplifying hypothesis for demonstration purpose that the distribution of the types of investments was stable across time and countries. I fix that one third of each currency would be invested in Treasury bills and two thirds in securities. I </w:t>
      </w:r>
      <w:r w:rsidRPr="00A70F6D">
        <w:lastRenderedPageBreak/>
        <w:t xml:space="preserve">collected Treasury bills rates </w:t>
      </w:r>
      <m:oMath>
        <m:sSubSup>
          <m:sSubSupPr>
            <m:ctrlPr>
              <w:rPr>
                <w:rFonts w:ascii="Cambria Math" w:hAnsi="Cambria Math"/>
                <w:i/>
              </w:rPr>
            </m:ctrlPr>
          </m:sSubSupPr>
          <m:e>
            <m:r>
              <w:rPr>
                <w:rFonts w:ascii="Cambria Math" w:hAnsi="Cambria Math"/>
              </w:rPr>
              <m:t>r</m:t>
            </m:r>
          </m:e>
          <m:sub>
            <m:r>
              <w:rPr>
                <w:rFonts w:ascii="Cambria Math" w:hAnsi="Cambria Math"/>
              </w:rPr>
              <m:t>c</m:t>
            </m:r>
          </m:sub>
          <m:sup>
            <m:r>
              <w:rPr>
                <w:rFonts w:ascii="Cambria Math" w:hAnsi="Cambria Math"/>
              </w:rPr>
              <m:t>Tb</m:t>
            </m:r>
          </m:sup>
        </m:sSubSup>
      </m:oMath>
      <w:r w:rsidRPr="00A70F6D">
        <w:t xml:space="preserve"> and the rates of 10-years governments bonds </w:t>
      </w:r>
      <m:oMath>
        <m:sSubSup>
          <m:sSubSupPr>
            <m:ctrlPr>
              <w:rPr>
                <w:rFonts w:ascii="Cambria Math" w:hAnsi="Cambria Math"/>
                <w:i/>
              </w:rPr>
            </m:ctrlPr>
          </m:sSubSupPr>
          <m:e>
            <m:r>
              <w:rPr>
                <w:rFonts w:ascii="Cambria Math" w:hAnsi="Cambria Math"/>
              </w:rPr>
              <m:t>r</m:t>
            </m:r>
          </m:e>
          <m:sub>
            <m:r>
              <w:rPr>
                <w:rFonts w:ascii="Cambria Math" w:hAnsi="Cambria Math"/>
              </w:rPr>
              <m:t>c</m:t>
            </m:r>
          </m:sub>
          <m:sup>
            <m:r>
              <w:rPr>
                <w:rFonts w:ascii="Cambria Math" w:hAnsi="Cambria Math"/>
              </w:rPr>
              <m:t>s</m:t>
            </m:r>
          </m:sup>
        </m:sSubSup>
      </m:oMath>
      <w:r w:rsidRPr="00A70F6D">
        <w:t xml:space="preserve"> for both the US and the UK from the IFS and the </w:t>
      </w:r>
      <w:proofErr w:type="spellStart"/>
      <w:r w:rsidRPr="00A70F6D">
        <w:t>Jordà</w:t>
      </w:r>
      <w:proofErr w:type="spellEnd"/>
      <w:r w:rsidRPr="00A70F6D">
        <w:t>-</w:t>
      </w:r>
      <w:proofErr w:type="spellStart"/>
      <w:r w:rsidRPr="00A70F6D">
        <w:t>Schularick</w:t>
      </w:r>
      <w:proofErr w:type="spellEnd"/>
      <w:r w:rsidRPr="00A70F6D">
        <w:t xml:space="preserve">-Taylor </w:t>
      </w:r>
      <w:proofErr w:type="spellStart"/>
      <w:r w:rsidRPr="00A70F6D">
        <w:t>Macrohistory</w:t>
      </w:r>
      <w:proofErr w:type="spellEnd"/>
      <w:r w:rsidRPr="00A70F6D">
        <w:t xml:space="preserve"> Database.</w:t>
      </w:r>
      <w:r w:rsidR="00F32545" w:rsidRPr="00A70F6D">
        <w:rPr>
          <w:rStyle w:val="FootnoteReference"/>
        </w:rPr>
        <w:footnoteReference w:id="2"/>
      </w:r>
      <w:r w:rsidRPr="00A70F6D">
        <w:t xml:space="preserve"> </w:t>
      </w:r>
    </w:p>
    <w:p w14:paraId="6F20B597" w14:textId="77777777" w:rsidR="00734757" w:rsidRPr="00A70F6D" w:rsidRDefault="00734757" w:rsidP="00734757">
      <w:pPr>
        <w:spacing w:line="240" w:lineRule="auto"/>
        <w:ind w:firstLine="0"/>
        <w:jc w:val="center"/>
      </w:pPr>
    </w:p>
    <w:p w14:paraId="54E346B5" w14:textId="77777777" w:rsidR="00734757" w:rsidRPr="00A70F6D" w:rsidRDefault="00734757" w:rsidP="00734757">
      <w:pPr>
        <w:spacing w:line="240" w:lineRule="auto"/>
        <w:ind w:firstLine="0"/>
      </w:pPr>
      <w:r w:rsidRPr="00A70F6D">
        <w:t>I calculated the cumulated real returns</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oMath>
      <w:r w:rsidRPr="00A70F6D">
        <w:t xml:space="preserve"> at the end of the period for each portfolio, valuing the total cumulated returns in dollar in 1971 sterling. </w:t>
      </w:r>
    </w:p>
    <w:p w14:paraId="2E1C7A7A" w14:textId="77777777" w:rsidR="00734757" w:rsidRPr="00A70F6D" w:rsidRDefault="008C74D1" w:rsidP="00734757">
      <w:pPr>
        <w:spacing w:line="240" w:lineRule="auto"/>
        <w:ind w:firstLine="0"/>
      </w:pPr>
      <m:oMathPara>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O</m:t>
              </m:r>
            </m:sup>
          </m:sSubSup>
          <m:r>
            <w:rPr>
              <w:rFonts w:ascii="Cambria Math" w:hAnsi="Cambria Math"/>
            </w:rPr>
            <m:t>=</m:t>
          </m:r>
          <m:nary>
            <m:naryPr>
              <m:chr m:val="∑"/>
              <m:limLoc m:val="undOvr"/>
              <m:ctrlPr>
                <w:rPr>
                  <w:rFonts w:ascii="Cambria Math" w:hAnsi="Cambria Math"/>
                  <w:i/>
                </w:rPr>
              </m:ctrlPr>
            </m:naryPr>
            <m:sub>
              <m:r>
                <w:rPr>
                  <w:rFonts w:ascii="Cambria Math" w:hAnsi="Cambria Math"/>
                </w:rPr>
                <m:t>y</m:t>
              </m:r>
              <m:r>
                <w:rPr>
                  <w:rFonts w:ascii="Cambria Math" w:hAnsi="Cambria Math"/>
                  <w:lang w:val="en-US"/>
                </w:rPr>
                <m:t>=1955</m:t>
              </m:r>
            </m:sub>
            <m:sup>
              <m:r>
                <w:rPr>
                  <w:rFonts w:ascii="Cambria Math" w:hAnsi="Cambria Math"/>
                </w:rPr>
                <m:t>1971</m:t>
              </m:r>
            </m:sup>
            <m:e>
              <m:sSubSup>
                <m:sSubSupPr>
                  <m:ctrlPr>
                    <w:rPr>
                      <w:rFonts w:ascii="Cambria Math" w:hAnsi="Cambria Math"/>
                      <w:i/>
                    </w:rPr>
                  </m:ctrlPr>
                </m:sSubSupPr>
                <m:e>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e>
                <m:sub>
                  <m:r>
                    <w:rPr>
                      <w:rFonts w:ascii="Cambria Math" w:hAnsi="Cambria Math"/>
                    </w:rPr>
                    <m:t>i</m:t>
                  </m:r>
                  <m:r>
                    <w:rPr>
                      <w:rFonts w:ascii="Cambria Math" w:hAnsi="Cambria Math"/>
                    </w:rPr>
                    <m:t>,</m:t>
                  </m:r>
                  <m:r>
                    <w:rPr>
                      <w:rFonts w:ascii="Cambria Math" w:hAnsi="Cambria Math"/>
                    </w:rPr>
                    <m:t>y</m:t>
                  </m:r>
                </m:sub>
                <m:sup>
                  <m:r>
                    <w:rPr>
                      <w:rFonts w:ascii="Cambria Math" w:hAnsi="Cambria Math"/>
                    </w:rPr>
                    <m:t>O</m:t>
                  </m:r>
                </m:sup>
              </m:sSubSup>
              <m:r>
                <w:rPr>
                  <w:rFonts w:ascii="Cambria Math" w:hAnsi="Cambria Math"/>
                </w:rPr>
                <m:t>*</m:t>
              </m:r>
              <m:sSubSup>
                <m:sSubSupPr>
                  <m:ctrlPr>
                    <w:rPr>
                      <w:rFonts w:ascii="Cambria Math" w:hAnsi="Cambria Math"/>
                      <w:i/>
                    </w:rPr>
                  </m:ctrlPr>
                </m:sSubSupPr>
                <m:e>
                  <m:r>
                    <w:rPr>
                      <w:rFonts w:ascii="Cambria Math" w:hAnsi="Cambria Math"/>
                    </w:rPr>
                    <m:t>ρ</m:t>
                  </m:r>
                </m:e>
                <m:sub>
                  <m:r>
                    <w:rPr>
                      <w:rFonts w:ascii="Cambria Math" w:hAnsi="Cambria Math"/>
                    </w:rPr>
                    <m:t>£</m:t>
                  </m:r>
                </m:sub>
                <m:sup>
                  <m:r>
                    <w:rPr>
                      <w:rFonts w:ascii="Cambria Math" w:hAnsi="Cambria Math"/>
                    </w:rPr>
                    <m:t>Tb</m:t>
                  </m:r>
                </m:sup>
              </m:sSubSup>
              <m:r>
                <w:rPr>
                  <w:rFonts w:ascii="Cambria Math" w:hAnsi="Cambria Math"/>
                </w:rPr>
                <m:t>)</m:t>
              </m:r>
              <m:sSubSup>
                <m:sSubSupPr>
                  <m:ctrlPr>
                    <w:rPr>
                      <w:rFonts w:ascii="Cambria Math" w:hAnsi="Cambria Math"/>
                      <w:i/>
                    </w:rPr>
                  </m:ctrlPr>
                </m:sSubSupPr>
                <m:e>
                  <m:r>
                    <w:rPr>
                      <w:rFonts w:ascii="Cambria Math" w:hAnsi="Cambria Math"/>
                    </w:rPr>
                    <m:t>+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e>
                <m:sub>
                  <m:r>
                    <w:rPr>
                      <w:rFonts w:ascii="Cambria Math" w:hAnsi="Cambria Math"/>
                    </w:rPr>
                    <m:t>i</m:t>
                  </m:r>
                  <m:r>
                    <w:rPr>
                      <w:rFonts w:ascii="Cambria Math" w:hAnsi="Cambria Math"/>
                    </w:rPr>
                    <m:t>,</m:t>
                  </m:r>
                  <m:r>
                    <w:rPr>
                      <w:rFonts w:ascii="Cambria Math" w:hAnsi="Cambria Math"/>
                    </w:rPr>
                    <m:t>y</m:t>
                  </m:r>
                </m:sub>
                <m:sup>
                  <m:r>
                    <w:rPr>
                      <w:rFonts w:ascii="Cambria Math" w:hAnsi="Cambria Math"/>
                    </w:rPr>
                    <m:t>O</m:t>
                  </m:r>
                </m:sup>
              </m:sSubSup>
              <m:r>
                <w:rPr>
                  <w:rFonts w:ascii="Cambria Math" w:hAnsi="Cambria Math"/>
                </w:rPr>
                <m:t>*</m:t>
              </m:r>
              <m:sSubSup>
                <m:sSubSupPr>
                  <m:ctrlPr>
                    <w:rPr>
                      <w:rFonts w:ascii="Cambria Math" w:hAnsi="Cambria Math"/>
                      <w:i/>
                    </w:rPr>
                  </m:ctrlPr>
                </m:sSubSupPr>
                <m:e>
                  <m:r>
                    <w:rPr>
                      <w:rFonts w:ascii="Cambria Math" w:hAnsi="Cambria Math"/>
                    </w:rPr>
                    <m:t>ρ</m:t>
                  </m:r>
                </m:e>
                <m:sub>
                  <m:r>
                    <w:rPr>
                      <w:rFonts w:ascii="Cambria Math" w:hAnsi="Cambria Math"/>
                    </w:rPr>
                    <m:t>£</m:t>
                  </m:r>
                </m:sub>
                <m:sup>
                  <m:r>
                    <w:rPr>
                      <w:rFonts w:ascii="Cambria Math" w:hAnsi="Cambria Math"/>
                    </w:rPr>
                    <m:t>s</m:t>
                  </m:r>
                </m:sup>
              </m:sSubSup>
              <m:r>
                <w:rPr>
                  <w:rFonts w:ascii="Cambria Math" w:hAnsi="Cambria Math"/>
                </w:rPr>
                <m:t>)</m:t>
              </m:r>
            </m:e>
          </m:nary>
          <m:r>
            <w:rPr>
              <w:rFonts w:ascii="Cambria Math" w:hAnsi="Cambria Math"/>
            </w:rPr>
            <m:t>)</m:t>
          </m:r>
        </m:oMath>
      </m:oMathPara>
    </w:p>
    <w:p w14:paraId="1593634E" w14:textId="77777777" w:rsidR="00734757" w:rsidRPr="00A70F6D" w:rsidRDefault="00734757" w:rsidP="00734757">
      <w:pPr>
        <w:spacing w:line="240" w:lineRule="auto"/>
        <w:ind w:firstLine="0"/>
      </w:pPr>
    </w:p>
    <w:p w14:paraId="525557AA" w14:textId="77777777" w:rsidR="00734757" w:rsidRPr="00A70F6D" w:rsidRDefault="008C74D1" w:rsidP="00734757">
      <w:pPr>
        <w:spacing w:line="240" w:lineRule="auto"/>
        <w:ind w:firstLine="0"/>
      </w:pPr>
      <m:oMathPara>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T</m:t>
              </m:r>
              <m:r>
                <w:rPr>
                  <w:rFonts w:ascii="Cambria Math" w:hAnsi="Cambria Math"/>
                </w:rPr>
                <m:t>h</m:t>
              </m:r>
            </m:sup>
          </m:sSubSup>
          <m:r>
            <w:rPr>
              <w:rFonts w:ascii="Cambria Math" w:hAnsi="Cambria Math"/>
            </w:rPr>
            <m:t>=</m:t>
          </m:r>
          <m:nary>
            <m:naryPr>
              <m:chr m:val="∑"/>
              <m:limLoc m:val="undOvr"/>
              <m:ctrlPr>
                <w:rPr>
                  <w:rFonts w:ascii="Cambria Math" w:hAnsi="Cambria Math"/>
                  <w:i/>
                </w:rPr>
              </m:ctrlPr>
            </m:naryPr>
            <m:sub>
              <m:r>
                <w:rPr>
                  <w:rFonts w:ascii="Cambria Math" w:hAnsi="Cambria Math"/>
                </w:rPr>
                <m:t>y</m:t>
              </m:r>
              <m:r>
                <w:rPr>
                  <w:rFonts w:ascii="Cambria Math" w:hAnsi="Cambria Math"/>
                  <w:lang w:val="en-US"/>
                </w:rPr>
                <m:t>=1955</m:t>
              </m:r>
            </m:sub>
            <m:sup>
              <m:r>
                <w:rPr>
                  <w:rFonts w:ascii="Cambria Math" w:hAnsi="Cambria Math"/>
                </w:rPr>
                <m:t>1971</m:t>
              </m:r>
            </m:sup>
            <m:e>
              <m:sSubSup>
                <m:sSubSupPr>
                  <m:ctrlPr>
                    <w:rPr>
                      <w:rFonts w:ascii="Cambria Math" w:hAnsi="Cambria Math"/>
                      <w:i/>
                    </w:rPr>
                  </m:ctrlPr>
                </m:sSub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e>
                <m:sub>
                  <m:r>
                    <w:rPr>
                      <w:rFonts w:ascii="Cambria Math" w:hAnsi="Cambria Math"/>
                    </w:rPr>
                    <m:t>i</m:t>
                  </m:r>
                  <m:r>
                    <w:rPr>
                      <w:rFonts w:ascii="Cambria Math" w:hAnsi="Cambria Math"/>
                    </w:rPr>
                    <m:t>,</m:t>
                  </m:r>
                  <m:r>
                    <w:rPr>
                      <w:rFonts w:ascii="Cambria Math" w:hAnsi="Cambria Math"/>
                    </w:rPr>
                    <m:t>y</m:t>
                  </m:r>
                </m:sub>
                <m:sup>
                  <m:r>
                    <w:rPr>
                      <w:rFonts w:ascii="Cambria Math" w:hAnsi="Cambria Math"/>
                    </w:rPr>
                    <m:t>t</m:t>
                  </m:r>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ρ</m:t>
                  </m:r>
                </m:e>
                <m:sub>
                  <m:r>
                    <w:rPr>
                      <w:rFonts w:ascii="Cambria Math" w:hAnsi="Cambria Math"/>
                    </w:rPr>
                    <m:t>£</m:t>
                  </m:r>
                </m:sub>
                <m:sup>
                  <m:r>
                    <w:rPr>
                      <w:rFonts w:ascii="Cambria Math" w:hAnsi="Cambria Math"/>
                    </w:rPr>
                    <m:t>Tb</m:t>
                  </m:r>
                </m:sup>
              </m:sSubSup>
              <m:r>
                <w:rPr>
                  <w:rFonts w:ascii="Cambria Math" w:hAnsi="Cambria Math"/>
                </w:rPr>
                <m:t>)</m:t>
              </m:r>
              <m:sSubSup>
                <m:sSubSupPr>
                  <m:ctrlPr>
                    <w:rPr>
                      <w:rFonts w:ascii="Cambria Math" w:hAnsi="Cambria Math"/>
                      <w:i/>
                    </w:rPr>
                  </m:ctrlPr>
                </m:sSubSupPr>
                <m:e>
                  <m:r>
                    <w:rPr>
                      <w:rFonts w:ascii="Cambria Math" w:hAnsi="Cambria Math"/>
                    </w:rPr>
                    <m:t>+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e>
                <m:sub>
                  <m:r>
                    <w:rPr>
                      <w:rFonts w:ascii="Cambria Math" w:hAnsi="Cambria Math"/>
                    </w:rPr>
                    <m:t>i</m:t>
                  </m:r>
                  <m:r>
                    <w:rPr>
                      <w:rFonts w:ascii="Cambria Math" w:hAnsi="Cambria Math"/>
                    </w:rPr>
                    <m:t>,</m:t>
                  </m:r>
                  <m:r>
                    <w:rPr>
                      <w:rFonts w:ascii="Cambria Math" w:hAnsi="Cambria Math"/>
                    </w:rPr>
                    <m:t>y</m:t>
                  </m:r>
                </m:sub>
                <m:sup>
                  <m:r>
                    <w:rPr>
                      <w:rFonts w:ascii="Cambria Math" w:hAnsi="Cambria Math"/>
                    </w:rPr>
                    <m:t>t</m:t>
                  </m:r>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ρ</m:t>
                  </m:r>
                </m:e>
                <m:sub>
                  <m:r>
                    <w:rPr>
                      <w:rFonts w:ascii="Cambria Math" w:hAnsi="Cambria Math"/>
                    </w:rPr>
                    <m:t>£</m:t>
                  </m:r>
                </m:sub>
                <m:sup>
                  <m:r>
                    <w:rPr>
                      <w:rFonts w:ascii="Cambria Math" w:hAnsi="Cambria Math"/>
                    </w:rPr>
                    <m:t>s</m:t>
                  </m:r>
                </m:sup>
              </m:sSubSup>
              <m:r>
                <w:rPr>
                  <w:rFonts w:ascii="Cambria Math" w:hAnsi="Cambria Math"/>
                </w:rPr>
                <m:t>))</m:t>
              </m:r>
            </m:e>
          </m:nary>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1971</m:t>
              </m:r>
            </m:sub>
          </m:sSub>
          <m:r>
            <w:rPr>
              <w:rFonts w:ascii="Cambria Math" w:hAnsi="Cambria Math"/>
            </w:rPr>
            <m:t>*</m:t>
          </m:r>
          <m:nary>
            <m:naryPr>
              <m:chr m:val="∑"/>
              <m:limLoc m:val="undOvr"/>
              <m:ctrlPr>
                <w:rPr>
                  <w:rFonts w:ascii="Cambria Math" w:hAnsi="Cambria Math"/>
                  <w:i/>
                </w:rPr>
              </m:ctrlPr>
            </m:naryPr>
            <m:sub>
              <m:r>
                <w:rPr>
                  <w:rFonts w:ascii="Cambria Math" w:hAnsi="Cambria Math"/>
                </w:rPr>
                <m:t>y</m:t>
              </m:r>
              <m:r>
                <w:rPr>
                  <w:rFonts w:ascii="Cambria Math" w:hAnsi="Cambria Math"/>
                </w:rPr>
                <m:t>=1955</m:t>
              </m:r>
            </m:sub>
            <m:sup>
              <m:r>
                <w:rPr>
                  <w:rFonts w:ascii="Cambria Math" w:hAnsi="Cambria Math"/>
                </w:rPr>
                <m:t>1971</m:t>
              </m:r>
            </m:sup>
            <m:e>
              <m:sSubSup>
                <m:sSubSupPr>
                  <m:ctrlPr>
                    <w:rPr>
                      <w:rFonts w:ascii="Cambria Math" w:hAnsi="Cambria Math"/>
                      <w:i/>
                    </w:rPr>
                  </m:ctrlPr>
                </m:sSub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e>
                <m:sub>
                  <m:r>
                    <w:rPr>
                      <w:rFonts w:ascii="Cambria Math" w:hAnsi="Cambria Math"/>
                    </w:rPr>
                    <m:t>i</m:t>
                  </m:r>
                  <m:r>
                    <w:rPr>
                      <w:rFonts w:ascii="Cambria Math" w:hAnsi="Cambria Math"/>
                    </w:rPr>
                    <m:t>,</m:t>
                  </m:r>
                  <m:r>
                    <w:rPr>
                      <w:rFonts w:ascii="Cambria Math" w:hAnsi="Cambria Math"/>
                    </w:rPr>
                    <m:t>y</m:t>
                  </m:r>
                </m:sub>
                <m:sup>
                  <m:r>
                    <w:rPr>
                      <w:rFonts w:ascii="Cambria Math" w:hAnsi="Cambria Math"/>
                    </w:rPr>
                    <m:t>t</m:t>
                  </m:r>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ρ</m:t>
                  </m:r>
                </m:e>
                <m:sub>
                  <m:r>
                    <w:rPr>
                      <w:rFonts w:ascii="Cambria Math" w:hAnsi="Cambria Math"/>
                    </w:rPr>
                    <m:t>$</m:t>
                  </m:r>
                </m:sub>
                <m:sup>
                  <m:r>
                    <w:rPr>
                      <w:rFonts w:ascii="Cambria Math" w:hAnsi="Cambria Math"/>
                    </w:rPr>
                    <m:t>Tb</m:t>
                  </m:r>
                </m:sup>
              </m:sSubSup>
              <m:r>
                <w:rPr>
                  <w:rFonts w:ascii="Cambria Math" w:hAnsi="Cambria Math"/>
                </w:rPr>
                <m:t>)</m:t>
              </m:r>
              <m:sSubSup>
                <m:sSubSupPr>
                  <m:ctrlPr>
                    <w:rPr>
                      <w:rFonts w:ascii="Cambria Math" w:hAnsi="Cambria Math"/>
                      <w:i/>
                    </w:rPr>
                  </m:ctrlPr>
                </m:sSubSupPr>
                <m:e>
                  <m:r>
                    <w:rPr>
                      <w:rFonts w:ascii="Cambria Math" w:hAnsi="Cambria Math"/>
                    </w:rPr>
                    <m:t>+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e>
                <m:sub>
                  <m:r>
                    <w:rPr>
                      <w:rFonts w:ascii="Cambria Math" w:hAnsi="Cambria Math"/>
                    </w:rPr>
                    <m:t>i</m:t>
                  </m:r>
                  <m:r>
                    <w:rPr>
                      <w:rFonts w:ascii="Cambria Math" w:hAnsi="Cambria Math"/>
                    </w:rPr>
                    <m:t>,</m:t>
                  </m:r>
                  <m:r>
                    <w:rPr>
                      <w:rFonts w:ascii="Cambria Math" w:hAnsi="Cambria Math"/>
                    </w:rPr>
                    <m:t>y</m:t>
                  </m:r>
                </m:sub>
                <m:sup>
                  <m:r>
                    <w:rPr>
                      <w:rFonts w:ascii="Cambria Math" w:hAnsi="Cambria Math"/>
                    </w:rPr>
                    <m:t>t</m:t>
                  </m:r>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ρ</m:t>
                  </m:r>
                </m:e>
                <m:sub>
                  <m:r>
                    <w:rPr>
                      <w:rFonts w:ascii="Cambria Math" w:hAnsi="Cambria Math"/>
                    </w:rPr>
                    <m:t>$</m:t>
                  </m:r>
                </m:sub>
                <m:sup>
                  <m:r>
                    <w:rPr>
                      <w:rFonts w:ascii="Cambria Math" w:hAnsi="Cambria Math"/>
                    </w:rPr>
                    <m:t>s</m:t>
                  </m:r>
                </m:sup>
              </m:sSubSup>
              <m:r>
                <w:rPr>
                  <w:rFonts w:ascii="Cambria Math" w:hAnsi="Cambria Math"/>
                </w:rPr>
                <m:t>)</m:t>
              </m:r>
            </m:e>
          </m:nary>
          <m:r>
            <w:rPr>
              <w:rFonts w:ascii="Cambria Math" w:hAnsi="Cambria Math"/>
            </w:rPr>
            <m:t>) ]</m:t>
          </m:r>
        </m:oMath>
      </m:oMathPara>
    </w:p>
    <w:p w14:paraId="2F10F4AB" w14:textId="77777777" w:rsidR="00734757" w:rsidRPr="00A70F6D" w:rsidRDefault="00734757" w:rsidP="00734757">
      <w:pPr>
        <w:spacing w:line="240" w:lineRule="auto"/>
        <w:ind w:firstLine="0"/>
      </w:pPr>
    </w:p>
    <w:p w14:paraId="38870AC7" w14:textId="77777777" w:rsidR="00734757" w:rsidRPr="00A70F6D" w:rsidRDefault="00734757" w:rsidP="00734757">
      <w:pPr>
        <w:spacing w:line="240" w:lineRule="auto"/>
        <w:ind w:firstLine="0"/>
      </w:pPr>
      <w:r w:rsidRPr="00A70F6D">
        <w:t>I can compute such measure for a sub-sample of my database for which I have annual observations from the period 1955</w:t>
      </w:r>
      <w:r w:rsidRPr="00A70F6D">
        <w:rPr>
          <w:vertAlign w:val="superscript"/>
        </w:rPr>
        <w:footnoteReference w:id="3"/>
      </w:r>
      <w:r w:rsidRPr="00A70F6D">
        <w:t xml:space="preserve">-1971, except for 1968 and 1969. </w:t>
      </w:r>
    </w:p>
    <w:p w14:paraId="2FB55926" w14:textId="6C21676D" w:rsidR="00734757" w:rsidRPr="00A70F6D" w:rsidRDefault="00734757" w:rsidP="00734757">
      <w:pPr>
        <w:spacing w:line="240" w:lineRule="auto"/>
        <w:ind w:firstLine="0"/>
      </w:pPr>
      <w:r w:rsidRPr="00A70F6D">
        <w:t>Finally, I measure the difference between the two investment strategies and I express it as % of end of the period GDP in</w:t>
      </w:r>
      <w:r w:rsidR="00E447AF" w:rsidRPr="00A70F6D">
        <w:t xml:space="preserve"> </w:t>
      </w:r>
      <w:r w:rsidR="00E447AF" w:rsidRPr="00A70F6D">
        <w:rPr>
          <w:szCs w:val="24"/>
        </w:rPr>
        <w:t xml:space="preserve">Figure </w:t>
      </w:r>
      <w:r w:rsidR="00804D7A" w:rsidRPr="00A70F6D">
        <w:rPr>
          <w:szCs w:val="24"/>
        </w:rPr>
        <w:t>3</w:t>
      </w:r>
      <w:r w:rsidR="00E447AF" w:rsidRPr="00A70F6D">
        <w:rPr>
          <w:szCs w:val="24"/>
        </w:rPr>
        <w:t xml:space="preserve"> of the paper</w:t>
      </w:r>
      <w:r w:rsidRPr="00A70F6D">
        <w:t xml:space="preserve">. While this is a simplified portfolios analysis, it shows the overall trend. </w:t>
      </w:r>
    </w:p>
    <w:p w14:paraId="5B29CD03" w14:textId="77777777" w:rsidR="00734757" w:rsidRPr="00A70F6D" w:rsidRDefault="00734757" w:rsidP="00734757">
      <w:pPr>
        <w:spacing w:after="160" w:line="259" w:lineRule="auto"/>
        <w:ind w:firstLine="0"/>
        <w:jc w:val="left"/>
        <w:rPr>
          <w:rFonts w:eastAsiaTheme="minorEastAsia" w:cs="Times New Roman"/>
          <w:szCs w:val="24"/>
          <w:lang w:val="en-US"/>
        </w:rPr>
      </w:pPr>
      <w:r w:rsidRPr="00A70F6D">
        <w:rPr>
          <w:rFonts w:eastAsiaTheme="minorEastAsia" w:cs="Times New Roman"/>
          <w:szCs w:val="24"/>
          <w:lang w:val="en-US"/>
        </w:rPr>
        <w:br w:type="page"/>
      </w:r>
    </w:p>
    <w:p w14:paraId="6DAACD7F" w14:textId="77777777" w:rsidR="00734757" w:rsidRPr="00A70F6D" w:rsidRDefault="00734757" w:rsidP="00734757">
      <w:pPr>
        <w:spacing w:line="240" w:lineRule="auto"/>
        <w:rPr>
          <w:rFonts w:eastAsiaTheme="minorEastAsia" w:cs="Times New Roman"/>
          <w:szCs w:val="24"/>
          <w:lang w:val="en-US"/>
        </w:rPr>
      </w:pPr>
    </w:p>
    <w:p w14:paraId="4C9A6012" w14:textId="77777777" w:rsidR="00734757" w:rsidRPr="00A70F6D" w:rsidRDefault="00734757" w:rsidP="00307ACA">
      <w:pPr>
        <w:spacing w:before="240" w:after="400" w:line="240" w:lineRule="auto"/>
        <w:ind w:left="1985" w:firstLine="0"/>
        <w:jc w:val="left"/>
        <w:outlineLvl w:val="2"/>
        <w:rPr>
          <w:rFonts w:eastAsiaTheme="majorEastAsia" w:cstheme="majorBidi"/>
          <w:iCs/>
          <w:sz w:val="22"/>
          <w:lang w:val="en-US"/>
        </w:rPr>
      </w:pPr>
      <w:bookmarkStart w:id="3" w:name="_Toc57848036"/>
      <w:r w:rsidRPr="00A70F6D">
        <w:rPr>
          <w:rFonts w:eastAsiaTheme="majorEastAsia" w:cstheme="majorBidi"/>
          <w:iCs/>
          <w:sz w:val="22"/>
          <w:lang w:val="en-US"/>
        </w:rPr>
        <w:t xml:space="preserve">Appendix 3: Robustness tables </w:t>
      </w:r>
      <w:bookmarkStart w:id="4" w:name="_Ref46088978"/>
      <w:bookmarkEnd w:id="3"/>
    </w:p>
    <w:p w14:paraId="596471C6" w14:textId="6028A248" w:rsidR="00734757" w:rsidRPr="00A70F6D" w:rsidRDefault="00734757" w:rsidP="00734757">
      <w:pPr>
        <w:spacing w:after="200" w:line="240" w:lineRule="auto"/>
        <w:rPr>
          <w:rFonts w:cs="Times New Roman"/>
          <w:iCs/>
          <w:szCs w:val="24"/>
          <w:lang w:val="en-US"/>
        </w:rPr>
      </w:pPr>
      <w:bookmarkStart w:id="5" w:name="_Ref57830997"/>
      <w:bookmarkStart w:id="6" w:name="_Toc57847745"/>
      <w:bookmarkStart w:id="7" w:name="_Hlk102334106"/>
      <w:bookmarkEnd w:id="4"/>
      <w:r w:rsidRPr="00A70F6D">
        <w:rPr>
          <w:iCs/>
          <w:szCs w:val="24"/>
        </w:rPr>
        <w:t xml:space="preserve">Table </w:t>
      </w:r>
      <w:r w:rsidRPr="00A70F6D">
        <w:rPr>
          <w:iCs/>
          <w:szCs w:val="24"/>
        </w:rPr>
        <w:fldChar w:fldCharType="begin"/>
      </w:r>
      <w:r w:rsidRPr="00A70F6D">
        <w:rPr>
          <w:iCs/>
          <w:szCs w:val="24"/>
        </w:rPr>
        <w:instrText xml:space="preserve"> SEQ Table \* ARABIC \s 1 </w:instrText>
      </w:r>
      <w:r w:rsidRPr="00A70F6D">
        <w:rPr>
          <w:iCs/>
          <w:szCs w:val="24"/>
        </w:rPr>
        <w:fldChar w:fldCharType="separate"/>
      </w:r>
      <w:r w:rsidR="00D34F23" w:rsidRPr="00A70F6D">
        <w:rPr>
          <w:iCs/>
          <w:noProof/>
          <w:szCs w:val="24"/>
        </w:rPr>
        <w:t>1</w:t>
      </w:r>
      <w:r w:rsidRPr="00A70F6D">
        <w:rPr>
          <w:iCs/>
          <w:szCs w:val="24"/>
        </w:rPr>
        <w:fldChar w:fldCharType="end"/>
      </w:r>
      <w:bookmarkEnd w:id="5"/>
      <w:r w:rsidRPr="00A70F6D">
        <w:rPr>
          <w:rFonts w:cs="Times New Roman"/>
          <w:iCs/>
          <w:szCs w:val="24"/>
          <w:lang w:val="en-US"/>
        </w:rPr>
        <w:t>: Robustness checks</w:t>
      </w:r>
      <w:bookmarkEnd w:id="6"/>
      <w:r w:rsidRPr="00A70F6D">
        <w:rPr>
          <w:rFonts w:cs="Times New Roman"/>
          <w:iCs/>
          <w:szCs w:val="24"/>
          <w:lang w:val="en-US"/>
        </w:rPr>
        <w:t xml:space="preserve"> 1</w:t>
      </w:r>
    </w:p>
    <w:tbl>
      <w:tblPr>
        <w:tblW w:w="12335" w:type="dxa"/>
        <w:tblLayout w:type="fixed"/>
        <w:tblLook w:val="0000" w:firstRow="0" w:lastRow="0" w:firstColumn="0" w:lastColumn="0" w:noHBand="0" w:noVBand="0"/>
      </w:tblPr>
      <w:tblGrid>
        <w:gridCol w:w="2801"/>
        <w:gridCol w:w="1274"/>
        <w:gridCol w:w="1371"/>
        <w:gridCol w:w="1181"/>
        <w:gridCol w:w="1451"/>
        <w:gridCol w:w="1703"/>
        <w:gridCol w:w="1276"/>
        <w:gridCol w:w="1278"/>
      </w:tblGrid>
      <w:tr w:rsidR="00266184" w:rsidRPr="00A70F6D" w14:paraId="6447FCB2" w14:textId="77777777" w:rsidTr="00A70F6D">
        <w:trPr>
          <w:gridAfter w:val="2"/>
          <w:wAfter w:w="2554" w:type="dxa"/>
        </w:trPr>
        <w:tc>
          <w:tcPr>
            <w:tcW w:w="2801" w:type="dxa"/>
            <w:tcBorders>
              <w:top w:val="single" w:sz="4" w:space="0" w:color="auto"/>
              <w:left w:val="nil"/>
              <w:bottom w:val="nil"/>
              <w:right w:val="nil"/>
            </w:tcBorders>
          </w:tcPr>
          <w:p w14:paraId="67ED1125"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4" w:type="dxa"/>
            <w:tcBorders>
              <w:top w:val="single" w:sz="4" w:space="0" w:color="auto"/>
              <w:left w:val="nil"/>
              <w:right w:val="nil"/>
            </w:tcBorders>
          </w:tcPr>
          <w:p w14:paraId="0CB79AFA"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w:t>
            </w:r>
          </w:p>
        </w:tc>
        <w:tc>
          <w:tcPr>
            <w:tcW w:w="1371" w:type="dxa"/>
            <w:tcBorders>
              <w:top w:val="single" w:sz="4" w:space="0" w:color="auto"/>
              <w:left w:val="nil"/>
              <w:right w:val="nil"/>
            </w:tcBorders>
          </w:tcPr>
          <w:p w14:paraId="7AC116D3"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(2)</w:t>
            </w:r>
          </w:p>
        </w:tc>
        <w:tc>
          <w:tcPr>
            <w:tcW w:w="1181" w:type="dxa"/>
            <w:tcBorders>
              <w:top w:val="single" w:sz="4" w:space="0" w:color="auto"/>
              <w:left w:val="nil"/>
              <w:right w:val="nil"/>
            </w:tcBorders>
          </w:tcPr>
          <w:p w14:paraId="5C958AB8"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(3)</w:t>
            </w:r>
          </w:p>
        </w:tc>
        <w:tc>
          <w:tcPr>
            <w:tcW w:w="1451" w:type="dxa"/>
            <w:tcBorders>
              <w:top w:val="single" w:sz="4" w:space="0" w:color="auto"/>
              <w:left w:val="nil"/>
              <w:right w:val="nil"/>
            </w:tcBorders>
          </w:tcPr>
          <w:p w14:paraId="6FF7AE9A"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w:t>
            </w:r>
          </w:p>
        </w:tc>
        <w:tc>
          <w:tcPr>
            <w:tcW w:w="1703" w:type="dxa"/>
            <w:tcBorders>
              <w:top w:val="single" w:sz="4" w:space="0" w:color="auto"/>
              <w:left w:val="nil"/>
              <w:right w:val="nil"/>
            </w:tcBorders>
          </w:tcPr>
          <w:p w14:paraId="0BF22A28"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(5)</w:t>
            </w:r>
          </w:p>
        </w:tc>
      </w:tr>
      <w:tr w:rsidR="00266184" w:rsidRPr="00A70F6D" w14:paraId="34DCA401" w14:textId="77777777" w:rsidTr="00A70F6D">
        <w:tc>
          <w:tcPr>
            <w:tcW w:w="2801" w:type="dxa"/>
            <w:tcBorders>
              <w:top w:val="nil"/>
              <w:left w:val="nil"/>
              <w:right w:val="nil"/>
            </w:tcBorders>
          </w:tcPr>
          <w:p w14:paraId="38B63366"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6980" w:type="dxa"/>
            <w:gridSpan w:val="5"/>
            <w:tcBorders>
              <w:top w:val="nil"/>
              <w:left w:val="nil"/>
              <w:bottom w:val="single" w:sz="4" w:space="0" w:color="auto"/>
              <w:right w:val="nil"/>
            </w:tcBorders>
          </w:tcPr>
          <w:p w14:paraId="40DE97C3"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Fractional logit (</w:t>
            </w:r>
            <w:r w:rsidRPr="00A70F6D">
              <w:rPr>
                <w:rFonts w:eastAsiaTheme="minorEastAsia" w:cs="Times New Roman"/>
                <w:i/>
                <w:sz w:val="20"/>
                <w:szCs w:val="20"/>
                <w:lang w:val="en-US"/>
              </w:rPr>
              <w:t>Odd ratios</w:t>
            </w:r>
            <w:r w:rsidRPr="00A70F6D">
              <w:rPr>
                <w:rFonts w:eastAsiaTheme="minorEastAsia" w:cs="Times New Roman"/>
                <w:sz w:val="20"/>
                <w:szCs w:val="20"/>
                <w:lang w:val="en-US"/>
              </w:rPr>
              <w:t xml:space="preserve">) </w:t>
            </w:r>
          </w:p>
        </w:tc>
        <w:tc>
          <w:tcPr>
            <w:tcW w:w="1276" w:type="dxa"/>
            <w:tcBorders>
              <w:top w:val="nil"/>
              <w:left w:val="nil"/>
              <w:right w:val="nil"/>
            </w:tcBorders>
          </w:tcPr>
          <w:p w14:paraId="3670E729"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278" w:type="dxa"/>
            <w:tcBorders>
              <w:top w:val="nil"/>
              <w:left w:val="nil"/>
              <w:right w:val="nil"/>
            </w:tcBorders>
          </w:tcPr>
          <w:p w14:paraId="2460E923"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OLS</w:t>
            </w:r>
          </w:p>
        </w:tc>
      </w:tr>
      <w:tr w:rsidR="00266184" w:rsidRPr="00A70F6D" w14:paraId="116DB1AC" w14:textId="77777777" w:rsidTr="00A70F6D">
        <w:trPr>
          <w:gridAfter w:val="2"/>
          <w:wAfter w:w="2554" w:type="dxa"/>
        </w:trPr>
        <w:tc>
          <w:tcPr>
            <w:tcW w:w="2801" w:type="dxa"/>
            <w:tcBorders>
              <w:top w:val="nil"/>
              <w:left w:val="nil"/>
              <w:bottom w:val="single" w:sz="4" w:space="0" w:color="auto"/>
              <w:right w:val="nil"/>
            </w:tcBorders>
          </w:tcPr>
          <w:p w14:paraId="0F8C8E5C"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4" w:type="dxa"/>
            <w:tcBorders>
              <w:top w:val="single" w:sz="4" w:space="0" w:color="auto"/>
              <w:left w:val="nil"/>
              <w:bottom w:val="single" w:sz="4" w:space="0" w:color="auto"/>
              <w:right w:val="nil"/>
            </w:tcBorders>
          </w:tcPr>
          <w:p w14:paraId="1E3E2AA7"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Post 1957</w:t>
            </w:r>
          </w:p>
        </w:tc>
        <w:tc>
          <w:tcPr>
            <w:tcW w:w="1371" w:type="dxa"/>
            <w:tcBorders>
              <w:top w:val="single" w:sz="4" w:space="0" w:color="auto"/>
              <w:left w:val="nil"/>
              <w:bottom w:val="single" w:sz="4" w:space="0" w:color="auto"/>
              <w:right w:val="nil"/>
            </w:tcBorders>
          </w:tcPr>
          <w:p w14:paraId="51F70A3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No colony</w:t>
            </w:r>
          </w:p>
        </w:tc>
        <w:tc>
          <w:tcPr>
            <w:tcW w:w="1181" w:type="dxa"/>
            <w:tcBorders>
              <w:top w:val="single" w:sz="4" w:space="0" w:color="auto"/>
              <w:left w:val="nil"/>
              <w:bottom w:val="single" w:sz="4" w:space="0" w:color="auto"/>
              <w:right w:val="nil"/>
            </w:tcBorders>
          </w:tcPr>
          <w:p w14:paraId="0D5050CE"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Exports to the UK</w:t>
            </w:r>
          </w:p>
        </w:tc>
        <w:tc>
          <w:tcPr>
            <w:tcW w:w="1451" w:type="dxa"/>
            <w:tcBorders>
              <w:top w:val="nil"/>
              <w:left w:val="nil"/>
              <w:bottom w:val="single" w:sz="4" w:space="0" w:color="auto"/>
              <w:right w:val="nil"/>
            </w:tcBorders>
          </w:tcPr>
          <w:p w14:paraId="5D389A5E"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Exports to the sterling area</w:t>
            </w:r>
          </w:p>
        </w:tc>
        <w:tc>
          <w:tcPr>
            <w:tcW w:w="1703" w:type="dxa"/>
            <w:tcBorders>
              <w:top w:val="nil"/>
              <w:left w:val="nil"/>
              <w:bottom w:val="single" w:sz="4" w:space="0" w:color="auto"/>
              <w:right w:val="nil"/>
            </w:tcBorders>
          </w:tcPr>
          <w:p w14:paraId="5F86F671"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Imports from</w:t>
            </w:r>
          </w:p>
          <w:p w14:paraId="57A93546"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 xml:space="preserve"> the sterling area</w:t>
            </w:r>
          </w:p>
        </w:tc>
      </w:tr>
      <w:tr w:rsidR="00266184" w:rsidRPr="00A70F6D" w14:paraId="2F2CF300" w14:textId="77777777" w:rsidTr="00A70F6D">
        <w:trPr>
          <w:gridAfter w:val="2"/>
          <w:wAfter w:w="2554" w:type="dxa"/>
        </w:trPr>
        <w:tc>
          <w:tcPr>
            <w:tcW w:w="2801" w:type="dxa"/>
            <w:tcBorders>
              <w:top w:val="single" w:sz="4" w:space="0" w:color="auto"/>
              <w:left w:val="nil"/>
              <w:bottom w:val="nil"/>
              <w:right w:val="nil"/>
            </w:tcBorders>
          </w:tcPr>
          <w:p w14:paraId="3845D4E6"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Sterling area membership</w:t>
            </w:r>
          </w:p>
        </w:tc>
        <w:tc>
          <w:tcPr>
            <w:tcW w:w="1274" w:type="dxa"/>
            <w:tcBorders>
              <w:top w:val="single" w:sz="4" w:space="0" w:color="auto"/>
              <w:left w:val="nil"/>
              <w:bottom w:val="nil"/>
              <w:right w:val="nil"/>
            </w:tcBorders>
          </w:tcPr>
          <w:p w14:paraId="6A0544F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0.63</w:t>
            </w:r>
          </w:p>
        </w:tc>
        <w:tc>
          <w:tcPr>
            <w:tcW w:w="1371" w:type="dxa"/>
            <w:tcBorders>
              <w:top w:val="single" w:sz="4" w:space="0" w:color="auto"/>
              <w:left w:val="nil"/>
              <w:bottom w:val="nil"/>
              <w:right w:val="nil"/>
            </w:tcBorders>
          </w:tcPr>
          <w:p w14:paraId="673451AF"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2.82</w:t>
            </w:r>
          </w:p>
        </w:tc>
        <w:tc>
          <w:tcPr>
            <w:tcW w:w="1181" w:type="dxa"/>
            <w:tcBorders>
              <w:top w:val="single" w:sz="4" w:space="0" w:color="auto"/>
              <w:left w:val="nil"/>
              <w:bottom w:val="nil"/>
              <w:right w:val="nil"/>
            </w:tcBorders>
          </w:tcPr>
          <w:p w14:paraId="5D2E941E"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5.03*</w:t>
            </w:r>
          </w:p>
        </w:tc>
        <w:tc>
          <w:tcPr>
            <w:tcW w:w="1451" w:type="dxa"/>
            <w:tcBorders>
              <w:top w:val="single" w:sz="4" w:space="0" w:color="auto"/>
              <w:left w:val="nil"/>
              <w:bottom w:val="nil"/>
              <w:right w:val="nil"/>
            </w:tcBorders>
          </w:tcPr>
          <w:p w14:paraId="5EF5322A"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6.99*</w:t>
            </w:r>
          </w:p>
        </w:tc>
        <w:tc>
          <w:tcPr>
            <w:tcW w:w="1703" w:type="dxa"/>
            <w:tcBorders>
              <w:top w:val="single" w:sz="4" w:space="0" w:color="auto"/>
              <w:left w:val="nil"/>
              <w:bottom w:val="nil"/>
              <w:right w:val="nil"/>
            </w:tcBorders>
          </w:tcPr>
          <w:p w14:paraId="7F926B57"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1.82</w:t>
            </w:r>
          </w:p>
        </w:tc>
      </w:tr>
      <w:tr w:rsidR="00266184" w:rsidRPr="00A70F6D" w14:paraId="7E5FC514" w14:textId="77777777" w:rsidTr="00A70F6D">
        <w:trPr>
          <w:gridAfter w:val="2"/>
          <w:wAfter w:w="2554" w:type="dxa"/>
        </w:trPr>
        <w:tc>
          <w:tcPr>
            <w:tcW w:w="2801" w:type="dxa"/>
            <w:tcBorders>
              <w:top w:val="nil"/>
              <w:left w:val="nil"/>
              <w:bottom w:val="nil"/>
              <w:right w:val="nil"/>
            </w:tcBorders>
          </w:tcPr>
          <w:p w14:paraId="6A730D5B"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4" w:type="dxa"/>
            <w:tcBorders>
              <w:top w:val="nil"/>
              <w:left w:val="nil"/>
              <w:bottom w:val="nil"/>
              <w:right w:val="nil"/>
            </w:tcBorders>
          </w:tcPr>
          <w:p w14:paraId="5AD44B67"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(0.65)</w:t>
            </w:r>
          </w:p>
        </w:tc>
        <w:tc>
          <w:tcPr>
            <w:tcW w:w="1371" w:type="dxa"/>
            <w:tcBorders>
              <w:top w:val="nil"/>
              <w:left w:val="nil"/>
              <w:bottom w:val="nil"/>
              <w:right w:val="nil"/>
            </w:tcBorders>
          </w:tcPr>
          <w:p w14:paraId="1D5D851D"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(0.32)</w:t>
            </w:r>
          </w:p>
        </w:tc>
        <w:tc>
          <w:tcPr>
            <w:tcW w:w="1181" w:type="dxa"/>
            <w:tcBorders>
              <w:top w:val="nil"/>
              <w:left w:val="nil"/>
              <w:bottom w:val="nil"/>
              <w:right w:val="nil"/>
            </w:tcBorders>
          </w:tcPr>
          <w:p w14:paraId="27C86315"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(0.08)</w:t>
            </w:r>
          </w:p>
        </w:tc>
        <w:tc>
          <w:tcPr>
            <w:tcW w:w="1451" w:type="dxa"/>
            <w:tcBorders>
              <w:top w:val="nil"/>
              <w:left w:val="nil"/>
              <w:bottom w:val="nil"/>
              <w:right w:val="nil"/>
            </w:tcBorders>
          </w:tcPr>
          <w:p w14:paraId="4D8DE349"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(0.07)</w:t>
            </w:r>
          </w:p>
        </w:tc>
        <w:tc>
          <w:tcPr>
            <w:tcW w:w="1703" w:type="dxa"/>
            <w:tcBorders>
              <w:top w:val="nil"/>
              <w:left w:val="nil"/>
              <w:bottom w:val="nil"/>
              <w:right w:val="nil"/>
            </w:tcBorders>
          </w:tcPr>
          <w:p w14:paraId="57554C5F"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(0.60)</w:t>
            </w:r>
          </w:p>
        </w:tc>
      </w:tr>
      <w:tr w:rsidR="00266184" w:rsidRPr="00A70F6D" w14:paraId="2794EBDD" w14:textId="77777777" w:rsidTr="00A70F6D">
        <w:trPr>
          <w:gridAfter w:val="2"/>
          <w:wAfter w:w="2554" w:type="dxa"/>
        </w:trPr>
        <w:tc>
          <w:tcPr>
            <w:tcW w:w="2801" w:type="dxa"/>
            <w:tcBorders>
              <w:top w:val="nil"/>
              <w:left w:val="nil"/>
              <w:bottom w:val="nil"/>
              <w:right w:val="nil"/>
            </w:tcBorders>
          </w:tcPr>
          <w:p w14:paraId="3B189809" w14:textId="13573CBE" w:rsidR="00266184" w:rsidRPr="00A70F6D" w:rsidRDefault="00A70F6D" w:rsidP="00A70F6D">
            <w:pPr>
              <w:widowControl w:val="0"/>
              <w:autoSpaceDE w:val="0"/>
              <w:autoSpaceDN w:val="0"/>
              <w:adjustRightInd w:val="0"/>
              <w:spacing w:line="240" w:lineRule="auto"/>
              <w:ind w:firstLine="0"/>
              <w:jc w:val="left"/>
              <w:rPr>
                <w:rFonts w:eastAsiaTheme="minorEastAsia" w:cs="Times New Roman"/>
                <w:sz w:val="20"/>
                <w:szCs w:val="20"/>
                <w:lang w:val="en-US"/>
              </w:rPr>
            </w:pPr>
            <w:r>
              <w:rPr>
                <w:rFonts w:eastAsiaTheme="minorEastAsia" w:cs="Times New Roman"/>
                <w:sz w:val="20"/>
                <w:szCs w:val="20"/>
                <w:lang w:val="en-US"/>
              </w:rPr>
              <w:t>T</w:t>
            </w:r>
            <w:r w:rsidR="00266184" w:rsidRPr="00A70F6D">
              <w:rPr>
                <w:rFonts w:eastAsiaTheme="minorEastAsia" w:cs="Times New Roman"/>
                <w:sz w:val="20"/>
                <w:szCs w:val="20"/>
                <w:lang w:val="en-US"/>
              </w:rPr>
              <w:t>rade intensity w/UK</w:t>
            </w:r>
          </w:p>
        </w:tc>
        <w:tc>
          <w:tcPr>
            <w:tcW w:w="1274" w:type="dxa"/>
            <w:tcBorders>
              <w:top w:val="nil"/>
              <w:left w:val="nil"/>
              <w:bottom w:val="nil"/>
              <w:right w:val="nil"/>
            </w:tcBorders>
          </w:tcPr>
          <w:p w14:paraId="398D7034"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2.44**</w:t>
            </w:r>
          </w:p>
        </w:tc>
        <w:tc>
          <w:tcPr>
            <w:tcW w:w="1371" w:type="dxa"/>
            <w:tcBorders>
              <w:top w:val="nil"/>
              <w:left w:val="nil"/>
              <w:bottom w:val="nil"/>
              <w:right w:val="nil"/>
            </w:tcBorders>
          </w:tcPr>
          <w:p w14:paraId="02165A0E"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2.41**</w:t>
            </w:r>
          </w:p>
        </w:tc>
        <w:tc>
          <w:tcPr>
            <w:tcW w:w="1181" w:type="dxa"/>
            <w:tcBorders>
              <w:top w:val="nil"/>
              <w:left w:val="nil"/>
              <w:bottom w:val="nil"/>
              <w:right w:val="nil"/>
            </w:tcBorders>
          </w:tcPr>
          <w:p w14:paraId="2E89726D"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1.13***</w:t>
            </w:r>
          </w:p>
        </w:tc>
        <w:tc>
          <w:tcPr>
            <w:tcW w:w="1451" w:type="dxa"/>
            <w:tcBorders>
              <w:top w:val="nil"/>
              <w:left w:val="nil"/>
              <w:bottom w:val="nil"/>
              <w:right w:val="nil"/>
            </w:tcBorders>
          </w:tcPr>
          <w:p w14:paraId="69F780EF"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1.12***</w:t>
            </w:r>
          </w:p>
        </w:tc>
        <w:tc>
          <w:tcPr>
            <w:tcW w:w="1703" w:type="dxa"/>
            <w:tcBorders>
              <w:top w:val="nil"/>
              <w:left w:val="nil"/>
              <w:bottom w:val="nil"/>
              <w:right w:val="nil"/>
            </w:tcBorders>
          </w:tcPr>
          <w:p w14:paraId="571A50A7"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1.11**</w:t>
            </w:r>
          </w:p>
        </w:tc>
      </w:tr>
      <w:tr w:rsidR="00266184" w:rsidRPr="00A70F6D" w14:paraId="62DA8EBA" w14:textId="77777777" w:rsidTr="00A70F6D">
        <w:trPr>
          <w:gridAfter w:val="2"/>
          <w:wAfter w:w="2554" w:type="dxa"/>
        </w:trPr>
        <w:tc>
          <w:tcPr>
            <w:tcW w:w="2801" w:type="dxa"/>
            <w:tcBorders>
              <w:top w:val="nil"/>
              <w:left w:val="nil"/>
              <w:bottom w:val="nil"/>
              <w:right w:val="nil"/>
            </w:tcBorders>
          </w:tcPr>
          <w:p w14:paraId="172944EB"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4" w:type="dxa"/>
            <w:tcBorders>
              <w:top w:val="nil"/>
              <w:left w:val="nil"/>
              <w:bottom w:val="nil"/>
              <w:right w:val="nil"/>
            </w:tcBorders>
          </w:tcPr>
          <w:p w14:paraId="2545B7BA"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(0.02)</w:t>
            </w:r>
          </w:p>
        </w:tc>
        <w:tc>
          <w:tcPr>
            <w:tcW w:w="1371" w:type="dxa"/>
            <w:tcBorders>
              <w:top w:val="nil"/>
              <w:left w:val="nil"/>
              <w:bottom w:val="nil"/>
              <w:right w:val="nil"/>
            </w:tcBorders>
          </w:tcPr>
          <w:p w14:paraId="7EA61190"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(0.03)</w:t>
            </w:r>
          </w:p>
        </w:tc>
        <w:tc>
          <w:tcPr>
            <w:tcW w:w="1181" w:type="dxa"/>
            <w:tcBorders>
              <w:top w:val="nil"/>
              <w:left w:val="nil"/>
              <w:bottom w:val="nil"/>
              <w:right w:val="nil"/>
            </w:tcBorders>
          </w:tcPr>
          <w:p w14:paraId="43FCCDF4"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451" w:type="dxa"/>
            <w:tcBorders>
              <w:top w:val="nil"/>
              <w:left w:val="nil"/>
              <w:bottom w:val="nil"/>
              <w:right w:val="nil"/>
            </w:tcBorders>
          </w:tcPr>
          <w:p w14:paraId="5475E13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703" w:type="dxa"/>
            <w:tcBorders>
              <w:top w:val="nil"/>
              <w:left w:val="nil"/>
              <w:bottom w:val="nil"/>
              <w:right w:val="nil"/>
            </w:tcBorders>
          </w:tcPr>
          <w:p w14:paraId="494E7B3C"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(0.02)</w:t>
            </w:r>
          </w:p>
        </w:tc>
      </w:tr>
      <w:tr w:rsidR="00266184" w:rsidRPr="00A70F6D" w14:paraId="74BCEACD" w14:textId="77777777" w:rsidTr="00A70F6D">
        <w:trPr>
          <w:gridAfter w:val="2"/>
          <w:wAfter w:w="2554" w:type="dxa"/>
        </w:trPr>
        <w:tc>
          <w:tcPr>
            <w:tcW w:w="2801" w:type="dxa"/>
            <w:tcBorders>
              <w:top w:val="nil"/>
              <w:left w:val="nil"/>
              <w:bottom w:val="nil"/>
              <w:right w:val="nil"/>
            </w:tcBorders>
          </w:tcPr>
          <w:p w14:paraId="75A25EEB"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 xml:space="preserve">Trade </w:t>
            </w:r>
            <w:r w:rsidRPr="00A70F6D">
              <w:rPr>
                <w:rFonts w:eastAsiaTheme="minorEastAsia" w:cs="Times New Roman"/>
                <w:sz w:val="20"/>
                <w:szCs w:val="20"/>
                <w:lang w:val="en-US"/>
              </w:rPr>
              <w:fldChar w:fldCharType="begin"/>
            </w:r>
            <w:r w:rsidRPr="00A70F6D">
              <w:rPr>
                <w:rFonts w:eastAsiaTheme="minorEastAsia" w:cs="Times New Roman"/>
                <w:sz w:val="20"/>
                <w:szCs w:val="20"/>
                <w:lang w:val="en-US"/>
              </w:rPr>
              <w:instrText xml:space="preserve"> QUOTE </w:instrText>
            </w:r>
            <w:r w:rsidRPr="00A70F6D">
              <w:rPr>
                <w:rFonts w:eastAsiaTheme="minorEastAsia" w:cs="Times New Roman"/>
                <w:noProof/>
                <w:position w:val="-7"/>
                <w:sz w:val="20"/>
                <w:szCs w:val="20"/>
                <w:lang w:val="en-US"/>
              </w:rPr>
              <w:drawing>
                <wp:inline distT="0" distB="0" distL="0" distR="0" wp14:anchorId="4D35A840" wp14:editId="1E846A8E">
                  <wp:extent cx="1016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Pr="00A70F6D">
              <w:rPr>
                <w:rFonts w:eastAsiaTheme="minorEastAsia" w:cs="Times New Roman"/>
                <w:sz w:val="20"/>
                <w:szCs w:val="20"/>
                <w:lang w:val="en-US"/>
              </w:rPr>
              <w:instrText xml:space="preserve"> </w:instrText>
            </w:r>
            <w:r w:rsidRPr="00A70F6D">
              <w:rPr>
                <w:rFonts w:eastAsiaTheme="minorEastAsia" w:cs="Times New Roman"/>
                <w:sz w:val="20"/>
                <w:szCs w:val="20"/>
                <w:lang w:val="en-US"/>
              </w:rPr>
              <w:fldChar w:fldCharType="separate"/>
            </w:r>
            <w:r w:rsidRPr="00A70F6D">
              <w:rPr>
                <w:rFonts w:eastAsiaTheme="minorEastAsia" w:cs="Times New Roman"/>
                <w:noProof/>
                <w:position w:val="-7"/>
                <w:sz w:val="20"/>
                <w:szCs w:val="20"/>
                <w:lang w:val="en-US"/>
              </w:rPr>
              <w:drawing>
                <wp:inline distT="0" distB="0" distL="0" distR="0" wp14:anchorId="58F8921E" wp14:editId="530A5C25">
                  <wp:extent cx="1016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Pr="00A70F6D">
              <w:rPr>
                <w:rFonts w:eastAsiaTheme="minorEastAsia" w:cs="Times New Roman"/>
                <w:sz w:val="20"/>
                <w:szCs w:val="20"/>
                <w:lang w:val="en-US"/>
              </w:rPr>
              <w:fldChar w:fldCharType="end"/>
            </w:r>
            <w:r w:rsidRPr="00A70F6D">
              <w:rPr>
                <w:rFonts w:eastAsiaTheme="minorEastAsia" w:cs="Times New Roman"/>
                <w:sz w:val="20"/>
                <w:szCs w:val="20"/>
                <w:lang w:val="en-US"/>
              </w:rPr>
              <w:t xml:space="preserve"> Sterling area</w:t>
            </w:r>
          </w:p>
        </w:tc>
        <w:tc>
          <w:tcPr>
            <w:tcW w:w="1274" w:type="dxa"/>
            <w:tcBorders>
              <w:top w:val="nil"/>
              <w:left w:val="nil"/>
              <w:bottom w:val="nil"/>
              <w:right w:val="nil"/>
            </w:tcBorders>
          </w:tcPr>
          <w:p w14:paraId="7120460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0.49*</w:t>
            </w:r>
          </w:p>
        </w:tc>
        <w:tc>
          <w:tcPr>
            <w:tcW w:w="1371" w:type="dxa"/>
            <w:tcBorders>
              <w:top w:val="nil"/>
              <w:left w:val="nil"/>
              <w:bottom w:val="nil"/>
              <w:right w:val="nil"/>
            </w:tcBorders>
          </w:tcPr>
          <w:p w14:paraId="7E2C0AC1"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0.48*</w:t>
            </w:r>
          </w:p>
        </w:tc>
        <w:tc>
          <w:tcPr>
            <w:tcW w:w="1181" w:type="dxa"/>
            <w:tcBorders>
              <w:top w:val="nil"/>
              <w:left w:val="nil"/>
              <w:bottom w:val="nil"/>
              <w:right w:val="nil"/>
            </w:tcBorders>
          </w:tcPr>
          <w:p w14:paraId="7AA58A91"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0.90***</w:t>
            </w:r>
          </w:p>
        </w:tc>
        <w:tc>
          <w:tcPr>
            <w:tcW w:w="1451" w:type="dxa"/>
            <w:tcBorders>
              <w:top w:val="nil"/>
              <w:left w:val="nil"/>
              <w:bottom w:val="nil"/>
              <w:right w:val="nil"/>
            </w:tcBorders>
          </w:tcPr>
          <w:p w14:paraId="3BC1D1A4"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0.91***</w:t>
            </w:r>
          </w:p>
        </w:tc>
        <w:tc>
          <w:tcPr>
            <w:tcW w:w="1703" w:type="dxa"/>
            <w:tcBorders>
              <w:top w:val="nil"/>
              <w:left w:val="nil"/>
              <w:bottom w:val="nil"/>
              <w:right w:val="nil"/>
            </w:tcBorders>
          </w:tcPr>
          <w:p w14:paraId="159448E3"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0.92</w:t>
            </w:r>
          </w:p>
        </w:tc>
      </w:tr>
      <w:tr w:rsidR="00266184" w:rsidRPr="00A70F6D" w14:paraId="14511FEF" w14:textId="77777777" w:rsidTr="00A70F6D">
        <w:trPr>
          <w:gridAfter w:val="2"/>
          <w:wAfter w:w="2554" w:type="dxa"/>
        </w:trPr>
        <w:tc>
          <w:tcPr>
            <w:tcW w:w="2801" w:type="dxa"/>
            <w:tcBorders>
              <w:top w:val="nil"/>
              <w:left w:val="nil"/>
              <w:bottom w:val="nil"/>
              <w:right w:val="nil"/>
            </w:tcBorders>
          </w:tcPr>
          <w:p w14:paraId="0E88BF79"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4" w:type="dxa"/>
            <w:tcBorders>
              <w:top w:val="nil"/>
              <w:left w:val="nil"/>
              <w:bottom w:val="nil"/>
              <w:right w:val="nil"/>
            </w:tcBorders>
          </w:tcPr>
          <w:p w14:paraId="2F264852"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(0.07)</w:t>
            </w:r>
          </w:p>
        </w:tc>
        <w:tc>
          <w:tcPr>
            <w:tcW w:w="1371" w:type="dxa"/>
            <w:tcBorders>
              <w:top w:val="nil"/>
              <w:left w:val="nil"/>
              <w:bottom w:val="nil"/>
              <w:right w:val="nil"/>
            </w:tcBorders>
          </w:tcPr>
          <w:p w14:paraId="6AB13094"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(0.07)</w:t>
            </w:r>
          </w:p>
        </w:tc>
        <w:tc>
          <w:tcPr>
            <w:tcW w:w="1181" w:type="dxa"/>
            <w:tcBorders>
              <w:top w:val="nil"/>
              <w:left w:val="nil"/>
              <w:bottom w:val="nil"/>
              <w:right w:val="nil"/>
            </w:tcBorders>
          </w:tcPr>
          <w:p w14:paraId="2AA17FD9"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451" w:type="dxa"/>
            <w:tcBorders>
              <w:top w:val="nil"/>
              <w:left w:val="nil"/>
              <w:bottom w:val="nil"/>
              <w:right w:val="nil"/>
            </w:tcBorders>
          </w:tcPr>
          <w:p w14:paraId="10B278C2"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703" w:type="dxa"/>
            <w:tcBorders>
              <w:top w:val="nil"/>
              <w:left w:val="nil"/>
              <w:bottom w:val="nil"/>
              <w:right w:val="nil"/>
            </w:tcBorders>
          </w:tcPr>
          <w:p w14:paraId="29CF648C"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(0.10)</w:t>
            </w:r>
          </w:p>
        </w:tc>
      </w:tr>
      <w:tr w:rsidR="00266184" w:rsidRPr="00A70F6D" w14:paraId="467DB916" w14:textId="77777777" w:rsidTr="00A70F6D">
        <w:trPr>
          <w:gridAfter w:val="2"/>
          <w:wAfter w:w="2554" w:type="dxa"/>
        </w:trPr>
        <w:tc>
          <w:tcPr>
            <w:tcW w:w="2801" w:type="dxa"/>
            <w:tcBorders>
              <w:top w:val="nil"/>
              <w:left w:val="nil"/>
              <w:bottom w:val="nil"/>
              <w:right w:val="nil"/>
            </w:tcBorders>
          </w:tcPr>
          <w:p w14:paraId="0742DBD6"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GDP ratio</w:t>
            </w:r>
          </w:p>
        </w:tc>
        <w:tc>
          <w:tcPr>
            <w:tcW w:w="1274" w:type="dxa"/>
            <w:tcBorders>
              <w:top w:val="nil"/>
              <w:left w:val="nil"/>
              <w:bottom w:val="nil"/>
              <w:right w:val="nil"/>
            </w:tcBorders>
          </w:tcPr>
          <w:p w14:paraId="2AF84336"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1.21</w:t>
            </w:r>
          </w:p>
        </w:tc>
        <w:tc>
          <w:tcPr>
            <w:tcW w:w="1371" w:type="dxa"/>
            <w:tcBorders>
              <w:top w:val="nil"/>
              <w:left w:val="nil"/>
              <w:bottom w:val="nil"/>
              <w:right w:val="nil"/>
            </w:tcBorders>
          </w:tcPr>
          <w:p w14:paraId="11373760"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1.24</w:t>
            </w:r>
          </w:p>
        </w:tc>
        <w:tc>
          <w:tcPr>
            <w:tcW w:w="1181" w:type="dxa"/>
            <w:tcBorders>
              <w:top w:val="nil"/>
              <w:left w:val="nil"/>
              <w:bottom w:val="nil"/>
              <w:right w:val="nil"/>
            </w:tcBorders>
          </w:tcPr>
          <w:p w14:paraId="0E541FAA"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1.97</w:t>
            </w:r>
          </w:p>
        </w:tc>
        <w:tc>
          <w:tcPr>
            <w:tcW w:w="1451" w:type="dxa"/>
            <w:tcBorders>
              <w:top w:val="nil"/>
              <w:left w:val="nil"/>
              <w:bottom w:val="nil"/>
              <w:right w:val="nil"/>
            </w:tcBorders>
          </w:tcPr>
          <w:p w14:paraId="4C4F82AA"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1.08</w:t>
            </w:r>
          </w:p>
        </w:tc>
        <w:tc>
          <w:tcPr>
            <w:tcW w:w="1703" w:type="dxa"/>
            <w:tcBorders>
              <w:top w:val="nil"/>
              <w:left w:val="nil"/>
              <w:bottom w:val="nil"/>
              <w:right w:val="nil"/>
            </w:tcBorders>
          </w:tcPr>
          <w:p w14:paraId="21549FA8"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0.26***</w:t>
            </w:r>
          </w:p>
        </w:tc>
      </w:tr>
      <w:tr w:rsidR="00266184" w:rsidRPr="00A70F6D" w14:paraId="5A9CA8F6" w14:textId="77777777" w:rsidTr="00A70F6D">
        <w:trPr>
          <w:gridAfter w:val="2"/>
          <w:wAfter w:w="2554" w:type="dxa"/>
        </w:trPr>
        <w:tc>
          <w:tcPr>
            <w:tcW w:w="2801" w:type="dxa"/>
            <w:tcBorders>
              <w:top w:val="nil"/>
              <w:left w:val="nil"/>
              <w:bottom w:val="nil"/>
              <w:right w:val="nil"/>
            </w:tcBorders>
          </w:tcPr>
          <w:p w14:paraId="60325EA7"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4" w:type="dxa"/>
            <w:tcBorders>
              <w:top w:val="nil"/>
              <w:left w:val="nil"/>
              <w:bottom w:val="nil"/>
              <w:right w:val="nil"/>
            </w:tcBorders>
          </w:tcPr>
          <w:p w14:paraId="07660875"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(0.85)</w:t>
            </w:r>
          </w:p>
        </w:tc>
        <w:tc>
          <w:tcPr>
            <w:tcW w:w="1371" w:type="dxa"/>
            <w:tcBorders>
              <w:top w:val="nil"/>
              <w:left w:val="nil"/>
              <w:bottom w:val="nil"/>
              <w:right w:val="nil"/>
            </w:tcBorders>
          </w:tcPr>
          <w:p w14:paraId="705F3789"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(0.83)</w:t>
            </w:r>
          </w:p>
        </w:tc>
        <w:tc>
          <w:tcPr>
            <w:tcW w:w="1181" w:type="dxa"/>
            <w:tcBorders>
              <w:top w:val="nil"/>
              <w:left w:val="nil"/>
              <w:bottom w:val="nil"/>
              <w:right w:val="nil"/>
            </w:tcBorders>
          </w:tcPr>
          <w:p w14:paraId="0FE2641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(0.42)</w:t>
            </w:r>
          </w:p>
        </w:tc>
        <w:tc>
          <w:tcPr>
            <w:tcW w:w="1451" w:type="dxa"/>
            <w:tcBorders>
              <w:top w:val="nil"/>
              <w:left w:val="nil"/>
              <w:bottom w:val="nil"/>
              <w:right w:val="nil"/>
            </w:tcBorders>
          </w:tcPr>
          <w:p w14:paraId="7B27117C"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(0.89)</w:t>
            </w:r>
          </w:p>
        </w:tc>
        <w:tc>
          <w:tcPr>
            <w:tcW w:w="1703" w:type="dxa"/>
            <w:tcBorders>
              <w:top w:val="nil"/>
              <w:left w:val="nil"/>
              <w:bottom w:val="nil"/>
              <w:right w:val="nil"/>
            </w:tcBorders>
          </w:tcPr>
          <w:p w14:paraId="24D6AC4C"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r>
      <w:tr w:rsidR="00266184" w:rsidRPr="00A70F6D" w14:paraId="3753AFA6" w14:textId="77777777" w:rsidTr="00A70F6D">
        <w:trPr>
          <w:gridAfter w:val="2"/>
          <w:wAfter w:w="2554" w:type="dxa"/>
        </w:trPr>
        <w:tc>
          <w:tcPr>
            <w:tcW w:w="2801" w:type="dxa"/>
            <w:tcBorders>
              <w:top w:val="nil"/>
              <w:left w:val="nil"/>
              <w:bottom w:val="nil"/>
              <w:right w:val="nil"/>
            </w:tcBorders>
          </w:tcPr>
          <w:p w14:paraId="470ADEE7"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 xml:space="preserve">GDP ratio </w:t>
            </w:r>
            <w:r w:rsidRPr="00A70F6D">
              <w:rPr>
                <w:rFonts w:eastAsiaTheme="minorEastAsia" w:cs="Times New Roman"/>
                <w:sz w:val="20"/>
                <w:szCs w:val="20"/>
                <w:lang w:val="en-US"/>
              </w:rPr>
              <w:fldChar w:fldCharType="begin"/>
            </w:r>
            <w:r w:rsidRPr="00A70F6D">
              <w:rPr>
                <w:rFonts w:eastAsiaTheme="minorEastAsia" w:cs="Times New Roman"/>
                <w:sz w:val="20"/>
                <w:szCs w:val="20"/>
                <w:lang w:val="en-US"/>
              </w:rPr>
              <w:instrText xml:space="preserve"> QUOTE </w:instrText>
            </w:r>
            <w:r w:rsidRPr="00A70F6D">
              <w:rPr>
                <w:rFonts w:eastAsiaTheme="minorEastAsia" w:cs="Times New Roman"/>
                <w:noProof/>
                <w:position w:val="-7"/>
                <w:sz w:val="20"/>
                <w:szCs w:val="20"/>
                <w:lang w:val="en-US"/>
              </w:rPr>
              <w:drawing>
                <wp:inline distT="0" distB="0" distL="0" distR="0" wp14:anchorId="4F7DC9B6" wp14:editId="27B035E4">
                  <wp:extent cx="1016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Pr="00A70F6D">
              <w:rPr>
                <w:rFonts w:eastAsiaTheme="minorEastAsia" w:cs="Times New Roman"/>
                <w:sz w:val="20"/>
                <w:szCs w:val="20"/>
                <w:lang w:val="en-US"/>
              </w:rPr>
              <w:instrText xml:space="preserve"> </w:instrText>
            </w:r>
            <w:r w:rsidRPr="00A70F6D">
              <w:rPr>
                <w:rFonts w:eastAsiaTheme="minorEastAsia" w:cs="Times New Roman"/>
                <w:sz w:val="20"/>
                <w:szCs w:val="20"/>
                <w:lang w:val="en-US"/>
              </w:rPr>
              <w:fldChar w:fldCharType="separate"/>
            </w:r>
            <w:r w:rsidRPr="00A70F6D">
              <w:rPr>
                <w:rFonts w:eastAsiaTheme="minorEastAsia" w:cs="Times New Roman"/>
                <w:noProof/>
                <w:position w:val="-7"/>
                <w:sz w:val="20"/>
                <w:szCs w:val="20"/>
                <w:lang w:val="en-US"/>
              </w:rPr>
              <w:drawing>
                <wp:inline distT="0" distB="0" distL="0" distR="0" wp14:anchorId="2E103F73" wp14:editId="405EED87">
                  <wp:extent cx="1016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Pr="00A70F6D">
              <w:rPr>
                <w:rFonts w:eastAsiaTheme="minorEastAsia" w:cs="Times New Roman"/>
                <w:sz w:val="20"/>
                <w:szCs w:val="20"/>
                <w:lang w:val="en-US"/>
              </w:rPr>
              <w:fldChar w:fldCharType="end"/>
            </w:r>
            <w:r w:rsidRPr="00A70F6D">
              <w:rPr>
                <w:rFonts w:eastAsiaTheme="minorEastAsia" w:cs="Times New Roman"/>
                <w:sz w:val="20"/>
                <w:szCs w:val="20"/>
                <w:lang w:val="en-US"/>
              </w:rPr>
              <w:t xml:space="preserve"> Sterling area</w:t>
            </w:r>
          </w:p>
        </w:tc>
        <w:tc>
          <w:tcPr>
            <w:tcW w:w="1274" w:type="dxa"/>
            <w:tcBorders>
              <w:top w:val="nil"/>
              <w:left w:val="nil"/>
              <w:bottom w:val="nil"/>
              <w:right w:val="nil"/>
            </w:tcBorders>
          </w:tcPr>
          <w:p w14:paraId="07160F3A"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0.06**</w:t>
            </w:r>
          </w:p>
        </w:tc>
        <w:tc>
          <w:tcPr>
            <w:tcW w:w="1371" w:type="dxa"/>
            <w:tcBorders>
              <w:top w:val="nil"/>
              <w:left w:val="nil"/>
              <w:bottom w:val="nil"/>
              <w:right w:val="nil"/>
            </w:tcBorders>
          </w:tcPr>
          <w:p w14:paraId="7452C63C"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0.05**</w:t>
            </w:r>
          </w:p>
        </w:tc>
        <w:tc>
          <w:tcPr>
            <w:tcW w:w="1181" w:type="dxa"/>
            <w:tcBorders>
              <w:top w:val="nil"/>
              <w:left w:val="nil"/>
              <w:bottom w:val="nil"/>
              <w:right w:val="nil"/>
            </w:tcBorders>
          </w:tcPr>
          <w:p w14:paraId="268BE568"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0.05***</w:t>
            </w:r>
          </w:p>
        </w:tc>
        <w:tc>
          <w:tcPr>
            <w:tcW w:w="1451" w:type="dxa"/>
            <w:tcBorders>
              <w:top w:val="nil"/>
              <w:left w:val="nil"/>
              <w:bottom w:val="nil"/>
              <w:right w:val="nil"/>
            </w:tcBorders>
          </w:tcPr>
          <w:p w14:paraId="5FEC9920"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0.08***</w:t>
            </w:r>
          </w:p>
        </w:tc>
        <w:tc>
          <w:tcPr>
            <w:tcW w:w="1703" w:type="dxa"/>
            <w:tcBorders>
              <w:top w:val="nil"/>
              <w:left w:val="nil"/>
              <w:bottom w:val="nil"/>
              <w:right w:val="nil"/>
            </w:tcBorders>
          </w:tcPr>
          <w:p w14:paraId="12BB525F"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0.71</w:t>
            </w:r>
          </w:p>
        </w:tc>
      </w:tr>
      <w:tr w:rsidR="00266184" w:rsidRPr="00A70F6D" w14:paraId="47404AC5" w14:textId="77777777" w:rsidTr="00A70F6D">
        <w:trPr>
          <w:gridAfter w:val="2"/>
          <w:wAfter w:w="2554" w:type="dxa"/>
        </w:trPr>
        <w:tc>
          <w:tcPr>
            <w:tcW w:w="2801" w:type="dxa"/>
            <w:tcBorders>
              <w:top w:val="nil"/>
              <w:left w:val="nil"/>
              <w:bottom w:val="nil"/>
              <w:right w:val="nil"/>
            </w:tcBorders>
          </w:tcPr>
          <w:p w14:paraId="2086426E"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4" w:type="dxa"/>
            <w:tcBorders>
              <w:top w:val="nil"/>
              <w:left w:val="nil"/>
              <w:bottom w:val="nil"/>
              <w:right w:val="nil"/>
            </w:tcBorders>
          </w:tcPr>
          <w:p w14:paraId="59AF489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(0.01)</w:t>
            </w:r>
          </w:p>
        </w:tc>
        <w:tc>
          <w:tcPr>
            <w:tcW w:w="1371" w:type="dxa"/>
            <w:tcBorders>
              <w:top w:val="nil"/>
              <w:left w:val="nil"/>
              <w:bottom w:val="nil"/>
              <w:right w:val="nil"/>
            </w:tcBorders>
          </w:tcPr>
          <w:p w14:paraId="34814990"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(0.02)</w:t>
            </w:r>
          </w:p>
        </w:tc>
        <w:tc>
          <w:tcPr>
            <w:tcW w:w="1181" w:type="dxa"/>
            <w:tcBorders>
              <w:top w:val="nil"/>
              <w:left w:val="nil"/>
              <w:bottom w:val="nil"/>
              <w:right w:val="nil"/>
            </w:tcBorders>
          </w:tcPr>
          <w:p w14:paraId="5EEFD853"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451" w:type="dxa"/>
            <w:tcBorders>
              <w:top w:val="nil"/>
              <w:left w:val="nil"/>
              <w:bottom w:val="nil"/>
              <w:right w:val="nil"/>
            </w:tcBorders>
          </w:tcPr>
          <w:p w14:paraId="324ADF24"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703" w:type="dxa"/>
            <w:tcBorders>
              <w:top w:val="nil"/>
              <w:left w:val="nil"/>
              <w:bottom w:val="nil"/>
              <w:right w:val="nil"/>
            </w:tcBorders>
          </w:tcPr>
          <w:p w14:paraId="7D5F2CA2"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(0.62)</w:t>
            </w:r>
          </w:p>
        </w:tc>
      </w:tr>
      <w:tr w:rsidR="00266184" w:rsidRPr="00A70F6D" w14:paraId="755F12F1" w14:textId="77777777" w:rsidTr="00A70F6D">
        <w:trPr>
          <w:gridAfter w:val="2"/>
          <w:wAfter w:w="2554" w:type="dxa"/>
        </w:trPr>
        <w:tc>
          <w:tcPr>
            <w:tcW w:w="2801" w:type="dxa"/>
            <w:tcBorders>
              <w:top w:val="nil"/>
              <w:left w:val="nil"/>
              <w:bottom w:val="nil"/>
              <w:right w:val="nil"/>
            </w:tcBorders>
          </w:tcPr>
          <w:p w14:paraId="08815497" w14:textId="739D332F" w:rsidR="00266184" w:rsidRPr="00A70F6D" w:rsidRDefault="00A70F6D" w:rsidP="00A70F6D">
            <w:pPr>
              <w:widowControl w:val="0"/>
              <w:autoSpaceDE w:val="0"/>
              <w:autoSpaceDN w:val="0"/>
              <w:adjustRightInd w:val="0"/>
              <w:spacing w:line="240" w:lineRule="auto"/>
              <w:ind w:firstLine="0"/>
              <w:jc w:val="left"/>
              <w:rPr>
                <w:rFonts w:eastAsiaTheme="minorEastAsia" w:cs="Times New Roman"/>
                <w:sz w:val="20"/>
                <w:szCs w:val="20"/>
                <w:lang w:val="en-US"/>
              </w:rPr>
            </w:pPr>
            <w:r>
              <w:rPr>
                <w:rFonts w:eastAsiaTheme="minorEastAsia" w:cs="Times New Roman"/>
                <w:sz w:val="20"/>
                <w:szCs w:val="20"/>
                <w:lang w:val="en-US"/>
              </w:rPr>
              <w:t>I</w:t>
            </w:r>
            <w:r w:rsidR="00266184" w:rsidRPr="00A70F6D">
              <w:rPr>
                <w:rFonts w:eastAsiaTheme="minorEastAsia" w:cs="Times New Roman"/>
                <w:sz w:val="20"/>
                <w:szCs w:val="20"/>
                <w:lang w:val="en-US"/>
              </w:rPr>
              <w:t>nertia</w:t>
            </w:r>
          </w:p>
        </w:tc>
        <w:tc>
          <w:tcPr>
            <w:tcW w:w="1274" w:type="dxa"/>
            <w:tcBorders>
              <w:top w:val="nil"/>
              <w:left w:val="nil"/>
              <w:bottom w:val="nil"/>
              <w:right w:val="nil"/>
            </w:tcBorders>
          </w:tcPr>
          <w:p w14:paraId="6496E358"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65.2***</w:t>
            </w:r>
          </w:p>
        </w:tc>
        <w:tc>
          <w:tcPr>
            <w:tcW w:w="1371" w:type="dxa"/>
            <w:tcBorders>
              <w:top w:val="nil"/>
              <w:left w:val="nil"/>
              <w:bottom w:val="nil"/>
              <w:right w:val="nil"/>
            </w:tcBorders>
          </w:tcPr>
          <w:p w14:paraId="0B9C938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285***</w:t>
            </w:r>
          </w:p>
        </w:tc>
        <w:tc>
          <w:tcPr>
            <w:tcW w:w="1181" w:type="dxa"/>
            <w:tcBorders>
              <w:top w:val="nil"/>
              <w:left w:val="nil"/>
              <w:bottom w:val="nil"/>
              <w:right w:val="nil"/>
            </w:tcBorders>
          </w:tcPr>
          <w:p w14:paraId="10D4F68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420***</w:t>
            </w:r>
          </w:p>
        </w:tc>
        <w:tc>
          <w:tcPr>
            <w:tcW w:w="1451" w:type="dxa"/>
            <w:tcBorders>
              <w:top w:val="nil"/>
              <w:left w:val="nil"/>
              <w:bottom w:val="nil"/>
              <w:right w:val="nil"/>
            </w:tcBorders>
          </w:tcPr>
          <w:p w14:paraId="5502EB11"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530***</w:t>
            </w:r>
          </w:p>
        </w:tc>
        <w:tc>
          <w:tcPr>
            <w:tcW w:w="1703" w:type="dxa"/>
            <w:tcBorders>
              <w:top w:val="nil"/>
              <w:left w:val="nil"/>
              <w:bottom w:val="nil"/>
              <w:right w:val="nil"/>
            </w:tcBorders>
          </w:tcPr>
          <w:p w14:paraId="6C00CA55"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153***</w:t>
            </w:r>
          </w:p>
        </w:tc>
      </w:tr>
      <w:tr w:rsidR="00266184" w:rsidRPr="00A70F6D" w14:paraId="0064CAA7" w14:textId="77777777" w:rsidTr="00A70F6D">
        <w:trPr>
          <w:gridAfter w:val="2"/>
          <w:wAfter w:w="2554" w:type="dxa"/>
          <w:trHeight w:val="80"/>
        </w:trPr>
        <w:tc>
          <w:tcPr>
            <w:tcW w:w="2801" w:type="dxa"/>
            <w:tcBorders>
              <w:top w:val="nil"/>
              <w:left w:val="nil"/>
              <w:bottom w:val="nil"/>
              <w:right w:val="nil"/>
            </w:tcBorders>
          </w:tcPr>
          <w:p w14:paraId="5B668F53"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4" w:type="dxa"/>
            <w:tcBorders>
              <w:top w:val="nil"/>
              <w:left w:val="nil"/>
              <w:bottom w:val="nil"/>
              <w:right w:val="nil"/>
            </w:tcBorders>
          </w:tcPr>
          <w:p w14:paraId="08955306"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371" w:type="dxa"/>
            <w:tcBorders>
              <w:top w:val="nil"/>
              <w:left w:val="nil"/>
              <w:bottom w:val="nil"/>
              <w:right w:val="nil"/>
            </w:tcBorders>
          </w:tcPr>
          <w:p w14:paraId="639EC7EC"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181" w:type="dxa"/>
            <w:tcBorders>
              <w:top w:val="nil"/>
              <w:left w:val="nil"/>
              <w:bottom w:val="nil"/>
              <w:right w:val="nil"/>
            </w:tcBorders>
          </w:tcPr>
          <w:p w14:paraId="5D689228"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451" w:type="dxa"/>
            <w:tcBorders>
              <w:top w:val="nil"/>
              <w:left w:val="nil"/>
              <w:bottom w:val="nil"/>
              <w:right w:val="nil"/>
            </w:tcBorders>
          </w:tcPr>
          <w:p w14:paraId="0FBBF82D"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c>
          <w:tcPr>
            <w:tcW w:w="1703" w:type="dxa"/>
            <w:tcBorders>
              <w:top w:val="nil"/>
              <w:left w:val="nil"/>
              <w:bottom w:val="nil"/>
              <w:right w:val="nil"/>
            </w:tcBorders>
          </w:tcPr>
          <w:p w14:paraId="392CA28D"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(0.00)</w:t>
            </w:r>
          </w:p>
        </w:tc>
      </w:tr>
      <w:tr w:rsidR="00266184" w:rsidRPr="00A70F6D" w14:paraId="52608A75" w14:textId="77777777" w:rsidTr="00A70F6D">
        <w:trPr>
          <w:gridAfter w:val="2"/>
          <w:wAfter w:w="2554" w:type="dxa"/>
        </w:trPr>
        <w:tc>
          <w:tcPr>
            <w:tcW w:w="2801" w:type="dxa"/>
            <w:tcBorders>
              <w:top w:val="nil"/>
              <w:left w:val="nil"/>
              <w:bottom w:val="nil"/>
              <w:right w:val="nil"/>
            </w:tcBorders>
          </w:tcPr>
          <w:p w14:paraId="35BF0A76" w14:textId="48DCB02B" w:rsidR="00266184" w:rsidRPr="00A70F6D" w:rsidRDefault="00A70F6D" w:rsidP="00A70F6D">
            <w:pPr>
              <w:widowControl w:val="0"/>
              <w:autoSpaceDE w:val="0"/>
              <w:autoSpaceDN w:val="0"/>
              <w:adjustRightInd w:val="0"/>
              <w:spacing w:line="240" w:lineRule="auto"/>
              <w:ind w:firstLine="0"/>
              <w:jc w:val="left"/>
              <w:rPr>
                <w:rFonts w:eastAsiaTheme="minorEastAsia" w:cs="Times New Roman"/>
                <w:sz w:val="20"/>
                <w:szCs w:val="20"/>
                <w:lang w:val="de-DE"/>
              </w:rPr>
            </w:pPr>
            <w:r>
              <w:rPr>
                <w:rFonts w:eastAsiaTheme="minorEastAsia" w:cs="Times New Roman"/>
                <w:sz w:val="20"/>
                <w:szCs w:val="20"/>
                <w:lang w:val="en-US"/>
              </w:rPr>
              <w:t>I</w:t>
            </w:r>
            <w:r w:rsidR="00266184" w:rsidRPr="00A70F6D">
              <w:rPr>
                <w:rFonts w:eastAsiaTheme="minorEastAsia" w:cs="Times New Roman"/>
                <w:sz w:val="20"/>
                <w:szCs w:val="20"/>
                <w:lang w:val="en-US"/>
              </w:rPr>
              <w:t xml:space="preserve">nertia </w:t>
            </w:r>
            <w:r w:rsidR="00266184" w:rsidRPr="00A70F6D">
              <w:rPr>
                <w:rFonts w:eastAsiaTheme="minorEastAsia" w:cs="Times New Roman"/>
                <w:sz w:val="20"/>
                <w:szCs w:val="20"/>
                <w:lang w:val="en-US"/>
              </w:rPr>
              <w:fldChar w:fldCharType="begin"/>
            </w:r>
            <w:r w:rsidR="00266184" w:rsidRPr="00A70F6D">
              <w:rPr>
                <w:rFonts w:eastAsiaTheme="minorEastAsia" w:cs="Times New Roman"/>
                <w:sz w:val="20"/>
                <w:szCs w:val="20"/>
                <w:lang w:val="en-US"/>
              </w:rPr>
              <w:instrText xml:space="preserve"> QUOTE </w:instrText>
            </w:r>
            <w:r w:rsidR="00266184" w:rsidRPr="00A70F6D">
              <w:rPr>
                <w:rFonts w:eastAsiaTheme="minorEastAsia" w:cs="Times New Roman"/>
                <w:noProof/>
                <w:position w:val="-7"/>
                <w:sz w:val="20"/>
                <w:szCs w:val="20"/>
                <w:lang w:val="en-US"/>
              </w:rPr>
              <w:drawing>
                <wp:inline distT="0" distB="0" distL="0" distR="0" wp14:anchorId="14CB2A37" wp14:editId="511F2F1C">
                  <wp:extent cx="1016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00266184" w:rsidRPr="00A70F6D">
              <w:rPr>
                <w:rFonts w:eastAsiaTheme="minorEastAsia" w:cs="Times New Roman"/>
                <w:sz w:val="20"/>
                <w:szCs w:val="20"/>
                <w:lang w:val="en-US"/>
              </w:rPr>
              <w:instrText xml:space="preserve"> </w:instrText>
            </w:r>
            <w:r w:rsidR="00266184" w:rsidRPr="00A70F6D">
              <w:rPr>
                <w:rFonts w:eastAsiaTheme="minorEastAsia" w:cs="Times New Roman"/>
                <w:sz w:val="20"/>
                <w:szCs w:val="20"/>
                <w:lang w:val="en-US"/>
              </w:rPr>
              <w:fldChar w:fldCharType="separate"/>
            </w:r>
            <w:r w:rsidR="00266184" w:rsidRPr="00A70F6D">
              <w:rPr>
                <w:rFonts w:eastAsiaTheme="minorEastAsia" w:cs="Times New Roman"/>
                <w:noProof/>
                <w:position w:val="-7"/>
                <w:sz w:val="20"/>
                <w:szCs w:val="20"/>
                <w:lang w:val="en-US"/>
              </w:rPr>
              <w:drawing>
                <wp:inline distT="0" distB="0" distL="0" distR="0" wp14:anchorId="345F28AD" wp14:editId="41A85714">
                  <wp:extent cx="1016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00266184" w:rsidRPr="00A70F6D">
              <w:rPr>
                <w:rFonts w:eastAsiaTheme="minorEastAsia" w:cs="Times New Roman"/>
                <w:sz w:val="20"/>
                <w:szCs w:val="20"/>
                <w:lang w:val="en-US"/>
              </w:rPr>
              <w:fldChar w:fldCharType="end"/>
            </w:r>
            <w:r w:rsidR="00266184" w:rsidRPr="00A70F6D">
              <w:rPr>
                <w:rFonts w:eastAsiaTheme="minorEastAsia" w:cs="Times New Roman"/>
                <w:sz w:val="20"/>
                <w:szCs w:val="20"/>
                <w:lang w:val="en-US"/>
              </w:rPr>
              <w:t xml:space="preserve"> Sterling area</w:t>
            </w:r>
          </w:p>
        </w:tc>
        <w:tc>
          <w:tcPr>
            <w:tcW w:w="1274" w:type="dxa"/>
            <w:tcBorders>
              <w:top w:val="nil"/>
              <w:left w:val="nil"/>
              <w:bottom w:val="nil"/>
              <w:right w:val="nil"/>
            </w:tcBorders>
          </w:tcPr>
          <w:p w14:paraId="7D0127A2"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9.44**</w:t>
            </w:r>
          </w:p>
        </w:tc>
        <w:tc>
          <w:tcPr>
            <w:tcW w:w="1371" w:type="dxa"/>
            <w:tcBorders>
              <w:top w:val="nil"/>
              <w:left w:val="nil"/>
              <w:bottom w:val="nil"/>
              <w:right w:val="nil"/>
            </w:tcBorders>
          </w:tcPr>
          <w:p w14:paraId="305A671E"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0.78</w:t>
            </w:r>
          </w:p>
        </w:tc>
        <w:tc>
          <w:tcPr>
            <w:tcW w:w="1181" w:type="dxa"/>
            <w:tcBorders>
              <w:top w:val="nil"/>
              <w:left w:val="nil"/>
              <w:bottom w:val="nil"/>
              <w:right w:val="nil"/>
            </w:tcBorders>
          </w:tcPr>
          <w:p w14:paraId="1732A7B8"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0.50</w:t>
            </w:r>
          </w:p>
        </w:tc>
        <w:tc>
          <w:tcPr>
            <w:tcW w:w="1451" w:type="dxa"/>
            <w:tcBorders>
              <w:top w:val="nil"/>
              <w:left w:val="nil"/>
              <w:bottom w:val="nil"/>
              <w:right w:val="nil"/>
            </w:tcBorders>
          </w:tcPr>
          <w:p w14:paraId="0D58EBB4"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0.368</w:t>
            </w:r>
          </w:p>
        </w:tc>
        <w:tc>
          <w:tcPr>
            <w:tcW w:w="1703" w:type="dxa"/>
            <w:tcBorders>
              <w:top w:val="nil"/>
              <w:left w:val="nil"/>
              <w:bottom w:val="nil"/>
              <w:right w:val="nil"/>
            </w:tcBorders>
          </w:tcPr>
          <w:p w14:paraId="2757122A"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1.29</w:t>
            </w:r>
          </w:p>
        </w:tc>
      </w:tr>
      <w:tr w:rsidR="00266184" w:rsidRPr="00A70F6D" w14:paraId="1E75F210" w14:textId="77777777" w:rsidTr="00A70F6D">
        <w:trPr>
          <w:gridAfter w:val="2"/>
          <w:wAfter w:w="2554" w:type="dxa"/>
        </w:trPr>
        <w:tc>
          <w:tcPr>
            <w:tcW w:w="2801" w:type="dxa"/>
            <w:tcBorders>
              <w:top w:val="nil"/>
              <w:left w:val="nil"/>
              <w:bottom w:val="nil"/>
              <w:right w:val="nil"/>
            </w:tcBorders>
          </w:tcPr>
          <w:p w14:paraId="5CAC82FE"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4" w:type="dxa"/>
            <w:tcBorders>
              <w:top w:val="nil"/>
              <w:left w:val="nil"/>
              <w:bottom w:val="nil"/>
              <w:right w:val="nil"/>
            </w:tcBorders>
          </w:tcPr>
          <w:p w14:paraId="612A37F7"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(0.06)</w:t>
            </w:r>
          </w:p>
        </w:tc>
        <w:tc>
          <w:tcPr>
            <w:tcW w:w="1371" w:type="dxa"/>
            <w:tcBorders>
              <w:top w:val="nil"/>
              <w:left w:val="nil"/>
              <w:bottom w:val="nil"/>
              <w:right w:val="nil"/>
            </w:tcBorders>
          </w:tcPr>
          <w:p w14:paraId="2BB1FBF0"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(0.77)</w:t>
            </w:r>
          </w:p>
        </w:tc>
        <w:tc>
          <w:tcPr>
            <w:tcW w:w="1181" w:type="dxa"/>
            <w:tcBorders>
              <w:top w:val="nil"/>
              <w:left w:val="nil"/>
              <w:bottom w:val="nil"/>
              <w:right w:val="nil"/>
            </w:tcBorders>
          </w:tcPr>
          <w:p w14:paraId="661AEDA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(0.40)</w:t>
            </w:r>
          </w:p>
        </w:tc>
        <w:tc>
          <w:tcPr>
            <w:tcW w:w="1451" w:type="dxa"/>
            <w:tcBorders>
              <w:top w:val="nil"/>
              <w:left w:val="nil"/>
              <w:bottom w:val="nil"/>
              <w:right w:val="nil"/>
            </w:tcBorders>
          </w:tcPr>
          <w:p w14:paraId="321C9DE7"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(0.36)</w:t>
            </w:r>
          </w:p>
        </w:tc>
        <w:tc>
          <w:tcPr>
            <w:tcW w:w="1703" w:type="dxa"/>
            <w:tcBorders>
              <w:top w:val="nil"/>
              <w:left w:val="nil"/>
              <w:bottom w:val="nil"/>
              <w:right w:val="nil"/>
            </w:tcBorders>
          </w:tcPr>
          <w:p w14:paraId="0EE26629"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(0.85)</w:t>
            </w:r>
          </w:p>
        </w:tc>
      </w:tr>
      <w:tr w:rsidR="00266184" w:rsidRPr="00A70F6D" w14:paraId="5FC0C447" w14:textId="77777777" w:rsidTr="00A70F6D">
        <w:trPr>
          <w:gridAfter w:val="2"/>
          <w:wAfter w:w="2554" w:type="dxa"/>
        </w:trPr>
        <w:tc>
          <w:tcPr>
            <w:tcW w:w="2801" w:type="dxa"/>
            <w:tcBorders>
              <w:top w:val="single" w:sz="4" w:space="0" w:color="auto"/>
              <w:left w:val="nil"/>
              <w:right w:val="nil"/>
            </w:tcBorders>
          </w:tcPr>
          <w:p w14:paraId="2DD40803"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i/>
                <w:iCs/>
                <w:sz w:val="20"/>
                <w:szCs w:val="20"/>
                <w:lang w:val="en-US"/>
              </w:rPr>
            </w:pPr>
            <w:r w:rsidRPr="00A70F6D">
              <w:rPr>
                <w:rFonts w:eastAsiaTheme="minorEastAsia" w:cs="Times New Roman"/>
                <w:b/>
                <w:bCs/>
                <w:sz w:val="20"/>
                <w:szCs w:val="20"/>
                <w:lang w:val="en-US"/>
              </w:rPr>
              <w:t>Controls</w:t>
            </w:r>
          </w:p>
        </w:tc>
        <w:tc>
          <w:tcPr>
            <w:tcW w:w="1274" w:type="dxa"/>
            <w:tcBorders>
              <w:top w:val="single" w:sz="4" w:space="0" w:color="auto"/>
              <w:left w:val="nil"/>
              <w:right w:val="nil"/>
            </w:tcBorders>
          </w:tcPr>
          <w:p w14:paraId="3A441768"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371" w:type="dxa"/>
            <w:tcBorders>
              <w:top w:val="single" w:sz="4" w:space="0" w:color="auto"/>
              <w:left w:val="nil"/>
              <w:right w:val="nil"/>
            </w:tcBorders>
          </w:tcPr>
          <w:p w14:paraId="6142D316"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181" w:type="dxa"/>
            <w:tcBorders>
              <w:top w:val="single" w:sz="4" w:space="0" w:color="auto"/>
              <w:left w:val="nil"/>
              <w:right w:val="nil"/>
            </w:tcBorders>
          </w:tcPr>
          <w:p w14:paraId="5BA8D8D2"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451" w:type="dxa"/>
            <w:tcBorders>
              <w:top w:val="single" w:sz="4" w:space="0" w:color="auto"/>
              <w:left w:val="nil"/>
              <w:right w:val="nil"/>
            </w:tcBorders>
          </w:tcPr>
          <w:p w14:paraId="7792C45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703" w:type="dxa"/>
            <w:tcBorders>
              <w:top w:val="single" w:sz="4" w:space="0" w:color="auto"/>
              <w:left w:val="nil"/>
              <w:right w:val="nil"/>
            </w:tcBorders>
          </w:tcPr>
          <w:p w14:paraId="5483CF9E"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p>
        </w:tc>
      </w:tr>
      <w:tr w:rsidR="00266184" w:rsidRPr="00A70F6D" w14:paraId="4D52172D" w14:textId="77777777" w:rsidTr="00A70F6D">
        <w:trPr>
          <w:gridAfter w:val="2"/>
          <w:wAfter w:w="2554" w:type="dxa"/>
        </w:trPr>
        <w:tc>
          <w:tcPr>
            <w:tcW w:w="2801" w:type="dxa"/>
            <w:tcBorders>
              <w:left w:val="nil"/>
              <w:bottom w:val="nil"/>
              <w:right w:val="nil"/>
            </w:tcBorders>
          </w:tcPr>
          <w:p w14:paraId="0136B682"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i/>
                <w:iCs/>
                <w:sz w:val="20"/>
                <w:szCs w:val="20"/>
                <w:lang w:val="en-US"/>
              </w:rPr>
            </w:pPr>
            <w:r w:rsidRPr="00A70F6D">
              <w:rPr>
                <w:rFonts w:eastAsiaTheme="minorEastAsia" w:cs="Times New Roman"/>
                <w:sz w:val="20"/>
                <w:szCs w:val="20"/>
                <w:lang w:val="en-US"/>
              </w:rPr>
              <w:t>Dummy Colony</w:t>
            </w:r>
          </w:p>
        </w:tc>
        <w:tc>
          <w:tcPr>
            <w:tcW w:w="1274" w:type="dxa"/>
            <w:tcBorders>
              <w:left w:val="nil"/>
              <w:bottom w:val="nil"/>
              <w:right w:val="nil"/>
            </w:tcBorders>
          </w:tcPr>
          <w:p w14:paraId="2B043D1E"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371" w:type="dxa"/>
            <w:tcBorders>
              <w:left w:val="nil"/>
              <w:bottom w:val="nil"/>
              <w:right w:val="nil"/>
            </w:tcBorders>
          </w:tcPr>
          <w:p w14:paraId="5CA981F6"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No</w:t>
            </w:r>
          </w:p>
        </w:tc>
        <w:tc>
          <w:tcPr>
            <w:tcW w:w="1181" w:type="dxa"/>
            <w:tcBorders>
              <w:left w:val="nil"/>
              <w:bottom w:val="nil"/>
              <w:right w:val="nil"/>
            </w:tcBorders>
          </w:tcPr>
          <w:p w14:paraId="6DEBAC71"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451" w:type="dxa"/>
            <w:tcBorders>
              <w:left w:val="nil"/>
              <w:bottom w:val="nil"/>
              <w:right w:val="nil"/>
            </w:tcBorders>
          </w:tcPr>
          <w:p w14:paraId="05436D21"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703" w:type="dxa"/>
            <w:tcBorders>
              <w:left w:val="nil"/>
              <w:bottom w:val="nil"/>
              <w:right w:val="nil"/>
            </w:tcBorders>
          </w:tcPr>
          <w:p w14:paraId="06BE4B0E"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r>
      <w:tr w:rsidR="00266184" w:rsidRPr="00A70F6D" w14:paraId="4DBA51AF" w14:textId="77777777" w:rsidTr="00A70F6D">
        <w:trPr>
          <w:gridAfter w:val="2"/>
          <w:wAfter w:w="2554" w:type="dxa"/>
        </w:trPr>
        <w:tc>
          <w:tcPr>
            <w:tcW w:w="2801" w:type="dxa"/>
            <w:tcBorders>
              <w:left w:val="nil"/>
              <w:right w:val="nil"/>
            </w:tcBorders>
          </w:tcPr>
          <w:p w14:paraId="614FF0F0" w14:textId="539763F1" w:rsidR="00266184" w:rsidRPr="00A70F6D" w:rsidRDefault="00266184" w:rsidP="00A70F6D">
            <w:pPr>
              <w:widowControl w:val="0"/>
              <w:autoSpaceDE w:val="0"/>
              <w:autoSpaceDN w:val="0"/>
              <w:adjustRightInd w:val="0"/>
              <w:spacing w:line="240" w:lineRule="auto"/>
              <w:ind w:firstLine="0"/>
              <w:jc w:val="left"/>
              <w:rPr>
                <w:rFonts w:eastAsiaTheme="minorEastAsia" w:cs="Times New Roman"/>
                <w:i/>
                <w:iCs/>
                <w:sz w:val="20"/>
                <w:szCs w:val="20"/>
                <w:lang w:val="en-US"/>
              </w:rPr>
            </w:pPr>
            <w:r w:rsidRPr="00A70F6D">
              <w:rPr>
                <w:rFonts w:eastAsiaTheme="minorEastAsia" w:cs="Times New Roman"/>
                <w:sz w:val="20"/>
                <w:szCs w:val="20"/>
                <w:lang w:val="en-US"/>
              </w:rPr>
              <w:t xml:space="preserve">Weighted </w:t>
            </w:r>
            <w:r w:rsidR="00334A5E">
              <w:rPr>
                <w:rFonts w:eastAsiaTheme="minorEastAsia" w:cs="Times New Roman"/>
                <w:sz w:val="20"/>
                <w:szCs w:val="20"/>
                <w:lang w:val="en-US"/>
              </w:rPr>
              <w:t>d</w:t>
            </w:r>
            <w:r w:rsidRPr="00A70F6D">
              <w:rPr>
                <w:rFonts w:eastAsiaTheme="minorEastAsia" w:cs="Times New Roman"/>
                <w:sz w:val="20"/>
                <w:szCs w:val="20"/>
                <w:lang w:val="en-US"/>
              </w:rPr>
              <w:t>istance</w:t>
            </w:r>
          </w:p>
        </w:tc>
        <w:tc>
          <w:tcPr>
            <w:tcW w:w="1274" w:type="dxa"/>
            <w:tcBorders>
              <w:left w:val="nil"/>
              <w:right w:val="nil"/>
            </w:tcBorders>
          </w:tcPr>
          <w:p w14:paraId="52DB0DFD"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371" w:type="dxa"/>
            <w:tcBorders>
              <w:left w:val="nil"/>
              <w:right w:val="nil"/>
            </w:tcBorders>
          </w:tcPr>
          <w:p w14:paraId="38B484D8"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181" w:type="dxa"/>
            <w:tcBorders>
              <w:left w:val="nil"/>
              <w:right w:val="nil"/>
            </w:tcBorders>
          </w:tcPr>
          <w:p w14:paraId="00591575"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451" w:type="dxa"/>
            <w:tcBorders>
              <w:left w:val="nil"/>
              <w:right w:val="nil"/>
            </w:tcBorders>
          </w:tcPr>
          <w:p w14:paraId="7498EBD0"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703" w:type="dxa"/>
            <w:tcBorders>
              <w:left w:val="nil"/>
              <w:right w:val="nil"/>
            </w:tcBorders>
          </w:tcPr>
          <w:p w14:paraId="299B8141"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r>
      <w:tr w:rsidR="00266184" w:rsidRPr="00A70F6D" w14:paraId="0C62F1F9" w14:textId="77777777" w:rsidTr="00A70F6D">
        <w:trPr>
          <w:gridAfter w:val="2"/>
          <w:wAfter w:w="2554" w:type="dxa"/>
        </w:trPr>
        <w:tc>
          <w:tcPr>
            <w:tcW w:w="2801" w:type="dxa"/>
            <w:tcBorders>
              <w:left w:val="nil"/>
              <w:bottom w:val="single" w:sz="4" w:space="0" w:color="auto"/>
              <w:right w:val="nil"/>
            </w:tcBorders>
          </w:tcPr>
          <w:p w14:paraId="7FDC93D1"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i/>
                <w:iCs/>
                <w:sz w:val="20"/>
                <w:szCs w:val="20"/>
                <w:lang w:val="en-US"/>
              </w:rPr>
            </w:pPr>
            <w:r w:rsidRPr="00A70F6D">
              <w:rPr>
                <w:rFonts w:eastAsiaTheme="minorEastAsia" w:cs="Times New Roman"/>
                <w:sz w:val="20"/>
                <w:szCs w:val="20"/>
                <w:lang w:val="en-US"/>
              </w:rPr>
              <w:t>Year FE</w:t>
            </w:r>
          </w:p>
        </w:tc>
        <w:tc>
          <w:tcPr>
            <w:tcW w:w="1274" w:type="dxa"/>
            <w:tcBorders>
              <w:left w:val="nil"/>
              <w:bottom w:val="single" w:sz="4" w:space="0" w:color="auto"/>
              <w:right w:val="nil"/>
            </w:tcBorders>
          </w:tcPr>
          <w:p w14:paraId="4C1FB2AF"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371" w:type="dxa"/>
            <w:tcBorders>
              <w:left w:val="nil"/>
              <w:bottom w:val="single" w:sz="4" w:space="0" w:color="auto"/>
              <w:right w:val="nil"/>
            </w:tcBorders>
          </w:tcPr>
          <w:p w14:paraId="7716C3DB"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181" w:type="dxa"/>
            <w:tcBorders>
              <w:left w:val="nil"/>
              <w:bottom w:val="single" w:sz="4" w:space="0" w:color="auto"/>
              <w:right w:val="nil"/>
            </w:tcBorders>
          </w:tcPr>
          <w:p w14:paraId="3F64920F"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451" w:type="dxa"/>
            <w:tcBorders>
              <w:left w:val="nil"/>
              <w:bottom w:val="single" w:sz="4" w:space="0" w:color="auto"/>
              <w:right w:val="nil"/>
            </w:tcBorders>
          </w:tcPr>
          <w:p w14:paraId="104419B3"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703" w:type="dxa"/>
            <w:tcBorders>
              <w:left w:val="nil"/>
              <w:bottom w:val="single" w:sz="4" w:space="0" w:color="auto"/>
              <w:right w:val="nil"/>
            </w:tcBorders>
          </w:tcPr>
          <w:p w14:paraId="1F9AB01C"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r>
      <w:tr w:rsidR="00266184" w:rsidRPr="00A70F6D" w14:paraId="22B7E35D" w14:textId="77777777" w:rsidTr="00A70F6D">
        <w:trPr>
          <w:gridAfter w:val="2"/>
          <w:wAfter w:w="2554" w:type="dxa"/>
          <w:trHeight w:val="77"/>
        </w:trPr>
        <w:tc>
          <w:tcPr>
            <w:tcW w:w="2801" w:type="dxa"/>
            <w:tcBorders>
              <w:top w:val="single" w:sz="4" w:space="0" w:color="auto"/>
              <w:left w:val="nil"/>
              <w:bottom w:val="single" w:sz="4" w:space="0" w:color="auto"/>
              <w:right w:val="nil"/>
            </w:tcBorders>
          </w:tcPr>
          <w:p w14:paraId="4AE9A217" w14:textId="77777777" w:rsidR="00266184" w:rsidRPr="00A70F6D" w:rsidRDefault="00266184" w:rsidP="00A70F6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Observations</w:t>
            </w:r>
          </w:p>
        </w:tc>
        <w:tc>
          <w:tcPr>
            <w:tcW w:w="1274" w:type="dxa"/>
            <w:tcBorders>
              <w:top w:val="single" w:sz="4" w:space="0" w:color="auto"/>
              <w:left w:val="nil"/>
              <w:bottom w:val="single" w:sz="4" w:space="0" w:color="auto"/>
              <w:right w:val="nil"/>
            </w:tcBorders>
          </w:tcPr>
          <w:p w14:paraId="7FFC34E0"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321</w:t>
            </w:r>
          </w:p>
        </w:tc>
        <w:tc>
          <w:tcPr>
            <w:tcW w:w="1371" w:type="dxa"/>
            <w:tcBorders>
              <w:top w:val="single" w:sz="4" w:space="0" w:color="auto"/>
              <w:left w:val="nil"/>
              <w:bottom w:val="single" w:sz="4" w:space="0" w:color="auto"/>
              <w:right w:val="nil"/>
            </w:tcBorders>
          </w:tcPr>
          <w:p w14:paraId="0985847E"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353</w:t>
            </w:r>
          </w:p>
        </w:tc>
        <w:tc>
          <w:tcPr>
            <w:tcW w:w="1181" w:type="dxa"/>
            <w:tcBorders>
              <w:top w:val="single" w:sz="4" w:space="0" w:color="auto"/>
              <w:left w:val="nil"/>
              <w:bottom w:val="single" w:sz="4" w:space="0" w:color="auto"/>
              <w:right w:val="nil"/>
            </w:tcBorders>
          </w:tcPr>
          <w:p w14:paraId="623886DA"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406</w:t>
            </w:r>
          </w:p>
        </w:tc>
        <w:tc>
          <w:tcPr>
            <w:tcW w:w="1451" w:type="dxa"/>
            <w:tcBorders>
              <w:top w:val="single" w:sz="4" w:space="0" w:color="auto"/>
              <w:left w:val="nil"/>
              <w:bottom w:val="single" w:sz="4" w:space="0" w:color="auto"/>
              <w:right w:val="nil"/>
            </w:tcBorders>
          </w:tcPr>
          <w:p w14:paraId="2D9A3210"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408</w:t>
            </w:r>
          </w:p>
        </w:tc>
        <w:tc>
          <w:tcPr>
            <w:tcW w:w="1703" w:type="dxa"/>
            <w:tcBorders>
              <w:top w:val="single" w:sz="4" w:space="0" w:color="auto"/>
              <w:left w:val="nil"/>
              <w:bottom w:val="single" w:sz="4" w:space="0" w:color="auto"/>
              <w:right w:val="nil"/>
            </w:tcBorders>
          </w:tcPr>
          <w:p w14:paraId="0F7F53A0" w14:textId="77777777" w:rsidR="00266184" w:rsidRPr="00A70F6D" w:rsidRDefault="00266184" w:rsidP="00A70F6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408</w:t>
            </w:r>
          </w:p>
        </w:tc>
      </w:tr>
    </w:tbl>
    <w:p w14:paraId="039A3025" w14:textId="77777777" w:rsidR="00266184" w:rsidRPr="00A70F6D" w:rsidRDefault="00266184" w:rsidP="00266184">
      <w:pPr>
        <w:rPr>
          <w:lang w:val="en-US"/>
        </w:rPr>
      </w:pPr>
    </w:p>
    <w:p w14:paraId="6EDE0A29" w14:textId="48249D9A" w:rsidR="00734757" w:rsidRPr="00A70F6D" w:rsidRDefault="00734757" w:rsidP="00734757">
      <w:pPr>
        <w:spacing w:after="200" w:line="240" w:lineRule="auto"/>
        <w:rPr>
          <w:rFonts w:cs="Times New Roman"/>
          <w:i/>
          <w:szCs w:val="24"/>
          <w:lang w:val="en-US"/>
        </w:rPr>
      </w:pPr>
      <w:r w:rsidRPr="00A70F6D">
        <w:rPr>
          <w:rFonts w:cs="Times New Roman"/>
          <w:i/>
          <w:szCs w:val="24"/>
          <w:lang w:val="en-US"/>
        </w:rPr>
        <w:t xml:space="preserve">Note: the dependent variable is the share of sterling in reserves of monetary authorities of </w:t>
      </w:r>
      <w:r w:rsidRPr="00A70F6D">
        <w:rPr>
          <w:rFonts w:cs="Times New Roman"/>
          <w:i/>
          <w:iCs/>
          <w:szCs w:val="24"/>
          <w:lang w:val="en-US"/>
        </w:rPr>
        <w:t>European and</w:t>
      </w:r>
      <w:r w:rsidRPr="00A70F6D">
        <w:rPr>
          <w:rFonts w:cs="Times New Roman"/>
          <w:i/>
          <w:szCs w:val="24"/>
          <w:lang w:val="en-US"/>
        </w:rPr>
        <w:t xml:space="preserve"> sterling area countries. All errors are clustered at the country level. </w:t>
      </w:r>
      <w:r w:rsidR="0020448F" w:rsidRPr="00A70F6D">
        <w:rPr>
          <w:i/>
        </w:rPr>
        <w:t xml:space="preserve">All variables are </w:t>
      </w:r>
      <w:proofErr w:type="spellStart"/>
      <w:r w:rsidR="0020448F" w:rsidRPr="00A70F6D">
        <w:rPr>
          <w:i/>
        </w:rPr>
        <w:t>winsorized</w:t>
      </w:r>
      <w:proofErr w:type="spellEnd"/>
      <w:r w:rsidR="0020448F" w:rsidRPr="00A70F6D">
        <w:rPr>
          <w:i/>
        </w:rPr>
        <w:t xml:space="preserve"> at level 1% and 99% levels. </w:t>
      </w:r>
      <w:r w:rsidRPr="00A70F6D">
        <w:rPr>
          <w:i/>
          <w:szCs w:val="24"/>
          <w:lang w:val="en-US"/>
        </w:rPr>
        <w:t>The coefficients are odds ratio, a coefficient &lt;1 indicates lower odds of association between the explanatory variable and the importance of sterling in the reserve portfolio, while a coefficient &gt; 1 indicates greater odds of association.</w:t>
      </w:r>
      <w:r w:rsidR="00266184" w:rsidRPr="00A70F6D">
        <w:rPr>
          <w:i/>
          <w:szCs w:val="24"/>
          <w:lang w:val="en-US"/>
        </w:rPr>
        <w:t xml:space="preserve"> P-value</w:t>
      </w:r>
      <w:r w:rsidR="006D2579" w:rsidRPr="00A70F6D">
        <w:rPr>
          <w:i/>
          <w:szCs w:val="24"/>
          <w:lang w:val="en-US"/>
        </w:rPr>
        <w:t>s</w:t>
      </w:r>
      <w:r w:rsidR="00266184" w:rsidRPr="00A70F6D">
        <w:rPr>
          <w:i/>
          <w:szCs w:val="24"/>
          <w:lang w:val="en-US"/>
        </w:rPr>
        <w:t xml:space="preserve"> are in parenthesis.</w:t>
      </w:r>
      <w:r w:rsidRPr="00A70F6D">
        <w:rPr>
          <w:i/>
          <w:szCs w:val="24"/>
          <w:lang w:val="en-US"/>
        </w:rPr>
        <w:t xml:space="preserve"> </w:t>
      </w:r>
      <w:r w:rsidRPr="00A70F6D">
        <w:rPr>
          <w:rFonts w:cs="Times New Roman"/>
          <w:i/>
          <w:szCs w:val="24"/>
          <w:lang w:val="en-US"/>
        </w:rPr>
        <w:t>* p&lt;0.1, ** p&lt;0.05, *** p&lt;0.01.</w:t>
      </w:r>
    </w:p>
    <w:p w14:paraId="5738B02B" w14:textId="77777777" w:rsidR="00734757" w:rsidRPr="00A70F6D" w:rsidRDefault="00734757" w:rsidP="00734757">
      <w:pPr>
        <w:rPr>
          <w:lang w:val="en-US"/>
        </w:rPr>
      </w:pPr>
    </w:p>
    <w:p w14:paraId="34CB4367" w14:textId="07B22724" w:rsidR="009574D8" w:rsidRPr="00A70F6D" w:rsidRDefault="009574D8">
      <w:pPr>
        <w:spacing w:after="160" w:line="259" w:lineRule="auto"/>
        <w:ind w:firstLine="0"/>
        <w:jc w:val="left"/>
        <w:rPr>
          <w:lang w:val="en-US"/>
        </w:rPr>
      </w:pPr>
      <w:r w:rsidRPr="00A70F6D">
        <w:rPr>
          <w:lang w:val="en-US"/>
        </w:rPr>
        <w:br w:type="page"/>
      </w:r>
    </w:p>
    <w:p w14:paraId="649E280B" w14:textId="653ACCEF" w:rsidR="00734757" w:rsidRPr="00A70F6D" w:rsidRDefault="00734757" w:rsidP="00734757">
      <w:pPr>
        <w:spacing w:after="200" w:line="240" w:lineRule="auto"/>
        <w:rPr>
          <w:rFonts w:cs="Times New Roman"/>
          <w:iCs/>
          <w:szCs w:val="24"/>
          <w:lang w:val="en-US"/>
        </w:rPr>
      </w:pPr>
      <w:bookmarkStart w:id="8" w:name="_Ref102338270"/>
      <w:bookmarkStart w:id="9" w:name="_Ref102338266"/>
      <w:r w:rsidRPr="00A70F6D">
        <w:rPr>
          <w:iCs/>
          <w:szCs w:val="24"/>
        </w:rPr>
        <w:lastRenderedPageBreak/>
        <w:t xml:space="preserve">Table </w:t>
      </w:r>
      <w:r w:rsidRPr="00A70F6D">
        <w:rPr>
          <w:iCs/>
          <w:szCs w:val="24"/>
        </w:rPr>
        <w:fldChar w:fldCharType="begin"/>
      </w:r>
      <w:r w:rsidRPr="00A70F6D">
        <w:rPr>
          <w:iCs/>
          <w:szCs w:val="24"/>
        </w:rPr>
        <w:instrText xml:space="preserve"> SEQ Table \* ARABIC \s 1 </w:instrText>
      </w:r>
      <w:r w:rsidRPr="00A70F6D">
        <w:rPr>
          <w:iCs/>
          <w:szCs w:val="24"/>
        </w:rPr>
        <w:fldChar w:fldCharType="separate"/>
      </w:r>
      <w:r w:rsidR="00D34F23" w:rsidRPr="00A70F6D">
        <w:rPr>
          <w:iCs/>
          <w:noProof/>
          <w:szCs w:val="24"/>
        </w:rPr>
        <w:t>2</w:t>
      </w:r>
      <w:r w:rsidRPr="00A70F6D">
        <w:rPr>
          <w:iCs/>
          <w:szCs w:val="24"/>
        </w:rPr>
        <w:fldChar w:fldCharType="end"/>
      </w:r>
      <w:bookmarkEnd w:id="8"/>
      <w:r w:rsidRPr="00A70F6D">
        <w:rPr>
          <w:rFonts w:cs="Times New Roman"/>
          <w:iCs/>
          <w:szCs w:val="24"/>
          <w:lang w:val="en-US"/>
        </w:rPr>
        <w:t>: Robustness checks 2</w:t>
      </w:r>
      <w:bookmarkEnd w:id="9"/>
      <w:r w:rsidRPr="00A70F6D">
        <w:rPr>
          <w:rFonts w:cs="Times New Roman"/>
          <w:iCs/>
          <w:szCs w:val="24"/>
          <w:lang w:val="en-US"/>
        </w:rPr>
        <w:t xml:space="preserve"> </w:t>
      </w:r>
    </w:p>
    <w:tbl>
      <w:tblPr>
        <w:tblW w:w="11733" w:type="dxa"/>
        <w:tblLayout w:type="fixed"/>
        <w:tblLook w:val="0000" w:firstRow="0" w:lastRow="0" w:firstColumn="0" w:lastColumn="0" w:noHBand="0" w:noVBand="0"/>
      </w:tblPr>
      <w:tblGrid>
        <w:gridCol w:w="2802"/>
        <w:gridCol w:w="1275"/>
        <w:gridCol w:w="1371"/>
        <w:gridCol w:w="1181"/>
        <w:gridCol w:w="1276"/>
        <w:gridCol w:w="1276"/>
        <w:gridCol w:w="1276"/>
        <w:gridCol w:w="1276"/>
      </w:tblGrid>
      <w:tr w:rsidR="0083288D" w:rsidRPr="00A70F6D" w14:paraId="6115E729" w14:textId="77777777" w:rsidTr="0083288D">
        <w:trPr>
          <w:gridAfter w:val="2"/>
          <w:wAfter w:w="2552" w:type="dxa"/>
        </w:trPr>
        <w:tc>
          <w:tcPr>
            <w:tcW w:w="2802" w:type="dxa"/>
            <w:tcBorders>
              <w:top w:val="single" w:sz="4" w:space="0" w:color="auto"/>
              <w:left w:val="nil"/>
              <w:bottom w:val="nil"/>
              <w:right w:val="nil"/>
            </w:tcBorders>
          </w:tcPr>
          <w:p w14:paraId="4AC396F9"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single" w:sz="4" w:space="0" w:color="auto"/>
              <w:left w:val="nil"/>
              <w:right w:val="nil"/>
            </w:tcBorders>
          </w:tcPr>
          <w:p w14:paraId="4C83A42D"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w:t>
            </w:r>
          </w:p>
        </w:tc>
        <w:tc>
          <w:tcPr>
            <w:tcW w:w="1371" w:type="dxa"/>
            <w:tcBorders>
              <w:top w:val="single" w:sz="4" w:space="0" w:color="auto"/>
              <w:left w:val="nil"/>
              <w:right w:val="nil"/>
            </w:tcBorders>
          </w:tcPr>
          <w:p w14:paraId="713E2464"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(2)</w:t>
            </w:r>
          </w:p>
        </w:tc>
        <w:tc>
          <w:tcPr>
            <w:tcW w:w="1181" w:type="dxa"/>
            <w:tcBorders>
              <w:top w:val="single" w:sz="4" w:space="0" w:color="auto"/>
              <w:left w:val="nil"/>
              <w:right w:val="nil"/>
            </w:tcBorders>
          </w:tcPr>
          <w:p w14:paraId="78070C8E"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(3)</w:t>
            </w:r>
          </w:p>
        </w:tc>
        <w:tc>
          <w:tcPr>
            <w:tcW w:w="1276" w:type="dxa"/>
            <w:tcBorders>
              <w:top w:val="single" w:sz="4" w:space="0" w:color="auto"/>
              <w:left w:val="nil"/>
              <w:right w:val="nil"/>
            </w:tcBorders>
          </w:tcPr>
          <w:p w14:paraId="364C49D2" w14:textId="4B8C7DC4"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w:t>
            </w:r>
          </w:p>
        </w:tc>
        <w:tc>
          <w:tcPr>
            <w:tcW w:w="1276" w:type="dxa"/>
            <w:tcBorders>
              <w:top w:val="single" w:sz="4" w:space="0" w:color="auto"/>
              <w:left w:val="nil"/>
              <w:right w:val="nil"/>
            </w:tcBorders>
          </w:tcPr>
          <w:p w14:paraId="475CFD8E" w14:textId="0C2FDDA0"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(5)</w:t>
            </w:r>
          </w:p>
        </w:tc>
      </w:tr>
      <w:tr w:rsidR="0083288D" w:rsidRPr="00A70F6D" w14:paraId="0D96BC5A" w14:textId="77777777" w:rsidTr="0083288D">
        <w:tc>
          <w:tcPr>
            <w:tcW w:w="2802" w:type="dxa"/>
            <w:tcBorders>
              <w:top w:val="nil"/>
              <w:left w:val="nil"/>
              <w:right w:val="nil"/>
            </w:tcBorders>
          </w:tcPr>
          <w:p w14:paraId="2051F99F"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3827" w:type="dxa"/>
            <w:gridSpan w:val="3"/>
            <w:tcBorders>
              <w:top w:val="nil"/>
              <w:left w:val="nil"/>
              <w:bottom w:val="single" w:sz="4" w:space="0" w:color="auto"/>
              <w:right w:val="nil"/>
            </w:tcBorders>
          </w:tcPr>
          <w:p w14:paraId="03E2078E" w14:textId="311EC45F"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 xml:space="preserve">Tobit </w:t>
            </w:r>
            <w:r w:rsidR="00334A5E">
              <w:rPr>
                <w:rFonts w:eastAsiaTheme="minorEastAsia" w:cs="Times New Roman"/>
                <w:sz w:val="20"/>
                <w:szCs w:val="20"/>
                <w:lang w:val="en-US"/>
              </w:rPr>
              <w:t>estimates</w:t>
            </w:r>
          </w:p>
        </w:tc>
        <w:tc>
          <w:tcPr>
            <w:tcW w:w="1276" w:type="dxa"/>
            <w:tcBorders>
              <w:top w:val="nil"/>
              <w:left w:val="nil"/>
              <w:right w:val="nil"/>
            </w:tcBorders>
          </w:tcPr>
          <w:p w14:paraId="20EFB44E" w14:textId="195EE7A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OLS</w:t>
            </w:r>
            <w:r w:rsidR="00334A5E">
              <w:rPr>
                <w:rFonts w:eastAsiaTheme="minorEastAsia" w:cs="Times New Roman"/>
                <w:sz w:val="20"/>
                <w:szCs w:val="20"/>
                <w:lang w:val="en-US"/>
              </w:rPr>
              <w:t xml:space="preserve"> estimates</w:t>
            </w:r>
          </w:p>
        </w:tc>
        <w:tc>
          <w:tcPr>
            <w:tcW w:w="1276" w:type="dxa"/>
            <w:tcBorders>
              <w:top w:val="nil"/>
              <w:left w:val="nil"/>
              <w:right w:val="nil"/>
            </w:tcBorders>
          </w:tcPr>
          <w:p w14:paraId="27881743" w14:textId="7DFA05E3"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GMM</w:t>
            </w:r>
            <w:r w:rsidR="00334A5E">
              <w:rPr>
                <w:rFonts w:eastAsiaTheme="minorEastAsia" w:cs="Times New Roman"/>
                <w:sz w:val="20"/>
                <w:szCs w:val="20"/>
                <w:lang w:val="en-US"/>
              </w:rPr>
              <w:t xml:space="preserve"> estimates</w:t>
            </w:r>
          </w:p>
        </w:tc>
        <w:tc>
          <w:tcPr>
            <w:tcW w:w="1276" w:type="dxa"/>
            <w:tcBorders>
              <w:top w:val="nil"/>
              <w:left w:val="nil"/>
              <w:right w:val="nil"/>
            </w:tcBorders>
          </w:tcPr>
          <w:p w14:paraId="795187F9"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276" w:type="dxa"/>
            <w:tcBorders>
              <w:top w:val="nil"/>
              <w:left w:val="nil"/>
              <w:right w:val="nil"/>
            </w:tcBorders>
          </w:tcPr>
          <w:p w14:paraId="7F4ED037" w14:textId="55780B2C"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OLS</w:t>
            </w:r>
          </w:p>
        </w:tc>
      </w:tr>
      <w:tr w:rsidR="0083288D" w:rsidRPr="00A70F6D" w14:paraId="2E7E68A6" w14:textId="77777777" w:rsidTr="0083288D">
        <w:trPr>
          <w:gridAfter w:val="2"/>
          <w:wAfter w:w="2552" w:type="dxa"/>
        </w:trPr>
        <w:tc>
          <w:tcPr>
            <w:tcW w:w="2802" w:type="dxa"/>
            <w:tcBorders>
              <w:top w:val="nil"/>
              <w:left w:val="nil"/>
              <w:bottom w:val="single" w:sz="4" w:space="0" w:color="auto"/>
              <w:right w:val="nil"/>
            </w:tcBorders>
          </w:tcPr>
          <w:p w14:paraId="6AC49199"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single" w:sz="4" w:space="0" w:color="auto"/>
              <w:left w:val="nil"/>
              <w:bottom w:val="single" w:sz="4" w:space="0" w:color="auto"/>
              <w:right w:val="nil"/>
            </w:tcBorders>
          </w:tcPr>
          <w:p w14:paraId="121290AC"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Baseline</w:t>
            </w:r>
          </w:p>
        </w:tc>
        <w:tc>
          <w:tcPr>
            <w:tcW w:w="1371" w:type="dxa"/>
            <w:tcBorders>
              <w:top w:val="single" w:sz="4" w:space="0" w:color="auto"/>
              <w:left w:val="nil"/>
              <w:bottom w:val="single" w:sz="4" w:space="0" w:color="auto"/>
              <w:right w:val="nil"/>
            </w:tcBorders>
          </w:tcPr>
          <w:p w14:paraId="6D44D426"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Country FE</w:t>
            </w:r>
          </w:p>
        </w:tc>
        <w:tc>
          <w:tcPr>
            <w:tcW w:w="1181" w:type="dxa"/>
            <w:tcBorders>
              <w:top w:val="single" w:sz="4" w:space="0" w:color="auto"/>
              <w:left w:val="nil"/>
              <w:bottom w:val="single" w:sz="4" w:space="0" w:color="auto"/>
              <w:right w:val="nil"/>
            </w:tcBorders>
          </w:tcPr>
          <w:p w14:paraId="048BA274"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inertia</w:t>
            </w:r>
          </w:p>
        </w:tc>
        <w:tc>
          <w:tcPr>
            <w:tcW w:w="1276" w:type="dxa"/>
            <w:tcBorders>
              <w:top w:val="nil"/>
              <w:left w:val="nil"/>
              <w:bottom w:val="single" w:sz="4" w:space="0" w:color="auto"/>
              <w:right w:val="nil"/>
            </w:tcBorders>
          </w:tcPr>
          <w:p w14:paraId="41A9F66F" w14:textId="5D267930"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 inertia</w:t>
            </w:r>
          </w:p>
        </w:tc>
        <w:tc>
          <w:tcPr>
            <w:tcW w:w="1276" w:type="dxa"/>
            <w:tcBorders>
              <w:top w:val="nil"/>
              <w:left w:val="nil"/>
              <w:bottom w:val="single" w:sz="4" w:space="0" w:color="auto"/>
              <w:right w:val="nil"/>
            </w:tcBorders>
          </w:tcPr>
          <w:p w14:paraId="1E7CB9D6"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r>
      <w:tr w:rsidR="0083288D" w:rsidRPr="00A70F6D" w14:paraId="3BC31C35" w14:textId="77777777" w:rsidTr="0083288D">
        <w:trPr>
          <w:gridAfter w:val="2"/>
          <w:wAfter w:w="2552" w:type="dxa"/>
        </w:trPr>
        <w:tc>
          <w:tcPr>
            <w:tcW w:w="2802" w:type="dxa"/>
            <w:tcBorders>
              <w:top w:val="single" w:sz="4" w:space="0" w:color="auto"/>
              <w:left w:val="nil"/>
              <w:bottom w:val="nil"/>
              <w:right w:val="nil"/>
            </w:tcBorders>
          </w:tcPr>
          <w:p w14:paraId="4281813F"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Sterling area membership</w:t>
            </w:r>
          </w:p>
        </w:tc>
        <w:tc>
          <w:tcPr>
            <w:tcW w:w="1275" w:type="dxa"/>
            <w:tcBorders>
              <w:top w:val="single" w:sz="4" w:space="0" w:color="auto"/>
              <w:left w:val="nil"/>
              <w:bottom w:val="nil"/>
              <w:right w:val="nil"/>
            </w:tcBorders>
          </w:tcPr>
          <w:p w14:paraId="7D4818A9"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0.56***</w:t>
            </w:r>
          </w:p>
        </w:tc>
        <w:tc>
          <w:tcPr>
            <w:tcW w:w="1371" w:type="dxa"/>
            <w:tcBorders>
              <w:top w:val="single" w:sz="4" w:space="0" w:color="auto"/>
              <w:left w:val="nil"/>
              <w:bottom w:val="nil"/>
              <w:right w:val="nil"/>
            </w:tcBorders>
          </w:tcPr>
          <w:p w14:paraId="51E7163C"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181" w:type="dxa"/>
            <w:tcBorders>
              <w:top w:val="single" w:sz="4" w:space="0" w:color="auto"/>
              <w:left w:val="nil"/>
              <w:bottom w:val="nil"/>
              <w:right w:val="nil"/>
            </w:tcBorders>
          </w:tcPr>
          <w:p w14:paraId="294CEBF7"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-0.06</w:t>
            </w:r>
          </w:p>
        </w:tc>
        <w:tc>
          <w:tcPr>
            <w:tcW w:w="1276" w:type="dxa"/>
            <w:tcBorders>
              <w:top w:val="single" w:sz="4" w:space="0" w:color="auto"/>
              <w:left w:val="nil"/>
              <w:bottom w:val="nil"/>
              <w:right w:val="nil"/>
            </w:tcBorders>
          </w:tcPr>
          <w:p w14:paraId="69582262" w14:textId="28040214"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0.08</w:t>
            </w:r>
          </w:p>
        </w:tc>
        <w:tc>
          <w:tcPr>
            <w:tcW w:w="1276" w:type="dxa"/>
            <w:tcBorders>
              <w:top w:val="single" w:sz="4" w:space="0" w:color="auto"/>
              <w:left w:val="nil"/>
              <w:bottom w:val="nil"/>
              <w:right w:val="nil"/>
            </w:tcBorders>
          </w:tcPr>
          <w:p w14:paraId="2A80AEDF"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r>
      <w:tr w:rsidR="0083288D" w:rsidRPr="00A70F6D" w14:paraId="31A7BFD5" w14:textId="77777777" w:rsidTr="0083288D">
        <w:trPr>
          <w:gridAfter w:val="2"/>
          <w:wAfter w:w="2552" w:type="dxa"/>
        </w:trPr>
        <w:tc>
          <w:tcPr>
            <w:tcW w:w="2802" w:type="dxa"/>
            <w:tcBorders>
              <w:top w:val="nil"/>
              <w:left w:val="nil"/>
              <w:bottom w:val="nil"/>
              <w:right w:val="nil"/>
            </w:tcBorders>
          </w:tcPr>
          <w:p w14:paraId="471E01E2"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nil"/>
              <w:left w:val="nil"/>
              <w:bottom w:val="nil"/>
              <w:right w:val="nil"/>
            </w:tcBorders>
          </w:tcPr>
          <w:p w14:paraId="653B12C4" w14:textId="12EDE94E"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371" w:type="dxa"/>
            <w:tcBorders>
              <w:top w:val="nil"/>
              <w:left w:val="nil"/>
              <w:bottom w:val="nil"/>
              <w:right w:val="nil"/>
            </w:tcBorders>
          </w:tcPr>
          <w:p w14:paraId="264BD6FA"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181" w:type="dxa"/>
            <w:tcBorders>
              <w:top w:val="nil"/>
              <w:left w:val="nil"/>
              <w:bottom w:val="nil"/>
              <w:right w:val="nil"/>
            </w:tcBorders>
          </w:tcPr>
          <w:p w14:paraId="4682EC44" w14:textId="5064A786"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0.40</w:t>
            </w:r>
            <w:r w:rsidRPr="00A70F6D">
              <w:rPr>
                <w:rFonts w:eastAsiaTheme="minorEastAsia" w:cs="Times New Roman"/>
                <w:sz w:val="20"/>
                <w:szCs w:val="20"/>
                <w:lang w:val="en-US"/>
              </w:rPr>
              <w:t>)</w:t>
            </w:r>
          </w:p>
        </w:tc>
        <w:tc>
          <w:tcPr>
            <w:tcW w:w="1276" w:type="dxa"/>
            <w:tcBorders>
              <w:top w:val="nil"/>
              <w:left w:val="nil"/>
              <w:bottom w:val="nil"/>
              <w:right w:val="nil"/>
            </w:tcBorders>
          </w:tcPr>
          <w:p w14:paraId="3305B217" w14:textId="7ADECCD3"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0.20</w:t>
            </w:r>
            <w:r w:rsidRPr="00A70F6D">
              <w:rPr>
                <w:rFonts w:eastAsiaTheme="minorEastAsia" w:cs="Times New Roman"/>
                <w:sz w:val="20"/>
                <w:szCs w:val="20"/>
                <w:lang w:val="en-US"/>
              </w:rPr>
              <w:t>)</w:t>
            </w:r>
          </w:p>
        </w:tc>
        <w:tc>
          <w:tcPr>
            <w:tcW w:w="1276" w:type="dxa"/>
            <w:tcBorders>
              <w:top w:val="nil"/>
              <w:left w:val="nil"/>
              <w:bottom w:val="nil"/>
              <w:right w:val="nil"/>
            </w:tcBorders>
          </w:tcPr>
          <w:p w14:paraId="08BE43F3"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r>
      <w:tr w:rsidR="0083288D" w:rsidRPr="00A70F6D" w14:paraId="67F733B0" w14:textId="77777777" w:rsidTr="0083288D">
        <w:trPr>
          <w:gridAfter w:val="2"/>
          <w:wAfter w:w="2552" w:type="dxa"/>
        </w:trPr>
        <w:tc>
          <w:tcPr>
            <w:tcW w:w="2802" w:type="dxa"/>
            <w:tcBorders>
              <w:top w:val="nil"/>
              <w:left w:val="nil"/>
              <w:bottom w:val="nil"/>
              <w:right w:val="nil"/>
            </w:tcBorders>
          </w:tcPr>
          <w:p w14:paraId="0B771F61" w14:textId="3EF50C82" w:rsidR="0083288D" w:rsidRPr="00A70F6D" w:rsidRDefault="00A70F6D" w:rsidP="0083288D">
            <w:pPr>
              <w:widowControl w:val="0"/>
              <w:autoSpaceDE w:val="0"/>
              <w:autoSpaceDN w:val="0"/>
              <w:adjustRightInd w:val="0"/>
              <w:spacing w:line="240" w:lineRule="auto"/>
              <w:ind w:firstLine="0"/>
              <w:jc w:val="left"/>
              <w:rPr>
                <w:rFonts w:eastAsiaTheme="minorEastAsia" w:cs="Times New Roman"/>
                <w:sz w:val="20"/>
                <w:szCs w:val="20"/>
                <w:lang w:val="en-US"/>
              </w:rPr>
            </w:pPr>
            <w:r>
              <w:rPr>
                <w:rFonts w:eastAsiaTheme="minorEastAsia" w:cs="Times New Roman"/>
                <w:sz w:val="20"/>
                <w:szCs w:val="20"/>
                <w:lang w:val="en-US"/>
              </w:rPr>
              <w:t>T</w:t>
            </w:r>
            <w:r w:rsidR="0083288D" w:rsidRPr="00A70F6D">
              <w:rPr>
                <w:rFonts w:eastAsiaTheme="minorEastAsia" w:cs="Times New Roman"/>
                <w:sz w:val="20"/>
                <w:szCs w:val="20"/>
                <w:lang w:val="en-US"/>
              </w:rPr>
              <w:t>rade intensity w/UK</w:t>
            </w:r>
          </w:p>
        </w:tc>
        <w:tc>
          <w:tcPr>
            <w:tcW w:w="1275" w:type="dxa"/>
            <w:tcBorders>
              <w:top w:val="nil"/>
              <w:left w:val="nil"/>
              <w:bottom w:val="nil"/>
              <w:right w:val="nil"/>
            </w:tcBorders>
          </w:tcPr>
          <w:p w14:paraId="73FB8D46"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0.27***</w:t>
            </w:r>
          </w:p>
        </w:tc>
        <w:tc>
          <w:tcPr>
            <w:tcW w:w="1371" w:type="dxa"/>
            <w:tcBorders>
              <w:top w:val="nil"/>
              <w:left w:val="nil"/>
              <w:bottom w:val="nil"/>
              <w:right w:val="nil"/>
            </w:tcBorders>
          </w:tcPr>
          <w:p w14:paraId="1467A9BF"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0.06</w:t>
            </w:r>
          </w:p>
        </w:tc>
        <w:tc>
          <w:tcPr>
            <w:tcW w:w="1181" w:type="dxa"/>
            <w:tcBorders>
              <w:top w:val="nil"/>
              <w:left w:val="nil"/>
              <w:bottom w:val="nil"/>
              <w:right w:val="nil"/>
            </w:tcBorders>
          </w:tcPr>
          <w:p w14:paraId="67E7CCD7"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0.22***</w:t>
            </w:r>
          </w:p>
        </w:tc>
        <w:tc>
          <w:tcPr>
            <w:tcW w:w="1276" w:type="dxa"/>
            <w:tcBorders>
              <w:top w:val="nil"/>
              <w:left w:val="nil"/>
              <w:bottom w:val="nil"/>
              <w:right w:val="nil"/>
            </w:tcBorders>
          </w:tcPr>
          <w:p w14:paraId="6B9DFFAE" w14:textId="23C01CFF"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0.13***</w:t>
            </w:r>
          </w:p>
        </w:tc>
        <w:tc>
          <w:tcPr>
            <w:tcW w:w="1276" w:type="dxa"/>
            <w:tcBorders>
              <w:top w:val="nil"/>
              <w:left w:val="nil"/>
              <w:bottom w:val="nil"/>
              <w:right w:val="nil"/>
            </w:tcBorders>
          </w:tcPr>
          <w:p w14:paraId="1B05E0CF" w14:textId="57DD2926"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0.53*</w:t>
            </w:r>
          </w:p>
        </w:tc>
      </w:tr>
      <w:tr w:rsidR="0083288D" w:rsidRPr="00A70F6D" w14:paraId="77E22567" w14:textId="77777777" w:rsidTr="0083288D">
        <w:trPr>
          <w:gridAfter w:val="2"/>
          <w:wAfter w:w="2552" w:type="dxa"/>
        </w:trPr>
        <w:tc>
          <w:tcPr>
            <w:tcW w:w="2802" w:type="dxa"/>
            <w:tcBorders>
              <w:top w:val="nil"/>
              <w:left w:val="nil"/>
              <w:bottom w:val="nil"/>
              <w:right w:val="nil"/>
            </w:tcBorders>
          </w:tcPr>
          <w:p w14:paraId="1186E472"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nil"/>
              <w:left w:val="nil"/>
              <w:bottom w:val="nil"/>
              <w:right w:val="nil"/>
            </w:tcBorders>
          </w:tcPr>
          <w:p w14:paraId="7EF6A667" w14:textId="4C1C0C7C"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371" w:type="dxa"/>
            <w:tcBorders>
              <w:top w:val="nil"/>
              <w:left w:val="nil"/>
              <w:bottom w:val="nil"/>
              <w:right w:val="nil"/>
            </w:tcBorders>
          </w:tcPr>
          <w:p w14:paraId="575AB813" w14:textId="11555D6D"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0.54</w:t>
            </w:r>
            <w:r w:rsidRPr="00A70F6D">
              <w:rPr>
                <w:rFonts w:eastAsiaTheme="minorEastAsia" w:cs="Times New Roman"/>
                <w:sz w:val="20"/>
                <w:szCs w:val="20"/>
                <w:lang w:val="en-US"/>
              </w:rPr>
              <w:t>)</w:t>
            </w:r>
          </w:p>
        </w:tc>
        <w:tc>
          <w:tcPr>
            <w:tcW w:w="1181" w:type="dxa"/>
            <w:tcBorders>
              <w:top w:val="nil"/>
              <w:left w:val="nil"/>
              <w:bottom w:val="nil"/>
              <w:right w:val="nil"/>
            </w:tcBorders>
          </w:tcPr>
          <w:p w14:paraId="4E549814" w14:textId="407B96AC"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295CDEAC" w14:textId="12A5BA0A"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28C22F14" w14:textId="43D6EAF3"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0.07</w:t>
            </w:r>
            <w:r w:rsidRPr="00A70F6D">
              <w:rPr>
                <w:rFonts w:eastAsiaTheme="minorEastAsia" w:cs="Times New Roman"/>
                <w:sz w:val="20"/>
                <w:szCs w:val="20"/>
                <w:lang w:val="en-US"/>
              </w:rPr>
              <w:t>)</w:t>
            </w:r>
          </w:p>
        </w:tc>
      </w:tr>
      <w:tr w:rsidR="0083288D" w:rsidRPr="00A70F6D" w14:paraId="79ECB2C3" w14:textId="77777777" w:rsidTr="0083288D">
        <w:trPr>
          <w:gridAfter w:val="2"/>
          <w:wAfter w:w="2552" w:type="dxa"/>
        </w:trPr>
        <w:tc>
          <w:tcPr>
            <w:tcW w:w="2802" w:type="dxa"/>
            <w:tcBorders>
              <w:top w:val="nil"/>
              <w:left w:val="nil"/>
              <w:bottom w:val="nil"/>
              <w:right w:val="nil"/>
            </w:tcBorders>
          </w:tcPr>
          <w:p w14:paraId="39C1C57F" w14:textId="6D178429"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 xml:space="preserve">Trade </w:t>
            </w:r>
            <w:r w:rsidRPr="00A70F6D">
              <w:rPr>
                <w:rFonts w:eastAsiaTheme="minorEastAsia" w:cs="Times New Roman"/>
                <w:sz w:val="20"/>
                <w:szCs w:val="20"/>
                <w:lang w:val="en-US"/>
              </w:rPr>
              <w:fldChar w:fldCharType="begin"/>
            </w:r>
            <w:r w:rsidRPr="00A70F6D">
              <w:rPr>
                <w:rFonts w:eastAsiaTheme="minorEastAsia" w:cs="Times New Roman"/>
                <w:sz w:val="20"/>
                <w:szCs w:val="20"/>
                <w:lang w:val="en-US"/>
              </w:rPr>
              <w:instrText xml:space="preserve"> QUOTE </w:instrText>
            </w:r>
            <w:r w:rsidRPr="00A70F6D">
              <w:rPr>
                <w:rFonts w:eastAsiaTheme="minorEastAsia" w:cs="Times New Roman"/>
                <w:noProof/>
                <w:position w:val="-7"/>
                <w:sz w:val="20"/>
                <w:szCs w:val="20"/>
                <w:lang w:val="en-US"/>
              </w:rPr>
              <w:drawing>
                <wp:inline distT="0" distB="0" distL="0" distR="0" wp14:anchorId="6837B82B" wp14:editId="26BAF360">
                  <wp:extent cx="10160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Pr="00A70F6D">
              <w:rPr>
                <w:rFonts w:eastAsiaTheme="minorEastAsia" w:cs="Times New Roman"/>
                <w:sz w:val="20"/>
                <w:szCs w:val="20"/>
                <w:lang w:val="en-US"/>
              </w:rPr>
              <w:instrText xml:space="preserve"> </w:instrText>
            </w:r>
            <w:r w:rsidRPr="00A70F6D">
              <w:rPr>
                <w:rFonts w:eastAsiaTheme="minorEastAsia" w:cs="Times New Roman"/>
                <w:sz w:val="20"/>
                <w:szCs w:val="20"/>
                <w:lang w:val="en-US"/>
              </w:rPr>
              <w:fldChar w:fldCharType="separate"/>
            </w:r>
            <w:r w:rsidRPr="00A70F6D">
              <w:rPr>
                <w:rFonts w:eastAsiaTheme="minorEastAsia" w:cs="Times New Roman"/>
                <w:noProof/>
                <w:position w:val="-7"/>
                <w:sz w:val="20"/>
                <w:szCs w:val="20"/>
                <w:lang w:val="en-US"/>
              </w:rPr>
              <w:drawing>
                <wp:inline distT="0" distB="0" distL="0" distR="0" wp14:anchorId="3CA12615" wp14:editId="74FFBC1F">
                  <wp:extent cx="101600" cy="17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Pr="00A70F6D">
              <w:rPr>
                <w:rFonts w:eastAsiaTheme="minorEastAsia" w:cs="Times New Roman"/>
                <w:sz w:val="20"/>
                <w:szCs w:val="20"/>
                <w:lang w:val="en-US"/>
              </w:rPr>
              <w:fldChar w:fldCharType="end"/>
            </w:r>
            <w:r w:rsidRPr="00A70F6D">
              <w:rPr>
                <w:rFonts w:eastAsiaTheme="minorEastAsia" w:cs="Times New Roman"/>
                <w:sz w:val="20"/>
                <w:szCs w:val="20"/>
                <w:lang w:val="en-US"/>
              </w:rPr>
              <w:t xml:space="preserve"> Sterling area</w:t>
            </w:r>
          </w:p>
        </w:tc>
        <w:tc>
          <w:tcPr>
            <w:tcW w:w="1275" w:type="dxa"/>
            <w:tcBorders>
              <w:top w:val="nil"/>
              <w:left w:val="nil"/>
              <w:bottom w:val="nil"/>
              <w:right w:val="nil"/>
            </w:tcBorders>
          </w:tcPr>
          <w:p w14:paraId="59C27453"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-0.31***</w:t>
            </w:r>
          </w:p>
        </w:tc>
        <w:tc>
          <w:tcPr>
            <w:tcW w:w="1371" w:type="dxa"/>
            <w:tcBorders>
              <w:top w:val="nil"/>
              <w:left w:val="nil"/>
              <w:bottom w:val="nil"/>
              <w:right w:val="nil"/>
            </w:tcBorders>
          </w:tcPr>
          <w:p w14:paraId="13F5702B"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-0.11</w:t>
            </w:r>
          </w:p>
        </w:tc>
        <w:tc>
          <w:tcPr>
            <w:tcW w:w="1181" w:type="dxa"/>
            <w:tcBorders>
              <w:top w:val="nil"/>
              <w:left w:val="nil"/>
              <w:bottom w:val="nil"/>
              <w:right w:val="nil"/>
            </w:tcBorders>
          </w:tcPr>
          <w:p w14:paraId="49DCD732"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-0.19***</w:t>
            </w:r>
          </w:p>
        </w:tc>
        <w:tc>
          <w:tcPr>
            <w:tcW w:w="1276" w:type="dxa"/>
            <w:tcBorders>
              <w:top w:val="nil"/>
              <w:left w:val="nil"/>
              <w:bottom w:val="nil"/>
              <w:right w:val="nil"/>
            </w:tcBorders>
          </w:tcPr>
          <w:p w14:paraId="5CB7F218" w14:textId="5B294A84"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-0.05</w:t>
            </w:r>
          </w:p>
        </w:tc>
        <w:tc>
          <w:tcPr>
            <w:tcW w:w="1276" w:type="dxa"/>
            <w:tcBorders>
              <w:top w:val="nil"/>
              <w:left w:val="nil"/>
              <w:bottom w:val="nil"/>
              <w:right w:val="nil"/>
            </w:tcBorders>
          </w:tcPr>
          <w:p w14:paraId="33BD6CD3" w14:textId="0F091D9D"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-0.53*</w:t>
            </w:r>
          </w:p>
        </w:tc>
      </w:tr>
      <w:tr w:rsidR="0083288D" w:rsidRPr="00A70F6D" w14:paraId="3E596C3F" w14:textId="77777777" w:rsidTr="0083288D">
        <w:trPr>
          <w:gridAfter w:val="2"/>
          <w:wAfter w:w="2552" w:type="dxa"/>
        </w:trPr>
        <w:tc>
          <w:tcPr>
            <w:tcW w:w="2802" w:type="dxa"/>
            <w:tcBorders>
              <w:top w:val="nil"/>
              <w:left w:val="nil"/>
              <w:bottom w:val="nil"/>
              <w:right w:val="nil"/>
            </w:tcBorders>
          </w:tcPr>
          <w:p w14:paraId="0892E572"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nil"/>
              <w:left w:val="nil"/>
              <w:bottom w:val="nil"/>
              <w:right w:val="nil"/>
            </w:tcBorders>
          </w:tcPr>
          <w:p w14:paraId="0678EA9C" w14:textId="6B17BEE5"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371" w:type="dxa"/>
            <w:tcBorders>
              <w:top w:val="nil"/>
              <w:left w:val="nil"/>
              <w:bottom w:val="nil"/>
              <w:right w:val="nil"/>
            </w:tcBorders>
          </w:tcPr>
          <w:p w14:paraId="67CD0BE1" w14:textId="4F97E5BD"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0.52</w:t>
            </w:r>
            <w:r w:rsidRPr="00A70F6D">
              <w:rPr>
                <w:rFonts w:eastAsiaTheme="minorEastAsia" w:cs="Times New Roman"/>
                <w:sz w:val="20"/>
                <w:szCs w:val="20"/>
                <w:lang w:val="en-US"/>
              </w:rPr>
              <w:t>)</w:t>
            </w:r>
          </w:p>
        </w:tc>
        <w:tc>
          <w:tcPr>
            <w:tcW w:w="1181" w:type="dxa"/>
            <w:tcBorders>
              <w:top w:val="nil"/>
              <w:left w:val="nil"/>
              <w:bottom w:val="nil"/>
              <w:right w:val="nil"/>
            </w:tcBorders>
          </w:tcPr>
          <w:p w14:paraId="404DB332" w14:textId="605019E7"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0BBF4D5D" w14:textId="4F873FC1"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0.23</w:t>
            </w:r>
            <w:r w:rsidRPr="00A70F6D">
              <w:rPr>
                <w:rFonts w:eastAsiaTheme="minorEastAsia" w:cs="Times New Roman"/>
                <w:sz w:val="20"/>
                <w:szCs w:val="20"/>
                <w:lang w:val="en-US"/>
              </w:rPr>
              <w:t>)</w:t>
            </w:r>
          </w:p>
        </w:tc>
        <w:tc>
          <w:tcPr>
            <w:tcW w:w="1276" w:type="dxa"/>
            <w:tcBorders>
              <w:top w:val="nil"/>
              <w:left w:val="nil"/>
              <w:bottom w:val="nil"/>
              <w:right w:val="nil"/>
            </w:tcBorders>
          </w:tcPr>
          <w:p w14:paraId="1E738FA2" w14:textId="271DF89A"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0.09</w:t>
            </w:r>
            <w:r w:rsidRPr="00A70F6D">
              <w:rPr>
                <w:rFonts w:eastAsiaTheme="minorEastAsia" w:cs="Times New Roman"/>
                <w:sz w:val="20"/>
                <w:szCs w:val="20"/>
                <w:lang w:val="en-US"/>
              </w:rPr>
              <w:t>)</w:t>
            </w:r>
          </w:p>
        </w:tc>
      </w:tr>
      <w:tr w:rsidR="0083288D" w:rsidRPr="00A70F6D" w14:paraId="0A4A614E" w14:textId="77777777" w:rsidTr="0083288D">
        <w:trPr>
          <w:gridAfter w:val="2"/>
          <w:wAfter w:w="2552" w:type="dxa"/>
        </w:trPr>
        <w:tc>
          <w:tcPr>
            <w:tcW w:w="2802" w:type="dxa"/>
            <w:tcBorders>
              <w:top w:val="nil"/>
              <w:left w:val="nil"/>
              <w:bottom w:val="nil"/>
              <w:right w:val="nil"/>
            </w:tcBorders>
          </w:tcPr>
          <w:p w14:paraId="079A6FE0"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GDP ratio</w:t>
            </w:r>
          </w:p>
        </w:tc>
        <w:tc>
          <w:tcPr>
            <w:tcW w:w="1275" w:type="dxa"/>
            <w:tcBorders>
              <w:top w:val="nil"/>
              <w:left w:val="nil"/>
              <w:bottom w:val="nil"/>
              <w:right w:val="nil"/>
            </w:tcBorders>
          </w:tcPr>
          <w:p w14:paraId="4AC2A6B0"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-0.35***</w:t>
            </w:r>
          </w:p>
        </w:tc>
        <w:tc>
          <w:tcPr>
            <w:tcW w:w="1371" w:type="dxa"/>
            <w:tcBorders>
              <w:top w:val="nil"/>
              <w:left w:val="nil"/>
              <w:bottom w:val="nil"/>
              <w:right w:val="nil"/>
            </w:tcBorders>
          </w:tcPr>
          <w:p w14:paraId="28817E43"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-0.55***</w:t>
            </w:r>
          </w:p>
        </w:tc>
        <w:tc>
          <w:tcPr>
            <w:tcW w:w="1181" w:type="dxa"/>
            <w:tcBorders>
              <w:top w:val="nil"/>
              <w:left w:val="nil"/>
              <w:bottom w:val="nil"/>
              <w:right w:val="nil"/>
            </w:tcBorders>
          </w:tcPr>
          <w:p w14:paraId="0AD59F65"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-0.19***</w:t>
            </w:r>
          </w:p>
        </w:tc>
        <w:tc>
          <w:tcPr>
            <w:tcW w:w="1276" w:type="dxa"/>
            <w:tcBorders>
              <w:top w:val="nil"/>
              <w:left w:val="nil"/>
              <w:bottom w:val="nil"/>
              <w:right w:val="nil"/>
            </w:tcBorders>
          </w:tcPr>
          <w:p w14:paraId="4F2811D7" w14:textId="1745C2E4"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-0.18***</w:t>
            </w:r>
          </w:p>
        </w:tc>
        <w:tc>
          <w:tcPr>
            <w:tcW w:w="1276" w:type="dxa"/>
            <w:tcBorders>
              <w:top w:val="nil"/>
              <w:left w:val="nil"/>
              <w:bottom w:val="nil"/>
              <w:right w:val="nil"/>
            </w:tcBorders>
          </w:tcPr>
          <w:p w14:paraId="5F629C24" w14:textId="03D805DE"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0.24*</w:t>
            </w:r>
          </w:p>
        </w:tc>
      </w:tr>
      <w:tr w:rsidR="0083288D" w:rsidRPr="00A70F6D" w14:paraId="028A0107" w14:textId="77777777" w:rsidTr="0083288D">
        <w:trPr>
          <w:gridAfter w:val="2"/>
          <w:wAfter w:w="2552" w:type="dxa"/>
        </w:trPr>
        <w:tc>
          <w:tcPr>
            <w:tcW w:w="2802" w:type="dxa"/>
            <w:tcBorders>
              <w:top w:val="nil"/>
              <w:left w:val="nil"/>
              <w:bottom w:val="nil"/>
              <w:right w:val="nil"/>
            </w:tcBorders>
          </w:tcPr>
          <w:p w14:paraId="62839B1E"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nil"/>
              <w:left w:val="nil"/>
              <w:bottom w:val="nil"/>
              <w:right w:val="nil"/>
            </w:tcBorders>
          </w:tcPr>
          <w:p w14:paraId="6DE2A710" w14:textId="09034CD5"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371" w:type="dxa"/>
            <w:tcBorders>
              <w:top w:val="nil"/>
              <w:left w:val="nil"/>
              <w:bottom w:val="nil"/>
              <w:right w:val="nil"/>
            </w:tcBorders>
          </w:tcPr>
          <w:p w14:paraId="2B2FF07F" w14:textId="2F2F95F0"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181" w:type="dxa"/>
            <w:tcBorders>
              <w:top w:val="nil"/>
              <w:left w:val="nil"/>
              <w:bottom w:val="nil"/>
              <w:right w:val="nil"/>
            </w:tcBorders>
          </w:tcPr>
          <w:p w14:paraId="692A1053" w14:textId="7BFE8F73"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15F8D180" w14:textId="7AD4C49A"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4034B626" w14:textId="0313BBF3"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0.09</w:t>
            </w:r>
            <w:r w:rsidRPr="00A70F6D">
              <w:rPr>
                <w:rFonts w:eastAsiaTheme="minorEastAsia" w:cs="Times New Roman"/>
                <w:sz w:val="20"/>
                <w:szCs w:val="20"/>
                <w:lang w:val="en-US"/>
              </w:rPr>
              <w:t>)</w:t>
            </w:r>
          </w:p>
        </w:tc>
      </w:tr>
      <w:tr w:rsidR="0083288D" w:rsidRPr="00A70F6D" w14:paraId="1CA8500F" w14:textId="77777777" w:rsidTr="0083288D">
        <w:trPr>
          <w:gridAfter w:val="2"/>
          <w:wAfter w:w="2552" w:type="dxa"/>
        </w:trPr>
        <w:tc>
          <w:tcPr>
            <w:tcW w:w="2802" w:type="dxa"/>
            <w:tcBorders>
              <w:top w:val="nil"/>
              <w:left w:val="nil"/>
              <w:bottom w:val="nil"/>
              <w:right w:val="nil"/>
            </w:tcBorders>
          </w:tcPr>
          <w:p w14:paraId="03560FAF" w14:textId="4638F728"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 xml:space="preserve">GDP ratio </w:t>
            </w:r>
            <w:r w:rsidRPr="00A70F6D">
              <w:rPr>
                <w:rFonts w:eastAsiaTheme="minorEastAsia" w:cs="Times New Roman"/>
                <w:sz w:val="20"/>
                <w:szCs w:val="20"/>
                <w:lang w:val="en-US"/>
              </w:rPr>
              <w:fldChar w:fldCharType="begin"/>
            </w:r>
            <w:r w:rsidRPr="00A70F6D">
              <w:rPr>
                <w:rFonts w:eastAsiaTheme="minorEastAsia" w:cs="Times New Roman"/>
                <w:sz w:val="20"/>
                <w:szCs w:val="20"/>
                <w:lang w:val="en-US"/>
              </w:rPr>
              <w:instrText xml:space="preserve"> QUOTE </w:instrText>
            </w:r>
            <w:r w:rsidRPr="00A70F6D">
              <w:rPr>
                <w:rFonts w:eastAsiaTheme="minorEastAsia" w:cs="Times New Roman"/>
                <w:noProof/>
                <w:position w:val="-7"/>
                <w:sz w:val="20"/>
                <w:szCs w:val="20"/>
                <w:lang w:val="en-US"/>
              </w:rPr>
              <w:drawing>
                <wp:inline distT="0" distB="0" distL="0" distR="0" wp14:anchorId="0D3ED304" wp14:editId="6AEAA140">
                  <wp:extent cx="101600" cy="17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Pr="00A70F6D">
              <w:rPr>
                <w:rFonts w:eastAsiaTheme="minorEastAsia" w:cs="Times New Roman"/>
                <w:sz w:val="20"/>
                <w:szCs w:val="20"/>
                <w:lang w:val="en-US"/>
              </w:rPr>
              <w:instrText xml:space="preserve"> </w:instrText>
            </w:r>
            <w:r w:rsidRPr="00A70F6D">
              <w:rPr>
                <w:rFonts w:eastAsiaTheme="minorEastAsia" w:cs="Times New Roman"/>
                <w:sz w:val="20"/>
                <w:szCs w:val="20"/>
                <w:lang w:val="en-US"/>
              </w:rPr>
              <w:fldChar w:fldCharType="separate"/>
            </w:r>
            <w:r w:rsidRPr="00A70F6D">
              <w:rPr>
                <w:rFonts w:eastAsiaTheme="minorEastAsia" w:cs="Times New Roman"/>
                <w:noProof/>
                <w:position w:val="-7"/>
                <w:sz w:val="20"/>
                <w:szCs w:val="20"/>
                <w:lang w:val="en-US"/>
              </w:rPr>
              <w:drawing>
                <wp:inline distT="0" distB="0" distL="0" distR="0" wp14:anchorId="3E31FCB2" wp14:editId="541D8FE7">
                  <wp:extent cx="101600" cy="17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Pr="00A70F6D">
              <w:rPr>
                <w:rFonts w:eastAsiaTheme="minorEastAsia" w:cs="Times New Roman"/>
                <w:sz w:val="20"/>
                <w:szCs w:val="20"/>
                <w:lang w:val="en-US"/>
              </w:rPr>
              <w:fldChar w:fldCharType="end"/>
            </w:r>
            <w:r w:rsidRPr="00A70F6D">
              <w:rPr>
                <w:rFonts w:eastAsiaTheme="minorEastAsia" w:cs="Times New Roman"/>
                <w:sz w:val="20"/>
                <w:szCs w:val="20"/>
                <w:lang w:val="en-US"/>
              </w:rPr>
              <w:t xml:space="preserve"> Sterling area</w:t>
            </w:r>
          </w:p>
        </w:tc>
        <w:tc>
          <w:tcPr>
            <w:tcW w:w="1275" w:type="dxa"/>
            <w:tcBorders>
              <w:top w:val="nil"/>
              <w:left w:val="nil"/>
              <w:bottom w:val="nil"/>
              <w:right w:val="nil"/>
            </w:tcBorders>
          </w:tcPr>
          <w:p w14:paraId="17A47183"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-0.20***</w:t>
            </w:r>
          </w:p>
        </w:tc>
        <w:tc>
          <w:tcPr>
            <w:tcW w:w="1371" w:type="dxa"/>
            <w:tcBorders>
              <w:top w:val="nil"/>
              <w:left w:val="nil"/>
              <w:bottom w:val="nil"/>
              <w:right w:val="nil"/>
            </w:tcBorders>
          </w:tcPr>
          <w:p w14:paraId="1AA37D43"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-0.50***</w:t>
            </w:r>
          </w:p>
        </w:tc>
        <w:tc>
          <w:tcPr>
            <w:tcW w:w="1181" w:type="dxa"/>
            <w:tcBorders>
              <w:top w:val="nil"/>
              <w:left w:val="nil"/>
              <w:bottom w:val="nil"/>
              <w:right w:val="nil"/>
            </w:tcBorders>
          </w:tcPr>
          <w:p w14:paraId="0D093AEB"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-0.15***</w:t>
            </w:r>
          </w:p>
        </w:tc>
        <w:tc>
          <w:tcPr>
            <w:tcW w:w="1276" w:type="dxa"/>
            <w:tcBorders>
              <w:top w:val="nil"/>
              <w:left w:val="nil"/>
              <w:bottom w:val="nil"/>
              <w:right w:val="nil"/>
            </w:tcBorders>
          </w:tcPr>
          <w:p w14:paraId="1656F625" w14:textId="732F6439"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-0.13***</w:t>
            </w:r>
          </w:p>
        </w:tc>
        <w:tc>
          <w:tcPr>
            <w:tcW w:w="1276" w:type="dxa"/>
            <w:tcBorders>
              <w:top w:val="nil"/>
              <w:left w:val="nil"/>
              <w:bottom w:val="nil"/>
              <w:right w:val="nil"/>
            </w:tcBorders>
          </w:tcPr>
          <w:p w14:paraId="4F928D1F" w14:textId="0AD00C0E"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-0.08*</w:t>
            </w:r>
          </w:p>
        </w:tc>
      </w:tr>
      <w:tr w:rsidR="0083288D" w:rsidRPr="00A70F6D" w14:paraId="0C74774A" w14:textId="77777777" w:rsidTr="0083288D">
        <w:trPr>
          <w:gridAfter w:val="2"/>
          <w:wAfter w:w="2552" w:type="dxa"/>
        </w:trPr>
        <w:tc>
          <w:tcPr>
            <w:tcW w:w="2802" w:type="dxa"/>
            <w:tcBorders>
              <w:top w:val="nil"/>
              <w:left w:val="nil"/>
              <w:bottom w:val="nil"/>
              <w:right w:val="nil"/>
            </w:tcBorders>
          </w:tcPr>
          <w:p w14:paraId="00140B2C"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nil"/>
              <w:left w:val="nil"/>
              <w:bottom w:val="nil"/>
              <w:right w:val="nil"/>
            </w:tcBorders>
          </w:tcPr>
          <w:p w14:paraId="1BFD418C" w14:textId="5EA741BF"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371" w:type="dxa"/>
            <w:tcBorders>
              <w:top w:val="nil"/>
              <w:left w:val="nil"/>
              <w:bottom w:val="nil"/>
              <w:right w:val="nil"/>
            </w:tcBorders>
          </w:tcPr>
          <w:p w14:paraId="5DC851EE" w14:textId="2095D596"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181" w:type="dxa"/>
            <w:tcBorders>
              <w:top w:val="nil"/>
              <w:left w:val="nil"/>
              <w:bottom w:val="nil"/>
              <w:right w:val="nil"/>
            </w:tcBorders>
          </w:tcPr>
          <w:p w14:paraId="68FBF62B" w14:textId="6FD23B7D"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70A155BE" w14:textId="38C50EC7"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68F0E94C" w14:textId="004C1D7C"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0.09</w:t>
            </w:r>
            <w:r w:rsidRPr="00A70F6D">
              <w:rPr>
                <w:rFonts w:eastAsiaTheme="minorEastAsia" w:cs="Times New Roman"/>
                <w:sz w:val="20"/>
                <w:szCs w:val="20"/>
                <w:lang w:val="en-US"/>
              </w:rPr>
              <w:t>)</w:t>
            </w:r>
          </w:p>
        </w:tc>
      </w:tr>
      <w:tr w:rsidR="0083288D" w:rsidRPr="00A70F6D" w14:paraId="5D67CB2F" w14:textId="77777777" w:rsidTr="0083288D">
        <w:trPr>
          <w:gridAfter w:val="2"/>
          <w:wAfter w:w="2552" w:type="dxa"/>
        </w:trPr>
        <w:tc>
          <w:tcPr>
            <w:tcW w:w="2802" w:type="dxa"/>
            <w:tcBorders>
              <w:top w:val="nil"/>
              <w:left w:val="nil"/>
              <w:bottom w:val="nil"/>
              <w:right w:val="nil"/>
            </w:tcBorders>
          </w:tcPr>
          <w:p w14:paraId="6B10F88B" w14:textId="0EF9677D" w:rsidR="0083288D" w:rsidRPr="00A70F6D" w:rsidRDefault="00A70F6D" w:rsidP="0083288D">
            <w:pPr>
              <w:widowControl w:val="0"/>
              <w:autoSpaceDE w:val="0"/>
              <w:autoSpaceDN w:val="0"/>
              <w:adjustRightInd w:val="0"/>
              <w:spacing w:line="240" w:lineRule="auto"/>
              <w:ind w:firstLine="0"/>
              <w:jc w:val="left"/>
              <w:rPr>
                <w:rFonts w:eastAsiaTheme="minorEastAsia" w:cs="Times New Roman"/>
                <w:sz w:val="20"/>
                <w:szCs w:val="20"/>
                <w:lang w:val="en-US"/>
              </w:rPr>
            </w:pPr>
            <w:r>
              <w:rPr>
                <w:rFonts w:eastAsiaTheme="minorEastAsia" w:cs="Times New Roman"/>
                <w:sz w:val="20"/>
                <w:szCs w:val="20"/>
                <w:lang w:val="en-US"/>
              </w:rPr>
              <w:t>I</w:t>
            </w:r>
            <w:r w:rsidR="0083288D" w:rsidRPr="00A70F6D">
              <w:rPr>
                <w:rFonts w:eastAsiaTheme="minorEastAsia" w:cs="Times New Roman"/>
                <w:sz w:val="20"/>
                <w:szCs w:val="20"/>
                <w:lang w:val="en-US"/>
              </w:rPr>
              <w:t>nertia</w:t>
            </w:r>
          </w:p>
        </w:tc>
        <w:tc>
          <w:tcPr>
            <w:tcW w:w="1275" w:type="dxa"/>
            <w:tcBorders>
              <w:top w:val="nil"/>
              <w:left w:val="nil"/>
              <w:bottom w:val="nil"/>
              <w:right w:val="nil"/>
            </w:tcBorders>
          </w:tcPr>
          <w:p w14:paraId="051BE236"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371" w:type="dxa"/>
            <w:tcBorders>
              <w:top w:val="nil"/>
              <w:left w:val="nil"/>
              <w:bottom w:val="nil"/>
              <w:right w:val="nil"/>
            </w:tcBorders>
          </w:tcPr>
          <w:p w14:paraId="19C1F2E2"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181" w:type="dxa"/>
            <w:tcBorders>
              <w:top w:val="nil"/>
              <w:left w:val="nil"/>
              <w:bottom w:val="nil"/>
              <w:right w:val="nil"/>
            </w:tcBorders>
          </w:tcPr>
          <w:p w14:paraId="408F8398"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0.91***</w:t>
            </w:r>
          </w:p>
        </w:tc>
        <w:tc>
          <w:tcPr>
            <w:tcW w:w="1276" w:type="dxa"/>
            <w:tcBorders>
              <w:top w:val="nil"/>
              <w:left w:val="nil"/>
              <w:bottom w:val="nil"/>
              <w:right w:val="nil"/>
            </w:tcBorders>
          </w:tcPr>
          <w:p w14:paraId="167DB556" w14:textId="2A832542"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0.80***</w:t>
            </w:r>
          </w:p>
        </w:tc>
        <w:tc>
          <w:tcPr>
            <w:tcW w:w="1276" w:type="dxa"/>
            <w:tcBorders>
              <w:top w:val="nil"/>
              <w:left w:val="nil"/>
              <w:bottom w:val="nil"/>
              <w:right w:val="nil"/>
            </w:tcBorders>
          </w:tcPr>
          <w:p w14:paraId="25093D3C" w14:textId="2EF10C1A"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0.42***</w:t>
            </w:r>
          </w:p>
        </w:tc>
      </w:tr>
      <w:tr w:rsidR="0083288D" w:rsidRPr="00A70F6D" w14:paraId="1EC18191" w14:textId="77777777" w:rsidTr="0083288D">
        <w:trPr>
          <w:gridAfter w:val="2"/>
          <w:wAfter w:w="2552" w:type="dxa"/>
          <w:trHeight w:val="80"/>
        </w:trPr>
        <w:tc>
          <w:tcPr>
            <w:tcW w:w="2802" w:type="dxa"/>
            <w:tcBorders>
              <w:top w:val="nil"/>
              <w:left w:val="nil"/>
              <w:bottom w:val="nil"/>
              <w:right w:val="nil"/>
            </w:tcBorders>
          </w:tcPr>
          <w:p w14:paraId="71EAC301"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nil"/>
              <w:left w:val="nil"/>
              <w:bottom w:val="nil"/>
              <w:right w:val="nil"/>
            </w:tcBorders>
          </w:tcPr>
          <w:p w14:paraId="56480402"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371" w:type="dxa"/>
            <w:tcBorders>
              <w:top w:val="nil"/>
              <w:left w:val="nil"/>
              <w:bottom w:val="nil"/>
              <w:right w:val="nil"/>
            </w:tcBorders>
          </w:tcPr>
          <w:p w14:paraId="23CEAA4D"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181" w:type="dxa"/>
            <w:tcBorders>
              <w:top w:val="nil"/>
              <w:left w:val="nil"/>
              <w:bottom w:val="nil"/>
              <w:right w:val="nil"/>
            </w:tcBorders>
          </w:tcPr>
          <w:p w14:paraId="4A682330" w14:textId="6F412F68"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458157AF" w14:textId="4F317E3F"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166E1FBD" w14:textId="64C74CBC"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r>
      <w:tr w:rsidR="0083288D" w:rsidRPr="00A70F6D" w14:paraId="7D5600F4" w14:textId="77777777" w:rsidTr="0083288D">
        <w:trPr>
          <w:gridAfter w:val="2"/>
          <w:wAfter w:w="2552" w:type="dxa"/>
        </w:trPr>
        <w:tc>
          <w:tcPr>
            <w:tcW w:w="2802" w:type="dxa"/>
            <w:tcBorders>
              <w:top w:val="nil"/>
              <w:left w:val="nil"/>
              <w:bottom w:val="nil"/>
              <w:right w:val="nil"/>
            </w:tcBorders>
          </w:tcPr>
          <w:p w14:paraId="00946B9A" w14:textId="5CEA1E34" w:rsidR="0083288D" w:rsidRPr="00A70F6D" w:rsidRDefault="00A70F6D" w:rsidP="0083288D">
            <w:pPr>
              <w:widowControl w:val="0"/>
              <w:autoSpaceDE w:val="0"/>
              <w:autoSpaceDN w:val="0"/>
              <w:adjustRightInd w:val="0"/>
              <w:spacing w:line="240" w:lineRule="auto"/>
              <w:ind w:firstLine="0"/>
              <w:jc w:val="left"/>
              <w:rPr>
                <w:rFonts w:eastAsiaTheme="minorEastAsia" w:cs="Times New Roman"/>
                <w:sz w:val="20"/>
                <w:szCs w:val="20"/>
                <w:lang w:val="de-DE"/>
              </w:rPr>
            </w:pPr>
            <w:r>
              <w:rPr>
                <w:rFonts w:eastAsiaTheme="minorEastAsia" w:cs="Times New Roman"/>
                <w:sz w:val="20"/>
                <w:szCs w:val="20"/>
                <w:lang w:val="en-US"/>
              </w:rPr>
              <w:t>I</w:t>
            </w:r>
            <w:r w:rsidR="0083288D" w:rsidRPr="00A70F6D">
              <w:rPr>
                <w:rFonts w:eastAsiaTheme="minorEastAsia" w:cs="Times New Roman"/>
                <w:sz w:val="20"/>
                <w:szCs w:val="20"/>
                <w:lang w:val="en-US"/>
              </w:rPr>
              <w:t xml:space="preserve">nertia </w:t>
            </w:r>
            <w:r w:rsidR="0083288D" w:rsidRPr="00A70F6D">
              <w:rPr>
                <w:rFonts w:eastAsiaTheme="minorEastAsia" w:cs="Times New Roman"/>
                <w:sz w:val="20"/>
                <w:szCs w:val="20"/>
                <w:lang w:val="en-US"/>
              </w:rPr>
              <w:fldChar w:fldCharType="begin"/>
            </w:r>
            <w:r w:rsidR="0083288D" w:rsidRPr="00A70F6D">
              <w:rPr>
                <w:rFonts w:eastAsiaTheme="minorEastAsia" w:cs="Times New Roman"/>
                <w:sz w:val="20"/>
                <w:szCs w:val="20"/>
                <w:lang w:val="en-US"/>
              </w:rPr>
              <w:instrText xml:space="preserve"> QUOTE </w:instrText>
            </w:r>
            <w:r w:rsidR="0083288D" w:rsidRPr="00A70F6D">
              <w:rPr>
                <w:rFonts w:eastAsiaTheme="minorEastAsia" w:cs="Times New Roman"/>
                <w:noProof/>
                <w:position w:val="-7"/>
                <w:sz w:val="20"/>
                <w:szCs w:val="20"/>
                <w:lang w:val="en-US"/>
              </w:rPr>
              <w:drawing>
                <wp:inline distT="0" distB="0" distL="0" distR="0" wp14:anchorId="1EB81401" wp14:editId="690A5574">
                  <wp:extent cx="1016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0083288D" w:rsidRPr="00A70F6D">
              <w:rPr>
                <w:rFonts w:eastAsiaTheme="minorEastAsia" w:cs="Times New Roman"/>
                <w:sz w:val="20"/>
                <w:szCs w:val="20"/>
                <w:lang w:val="en-US"/>
              </w:rPr>
              <w:instrText xml:space="preserve"> </w:instrText>
            </w:r>
            <w:r w:rsidR="0083288D" w:rsidRPr="00A70F6D">
              <w:rPr>
                <w:rFonts w:eastAsiaTheme="minorEastAsia" w:cs="Times New Roman"/>
                <w:sz w:val="20"/>
                <w:szCs w:val="20"/>
                <w:lang w:val="en-US"/>
              </w:rPr>
              <w:fldChar w:fldCharType="separate"/>
            </w:r>
            <w:r w:rsidR="0083288D" w:rsidRPr="00A70F6D">
              <w:rPr>
                <w:rFonts w:eastAsiaTheme="minorEastAsia" w:cs="Times New Roman"/>
                <w:noProof/>
                <w:position w:val="-7"/>
                <w:sz w:val="20"/>
                <w:szCs w:val="20"/>
                <w:lang w:val="en-US"/>
              </w:rPr>
              <w:drawing>
                <wp:inline distT="0" distB="0" distL="0" distR="0" wp14:anchorId="16E42DF4" wp14:editId="535E1D16">
                  <wp:extent cx="101600" cy="17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 cy="177800"/>
                          </a:xfrm>
                          <a:prstGeom prst="rect">
                            <a:avLst/>
                          </a:prstGeom>
                          <a:noFill/>
                          <a:ln>
                            <a:noFill/>
                          </a:ln>
                        </pic:spPr>
                      </pic:pic>
                    </a:graphicData>
                  </a:graphic>
                </wp:inline>
              </w:drawing>
            </w:r>
            <w:r w:rsidR="0083288D" w:rsidRPr="00A70F6D">
              <w:rPr>
                <w:rFonts w:eastAsiaTheme="minorEastAsia" w:cs="Times New Roman"/>
                <w:sz w:val="20"/>
                <w:szCs w:val="20"/>
                <w:lang w:val="en-US"/>
              </w:rPr>
              <w:fldChar w:fldCharType="end"/>
            </w:r>
            <w:r w:rsidR="0083288D" w:rsidRPr="00A70F6D">
              <w:rPr>
                <w:rFonts w:eastAsiaTheme="minorEastAsia" w:cs="Times New Roman"/>
                <w:sz w:val="20"/>
                <w:szCs w:val="20"/>
                <w:lang w:val="en-US"/>
              </w:rPr>
              <w:t xml:space="preserve"> Sterling area</w:t>
            </w:r>
          </w:p>
        </w:tc>
        <w:tc>
          <w:tcPr>
            <w:tcW w:w="1275" w:type="dxa"/>
            <w:tcBorders>
              <w:top w:val="nil"/>
              <w:left w:val="nil"/>
              <w:bottom w:val="nil"/>
              <w:right w:val="nil"/>
            </w:tcBorders>
          </w:tcPr>
          <w:p w14:paraId="58F090D7"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371" w:type="dxa"/>
            <w:tcBorders>
              <w:top w:val="nil"/>
              <w:left w:val="nil"/>
              <w:bottom w:val="nil"/>
              <w:right w:val="nil"/>
            </w:tcBorders>
          </w:tcPr>
          <w:p w14:paraId="1FF17428"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181" w:type="dxa"/>
            <w:tcBorders>
              <w:top w:val="nil"/>
              <w:left w:val="nil"/>
              <w:bottom w:val="nil"/>
              <w:right w:val="nil"/>
            </w:tcBorders>
          </w:tcPr>
          <w:p w14:paraId="0D01DEA1"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0.14***</w:t>
            </w:r>
          </w:p>
        </w:tc>
        <w:tc>
          <w:tcPr>
            <w:tcW w:w="1276" w:type="dxa"/>
            <w:tcBorders>
              <w:top w:val="nil"/>
              <w:left w:val="nil"/>
              <w:bottom w:val="nil"/>
              <w:right w:val="nil"/>
            </w:tcBorders>
          </w:tcPr>
          <w:p w14:paraId="3D5EF063" w14:textId="1C760B43"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0.24***</w:t>
            </w:r>
          </w:p>
        </w:tc>
        <w:tc>
          <w:tcPr>
            <w:tcW w:w="1276" w:type="dxa"/>
            <w:tcBorders>
              <w:top w:val="nil"/>
              <w:left w:val="nil"/>
              <w:bottom w:val="nil"/>
              <w:right w:val="nil"/>
            </w:tcBorders>
          </w:tcPr>
          <w:p w14:paraId="1BC90349"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r>
      <w:tr w:rsidR="0083288D" w:rsidRPr="00A70F6D" w14:paraId="1EBD6059" w14:textId="77777777" w:rsidTr="0083288D">
        <w:trPr>
          <w:gridAfter w:val="2"/>
          <w:wAfter w:w="2552" w:type="dxa"/>
        </w:trPr>
        <w:tc>
          <w:tcPr>
            <w:tcW w:w="2802" w:type="dxa"/>
            <w:tcBorders>
              <w:top w:val="nil"/>
              <w:left w:val="nil"/>
              <w:bottom w:val="nil"/>
              <w:right w:val="nil"/>
            </w:tcBorders>
          </w:tcPr>
          <w:p w14:paraId="676F93C3"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nil"/>
              <w:left w:val="nil"/>
              <w:bottom w:val="nil"/>
              <w:right w:val="nil"/>
            </w:tcBorders>
          </w:tcPr>
          <w:p w14:paraId="3E849B3F"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371" w:type="dxa"/>
            <w:tcBorders>
              <w:top w:val="nil"/>
              <w:left w:val="nil"/>
              <w:bottom w:val="nil"/>
              <w:right w:val="nil"/>
            </w:tcBorders>
          </w:tcPr>
          <w:p w14:paraId="00449FF3"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181" w:type="dxa"/>
            <w:tcBorders>
              <w:top w:val="nil"/>
              <w:left w:val="nil"/>
              <w:bottom w:val="nil"/>
              <w:right w:val="nil"/>
            </w:tcBorders>
          </w:tcPr>
          <w:p w14:paraId="63B8DB82" w14:textId="32C49282"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67C369F0" w14:textId="27003D04"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nil"/>
              <w:right w:val="nil"/>
            </w:tcBorders>
          </w:tcPr>
          <w:p w14:paraId="69BADDAB"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r>
      <w:tr w:rsidR="0083288D" w:rsidRPr="00A70F6D" w14:paraId="2E32300F" w14:textId="77777777" w:rsidTr="0083288D">
        <w:trPr>
          <w:gridAfter w:val="2"/>
          <w:wAfter w:w="2552" w:type="dxa"/>
        </w:trPr>
        <w:tc>
          <w:tcPr>
            <w:tcW w:w="2802" w:type="dxa"/>
            <w:tcBorders>
              <w:top w:val="nil"/>
              <w:left w:val="nil"/>
              <w:bottom w:val="nil"/>
              <w:right w:val="nil"/>
            </w:tcBorders>
          </w:tcPr>
          <w:p w14:paraId="6225FA97"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Sigma</w:t>
            </w:r>
          </w:p>
        </w:tc>
        <w:tc>
          <w:tcPr>
            <w:tcW w:w="1275" w:type="dxa"/>
            <w:tcBorders>
              <w:top w:val="nil"/>
              <w:left w:val="nil"/>
              <w:bottom w:val="nil"/>
              <w:right w:val="nil"/>
            </w:tcBorders>
          </w:tcPr>
          <w:p w14:paraId="660B5EE6"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0.24**</w:t>
            </w:r>
          </w:p>
        </w:tc>
        <w:tc>
          <w:tcPr>
            <w:tcW w:w="1371" w:type="dxa"/>
            <w:tcBorders>
              <w:top w:val="nil"/>
              <w:left w:val="nil"/>
              <w:bottom w:val="nil"/>
              <w:right w:val="nil"/>
            </w:tcBorders>
          </w:tcPr>
          <w:p w14:paraId="5D449AE9"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0.06***</w:t>
            </w:r>
          </w:p>
        </w:tc>
        <w:tc>
          <w:tcPr>
            <w:tcW w:w="1181" w:type="dxa"/>
            <w:tcBorders>
              <w:top w:val="nil"/>
              <w:left w:val="nil"/>
              <w:bottom w:val="nil"/>
              <w:right w:val="nil"/>
            </w:tcBorders>
          </w:tcPr>
          <w:p w14:paraId="2BF7B210"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0.12***</w:t>
            </w:r>
          </w:p>
        </w:tc>
        <w:tc>
          <w:tcPr>
            <w:tcW w:w="1276" w:type="dxa"/>
            <w:tcBorders>
              <w:top w:val="nil"/>
              <w:left w:val="nil"/>
              <w:bottom w:val="nil"/>
              <w:right w:val="nil"/>
            </w:tcBorders>
          </w:tcPr>
          <w:p w14:paraId="4EFBB9A1"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276" w:type="dxa"/>
            <w:tcBorders>
              <w:top w:val="nil"/>
              <w:left w:val="nil"/>
              <w:bottom w:val="nil"/>
              <w:right w:val="nil"/>
            </w:tcBorders>
          </w:tcPr>
          <w:p w14:paraId="0E7FF550"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r>
      <w:tr w:rsidR="0083288D" w:rsidRPr="00A70F6D" w14:paraId="6A85BE39" w14:textId="77777777" w:rsidTr="0083288D">
        <w:trPr>
          <w:gridAfter w:val="2"/>
          <w:wAfter w:w="2552" w:type="dxa"/>
        </w:trPr>
        <w:tc>
          <w:tcPr>
            <w:tcW w:w="2802" w:type="dxa"/>
            <w:tcBorders>
              <w:top w:val="nil"/>
              <w:left w:val="nil"/>
              <w:bottom w:val="single" w:sz="4" w:space="0" w:color="auto"/>
              <w:right w:val="nil"/>
            </w:tcBorders>
          </w:tcPr>
          <w:p w14:paraId="566A8B29"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p>
        </w:tc>
        <w:tc>
          <w:tcPr>
            <w:tcW w:w="1275" w:type="dxa"/>
            <w:tcBorders>
              <w:top w:val="nil"/>
              <w:left w:val="nil"/>
              <w:bottom w:val="single" w:sz="4" w:space="0" w:color="auto"/>
              <w:right w:val="nil"/>
            </w:tcBorders>
          </w:tcPr>
          <w:p w14:paraId="50698A52" w14:textId="51922955"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0.01</w:t>
            </w:r>
            <w:r w:rsidRPr="00A70F6D">
              <w:rPr>
                <w:rFonts w:eastAsiaTheme="minorEastAsia" w:cs="Times New Roman"/>
                <w:sz w:val="20"/>
                <w:szCs w:val="20"/>
                <w:lang w:val="en-US"/>
              </w:rPr>
              <w:t>)</w:t>
            </w:r>
          </w:p>
        </w:tc>
        <w:tc>
          <w:tcPr>
            <w:tcW w:w="1371" w:type="dxa"/>
            <w:tcBorders>
              <w:top w:val="nil"/>
              <w:left w:val="nil"/>
              <w:bottom w:val="single" w:sz="4" w:space="0" w:color="auto"/>
              <w:right w:val="nil"/>
            </w:tcBorders>
          </w:tcPr>
          <w:p w14:paraId="7BEC513D" w14:textId="28820F68"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181" w:type="dxa"/>
            <w:tcBorders>
              <w:top w:val="nil"/>
              <w:left w:val="nil"/>
              <w:bottom w:val="single" w:sz="4" w:space="0" w:color="auto"/>
              <w:right w:val="nil"/>
            </w:tcBorders>
          </w:tcPr>
          <w:p w14:paraId="33F58F1E" w14:textId="3A354418" w:rsidR="0083288D" w:rsidRPr="00A70F6D" w:rsidRDefault="00266184"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w:t>
            </w:r>
            <w:r w:rsidR="0083288D" w:rsidRPr="00A70F6D">
              <w:rPr>
                <w:rFonts w:eastAsiaTheme="minorEastAsia" w:cs="Times New Roman"/>
                <w:sz w:val="20"/>
                <w:szCs w:val="20"/>
                <w:lang w:val="en-US"/>
              </w:rPr>
              <w:t>0.00</w:t>
            </w:r>
            <w:r w:rsidRPr="00A70F6D">
              <w:rPr>
                <w:rFonts w:eastAsiaTheme="minorEastAsia" w:cs="Times New Roman"/>
                <w:sz w:val="20"/>
                <w:szCs w:val="20"/>
                <w:lang w:val="en-US"/>
              </w:rPr>
              <w:t>)</w:t>
            </w:r>
          </w:p>
        </w:tc>
        <w:tc>
          <w:tcPr>
            <w:tcW w:w="1276" w:type="dxa"/>
            <w:tcBorders>
              <w:top w:val="nil"/>
              <w:left w:val="nil"/>
              <w:bottom w:val="single" w:sz="4" w:space="0" w:color="auto"/>
              <w:right w:val="nil"/>
            </w:tcBorders>
          </w:tcPr>
          <w:p w14:paraId="55F1C5CB"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276" w:type="dxa"/>
            <w:tcBorders>
              <w:top w:val="nil"/>
              <w:left w:val="nil"/>
              <w:bottom w:val="single" w:sz="4" w:space="0" w:color="auto"/>
              <w:right w:val="nil"/>
            </w:tcBorders>
          </w:tcPr>
          <w:p w14:paraId="42AE8B83"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r>
      <w:tr w:rsidR="0083288D" w:rsidRPr="00A70F6D" w14:paraId="1B668F46" w14:textId="77777777" w:rsidTr="0083288D">
        <w:trPr>
          <w:gridAfter w:val="2"/>
          <w:wAfter w:w="2552" w:type="dxa"/>
        </w:trPr>
        <w:tc>
          <w:tcPr>
            <w:tcW w:w="2802" w:type="dxa"/>
            <w:tcBorders>
              <w:top w:val="single" w:sz="4" w:space="0" w:color="auto"/>
              <w:left w:val="nil"/>
              <w:right w:val="nil"/>
            </w:tcBorders>
          </w:tcPr>
          <w:p w14:paraId="27DF79C2"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i/>
                <w:iCs/>
                <w:sz w:val="20"/>
                <w:szCs w:val="20"/>
                <w:lang w:val="en-US"/>
              </w:rPr>
            </w:pPr>
            <w:r w:rsidRPr="00A70F6D">
              <w:rPr>
                <w:rFonts w:eastAsiaTheme="minorEastAsia" w:cs="Times New Roman"/>
                <w:b/>
                <w:bCs/>
                <w:sz w:val="20"/>
                <w:szCs w:val="20"/>
                <w:lang w:val="en-US"/>
              </w:rPr>
              <w:t>Controls</w:t>
            </w:r>
          </w:p>
        </w:tc>
        <w:tc>
          <w:tcPr>
            <w:tcW w:w="1275" w:type="dxa"/>
            <w:tcBorders>
              <w:top w:val="single" w:sz="4" w:space="0" w:color="auto"/>
              <w:left w:val="nil"/>
              <w:right w:val="nil"/>
            </w:tcBorders>
          </w:tcPr>
          <w:p w14:paraId="434ED447"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371" w:type="dxa"/>
            <w:tcBorders>
              <w:top w:val="single" w:sz="4" w:space="0" w:color="auto"/>
              <w:left w:val="nil"/>
              <w:right w:val="nil"/>
            </w:tcBorders>
          </w:tcPr>
          <w:p w14:paraId="4232889A"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181" w:type="dxa"/>
            <w:tcBorders>
              <w:top w:val="single" w:sz="4" w:space="0" w:color="auto"/>
              <w:left w:val="nil"/>
              <w:right w:val="nil"/>
            </w:tcBorders>
          </w:tcPr>
          <w:p w14:paraId="27AF497F"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276" w:type="dxa"/>
            <w:tcBorders>
              <w:top w:val="single" w:sz="4" w:space="0" w:color="auto"/>
              <w:left w:val="nil"/>
              <w:right w:val="nil"/>
            </w:tcBorders>
          </w:tcPr>
          <w:p w14:paraId="5933179D"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c>
          <w:tcPr>
            <w:tcW w:w="1276" w:type="dxa"/>
            <w:tcBorders>
              <w:top w:val="single" w:sz="4" w:space="0" w:color="auto"/>
              <w:left w:val="nil"/>
              <w:right w:val="nil"/>
            </w:tcBorders>
          </w:tcPr>
          <w:p w14:paraId="3457A553"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p>
        </w:tc>
      </w:tr>
      <w:tr w:rsidR="0083288D" w:rsidRPr="00A70F6D" w14:paraId="136E4046" w14:textId="77777777" w:rsidTr="0083288D">
        <w:trPr>
          <w:gridAfter w:val="2"/>
          <w:wAfter w:w="2552" w:type="dxa"/>
        </w:trPr>
        <w:tc>
          <w:tcPr>
            <w:tcW w:w="2802" w:type="dxa"/>
            <w:tcBorders>
              <w:left w:val="nil"/>
              <w:bottom w:val="nil"/>
              <w:right w:val="nil"/>
            </w:tcBorders>
          </w:tcPr>
          <w:p w14:paraId="48933E48"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i/>
                <w:iCs/>
                <w:sz w:val="20"/>
                <w:szCs w:val="20"/>
                <w:lang w:val="en-US"/>
              </w:rPr>
            </w:pPr>
            <w:r w:rsidRPr="00A70F6D">
              <w:rPr>
                <w:rFonts w:eastAsiaTheme="minorEastAsia" w:cs="Times New Roman"/>
                <w:sz w:val="20"/>
                <w:szCs w:val="20"/>
                <w:lang w:val="en-US"/>
              </w:rPr>
              <w:t>Dummy Colony</w:t>
            </w:r>
          </w:p>
        </w:tc>
        <w:tc>
          <w:tcPr>
            <w:tcW w:w="1275" w:type="dxa"/>
            <w:tcBorders>
              <w:left w:val="nil"/>
              <w:bottom w:val="nil"/>
              <w:right w:val="nil"/>
            </w:tcBorders>
          </w:tcPr>
          <w:p w14:paraId="53C91F6E"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371" w:type="dxa"/>
            <w:tcBorders>
              <w:left w:val="nil"/>
              <w:bottom w:val="nil"/>
              <w:right w:val="nil"/>
            </w:tcBorders>
          </w:tcPr>
          <w:p w14:paraId="65C79F8B"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No</w:t>
            </w:r>
          </w:p>
        </w:tc>
        <w:tc>
          <w:tcPr>
            <w:tcW w:w="1181" w:type="dxa"/>
            <w:tcBorders>
              <w:left w:val="nil"/>
              <w:bottom w:val="nil"/>
              <w:right w:val="nil"/>
            </w:tcBorders>
          </w:tcPr>
          <w:p w14:paraId="36407682"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276" w:type="dxa"/>
            <w:tcBorders>
              <w:left w:val="nil"/>
              <w:bottom w:val="nil"/>
              <w:right w:val="nil"/>
            </w:tcBorders>
          </w:tcPr>
          <w:p w14:paraId="48A90771" w14:textId="07A91FD3"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276" w:type="dxa"/>
            <w:tcBorders>
              <w:left w:val="nil"/>
              <w:bottom w:val="nil"/>
              <w:right w:val="nil"/>
            </w:tcBorders>
          </w:tcPr>
          <w:p w14:paraId="1B3646D4" w14:textId="30BF9B8A"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No</w:t>
            </w:r>
          </w:p>
        </w:tc>
      </w:tr>
      <w:tr w:rsidR="0083288D" w:rsidRPr="00A70F6D" w14:paraId="19A226B1" w14:textId="77777777" w:rsidTr="0083288D">
        <w:trPr>
          <w:gridAfter w:val="2"/>
          <w:wAfter w:w="2552" w:type="dxa"/>
        </w:trPr>
        <w:tc>
          <w:tcPr>
            <w:tcW w:w="2802" w:type="dxa"/>
            <w:tcBorders>
              <w:left w:val="nil"/>
              <w:right w:val="nil"/>
            </w:tcBorders>
          </w:tcPr>
          <w:p w14:paraId="07A47C73"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i/>
                <w:iCs/>
                <w:sz w:val="20"/>
                <w:szCs w:val="20"/>
                <w:lang w:val="en-US"/>
              </w:rPr>
            </w:pPr>
            <w:r w:rsidRPr="00A70F6D">
              <w:rPr>
                <w:rFonts w:eastAsiaTheme="minorEastAsia" w:cs="Times New Roman"/>
                <w:sz w:val="20"/>
                <w:szCs w:val="20"/>
                <w:lang w:val="en-US"/>
              </w:rPr>
              <w:t>Weighted Distance</w:t>
            </w:r>
          </w:p>
        </w:tc>
        <w:tc>
          <w:tcPr>
            <w:tcW w:w="1275" w:type="dxa"/>
            <w:tcBorders>
              <w:left w:val="nil"/>
              <w:right w:val="nil"/>
            </w:tcBorders>
          </w:tcPr>
          <w:p w14:paraId="4C46F209"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371" w:type="dxa"/>
            <w:tcBorders>
              <w:left w:val="nil"/>
              <w:right w:val="nil"/>
            </w:tcBorders>
          </w:tcPr>
          <w:p w14:paraId="58C02E31"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No</w:t>
            </w:r>
          </w:p>
        </w:tc>
        <w:tc>
          <w:tcPr>
            <w:tcW w:w="1181" w:type="dxa"/>
            <w:tcBorders>
              <w:left w:val="nil"/>
              <w:right w:val="nil"/>
            </w:tcBorders>
          </w:tcPr>
          <w:p w14:paraId="5FB8EF5B"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276" w:type="dxa"/>
            <w:tcBorders>
              <w:left w:val="nil"/>
              <w:right w:val="nil"/>
            </w:tcBorders>
          </w:tcPr>
          <w:p w14:paraId="719A9799" w14:textId="7E3690A1"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276" w:type="dxa"/>
            <w:tcBorders>
              <w:left w:val="nil"/>
              <w:right w:val="nil"/>
            </w:tcBorders>
          </w:tcPr>
          <w:p w14:paraId="413F14F5" w14:textId="41BEC716"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No</w:t>
            </w:r>
          </w:p>
        </w:tc>
      </w:tr>
      <w:tr w:rsidR="0083288D" w:rsidRPr="00A70F6D" w14:paraId="3850F04F" w14:textId="77777777" w:rsidTr="0083288D">
        <w:trPr>
          <w:gridAfter w:val="2"/>
          <w:wAfter w:w="2552" w:type="dxa"/>
        </w:trPr>
        <w:tc>
          <w:tcPr>
            <w:tcW w:w="2802" w:type="dxa"/>
            <w:tcBorders>
              <w:left w:val="nil"/>
              <w:bottom w:val="nil"/>
              <w:right w:val="nil"/>
            </w:tcBorders>
          </w:tcPr>
          <w:p w14:paraId="7CB30E97"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i/>
                <w:iCs/>
                <w:sz w:val="20"/>
                <w:szCs w:val="20"/>
                <w:lang w:val="en-US"/>
              </w:rPr>
            </w:pPr>
            <w:r w:rsidRPr="00A70F6D">
              <w:rPr>
                <w:rFonts w:eastAsiaTheme="minorEastAsia" w:cs="Times New Roman"/>
                <w:sz w:val="20"/>
                <w:szCs w:val="20"/>
                <w:lang w:val="en-US"/>
              </w:rPr>
              <w:t>Year FE</w:t>
            </w:r>
          </w:p>
        </w:tc>
        <w:tc>
          <w:tcPr>
            <w:tcW w:w="1275" w:type="dxa"/>
            <w:tcBorders>
              <w:left w:val="nil"/>
              <w:bottom w:val="nil"/>
              <w:right w:val="nil"/>
            </w:tcBorders>
          </w:tcPr>
          <w:p w14:paraId="7C43C331"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371" w:type="dxa"/>
            <w:tcBorders>
              <w:left w:val="nil"/>
              <w:bottom w:val="nil"/>
              <w:right w:val="nil"/>
            </w:tcBorders>
          </w:tcPr>
          <w:p w14:paraId="4EA4373F"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181" w:type="dxa"/>
            <w:tcBorders>
              <w:left w:val="nil"/>
              <w:bottom w:val="nil"/>
              <w:right w:val="nil"/>
            </w:tcBorders>
          </w:tcPr>
          <w:p w14:paraId="0CE83CE3"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276" w:type="dxa"/>
            <w:tcBorders>
              <w:left w:val="nil"/>
              <w:bottom w:val="nil"/>
              <w:right w:val="nil"/>
            </w:tcBorders>
          </w:tcPr>
          <w:p w14:paraId="49DCD1C8" w14:textId="0E576C6C"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276" w:type="dxa"/>
            <w:tcBorders>
              <w:left w:val="nil"/>
              <w:bottom w:val="nil"/>
              <w:right w:val="nil"/>
            </w:tcBorders>
          </w:tcPr>
          <w:p w14:paraId="100CF1D1" w14:textId="4EE87B8C"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r>
      <w:tr w:rsidR="0083288D" w:rsidRPr="00A70F6D" w14:paraId="6CDC6B66" w14:textId="77777777" w:rsidTr="0083288D">
        <w:trPr>
          <w:gridAfter w:val="2"/>
          <w:wAfter w:w="2552" w:type="dxa"/>
        </w:trPr>
        <w:tc>
          <w:tcPr>
            <w:tcW w:w="2802" w:type="dxa"/>
            <w:tcBorders>
              <w:left w:val="nil"/>
              <w:bottom w:val="nil"/>
              <w:right w:val="nil"/>
            </w:tcBorders>
          </w:tcPr>
          <w:p w14:paraId="141FCC03"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Country FE</w:t>
            </w:r>
          </w:p>
        </w:tc>
        <w:tc>
          <w:tcPr>
            <w:tcW w:w="1275" w:type="dxa"/>
            <w:tcBorders>
              <w:left w:val="nil"/>
              <w:bottom w:val="nil"/>
              <w:right w:val="nil"/>
            </w:tcBorders>
          </w:tcPr>
          <w:p w14:paraId="22E2433E"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No</w:t>
            </w:r>
          </w:p>
        </w:tc>
        <w:tc>
          <w:tcPr>
            <w:tcW w:w="1371" w:type="dxa"/>
            <w:tcBorders>
              <w:left w:val="nil"/>
              <w:bottom w:val="nil"/>
              <w:right w:val="nil"/>
            </w:tcBorders>
          </w:tcPr>
          <w:p w14:paraId="5D3A652F"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c>
          <w:tcPr>
            <w:tcW w:w="1181" w:type="dxa"/>
            <w:tcBorders>
              <w:left w:val="nil"/>
              <w:bottom w:val="nil"/>
              <w:right w:val="nil"/>
            </w:tcBorders>
          </w:tcPr>
          <w:p w14:paraId="244896BD"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No</w:t>
            </w:r>
          </w:p>
        </w:tc>
        <w:tc>
          <w:tcPr>
            <w:tcW w:w="1276" w:type="dxa"/>
            <w:tcBorders>
              <w:left w:val="nil"/>
              <w:bottom w:val="nil"/>
              <w:right w:val="nil"/>
            </w:tcBorders>
          </w:tcPr>
          <w:p w14:paraId="4AA6845E" w14:textId="4AE72F7E"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No</w:t>
            </w:r>
          </w:p>
        </w:tc>
        <w:tc>
          <w:tcPr>
            <w:tcW w:w="1276" w:type="dxa"/>
            <w:tcBorders>
              <w:left w:val="nil"/>
              <w:bottom w:val="nil"/>
              <w:right w:val="nil"/>
            </w:tcBorders>
          </w:tcPr>
          <w:p w14:paraId="7A3EC777" w14:textId="47D87A8F"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Yes</w:t>
            </w:r>
          </w:p>
        </w:tc>
      </w:tr>
      <w:tr w:rsidR="0083288D" w:rsidRPr="00A70F6D" w14:paraId="2DA73EB2" w14:textId="77777777" w:rsidTr="0083288D">
        <w:trPr>
          <w:gridAfter w:val="2"/>
          <w:wAfter w:w="2552" w:type="dxa"/>
        </w:trPr>
        <w:tc>
          <w:tcPr>
            <w:tcW w:w="2802" w:type="dxa"/>
            <w:tcBorders>
              <w:top w:val="single" w:sz="4" w:space="0" w:color="auto"/>
              <w:left w:val="nil"/>
              <w:bottom w:val="nil"/>
              <w:right w:val="nil"/>
            </w:tcBorders>
          </w:tcPr>
          <w:p w14:paraId="5F1119CB"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 xml:space="preserve">Log likelihood </w:t>
            </w:r>
          </w:p>
        </w:tc>
        <w:tc>
          <w:tcPr>
            <w:tcW w:w="1275" w:type="dxa"/>
            <w:tcBorders>
              <w:top w:val="single" w:sz="4" w:space="0" w:color="auto"/>
              <w:left w:val="nil"/>
              <w:bottom w:val="nil"/>
              <w:right w:val="nil"/>
            </w:tcBorders>
          </w:tcPr>
          <w:p w14:paraId="2E1776C2"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-294.6</w:t>
            </w:r>
          </w:p>
        </w:tc>
        <w:tc>
          <w:tcPr>
            <w:tcW w:w="1371" w:type="dxa"/>
            <w:tcBorders>
              <w:top w:val="single" w:sz="4" w:space="0" w:color="auto"/>
              <w:left w:val="nil"/>
              <w:bottom w:val="nil"/>
              <w:right w:val="nil"/>
            </w:tcBorders>
          </w:tcPr>
          <w:p w14:paraId="5533CD89"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-80.1</w:t>
            </w:r>
          </w:p>
        </w:tc>
        <w:tc>
          <w:tcPr>
            <w:tcW w:w="1181" w:type="dxa"/>
            <w:tcBorders>
              <w:top w:val="single" w:sz="4" w:space="0" w:color="auto"/>
              <w:left w:val="nil"/>
              <w:bottom w:val="nil"/>
              <w:right w:val="nil"/>
            </w:tcBorders>
          </w:tcPr>
          <w:p w14:paraId="3F60F189"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-182.5</w:t>
            </w:r>
          </w:p>
        </w:tc>
        <w:tc>
          <w:tcPr>
            <w:tcW w:w="1276" w:type="dxa"/>
            <w:tcBorders>
              <w:top w:val="single" w:sz="4" w:space="0" w:color="auto"/>
              <w:left w:val="nil"/>
              <w:bottom w:val="nil"/>
              <w:right w:val="nil"/>
            </w:tcBorders>
          </w:tcPr>
          <w:p w14:paraId="79D86766" w14:textId="2215E0D2"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NA</w:t>
            </w:r>
          </w:p>
        </w:tc>
        <w:tc>
          <w:tcPr>
            <w:tcW w:w="1276" w:type="dxa"/>
            <w:tcBorders>
              <w:top w:val="single" w:sz="4" w:space="0" w:color="auto"/>
              <w:left w:val="nil"/>
              <w:bottom w:val="nil"/>
              <w:right w:val="nil"/>
            </w:tcBorders>
          </w:tcPr>
          <w:p w14:paraId="5607555D" w14:textId="56E28B7A"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NA</w:t>
            </w:r>
          </w:p>
        </w:tc>
      </w:tr>
      <w:tr w:rsidR="0083288D" w:rsidRPr="00A70F6D" w14:paraId="76E24C91" w14:textId="77777777" w:rsidTr="0083288D">
        <w:trPr>
          <w:gridAfter w:val="2"/>
          <w:wAfter w:w="2552" w:type="dxa"/>
        </w:trPr>
        <w:tc>
          <w:tcPr>
            <w:tcW w:w="2802" w:type="dxa"/>
            <w:tcBorders>
              <w:top w:val="nil"/>
              <w:left w:val="nil"/>
              <w:bottom w:val="single" w:sz="4" w:space="0" w:color="auto"/>
              <w:right w:val="nil"/>
            </w:tcBorders>
          </w:tcPr>
          <w:p w14:paraId="041CFAF9"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 xml:space="preserve">Adjusted </w:t>
            </w:r>
            <w:r w:rsidRPr="00A70F6D">
              <w:rPr>
                <w:rFonts w:eastAsiaTheme="minorEastAsia" w:cs="Times New Roman"/>
                <w:i/>
                <w:iCs/>
                <w:sz w:val="20"/>
                <w:szCs w:val="20"/>
                <w:lang w:val="en-US"/>
              </w:rPr>
              <w:t>R</w:t>
            </w:r>
            <w:r w:rsidRPr="00A70F6D">
              <w:rPr>
                <w:rFonts w:eastAsiaTheme="minorEastAsia" w:cs="Times New Roman"/>
                <w:i/>
                <w:sz w:val="20"/>
                <w:szCs w:val="20"/>
                <w:vertAlign w:val="superscript"/>
                <w:lang w:val="en-US"/>
              </w:rPr>
              <w:t>2</w:t>
            </w:r>
          </w:p>
        </w:tc>
        <w:tc>
          <w:tcPr>
            <w:tcW w:w="1275" w:type="dxa"/>
            <w:tcBorders>
              <w:top w:val="nil"/>
              <w:left w:val="nil"/>
              <w:bottom w:val="single" w:sz="4" w:space="0" w:color="auto"/>
              <w:right w:val="nil"/>
            </w:tcBorders>
          </w:tcPr>
          <w:p w14:paraId="66D4E0CC"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NA</w:t>
            </w:r>
          </w:p>
        </w:tc>
        <w:tc>
          <w:tcPr>
            <w:tcW w:w="1371" w:type="dxa"/>
            <w:tcBorders>
              <w:top w:val="nil"/>
              <w:left w:val="nil"/>
              <w:bottom w:val="single" w:sz="4" w:space="0" w:color="auto"/>
              <w:right w:val="nil"/>
            </w:tcBorders>
          </w:tcPr>
          <w:p w14:paraId="0FC0D0BF"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NA</w:t>
            </w:r>
          </w:p>
        </w:tc>
        <w:tc>
          <w:tcPr>
            <w:tcW w:w="1181" w:type="dxa"/>
            <w:tcBorders>
              <w:top w:val="nil"/>
              <w:left w:val="nil"/>
              <w:bottom w:val="single" w:sz="4" w:space="0" w:color="auto"/>
              <w:right w:val="nil"/>
            </w:tcBorders>
          </w:tcPr>
          <w:p w14:paraId="7314F2AB"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NA</w:t>
            </w:r>
          </w:p>
        </w:tc>
        <w:tc>
          <w:tcPr>
            <w:tcW w:w="1276" w:type="dxa"/>
            <w:tcBorders>
              <w:top w:val="nil"/>
              <w:left w:val="nil"/>
              <w:bottom w:val="single" w:sz="4" w:space="0" w:color="auto"/>
              <w:right w:val="nil"/>
            </w:tcBorders>
          </w:tcPr>
          <w:p w14:paraId="70CAC6D7" w14:textId="3C5EAF48"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0.896</w:t>
            </w:r>
          </w:p>
        </w:tc>
        <w:tc>
          <w:tcPr>
            <w:tcW w:w="1276" w:type="dxa"/>
            <w:tcBorders>
              <w:top w:val="nil"/>
              <w:left w:val="nil"/>
              <w:bottom w:val="single" w:sz="4" w:space="0" w:color="auto"/>
              <w:right w:val="nil"/>
            </w:tcBorders>
          </w:tcPr>
          <w:p w14:paraId="4F9FDDA1" w14:textId="4C0DA4C1"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NA</w:t>
            </w:r>
          </w:p>
        </w:tc>
      </w:tr>
      <w:tr w:rsidR="0083288D" w:rsidRPr="00A70F6D" w14:paraId="41D9A37B" w14:textId="77777777" w:rsidTr="0083288D">
        <w:trPr>
          <w:gridAfter w:val="2"/>
          <w:wAfter w:w="2552" w:type="dxa"/>
        </w:trPr>
        <w:tc>
          <w:tcPr>
            <w:tcW w:w="2802" w:type="dxa"/>
            <w:tcBorders>
              <w:top w:val="nil"/>
              <w:left w:val="nil"/>
              <w:bottom w:val="single" w:sz="4" w:space="0" w:color="auto"/>
              <w:right w:val="nil"/>
            </w:tcBorders>
          </w:tcPr>
          <w:p w14:paraId="62A05CDF" w14:textId="77777777" w:rsidR="0083288D" w:rsidRPr="00A70F6D" w:rsidRDefault="0083288D" w:rsidP="0083288D">
            <w:pPr>
              <w:widowControl w:val="0"/>
              <w:autoSpaceDE w:val="0"/>
              <w:autoSpaceDN w:val="0"/>
              <w:adjustRightInd w:val="0"/>
              <w:spacing w:line="240" w:lineRule="auto"/>
              <w:ind w:firstLine="0"/>
              <w:jc w:val="left"/>
              <w:rPr>
                <w:rFonts w:eastAsiaTheme="minorEastAsia" w:cs="Times New Roman"/>
                <w:sz w:val="20"/>
                <w:szCs w:val="20"/>
                <w:lang w:val="en-US"/>
              </w:rPr>
            </w:pPr>
            <w:r w:rsidRPr="00A70F6D">
              <w:rPr>
                <w:rFonts w:eastAsiaTheme="minorEastAsia" w:cs="Times New Roman"/>
                <w:sz w:val="20"/>
                <w:szCs w:val="20"/>
                <w:lang w:val="en-US"/>
              </w:rPr>
              <w:t>Observations</w:t>
            </w:r>
          </w:p>
        </w:tc>
        <w:tc>
          <w:tcPr>
            <w:tcW w:w="1275" w:type="dxa"/>
            <w:tcBorders>
              <w:top w:val="nil"/>
              <w:left w:val="nil"/>
              <w:bottom w:val="single" w:sz="4" w:space="0" w:color="auto"/>
              <w:right w:val="nil"/>
            </w:tcBorders>
          </w:tcPr>
          <w:p w14:paraId="3D17BD24"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406</w:t>
            </w:r>
          </w:p>
        </w:tc>
        <w:tc>
          <w:tcPr>
            <w:tcW w:w="1371" w:type="dxa"/>
            <w:tcBorders>
              <w:top w:val="nil"/>
              <w:left w:val="nil"/>
              <w:bottom w:val="single" w:sz="4" w:space="0" w:color="auto"/>
              <w:right w:val="nil"/>
            </w:tcBorders>
          </w:tcPr>
          <w:p w14:paraId="52BFD7A8"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422</w:t>
            </w:r>
          </w:p>
        </w:tc>
        <w:tc>
          <w:tcPr>
            <w:tcW w:w="1181" w:type="dxa"/>
            <w:tcBorders>
              <w:top w:val="nil"/>
              <w:left w:val="nil"/>
              <w:bottom w:val="single" w:sz="4" w:space="0" w:color="auto"/>
              <w:right w:val="nil"/>
            </w:tcBorders>
          </w:tcPr>
          <w:p w14:paraId="24C1301C" w14:textId="77777777"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406</w:t>
            </w:r>
          </w:p>
        </w:tc>
        <w:tc>
          <w:tcPr>
            <w:tcW w:w="1276" w:type="dxa"/>
            <w:tcBorders>
              <w:top w:val="nil"/>
              <w:left w:val="nil"/>
              <w:bottom w:val="single" w:sz="4" w:space="0" w:color="auto"/>
              <w:right w:val="nil"/>
            </w:tcBorders>
          </w:tcPr>
          <w:p w14:paraId="2B485855" w14:textId="17773294"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406</w:t>
            </w:r>
          </w:p>
        </w:tc>
        <w:tc>
          <w:tcPr>
            <w:tcW w:w="1276" w:type="dxa"/>
            <w:tcBorders>
              <w:top w:val="nil"/>
              <w:left w:val="nil"/>
              <w:bottom w:val="single" w:sz="4" w:space="0" w:color="auto"/>
              <w:right w:val="nil"/>
            </w:tcBorders>
          </w:tcPr>
          <w:p w14:paraId="658D99F1" w14:textId="42766D5C" w:rsidR="0083288D" w:rsidRPr="00A70F6D" w:rsidRDefault="0083288D" w:rsidP="0083288D">
            <w:pPr>
              <w:widowControl w:val="0"/>
              <w:autoSpaceDE w:val="0"/>
              <w:autoSpaceDN w:val="0"/>
              <w:adjustRightInd w:val="0"/>
              <w:spacing w:line="240" w:lineRule="auto"/>
              <w:ind w:firstLine="0"/>
              <w:jc w:val="center"/>
              <w:rPr>
                <w:rFonts w:eastAsiaTheme="minorEastAsia" w:cs="Times New Roman"/>
                <w:sz w:val="20"/>
                <w:szCs w:val="20"/>
                <w:lang w:val="en-US"/>
              </w:rPr>
            </w:pPr>
            <w:r w:rsidRPr="00A70F6D">
              <w:rPr>
                <w:rFonts w:eastAsiaTheme="minorEastAsia" w:cs="Times New Roman"/>
                <w:sz w:val="20"/>
                <w:szCs w:val="20"/>
                <w:lang w:val="en-US"/>
              </w:rPr>
              <w:t>311</w:t>
            </w:r>
          </w:p>
        </w:tc>
      </w:tr>
    </w:tbl>
    <w:p w14:paraId="331A21BE" w14:textId="3F3E1637" w:rsidR="00734757" w:rsidRPr="00A70F6D" w:rsidRDefault="00734757" w:rsidP="00734757">
      <w:pPr>
        <w:spacing w:after="200" w:line="240" w:lineRule="auto"/>
        <w:rPr>
          <w:rFonts w:cs="Times New Roman"/>
          <w:i/>
          <w:szCs w:val="24"/>
          <w:lang w:val="en-US"/>
        </w:rPr>
      </w:pPr>
      <w:r w:rsidRPr="00A70F6D">
        <w:rPr>
          <w:rFonts w:cs="Times New Roman"/>
          <w:i/>
          <w:szCs w:val="24"/>
          <w:lang w:val="en-US"/>
        </w:rPr>
        <w:t xml:space="preserve">Note: the dependent variable is the share of sterling in reserves of monetary authorities of </w:t>
      </w:r>
      <w:r w:rsidRPr="00A70F6D">
        <w:rPr>
          <w:rFonts w:cs="Times New Roman"/>
          <w:i/>
          <w:iCs/>
          <w:szCs w:val="24"/>
          <w:lang w:val="en-US"/>
        </w:rPr>
        <w:t>European and</w:t>
      </w:r>
      <w:r w:rsidRPr="00A70F6D">
        <w:rPr>
          <w:rFonts w:cs="Times New Roman"/>
          <w:i/>
          <w:szCs w:val="24"/>
          <w:lang w:val="en-US"/>
        </w:rPr>
        <w:t xml:space="preserve"> sterling area countries. </w:t>
      </w:r>
      <w:r w:rsidR="009574D8" w:rsidRPr="00A70F6D">
        <w:rPr>
          <w:rFonts w:cs="Times New Roman"/>
          <w:i/>
          <w:szCs w:val="24"/>
          <w:lang w:val="en-US"/>
        </w:rPr>
        <w:t xml:space="preserve">All variables are </w:t>
      </w:r>
      <w:proofErr w:type="spellStart"/>
      <w:r w:rsidR="009574D8" w:rsidRPr="00A70F6D">
        <w:rPr>
          <w:rFonts w:cs="Times New Roman"/>
          <w:i/>
          <w:szCs w:val="24"/>
          <w:lang w:val="en-US"/>
        </w:rPr>
        <w:t>winsorized</w:t>
      </w:r>
      <w:proofErr w:type="spellEnd"/>
      <w:r w:rsidR="009574D8" w:rsidRPr="00A70F6D">
        <w:rPr>
          <w:rFonts w:cs="Times New Roman"/>
          <w:i/>
          <w:szCs w:val="24"/>
          <w:lang w:val="en-US"/>
        </w:rPr>
        <w:t xml:space="preserve"> at level 1% and 99% levels.</w:t>
      </w:r>
      <w:r w:rsidR="00295D16" w:rsidRPr="00A70F6D">
        <w:rPr>
          <w:rFonts w:cs="Times New Roman"/>
          <w:i/>
          <w:szCs w:val="24"/>
          <w:lang w:val="en-US"/>
        </w:rPr>
        <w:t xml:space="preserve"> </w:t>
      </w:r>
      <w:r w:rsidRPr="00A70F6D">
        <w:rPr>
          <w:rFonts w:cs="Times New Roman"/>
          <w:i/>
          <w:szCs w:val="24"/>
          <w:lang w:val="en-US"/>
        </w:rPr>
        <w:t>In column 1</w:t>
      </w:r>
      <w:r w:rsidR="0083288D" w:rsidRPr="00A70F6D">
        <w:rPr>
          <w:rFonts w:cs="Times New Roman"/>
          <w:i/>
          <w:szCs w:val="24"/>
          <w:lang w:val="en-US"/>
        </w:rPr>
        <w:t xml:space="preserve"> to 4</w:t>
      </w:r>
      <w:r w:rsidRPr="00A70F6D">
        <w:rPr>
          <w:rFonts w:cs="Times New Roman"/>
          <w:i/>
          <w:szCs w:val="24"/>
          <w:lang w:val="en-US"/>
        </w:rPr>
        <w:t xml:space="preserve"> errors are clustered at the country level.</w:t>
      </w:r>
      <w:r w:rsidR="0020448F" w:rsidRPr="00A70F6D">
        <w:rPr>
          <w:rFonts w:cs="Times New Roman"/>
          <w:i/>
          <w:szCs w:val="24"/>
          <w:lang w:val="en-US"/>
        </w:rPr>
        <w:t xml:space="preserve"> Variables</w:t>
      </w:r>
      <w:r w:rsidRPr="00A70F6D">
        <w:rPr>
          <w:rFonts w:cs="Times New Roman"/>
          <w:i/>
          <w:szCs w:val="24"/>
          <w:lang w:val="en-US"/>
        </w:rPr>
        <w:t xml:space="preserve"> </w:t>
      </w:r>
      <w:r w:rsidR="0020448F" w:rsidRPr="00A70F6D">
        <w:rPr>
          <w:rFonts w:cs="Times New Roman"/>
          <w:i/>
          <w:szCs w:val="24"/>
          <w:lang w:val="en-US"/>
        </w:rPr>
        <w:t>in column 4 are</w:t>
      </w:r>
      <w:r w:rsidR="0020448F" w:rsidRPr="00A70F6D">
        <w:rPr>
          <w:i/>
        </w:rPr>
        <w:t xml:space="preserve"> standardized using the z-score method.</w:t>
      </w:r>
      <w:r w:rsidR="0020448F" w:rsidRPr="00A70F6D">
        <w:rPr>
          <w:rFonts w:cs="Times New Roman"/>
          <w:i/>
          <w:szCs w:val="24"/>
          <w:lang w:val="en-US"/>
        </w:rPr>
        <w:t xml:space="preserve"> </w:t>
      </w:r>
      <w:r w:rsidRPr="00A70F6D">
        <w:rPr>
          <w:rFonts w:cs="Times New Roman"/>
          <w:i/>
          <w:szCs w:val="24"/>
          <w:lang w:val="en-US"/>
        </w:rPr>
        <w:t xml:space="preserve">In column </w:t>
      </w:r>
      <w:r w:rsidR="0083288D" w:rsidRPr="00A70F6D">
        <w:rPr>
          <w:rFonts w:cs="Times New Roman"/>
          <w:i/>
          <w:szCs w:val="24"/>
          <w:lang w:val="en-US"/>
        </w:rPr>
        <w:t>5</w:t>
      </w:r>
      <w:r w:rsidRPr="00A70F6D">
        <w:rPr>
          <w:rFonts w:cs="Times New Roman"/>
          <w:i/>
          <w:szCs w:val="24"/>
          <w:lang w:val="en-US"/>
        </w:rPr>
        <w:t xml:space="preserve">, robust standard errors are used. </w:t>
      </w:r>
      <w:r w:rsidR="006D2579" w:rsidRPr="00A70F6D">
        <w:rPr>
          <w:i/>
          <w:szCs w:val="24"/>
          <w:lang w:val="en-US"/>
        </w:rPr>
        <w:t xml:space="preserve">P-values are in parenthesis. </w:t>
      </w:r>
      <w:r w:rsidRPr="00A70F6D">
        <w:rPr>
          <w:rFonts w:cs="Times New Roman"/>
          <w:i/>
          <w:szCs w:val="24"/>
          <w:lang w:val="en-US"/>
        </w:rPr>
        <w:t>* p&lt;0.1, ** p&lt;0.05, *** p&lt;0.01.</w:t>
      </w:r>
    </w:p>
    <w:p w14:paraId="0C8D3B30" w14:textId="4FC2D83A" w:rsidR="00734757" w:rsidRPr="00A70F6D" w:rsidRDefault="00734757">
      <w:pPr>
        <w:spacing w:after="160" w:line="259" w:lineRule="auto"/>
        <w:ind w:firstLine="0"/>
        <w:jc w:val="left"/>
        <w:rPr>
          <w:lang w:val="en-US"/>
        </w:rPr>
      </w:pPr>
      <w:r w:rsidRPr="00A70F6D">
        <w:rPr>
          <w:lang w:val="en-US"/>
        </w:rPr>
        <w:br w:type="page"/>
      </w:r>
    </w:p>
    <w:bookmarkEnd w:id="7"/>
    <w:p w14:paraId="212446A7" w14:textId="1183F2FE" w:rsidR="00734757" w:rsidRPr="00A70F6D" w:rsidRDefault="00734757" w:rsidP="00307ACA">
      <w:pPr>
        <w:spacing w:before="240" w:after="400" w:line="240" w:lineRule="auto"/>
        <w:ind w:left="1985" w:firstLine="0"/>
        <w:jc w:val="left"/>
        <w:outlineLvl w:val="2"/>
        <w:rPr>
          <w:rFonts w:eastAsiaTheme="majorEastAsia" w:cs="Times New Roman"/>
          <w:i/>
          <w:sz w:val="22"/>
          <w:szCs w:val="24"/>
          <w:lang w:val="en-US"/>
        </w:rPr>
      </w:pPr>
      <w:r w:rsidRPr="00A70F6D">
        <w:rPr>
          <w:rFonts w:eastAsiaTheme="majorEastAsia" w:cs="Times New Roman"/>
          <w:i/>
          <w:sz w:val="22"/>
          <w:szCs w:val="24"/>
          <w:lang w:val="en-US"/>
        </w:rPr>
        <w:lastRenderedPageBreak/>
        <w:t>Appendix 4</w:t>
      </w:r>
      <w:r w:rsidR="00F32545" w:rsidRPr="00A70F6D">
        <w:rPr>
          <w:rFonts w:eastAsiaTheme="majorEastAsia" w:cs="Times New Roman"/>
          <w:i/>
          <w:sz w:val="22"/>
          <w:szCs w:val="24"/>
          <w:lang w:val="en-US"/>
        </w:rPr>
        <w:t>: impact of the 1967 sterling devaluation</w:t>
      </w:r>
    </w:p>
    <w:p w14:paraId="07B74093" w14:textId="389E7620" w:rsidR="00734757" w:rsidRPr="00A70F6D" w:rsidRDefault="00734757" w:rsidP="00734757">
      <w:pPr>
        <w:spacing w:after="200" w:line="240" w:lineRule="auto"/>
        <w:rPr>
          <w:rFonts w:cs="Times New Roman"/>
          <w:iCs/>
          <w:szCs w:val="24"/>
          <w:lang w:val="en-US"/>
        </w:rPr>
      </w:pPr>
      <w:bookmarkStart w:id="10" w:name="_Ref47373714"/>
      <w:bookmarkStart w:id="11" w:name="_Toc57847744"/>
      <w:r w:rsidRPr="00A70F6D">
        <w:rPr>
          <w:iCs/>
          <w:szCs w:val="24"/>
        </w:rPr>
        <w:t xml:space="preserve">Table </w:t>
      </w:r>
      <w:r w:rsidRPr="00A70F6D">
        <w:rPr>
          <w:iCs/>
          <w:szCs w:val="24"/>
        </w:rPr>
        <w:fldChar w:fldCharType="begin"/>
      </w:r>
      <w:r w:rsidRPr="00A70F6D">
        <w:rPr>
          <w:iCs/>
          <w:szCs w:val="24"/>
        </w:rPr>
        <w:instrText xml:space="preserve"> SEQ Table \* ARABIC \s 1 </w:instrText>
      </w:r>
      <w:r w:rsidRPr="00A70F6D">
        <w:rPr>
          <w:iCs/>
          <w:szCs w:val="24"/>
        </w:rPr>
        <w:fldChar w:fldCharType="separate"/>
      </w:r>
      <w:r w:rsidR="00D34F23" w:rsidRPr="00A70F6D">
        <w:rPr>
          <w:iCs/>
          <w:noProof/>
          <w:szCs w:val="24"/>
        </w:rPr>
        <w:t>3</w:t>
      </w:r>
      <w:r w:rsidRPr="00A70F6D">
        <w:rPr>
          <w:iCs/>
          <w:szCs w:val="24"/>
        </w:rPr>
        <w:fldChar w:fldCharType="end"/>
      </w:r>
      <w:bookmarkEnd w:id="10"/>
      <w:r w:rsidRPr="00A70F6D">
        <w:rPr>
          <w:i/>
          <w:szCs w:val="24"/>
          <w:lang w:val="en-US"/>
        </w:rPr>
        <w:t xml:space="preserve">: </w:t>
      </w:r>
      <w:r w:rsidRPr="00A70F6D">
        <w:rPr>
          <w:rFonts w:cs="Times New Roman"/>
          <w:iCs/>
          <w:szCs w:val="24"/>
          <w:lang w:val="en-US"/>
        </w:rPr>
        <w:t>The impact of the 1967 sterling devaluation on the sterling area countries’ reserves.</w:t>
      </w:r>
      <w:bookmarkEnd w:id="11"/>
      <w:r w:rsidRPr="00A70F6D">
        <w:rPr>
          <w:rFonts w:cs="Times New Roman"/>
          <w:iCs/>
          <w:szCs w:val="24"/>
          <w:lang w:val="en-US"/>
        </w:rPr>
        <w:t xml:space="preserve"> </w:t>
      </w:r>
    </w:p>
    <w:tbl>
      <w:tblPr>
        <w:tblW w:w="935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2"/>
        <w:gridCol w:w="2288"/>
        <w:gridCol w:w="2280"/>
        <w:gridCol w:w="2661"/>
      </w:tblGrid>
      <w:tr w:rsidR="00734757" w:rsidRPr="00A70F6D" w14:paraId="6EA049B9" w14:textId="77777777" w:rsidTr="0083288D">
        <w:trPr>
          <w:trHeight w:val="484"/>
          <w:jc w:val="center"/>
        </w:trPr>
        <w:tc>
          <w:tcPr>
            <w:tcW w:w="2122" w:type="dxa"/>
            <w:tcBorders>
              <w:top w:val="single" w:sz="4" w:space="0" w:color="auto"/>
              <w:bottom w:val="single" w:sz="4" w:space="0" w:color="auto"/>
            </w:tcBorders>
            <w:shd w:val="clear" w:color="auto" w:fill="auto"/>
            <w:noWrap/>
            <w:vAlign w:val="bottom"/>
            <w:hideMark/>
          </w:tcPr>
          <w:p w14:paraId="1C34FAF5" w14:textId="77777777" w:rsidR="00734757" w:rsidRPr="00A70F6D" w:rsidRDefault="00734757" w:rsidP="00734757">
            <w:pPr>
              <w:spacing w:line="240" w:lineRule="auto"/>
              <w:ind w:left="720" w:firstLine="0"/>
              <w:jc w:val="left"/>
            </w:pPr>
            <w:r w:rsidRPr="00A70F6D">
              <w:t>Country</w:t>
            </w:r>
          </w:p>
        </w:tc>
        <w:tc>
          <w:tcPr>
            <w:tcW w:w="2288" w:type="dxa"/>
            <w:tcBorders>
              <w:top w:val="single" w:sz="4" w:space="0" w:color="auto"/>
              <w:bottom w:val="single" w:sz="4" w:space="0" w:color="auto"/>
            </w:tcBorders>
            <w:shd w:val="clear" w:color="auto" w:fill="auto"/>
            <w:noWrap/>
            <w:vAlign w:val="bottom"/>
            <w:hideMark/>
          </w:tcPr>
          <w:p w14:paraId="378C3B48" w14:textId="77777777" w:rsidR="00734757" w:rsidRPr="00A70F6D" w:rsidRDefault="00734757" w:rsidP="00734757">
            <w:pPr>
              <w:spacing w:line="240" w:lineRule="auto"/>
              <w:ind w:left="720" w:firstLine="0"/>
              <w:jc w:val="left"/>
            </w:pPr>
            <w:r w:rsidRPr="00A70F6D">
              <w:t>Reserve losses</w:t>
            </w:r>
          </w:p>
          <w:p w14:paraId="19CB0E6D" w14:textId="77777777" w:rsidR="00734757" w:rsidRPr="00A70F6D" w:rsidRDefault="00734757" w:rsidP="00734757">
            <w:pPr>
              <w:spacing w:line="240" w:lineRule="auto"/>
              <w:ind w:left="720" w:firstLine="0"/>
              <w:jc w:val="left"/>
            </w:pPr>
            <w:r w:rsidRPr="00A70F6D">
              <w:t>(in % of national GDP)</w:t>
            </w:r>
          </w:p>
        </w:tc>
        <w:tc>
          <w:tcPr>
            <w:tcW w:w="2280" w:type="dxa"/>
            <w:tcBorders>
              <w:top w:val="single" w:sz="4" w:space="0" w:color="auto"/>
              <w:bottom w:val="single" w:sz="4" w:space="0" w:color="auto"/>
            </w:tcBorders>
            <w:vAlign w:val="bottom"/>
          </w:tcPr>
          <w:p w14:paraId="1DF53A33" w14:textId="77777777" w:rsidR="00734757" w:rsidRPr="00A70F6D" w:rsidRDefault="00734757" w:rsidP="00734757">
            <w:pPr>
              <w:spacing w:line="240" w:lineRule="auto"/>
              <w:ind w:left="720" w:firstLine="0"/>
              <w:jc w:val="center"/>
            </w:pPr>
            <w:r w:rsidRPr="00A70F6D">
              <w:t>Sterling</w:t>
            </w:r>
          </w:p>
          <w:p w14:paraId="63C67EC2" w14:textId="77777777" w:rsidR="00734757" w:rsidRPr="00A70F6D" w:rsidRDefault="00734757" w:rsidP="00734757">
            <w:pPr>
              <w:spacing w:line="240" w:lineRule="auto"/>
              <w:ind w:left="720" w:firstLine="0"/>
              <w:jc w:val="center"/>
            </w:pPr>
            <w:r w:rsidRPr="00A70F6D">
              <w:t>share in</w:t>
            </w:r>
          </w:p>
          <w:p w14:paraId="50F9B636" w14:textId="77777777" w:rsidR="00734757" w:rsidRPr="00A70F6D" w:rsidRDefault="00734757" w:rsidP="00734757">
            <w:pPr>
              <w:spacing w:line="240" w:lineRule="auto"/>
              <w:ind w:left="720" w:firstLine="0"/>
              <w:jc w:val="center"/>
            </w:pPr>
            <w:r w:rsidRPr="00A70F6D">
              <w:t>country’s official reserves</w:t>
            </w:r>
          </w:p>
        </w:tc>
        <w:tc>
          <w:tcPr>
            <w:tcW w:w="2661" w:type="dxa"/>
            <w:tcBorders>
              <w:top w:val="single" w:sz="4" w:space="0" w:color="auto"/>
              <w:bottom w:val="single" w:sz="4" w:space="0" w:color="auto"/>
            </w:tcBorders>
            <w:vAlign w:val="bottom"/>
          </w:tcPr>
          <w:p w14:paraId="16D01860" w14:textId="77777777" w:rsidR="00734757" w:rsidRPr="00A70F6D" w:rsidRDefault="00734757" w:rsidP="00734757">
            <w:pPr>
              <w:spacing w:line="240" w:lineRule="auto"/>
              <w:ind w:left="720" w:firstLine="0"/>
              <w:jc w:val="center"/>
            </w:pPr>
            <w:r w:rsidRPr="00A70F6D">
              <w:t>Relative weight of local sterling reserves</w:t>
            </w:r>
          </w:p>
          <w:p w14:paraId="4843DDC9" w14:textId="77777777" w:rsidR="00734757" w:rsidRPr="00A70F6D" w:rsidRDefault="00734757" w:rsidP="00734757">
            <w:pPr>
              <w:spacing w:line="240" w:lineRule="auto"/>
              <w:ind w:left="720" w:firstLine="0"/>
              <w:jc w:val="center"/>
            </w:pPr>
            <w:r w:rsidRPr="00A70F6D">
              <w:t>in the total holdings of the sterling area</w:t>
            </w:r>
          </w:p>
        </w:tc>
      </w:tr>
      <w:tr w:rsidR="00734757" w:rsidRPr="00A70F6D" w14:paraId="4CDC3F0E" w14:textId="77777777" w:rsidTr="0083288D">
        <w:trPr>
          <w:trHeight w:val="290"/>
          <w:jc w:val="center"/>
        </w:trPr>
        <w:tc>
          <w:tcPr>
            <w:tcW w:w="2122" w:type="dxa"/>
            <w:tcBorders>
              <w:top w:val="single" w:sz="4" w:space="0" w:color="auto"/>
              <w:bottom w:val="single" w:sz="4" w:space="0" w:color="DDDDDD"/>
            </w:tcBorders>
            <w:shd w:val="clear" w:color="auto" w:fill="auto"/>
            <w:noWrap/>
            <w:vAlign w:val="bottom"/>
            <w:hideMark/>
          </w:tcPr>
          <w:p w14:paraId="16393904"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Brunei</w:t>
            </w:r>
          </w:p>
        </w:tc>
        <w:tc>
          <w:tcPr>
            <w:tcW w:w="2288" w:type="dxa"/>
            <w:tcBorders>
              <w:top w:val="single" w:sz="4" w:space="0" w:color="auto"/>
              <w:bottom w:val="single" w:sz="4" w:space="0" w:color="DDDDDD"/>
            </w:tcBorders>
            <w:shd w:val="clear" w:color="auto" w:fill="auto"/>
            <w:noWrap/>
            <w:vAlign w:val="bottom"/>
            <w:hideMark/>
          </w:tcPr>
          <w:p w14:paraId="2C4D1D34"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34.47</w:t>
            </w:r>
          </w:p>
        </w:tc>
        <w:tc>
          <w:tcPr>
            <w:tcW w:w="2280" w:type="dxa"/>
            <w:tcBorders>
              <w:top w:val="single" w:sz="4" w:space="0" w:color="auto"/>
              <w:bottom w:val="single" w:sz="4" w:space="0" w:color="DDDDDD"/>
            </w:tcBorders>
            <w:vAlign w:val="bottom"/>
          </w:tcPr>
          <w:p w14:paraId="25662A0F" w14:textId="77777777" w:rsidR="00734757" w:rsidRPr="00A70F6D" w:rsidRDefault="00734757" w:rsidP="00734757">
            <w:pPr>
              <w:spacing w:line="240" w:lineRule="auto"/>
              <w:rPr>
                <w:rFonts w:cs="Times New Roman"/>
                <w:color w:val="000000"/>
                <w:szCs w:val="24"/>
                <w:lang w:val="fr-FR"/>
              </w:rPr>
            </w:pPr>
            <w:r w:rsidRPr="00A70F6D">
              <w:rPr>
                <w:color w:val="000000"/>
                <w:szCs w:val="24"/>
              </w:rPr>
              <w:t>99%</w:t>
            </w:r>
          </w:p>
        </w:tc>
        <w:tc>
          <w:tcPr>
            <w:tcW w:w="2661" w:type="dxa"/>
            <w:tcBorders>
              <w:top w:val="single" w:sz="4" w:space="0" w:color="auto"/>
              <w:bottom w:val="single" w:sz="4" w:space="0" w:color="DDDDDD"/>
            </w:tcBorders>
            <w:vAlign w:val="bottom"/>
          </w:tcPr>
          <w:p w14:paraId="5B6856F1"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6%</w:t>
            </w:r>
          </w:p>
        </w:tc>
      </w:tr>
      <w:tr w:rsidR="00734757" w:rsidRPr="00A70F6D" w14:paraId="65EE8983"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386BDE51"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Kuwait</w:t>
            </w:r>
          </w:p>
        </w:tc>
        <w:tc>
          <w:tcPr>
            <w:tcW w:w="2288" w:type="dxa"/>
            <w:tcBorders>
              <w:top w:val="single" w:sz="4" w:space="0" w:color="DDDDDD"/>
              <w:bottom w:val="single" w:sz="4" w:space="0" w:color="DDDDDD"/>
            </w:tcBorders>
            <w:shd w:val="clear" w:color="auto" w:fill="auto"/>
            <w:noWrap/>
            <w:vAlign w:val="bottom"/>
            <w:hideMark/>
          </w:tcPr>
          <w:p w14:paraId="1D3CA84A"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5.89</w:t>
            </w:r>
          </w:p>
        </w:tc>
        <w:tc>
          <w:tcPr>
            <w:tcW w:w="2280" w:type="dxa"/>
            <w:tcBorders>
              <w:top w:val="single" w:sz="4" w:space="0" w:color="DDDDDD"/>
              <w:bottom w:val="single" w:sz="4" w:space="0" w:color="DDDDDD"/>
            </w:tcBorders>
            <w:vAlign w:val="bottom"/>
          </w:tcPr>
          <w:p w14:paraId="3B10D0B6" w14:textId="77777777" w:rsidR="00734757" w:rsidRPr="00A70F6D" w:rsidRDefault="00734757" w:rsidP="00734757">
            <w:pPr>
              <w:spacing w:line="240" w:lineRule="auto"/>
              <w:rPr>
                <w:rFonts w:cs="Times New Roman"/>
                <w:color w:val="000000"/>
                <w:szCs w:val="24"/>
                <w:lang w:val="fr-FR"/>
              </w:rPr>
            </w:pPr>
            <w:r w:rsidRPr="00A70F6D">
              <w:rPr>
                <w:color w:val="000000"/>
                <w:szCs w:val="24"/>
              </w:rPr>
              <w:t>67%</w:t>
            </w:r>
          </w:p>
        </w:tc>
        <w:tc>
          <w:tcPr>
            <w:tcW w:w="2661" w:type="dxa"/>
            <w:tcBorders>
              <w:top w:val="single" w:sz="4" w:space="0" w:color="DDDDDD"/>
              <w:bottom w:val="single" w:sz="4" w:space="0" w:color="DDDDDD"/>
            </w:tcBorders>
            <w:vAlign w:val="bottom"/>
          </w:tcPr>
          <w:p w14:paraId="0F23A7F1"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17%</w:t>
            </w:r>
          </w:p>
        </w:tc>
      </w:tr>
      <w:tr w:rsidR="00734757" w:rsidRPr="00A70F6D" w14:paraId="59E2F6A5"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0B1E52F1"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Singapore</w:t>
            </w:r>
          </w:p>
        </w:tc>
        <w:tc>
          <w:tcPr>
            <w:tcW w:w="2288" w:type="dxa"/>
            <w:tcBorders>
              <w:top w:val="single" w:sz="4" w:space="0" w:color="DDDDDD"/>
              <w:bottom w:val="single" w:sz="4" w:space="0" w:color="DDDDDD"/>
            </w:tcBorders>
            <w:shd w:val="clear" w:color="auto" w:fill="auto"/>
            <w:noWrap/>
            <w:vAlign w:val="bottom"/>
            <w:hideMark/>
          </w:tcPr>
          <w:p w14:paraId="25608DB1"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5.03</w:t>
            </w:r>
          </w:p>
        </w:tc>
        <w:tc>
          <w:tcPr>
            <w:tcW w:w="2280" w:type="dxa"/>
            <w:tcBorders>
              <w:top w:val="single" w:sz="4" w:space="0" w:color="DDDDDD"/>
              <w:bottom w:val="single" w:sz="4" w:space="0" w:color="DDDDDD"/>
            </w:tcBorders>
            <w:vAlign w:val="bottom"/>
          </w:tcPr>
          <w:p w14:paraId="0428843D" w14:textId="77777777" w:rsidR="00734757" w:rsidRPr="00A70F6D" w:rsidRDefault="00734757" w:rsidP="00734757">
            <w:pPr>
              <w:spacing w:line="240" w:lineRule="auto"/>
              <w:rPr>
                <w:rFonts w:cs="Times New Roman"/>
                <w:color w:val="000000"/>
                <w:szCs w:val="24"/>
                <w:lang w:val="fr-FR"/>
              </w:rPr>
            </w:pPr>
            <w:r w:rsidRPr="00A70F6D">
              <w:rPr>
                <w:color w:val="000000"/>
                <w:szCs w:val="24"/>
              </w:rPr>
              <w:t>60%</w:t>
            </w:r>
          </w:p>
        </w:tc>
        <w:tc>
          <w:tcPr>
            <w:tcW w:w="2661" w:type="dxa"/>
            <w:tcBorders>
              <w:top w:val="single" w:sz="4" w:space="0" w:color="DDDDDD"/>
              <w:bottom w:val="single" w:sz="4" w:space="0" w:color="DDDDDD"/>
            </w:tcBorders>
            <w:vAlign w:val="bottom"/>
          </w:tcPr>
          <w:p w14:paraId="2165CFD6"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8%</w:t>
            </w:r>
          </w:p>
        </w:tc>
      </w:tr>
      <w:tr w:rsidR="00734757" w:rsidRPr="00A70F6D" w14:paraId="407163D0"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731CF0BB"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Hong Kong</w:t>
            </w:r>
          </w:p>
        </w:tc>
        <w:tc>
          <w:tcPr>
            <w:tcW w:w="2288" w:type="dxa"/>
            <w:tcBorders>
              <w:top w:val="single" w:sz="4" w:space="0" w:color="DDDDDD"/>
              <w:bottom w:val="single" w:sz="4" w:space="0" w:color="DDDDDD"/>
            </w:tcBorders>
            <w:shd w:val="clear" w:color="auto" w:fill="auto"/>
            <w:noWrap/>
            <w:vAlign w:val="bottom"/>
            <w:hideMark/>
          </w:tcPr>
          <w:p w14:paraId="384C1924"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3.68</w:t>
            </w:r>
          </w:p>
        </w:tc>
        <w:tc>
          <w:tcPr>
            <w:tcW w:w="2280" w:type="dxa"/>
            <w:tcBorders>
              <w:top w:val="single" w:sz="4" w:space="0" w:color="DDDDDD"/>
              <w:bottom w:val="single" w:sz="4" w:space="0" w:color="DDDDDD"/>
            </w:tcBorders>
            <w:vAlign w:val="bottom"/>
          </w:tcPr>
          <w:p w14:paraId="5A6D406F" w14:textId="77777777" w:rsidR="00734757" w:rsidRPr="00A70F6D" w:rsidRDefault="00734757" w:rsidP="00734757">
            <w:pPr>
              <w:spacing w:line="240" w:lineRule="auto"/>
              <w:rPr>
                <w:rFonts w:cs="Times New Roman"/>
                <w:color w:val="000000"/>
                <w:szCs w:val="24"/>
                <w:lang w:val="fr-FR"/>
              </w:rPr>
            </w:pPr>
            <w:r w:rsidRPr="00A70F6D">
              <w:rPr>
                <w:color w:val="000000"/>
                <w:szCs w:val="24"/>
              </w:rPr>
              <w:t>100%</w:t>
            </w:r>
          </w:p>
        </w:tc>
        <w:tc>
          <w:tcPr>
            <w:tcW w:w="2661" w:type="dxa"/>
            <w:tcBorders>
              <w:top w:val="single" w:sz="4" w:space="0" w:color="DDDDDD"/>
              <w:bottom w:val="single" w:sz="4" w:space="0" w:color="DDDDDD"/>
            </w:tcBorders>
            <w:vAlign w:val="bottom"/>
          </w:tcPr>
          <w:p w14:paraId="2C4DD1AB"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12%</w:t>
            </w:r>
          </w:p>
        </w:tc>
      </w:tr>
      <w:tr w:rsidR="00734757" w:rsidRPr="00A70F6D" w14:paraId="5E61F4AD"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590F0278"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Jordan</w:t>
            </w:r>
          </w:p>
        </w:tc>
        <w:tc>
          <w:tcPr>
            <w:tcW w:w="2288" w:type="dxa"/>
            <w:tcBorders>
              <w:top w:val="single" w:sz="4" w:space="0" w:color="DDDDDD"/>
              <w:bottom w:val="single" w:sz="4" w:space="0" w:color="DDDDDD"/>
            </w:tcBorders>
            <w:shd w:val="clear" w:color="auto" w:fill="auto"/>
            <w:noWrap/>
            <w:vAlign w:val="bottom"/>
            <w:hideMark/>
          </w:tcPr>
          <w:p w14:paraId="2FDEA29E"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3.14</w:t>
            </w:r>
          </w:p>
        </w:tc>
        <w:tc>
          <w:tcPr>
            <w:tcW w:w="2280" w:type="dxa"/>
            <w:tcBorders>
              <w:top w:val="single" w:sz="4" w:space="0" w:color="DDDDDD"/>
              <w:bottom w:val="single" w:sz="4" w:space="0" w:color="DDDDDD"/>
            </w:tcBorders>
            <w:vAlign w:val="bottom"/>
          </w:tcPr>
          <w:p w14:paraId="0B1145E4" w14:textId="77777777" w:rsidR="00734757" w:rsidRPr="00A70F6D" w:rsidRDefault="00734757" w:rsidP="00734757">
            <w:pPr>
              <w:spacing w:line="240" w:lineRule="auto"/>
              <w:rPr>
                <w:rFonts w:cs="Times New Roman"/>
                <w:color w:val="000000"/>
                <w:szCs w:val="24"/>
                <w:lang w:val="fr-FR"/>
              </w:rPr>
            </w:pPr>
            <w:r w:rsidRPr="00A70F6D">
              <w:rPr>
                <w:color w:val="000000"/>
                <w:szCs w:val="24"/>
              </w:rPr>
              <w:t>43%</w:t>
            </w:r>
          </w:p>
        </w:tc>
        <w:tc>
          <w:tcPr>
            <w:tcW w:w="2661" w:type="dxa"/>
            <w:tcBorders>
              <w:top w:val="single" w:sz="4" w:space="0" w:color="DDDDDD"/>
              <w:bottom w:val="single" w:sz="4" w:space="0" w:color="DDDDDD"/>
            </w:tcBorders>
            <w:vAlign w:val="bottom"/>
          </w:tcPr>
          <w:p w14:paraId="30B3020A"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2%</w:t>
            </w:r>
          </w:p>
        </w:tc>
      </w:tr>
      <w:tr w:rsidR="00734757" w:rsidRPr="00A70F6D" w14:paraId="5A124142"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6EF46FC7"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Irish republic</w:t>
            </w:r>
          </w:p>
        </w:tc>
        <w:tc>
          <w:tcPr>
            <w:tcW w:w="2288" w:type="dxa"/>
            <w:tcBorders>
              <w:top w:val="single" w:sz="4" w:space="0" w:color="DDDDDD"/>
              <w:bottom w:val="single" w:sz="4" w:space="0" w:color="DDDDDD"/>
            </w:tcBorders>
            <w:shd w:val="clear" w:color="auto" w:fill="auto"/>
            <w:noWrap/>
            <w:vAlign w:val="bottom"/>
            <w:hideMark/>
          </w:tcPr>
          <w:p w14:paraId="32712AD1"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2.16</w:t>
            </w:r>
          </w:p>
        </w:tc>
        <w:tc>
          <w:tcPr>
            <w:tcW w:w="2280" w:type="dxa"/>
            <w:tcBorders>
              <w:top w:val="single" w:sz="4" w:space="0" w:color="DDDDDD"/>
              <w:bottom w:val="single" w:sz="4" w:space="0" w:color="DDDDDD"/>
            </w:tcBorders>
            <w:vAlign w:val="bottom"/>
          </w:tcPr>
          <w:p w14:paraId="3A8461C7" w14:textId="77777777" w:rsidR="00734757" w:rsidRPr="00A70F6D" w:rsidRDefault="00734757" w:rsidP="00734757">
            <w:pPr>
              <w:spacing w:line="240" w:lineRule="auto"/>
              <w:rPr>
                <w:rFonts w:cs="Times New Roman"/>
                <w:color w:val="000000"/>
                <w:szCs w:val="24"/>
                <w:lang w:val="fr-FR"/>
              </w:rPr>
            </w:pPr>
            <w:r w:rsidRPr="00A70F6D">
              <w:rPr>
                <w:color w:val="000000"/>
                <w:szCs w:val="24"/>
              </w:rPr>
              <w:t>93%</w:t>
            </w:r>
          </w:p>
        </w:tc>
        <w:tc>
          <w:tcPr>
            <w:tcW w:w="2661" w:type="dxa"/>
            <w:tcBorders>
              <w:top w:val="single" w:sz="4" w:space="0" w:color="DDDDDD"/>
              <w:bottom w:val="single" w:sz="4" w:space="0" w:color="DDDDDD"/>
            </w:tcBorders>
            <w:vAlign w:val="bottom"/>
          </w:tcPr>
          <w:p w14:paraId="03A7DE92"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9%</w:t>
            </w:r>
          </w:p>
        </w:tc>
      </w:tr>
      <w:tr w:rsidR="00734757" w:rsidRPr="00A70F6D" w14:paraId="60E096C9"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095E5FFD"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Malaysia</w:t>
            </w:r>
          </w:p>
        </w:tc>
        <w:tc>
          <w:tcPr>
            <w:tcW w:w="2288" w:type="dxa"/>
            <w:tcBorders>
              <w:top w:val="single" w:sz="4" w:space="0" w:color="DDDDDD"/>
              <w:bottom w:val="single" w:sz="4" w:space="0" w:color="DDDDDD"/>
            </w:tcBorders>
            <w:shd w:val="clear" w:color="auto" w:fill="auto"/>
            <w:noWrap/>
            <w:vAlign w:val="bottom"/>
            <w:hideMark/>
          </w:tcPr>
          <w:p w14:paraId="04952CAE"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2.14</w:t>
            </w:r>
          </w:p>
        </w:tc>
        <w:tc>
          <w:tcPr>
            <w:tcW w:w="2280" w:type="dxa"/>
            <w:tcBorders>
              <w:top w:val="single" w:sz="4" w:space="0" w:color="DDDDDD"/>
              <w:bottom w:val="single" w:sz="4" w:space="0" w:color="DDDDDD"/>
            </w:tcBorders>
            <w:vAlign w:val="bottom"/>
          </w:tcPr>
          <w:p w14:paraId="69DFB26D" w14:textId="77777777" w:rsidR="00734757" w:rsidRPr="00A70F6D" w:rsidRDefault="00734757" w:rsidP="00734757">
            <w:pPr>
              <w:spacing w:line="240" w:lineRule="auto"/>
              <w:rPr>
                <w:rFonts w:cs="Times New Roman"/>
                <w:color w:val="000000"/>
                <w:szCs w:val="24"/>
                <w:lang w:val="fr-FR"/>
              </w:rPr>
            </w:pPr>
            <w:r w:rsidRPr="00A70F6D">
              <w:rPr>
                <w:color w:val="000000"/>
                <w:szCs w:val="24"/>
              </w:rPr>
              <w:t>68%</w:t>
            </w:r>
          </w:p>
        </w:tc>
        <w:tc>
          <w:tcPr>
            <w:tcW w:w="2661" w:type="dxa"/>
            <w:tcBorders>
              <w:top w:val="single" w:sz="4" w:space="0" w:color="DDDDDD"/>
              <w:bottom w:val="single" w:sz="4" w:space="0" w:color="DDDDDD"/>
            </w:tcBorders>
            <w:vAlign w:val="bottom"/>
          </w:tcPr>
          <w:p w14:paraId="45CCE7AC"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8%</w:t>
            </w:r>
          </w:p>
        </w:tc>
      </w:tr>
      <w:tr w:rsidR="00734757" w:rsidRPr="00A70F6D" w14:paraId="7E15E187"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23058D0A"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Zambia</w:t>
            </w:r>
          </w:p>
        </w:tc>
        <w:tc>
          <w:tcPr>
            <w:tcW w:w="2288" w:type="dxa"/>
            <w:tcBorders>
              <w:top w:val="single" w:sz="4" w:space="0" w:color="DDDDDD"/>
              <w:bottom w:val="single" w:sz="4" w:space="0" w:color="DDDDDD"/>
            </w:tcBorders>
            <w:shd w:val="clear" w:color="auto" w:fill="auto"/>
            <w:noWrap/>
            <w:vAlign w:val="bottom"/>
            <w:hideMark/>
          </w:tcPr>
          <w:p w14:paraId="27008151"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1.75</w:t>
            </w:r>
          </w:p>
        </w:tc>
        <w:tc>
          <w:tcPr>
            <w:tcW w:w="2280" w:type="dxa"/>
            <w:tcBorders>
              <w:top w:val="single" w:sz="4" w:space="0" w:color="DDDDDD"/>
              <w:bottom w:val="single" w:sz="4" w:space="0" w:color="DDDDDD"/>
            </w:tcBorders>
            <w:vAlign w:val="bottom"/>
          </w:tcPr>
          <w:p w14:paraId="596DBB3E" w14:textId="77777777" w:rsidR="00734757" w:rsidRPr="00A70F6D" w:rsidRDefault="00734757" w:rsidP="00734757">
            <w:pPr>
              <w:spacing w:line="240" w:lineRule="auto"/>
              <w:rPr>
                <w:rFonts w:cs="Times New Roman"/>
                <w:color w:val="000000"/>
                <w:szCs w:val="24"/>
                <w:lang w:val="fr-FR"/>
              </w:rPr>
            </w:pPr>
            <w:r w:rsidRPr="00A70F6D">
              <w:rPr>
                <w:color w:val="000000"/>
                <w:szCs w:val="24"/>
              </w:rPr>
              <w:t>76%</w:t>
            </w:r>
          </w:p>
        </w:tc>
        <w:tc>
          <w:tcPr>
            <w:tcW w:w="2661" w:type="dxa"/>
            <w:tcBorders>
              <w:top w:val="single" w:sz="4" w:space="0" w:color="DDDDDD"/>
              <w:bottom w:val="single" w:sz="4" w:space="0" w:color="DDDDDD"/>
            </w:tcBorders>
            <w:vAlign w:val="bottom"/>
          </w:tcPr>
          <w:p w14:paraId="61B529EA"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3%</w:t>
            </w:r>
          </w:p>
        </w:tc>
      </w:tr>
      <w:tr w:rsidR="00734757" w:rsidRPr="00A70F6D" w14:paraId="3F8D0B3A"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2879EAFC"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Malawi</w:t>
            </w:r>
          </w:p>
        </w:tc>
        <w:tc>
          <w:tcPr>
            <w:tcW w:w="2288" w:type="dxa"/>
            <w:tcBorders>
              <w:top w:val="single" w:sz="4" w:space="0" w:color="DDDDDD"/>
              <w:bottom w:val="single" w:sz="4" w:space="0" w:color="DDDDDD"/>
            </w:tcBorders>
            <w:shd w:val="clear" w:color="auto" w:fill="auto"/>
            <w:noWrap/>
            <w:vAlign w:val="bottom"/>
            <w:hideMark/>
          </w:tcPr>
          <w:p w14:paraId="68389199"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1.71</w:t>
            </w:r>
          </w:p>
        </w:tc>
        <w:tc>
          <w:tcPr>
            <w:tcW w:w="2280" w:type="dxa"/>
            <w:tcBorders>
              <w:top w:val="single" w:sz="4" w:space="0" w:color="DDDDDD"/>
              <w:bottom w:val="single" w:sz="4" w:space="0" w:color="DDDDDD"/>
            </w:tcBorders>
            <w:vAlign w:val="bottom"/>
          </w:tcPr>
          <w:p w14:paraId="5D36826E" w14:textId="77777777" w:rsidR="00734757" w:rsidRPr="00A70F6D" w:rsidRDefault="00734757" w:rsidP="00734757">
            <w:pPr>
              <w:spacing w:line="240" w:lineRule="auto"/>
              <w:rPr>
                <w:rFonts w:cs="Times New Roman"/>
                <w:color w:val="000000"/>
                <w:szCs w:val="24"/>
                <w:lang w:val="fr-FR"/>
              </w:rPr>
            </w:pPr>
            <w:r w:rsidRPr="00A70F6D">
              <w:rPr>
                <w:color w:val="000000"/>
                <w:szCs w:val="24"/>
              </w:rPr>
              <w:t>100%</w:t>
            </w:r>
          </w:p>
        </w:tc>
        <w:tc>
          <w:tcPr>
            <w:tcW w:w="2661" w:type="dxa"/>
            <w:tcBorders>
              <w:top w:val="single" w:sz="4" w:space="0" w:color="DDDDDD"/>
              <w:bottom w:val="single" w:sz="4" w:space="0" w:color="DDDDDD"/>
            </w:tcBorders>
            <w:vAlign w:val="bottom"/>
          </w:tcPr>
          <w:p w14:paraId="0F36ACBA"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w:t>
            </w:r>
          </w:p>
        </w:tc>
      </w:tr>
      <w:tr w:rsidR="00734757" w:rsidRPr="00A70F6D" w14:paraId="23C85EE3"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20F477A1"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Kenya</w:t>
            </w:r>
          </w:p>
        </w:tc>
        <w:tc>
          <w:tcPr>
            <w:tcW w:w="2288" w:type="dxa"/>
            <w:tcBorders>
              <w:top w:val="single" w:sz="4" w:space="0" w:color="DDDDDD"/>
              <w:bottom w:val="single" w:sz="4" w:space="0" w:color="DDDDDD"/>
            </w:tcBorders>
            <w:shd w:val="clear" w:color="auto" w:fill="auto"/>
            <w:noWrap/>
            <w:vAlign w:val="bottom"/>
            <w:hideMark/>
          </w:tcPr>
          <w:p w14:paraId="5D9E20DF"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1.38</w:t>
            </w:r>
          </w:p>
        </w:tc>
        <w:tc>
          <w:tcPr>
            <w:tcW w:w="2280" w:type="dxa"/>
            <w:tcBorders>
              <w:top w:val="single" w:sz="4" w:space="0" w:color="DDDDDD"/>
              <w:bottom w:val="single" w:sz="4" w:space="0" w:color="DDDDDD"/>
            </w:tcBorders>
            <w:vAlign w:val="bottom"/>
          </w:tcPr>
          <w:p w14:paraId="165FEC7F" w14:textId="77777777" w:rsidR="00734757" w:rsidRPr="00A70F6D" w:rsidRDefault="00734757" w:rsidP="00734757">
            <w:pPr>
              <w:spacing w:line="240" w:lineRule="auto"/>
              <w:rPr>
                <w:rFonts w:cs="Times New Roman"/>
                <w:color w:val="000000"/>
                <w:szCs w:val="24"/>
                <w:lang w:val="fr-FR"/>
              </w:rPr>
            </w:pPr>
            <w:r w:rsidRPr="00A70F6D">
              <w:rPr>
                <w:color w:val="000000"/>
                <w:szCs w:val="24"/>
              </w:rPr>
              <w:t>80%</w:t>
            </w:r>
          </w:p>
        </w:tc>
        <w:tc>
          <w:tcPr>
            <w:tcW w:w="2661" w:type="dxa"/>
            <w:tcBorders>
              <w:top w:val="single" w:sz="4" w:space="0" w:color="DDDDDD"/>
              <w:bottom w:val="single" w:sz="4" w:space="0" w:color="DDDDDD"/>
            </w:tcBorders>
            <w:vAlign w:val="bottom"/>
          </w:tcPr>
          <w:p w14:paraId="790083AC"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2%</w:t>
            </w:r>
          </w:p>
        </w:tc>
      </w:tr>
      <w:tr w:rsidR="00734757" w:rsidRPr="00A70F6D" w14:paraId="0D4CF6D1"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58ECF89D"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Sierra Leone</w:t>
            </w:r>
          </w:p>
        </w:tc>
        <w:tc>
          <w:tcPr>
            <w:tcW w:w="2288" w:type="dxa"/>
            <w:tcBorders>
              <w:top w:val="single" w:sz="4" w:space="0" w:color="DDDDDD"/>
              <w:bottom w:val="single" w:sz="4" w:space="0" w:color="DDDDDD"/>
            </w:tcBorders>
            <w:shd w:val="clear" w:color="auto" w:fill="auto"/>
            <w:noWrap/>
            <w:vAlign w:val="bottom"/>
            <w:hideMark/>
          </w:tcPr>
          <w:p w14:paraId="160A8A2F"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1.19</w:t>
            </w:r>
          </w:p>
        </w:tc>
        <w:tc>
          <w:tcPr>
            <w:tcW w:w="2280" w:type="dxa"/>
            <w:tcBorders>
              <w:top w:val="single" w:sz="4" w:space="0" w:color="DDDDDD"/>
              <w:bottom w:val="single" w:sz="4" w:space="0" w:color="DDDDDD"/>
            </w:tcBorders>
            <w:vAlign w:val="bottom"/>
          </w:tcPr>
          <w:p w14:paraId="2D63FD2D" w14:textId="77777777" w:rsidR="00734757" w:rsidRPr="00A70F6D" w:rsidRDefault="00734757" w:rsidP="00734757">
            <w:pPr>
              <w:spacing w:line="240" w:lineRule="auto"/>
              <w:rPr>
                <w:rFonts w:cs="Times New Roman"/>
                <w:color w:val="000000"/>
                <w:szCs w:val="24"/>
                <w:lang w:val="fr-FR"/>
              </w:rPr>
            </w:pPr>
            <w:r w:rsidRPr="00A70F6D">
              <w:rPr>
                <w:color w:val="000000"/>
                <w:szCs w:val="24"/>
              </w:rPr>
              <w:t>100%</w:t>
            </w:r>
          </w:p>
        </w:tc>
        <w:tc>
          <w:tcPr>
            <w:tcW w:w="2661" w:type="dxa"/>
            <w:tcBorders>
              <w:top w:val="single" w:sz="4" w:space="0" w:color="DDDDDD"/>
              <w:bottom w:val="single" w:sz="4" w:space="0" w:color="DDDDDD"/>
            </w:tcBorders>
            <w:vAlign w:val="bottom"/>
          </w:tcPr>
          <w:p w14:paraId="6FF4617D"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w:t>
            </w:r>
          </w:p>
        </w:tc>
      </w:tr>
      <w:tr w:rsidR="00734757" w:rsidRPr="00A70F6D" w14:paraId="48F1FBF7"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5CA573E2"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Ghana</w:t>
            </w:r>
          </w:p>
        </w:tc>
        <w:tc>
          <w:tcPr>
            <w:tcW w:w="2288" w:type="dxa"/>
            <w:tcBorders>
              <w:top w:val="single" w:sz="4" w:space="0" w:color="DDDDDD"/>
              <w:bottom w:val="single" w:sz="4" w:space="0" w:color="DDDDDD"/>
            </w:tcBorders>
            <w:shd w:val="clear" w:color="auto" w:fill="auto"/>
            <w:noWrap/>
            <w:vAlign w:val="bottom"/>
            <w:hideMark/>
          </w:tcPr>
          <w:p w14:paraId="525B9BA3"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0.98</w:t>
            </w:r>
          </w:p>
        </w:tc>
        <w:tc>
          <w:tcPr>
            <w:tcW w:w="2280" w:type="dxa"/>
            <w:tcBorders>
              <w:top w:val="single" w:sz="4" w:space="0" w:color="DDDDDD"/>
              <w:bottom w:val="single" w:sz="4" w:space="0" w:color="DDDDDD"/>
            </w:tcBorders>
            <w:vAlign w:val="bottom"/>
          </w:tcPr>
          <w:p w14:paraId="1F6EA3B1" w14:textId="77777777" w:rsidR="00734757" w:rsidRPr="00A70F6D" w:rsidRDefault="00734757" w:rsidP="00734757">
            <w:pPr>
              <w:spacing w:line="240" w:lineRule="auto"/>
              <w:rPr>
                <w:rFonts w:cs="Times New Roman"/>
                <w:color w:val="000000"/>
                <w:szCs w:val="24"/>
                <w:lang w:val="fr-FR"/>
              </w:rPr>
            </w:pPr>
            <w:r w:rsidRPr="00A70F6D">
              <w:rPr>
                <w:color w:val="000000"/>
                <w:szCs w:val="24"/>
              </w:rPr>
              <w:t>88%</w:t>
            </w:r>
          </w:p>
        </w:tc>
        <w:tc>
          <w:tcPr>
            <w:tcW w:w="2661" w:type="dxa"/>
            <w:tcBorders>
              <w:top w:val="single" w:sz="4" w:space="0" w:color="DDDDDD"/>
              <w:bottom w:val="single" w:sz="4" w:space="0" w:color="DDDDDD"/>
            </w:tcBorders>
            <w:vAlign w:val="bottom"/>
          </w:tcPr>
          <w:p w14:paraId="728A9138"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2%</w:t>
            </w:r>
          </w:p>
        </w:tc>
      </w:tr>
      <w:tr w:rsidR="00734757" w:rsidRPr="00A70F6D" w14:paraId="371695EE"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065C1EDB"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Uganda</w:t>
            </w:r>
          </w:p>
        </w:tc>
        <w:tc>
          <w:tcPr>
            <w:tcW w:w="2288" w:type="dxa"/>
            <w:tcBorders>
              <w:top w:val="single" w:sz="4" w:space="0" w:color="DDDDDD"/>
              <w:bottom w:val="single" w:sz="4" w:space="0" w:color="DDDDDD"/>
            </w:tcBorders>
            <w:shd w:val="clear" w:color="auto" w:fill="auto"/>
            <w:noWrap/>
            <w:vAlign w:val="bottom"/>
            <w:hideMark/>
          </w:tcPr>
          <w:p w14:paraId="17186F29"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0.81</w:t>
            </w:r>
          </w:p>
        </w:tc>
        <w:tc>
          <w:tcPr>
            <w:tcW w:w="2280" w:type="dxa"/>
            <w:tcBorders>
              <w:top w:val="single" w:sz="4" w:space="0" w:color="DDDDDD"/>
              <w:bottom w:val="single" w:sz="4" w:space="0" w:color="DDDDDD"/>
            </w:tcBorders>
            <w:vAlign w:val="bottom"/>
          </w:tcPr>
          <w:p w14:paraId="1F6D22D5" w14:textId="77777777" w:rsidR="00734757" w:rsidRPr="00A70F6D" w:rsidRDefault="00734757" w:rsidP="00734757">
            <w:pPr>
              <w:spacing w:line="240" w:lineRule="auto"/>
              <w:rPr>
                <w:rFonts w:cs="Times New Roman"/>
                <w:color w:val="000000"/>
                <w:szCs w:val="24"/>
                <w:lang w:val="fr-FR"/>
              </w:rPr>
            </w:pPr>
            <w:r w:rsidRPr="00A70F6D">
              <w:rPr>
                <w:color w:val="000000"/>
                <w:szCs w:val="24"/>
              </w:rPr>
              <w:t>89%</w:t>
            </w:r>
          </w:p>
        </w:tc>
        <w:tc>
          <w:tcPr>
            <w:tcW w:w="2661" w:type="dxa"/>
            <w:tcBorders>
              <w:top w:val="single" w:sz="4" w:space="0" w:color="DDDDDD"/>
              <w:bottom w:val="single" w:sz="4" w:space="0" w:color="DDDDDD"/>
            </w:tcBorders>
            <w:vAlign w:val="bottom"/>
          </w:tcPr>
          <w:p w14:paraId="38DDFBED"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w:t>
            </w:r>
          </w:p>
        </w:tc>
      </w:tr>
      <w:tr w:rsidR="00734757" w:rsidRPr="00A70F6D" w14:paraId="061275DC"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78829556"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Tanzania</w:t>
            </w:r>
          </w:p>
        </w:tc>
        <w:tc>
          <w:tcPr>
            <w:tcW w:w="2288" w:type="dxa"/>
            <w:tcBorders>
              <w:top w:val="single" w:sz="4" w:space="0" w:color="DDDDDD"/>
              <w:bottom w:val="single" w:sz="4" w:space="0" w:color="DDDDDD"/>
            </w:tcBorders>
            <w:shd w:val="clear" w:color="auto" w:fill="auto"/>
            <w:noWrap/>
            <w:vAlign w:val="bottom"/>
            <w:hideMark/>
          </w:tcPr>
          <w:p w14:paraId="44A80831"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0.77</w:t>
            </w:r>
          </w:p>
        </w:tc>
        <w:tc>
          <w:tcPr>
            <w:tcW w:w="2280" w:type="dxa"/>
            <w:tcBorders>
              <w:top w:val="single" w:sz="4" w:space="0" w:color="DDDDDD"/>
              <w:bottom w:val="single" w:sz="4" w:space="0" w:color="DDDDDD"/>
            </w:tcBorders>
            <w:vAlign w:val="bottom"/>
          </w:tcPr>
          <w:p w14:paraId="7D4F14B1" w14:textId="77777777" w:rsidR="00734757" w:rsidRPr="00A70F6D" w:rsidRDefault="00734757" w:rsidP="00734757">
            <w:pPr>
              <w:spacing w:line="240" w:lineRule="auto"/>
              <w:rPr>
                <w:rFonts w:cs="Times New Roman"/>
                <w:color w:val="000000"/>
                <w:szCs w:val="24"/>
                <w:lang w:val="fr-FR"/>
              </w:rPr>
            </w:pPr>
            <w:r w:rsidRPr="00A70F6D">
              <w:rPr>
                <w:color w:val="000000"/>
                <w:szCs w:val="24"/>
              </w:rPr>
              <w:t>65%</w:t>
            </w:r>
          </w:p>
        </w:tc>
        <w:tc>
          <w:tcPr>
            <w:tcW w:w="2661" w:type="dxa"/>
            <w:tcBorders>
              <w:top w:val="single" w:sz="4" w:space="0" w:color="DDDDDD"/>
              <w:bottom w:val="single" w:sz="4" w:space="0" w:color="DDDDDD"/>
            </w:tcBorders>
            <w:vAlign w:val="bottom"/>
          </w:tcPr>
          <w:p w14:paraId="5DD9C2C9"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w:t>
            </w:r>
          </w:p>
        </w:tc>
      </w:tr>
      <w:tr w:rsidR="00734757" w:rsidRPr="00A70F6D" w14:paraId="464C4EEF"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0D402E6D"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New Zealand</w:t>
            </w:r>
          </w:p>
        </w:tc>
        <w:tc>
          <w:tcPr>
            <w:tcW w:w="2288" w:type="dxa"/>
            <w:tcBorders>
              <w:top w:val="single" w:sz="4" w:space="0" w:color="DDDDDD"/>
              <w:bottom w:val="single" w:sz="4" w:space="0" w:color="DDDDDD"/>
            </w:tcBorders>
            <w:shd w:val="clear" w:color="auto" w:fill="auto"/>
            <w:noWrap/>
            <w:vAlign w:val="bottom"/>
            <w:hideMark/>
          </w:tcPr>
          <w:p w14:paraId="7241B33B"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0.74</w:t>
            </w:r>
          </w:p>
        </w:tc>
        <w:tc>
          <w:tcPr>
            <w:tcW w:w="2280" w:type="dxa"/>
            <w:tcBorders>
              <w:top w:val="single" w:sz="4" w:space="0" w:color="DDDDDD"/>
              <w:bottom w:val="single" w:sz="4" w:space="0" w:color="DDDDDD"/>
            </w:tcBorders>
            <w:vAlign w:val="bottom"/>
          </w:tcPr>
          <w:p w14:paraId="5D85E202" w14:textId="77777777" w:rsidR="00734757" w:rsidRPr="00A70F6D" w:rsidRDefault="00734757" w:rsidP="00734757">
            <w:pPr>
              <w:spacing w:line="240" w:lineRule="auto"/>
              <w:rPr>
                <w:rFonts w:cs="Times New Roman"/>
                <w:color w:val="000000"/>
                <w:szCs w:val="24"/>
                <w:lang w:val="fr-FR"/>
              </w:rPr>
            </w:pPr>
            <w:r w:rsidRPr="00A70F6D">
              <w:rPr>
                <w:color w:val="000000"/>
                <w:szCs w:val="24"/>
              </w:rPr>
              <w:t>83%</w:t>
            </w:r>
          </w:p>
        </w:tc>
        <w:tc>
          <w:tcPr>
            <w:tcW w:w="2661" w:type="dxa"/>
            <w:tcBorders>
              <w:top w:val="single" w:sz="4" w:space="0" w:color="DDDDDD"/>
              <w:bottom w:val="single" w:sz="4" w:space="0" w:color="DDDDDD"/>
            </w:tcBorders>
            <w:vAlign w:val="bottom"/>
          </w:tcPr>
          <w:p w14:paraId="743C3F10"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5%</w:t>
            </w:r>
          </w:p>
        </w:tc>
      </w:tr>
      <w:tr w:rsidR="00734757" w:rsidRPr="00A70F6D" w14:paraId="5DB285B5"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787D060E"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Libya</w:t>
            </w:r>
          </w:p>
        </w:tc>
        <w:tc>
          <w:tcPr>
            <w:tcW w:w="2288" w:type="dxa"/>
            <w:tcBorders>
              <w:top w:val="single" w:sz="4" w:space="0" w:color="DDDDDD"/>
              <w:bottom w:val="single" w:sz="4" w:space="0" w:color="DDDDDD"/>
            </w:tcBorders>
            <w:shd w:val="clear" w:color="auto" w:fill="auto"/>
            <w:noWrap/>
            <w:vAlign w:val="bottom"/>
            <w:hideMark/>
          </w:tcPr>
          <w:p w14:paraId="6F5E421E"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0.70</w:t>
            </w:r>
          </w:p>
        </w:tc>
        <w:tc>
          <w:tcPr>
            <w:tcW w:w="2280" w:type="dxa"/>
            <w:tcBorders>
              <w:top w:val="single" w:sz="4" w:space="0" w:color="DDDDDD"/>
              <w:bottom w:val="single" w:sz="4" w:space="0" w:color="DDDDDD"/>
            </w:tcBorders>
            <w:vAlign w:val="bottom"/>
          </w:tcPr>
          <w:p w14:paraId="0E1B5CA2" w14:textId="77777777" w:rsidR="00734757" w:rsidRPr="00A70F6D" w:rsidRDefault="00734757" w:rsidP="00734757">
            <w:pPr>
              <w:spacing w:line="240" w:lineRule="auto"/>
              <w:rPr>
                <w:rFonts w:cs="Times New Roman"/>
                <w:color w:val="000000"/>
                <w:szCs w:val="24"/>
                <w:lang w:val="fr-FR"/>
              </w:rPr>
            </w:pPr>
            <w:r w:rsidRPr="00A70F6D">
              <w:rPr>
                <w:color w:val="000000"/>
                <w:szCs w:val="24"/>
              </w:rPr>
              <w:t>22%</w:t>
            </w:r>
          </w:p>
        </w:tc>
        <w:tc>
          <w:tcPr>
            <w:tcW w:w="2661" w:type="dxa"/>
            <w:tcBorders>
              <w:top w:val="single" w:sz="4" w:space="0" w:color="DDDDDD"/>
              <w:bottom w:val="single" w:sz="4" w:space="0" w:color="DDDDDD"/>
            </w:tcBorders>
            <w:vAlign w:val="bottom"/>
          </w:tcPr>
          <w:p w14:paraId="4ABD5D56"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2%</w:t>
            </w:r>
          </w:p>
        </w:tc>
      </w:tr>
      <w:tr w:rsidR="00734757" w:rsidRPr="00A70F6D" w14:paraId="436313C9"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24C045F3"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Ceylon</w:t>
            </w:r>
          </w:p>
        </w:tc>
        <w:tc>
          <w:tcPr>
            <w:tcW w:w="2288" w:type="dxa"/>
            <w:tcBorders>
              <w:top w:val="single" w:sz="4" w:space="0" w:color="DDDDDD"/>
              <w:bottom w:val="single" w:sz="4" w:space="0" w:color="DDDDDD"/>
            </w:tcBorders>
            <w:shd w:val="clear" w:color="auto" w:fill="auto"/>
            <w:noWrap/>
            <w:vAlign w:val="bottom"/>
            <w:hideMark/>
          </w:tcPr>
          <w:p w14:paraId="7F4842E8"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0.45</w:t>
            </w:r>
          </w:p>
        </w:tc>
        <w:tc>
          <w:tcPr>
            <w:tcW w:w="2280" w:type="dxa"/>
            <w:tcBorders>
              <w:top w:val="single" w:sz="4" w:space="0" w:color="DDDDDD"/>
              <w:bottom w:val="single" w:sz="4" w:space="0" w:color="DDDDDD"/>
            </w:tcBorders>
            <w:vAlign w:val="bottom"/>
          </w:tcPr>
          <w:p w14:paraId="123BB100" w14:textId="77777777" w:rsidR="00734757" w:rsidRPr="00A70F6D" w:rsidRDefault="00734757" w:rsidP="00734757">
            <w:pPr>
              <w:spacing w:line="240" w:lineRule="auto"/>
              <w:rPr>
                <w:rFonts w:cs="Times New Roman"/>
                <w:color w:val="000000"/>
                <w:szCs w:val="24"/>
                <w:lang w:val="fr-FR"/>
              </w:rPr>
            </w:pPr>
            <w:r w:rsidRPr="00A70F6D">
              <w:rPr>
                <w:color w:val="000000"/>
                <w:szCs w:val="24"/>
              </w:rPr>
              <w:t>90%</w:t>
            </w:r>
          </w:p>
        </w:tc>
        <w:tc>
          <w:tcPr>
            <w:tcW w:w="2661" w:type="dxa"/>
            <w:tcBorders>
              <w:top w:val="single" w:sz="4" w:space="0" w:color="DDDDDD"/>
              <w:bottom w:val="single" w:sz="4" w:space="0" w:color="DDDDDD"/>
            </w:tcBorders>
            <w:vAlign w:val="bottom"/>
          </w:tcPr>
          <w:p w14:paraId="17020413"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w:t>
            </w:r>
          </w:p>
        </w:tc>
      </w:tr>
      <w:tr w:rsidR="00734757" w:rsidRPr="00A70F6D" w14:paraId="16AE3B94"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4AFAD96A"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Australia</w:t>
            </w:r>
          </w:p>
        </w:tc>
        <w:tc>
          <w:tcPr>
            <w:tcW w:w="2288" w:type="dxa"/>
            <w:tcBorders>
              <w:top w:val="single" w:sz="4" w:space="0" w:color="DDDDDD"/>
              <w:bottom w:val="single" w:sz="4" w:space="0" w:color="DDDDDD"/>
            </w:tcBorders>
            <w:shd w:val="clear" w:color="auto" w:fill="auto"/>
            <w:noWrap/>
            <w:vAlign w:val="bottom"/>
            <w:hideMark/>
          </w:tcPr>
          <w:p w14:paraId="147397B8"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0.39</w:t>
            </w:r>
          </w:p>
        </w:tc>
        <w:tc>
          <w:tcPr>
            <w:tcW w:w="2280" w:type="dxa"/>
            <w:tcBorders>
              <w:top w:val="single" w:sz="4" w:space="0" w:color="DDDDDD"/>
              <w:bottom w:val="single" w:sz="4" w:space="0" w:color="DDDDDD"/>
            </w:tcBorders>
            <w:vAlign w:val="bottom"/>
          </w:tcPr>
          <w:p w14:paraId="31902A03" w14:textId="77777777" w:rsidR="00734757" w:rsidRPr="00A70F6D" w:rsidRDefault="00734757" w:rsidP="00734757">
            <w:pPr>
              <w:spacing w:line="240" w:lineRule="auto"/>
              <w:rPr>
                <w:rFonts w:cs="Times New Roman"/>
                <w:color w:val="000000"/>
                <w:szCs w:val="24"/>
                <w:lang w:val="fr-FR"/>
              </w:rPr>
            </w:pPr>
            <w:r w:rsidRPr="00A70F6D">
              <w:rPr>
                <w:color w:val="000000"/>
                <w:szCs w:val="24"/>
              </w:rPr>
              <w:t>55%</w:t>
            </w:r>
          </w:p>
        </w:tc>
        <w:tc>
          <w:tcPr>
            <w:tcW w:w="2661" w:type="dxa"/>
            <w:tcBorders>
              <w:top w:val="single" w:sz="4" w:space="0" w:color="DDDDDD"/>
              <w:bottom w:val="single" w:sz="4" w:space="0" w:color="DDDDDD"/>
            </w:tcBorders>
            <w:vAlign w:val="bottom"/>
          </w:tcPr>
          <w:p w14:paraId="02A88977"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14%</w:t>
            </w:r>
          </w:p>
        </w:tc>
      </w:tr>
      <w:tr w:rsidR="00734757" w:rsidRPr="00A70F6D" w14:paraId="27A9C077"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353049BA"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Nigeria</w:t>
            </w:r>
          </w:p>
        </w:tc>
        <w:tc>
          <w:tcPr>
            <w:tcW w:w="2288" w:type="dxa"/>
            <w:tcBorders>
              <w:top w:val="single" w:sz="4" w:space="0" w:color="DDDDDD"/>
              <w:bottom w:val="single" w:sz="4" w:space="0" w:color="DDDDDD"/>
            </w:tcBorders>
            <w:shd w:val="clear" w:color="auto" w:fill="auto"/>
            <w:noWrap/>
            <w:vAlign w:val="bottom"/>
            <w:hideMark/>
          </w:tcPr>
          <w:p w14:paraId="18892E74"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0.39</w:t>
            </w:r>
          </w:p>
        </w:tc>
        <w:tc>
          <w:tcPr>
            <w:tcW w:w="2280" w:type="dxa"/>
            <w:tcBorders>
              <w:top w:val="single" w:sz="4" w:space="0" w:color="DDDDDD"/>
              <w:bottom w:val="single" w:sz="4" w:space="0" w:color="DDDDDD"/>
            </w:tcBorders>
            <w:vAlign w:val="bottom"/>
          </w:tcPr>
          <w:p w14:paraId="61C7CF5C" w14:textId="77777777" w:rsidR="00734757" w:rsidRPr="00A70F6D" w:rsidRDefault="00734757" w:rsidP="00734757">
            <w:pPr>
              <w:spacing w:line="240" w:lineRule="auto"/>
              <w:rPr>
                <w:rFonts w:cs="Times New Roman"/>
                <w:color w:val="000000"/>
                <w:szCs w:val="24"/>
                <w:lang w:val="fr-FR"/>
              </w:rPr>
            </w:pPr>
            <w:r w:rsidRPr="00A70F6D">
              <w:rPr>
                <w:color w:val="000000"/>
                <w:szCs w:val="24"/>
              </w:rPr>
              <w:t>63%</w:t>
            </w:r>
          </w:p>
        </w:tc>
        <w:tc>
          <w:tcPr>
            <w:tcW w:w="2661" w:type="dxa"/>
            <w:tcBorders>
              <w:top w:val="single" w:sz="4" w:space="0" w:color="DDDDDD"/>
              <w:bottom w:val="single" w:sz="4" w:space="0" w:color="DDDDDD"/>
            </w:tcBorders>
            <w:vAlign w:val="bottom"/>
          </w:tcPr>
          <w:p w14:paraId="496AF79B"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2%</w:t>
            </w:r>
          </w:p>
        </w:tc>
      </w:tr>
      <w:tr w:rsidR="00734757" w:rsidRPr="00A70F6D" w14:paraId="4D396985" w14:textId="77777777" w:rsidTr="0083288D">
        <w:trPr>
          <w:trHeight w:val="290"/>
          <w:jc w:val="center"/>
        </w:trPr>
        <w:tc>
          <w:tcPr>
            <w:tcW w:w="2122" w:type="dxa"/>
            <w:tcBorders>
              <w:top w:val="single" w:sz="4" w:space="0" w:color="DDDDDD"/>
              <w:bottom w:val="single" w:sz="4" w:space="0" w:color="DDDDDD"/>
            </w:tcBorders>
            <w:shd w:val="clear" w:color="auto" w:fill="auto"/>
            <w:noWrap/>
            <w:vAlign w:val="bottom"/>
            <w:hideMark/>
          </w:tcPr>
          <w:p w14:paraId="36494FD3"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Pakistan</w:t>
            </w:r>
          </w:p>
        </w:tc>
        <w:tc>
          <w:tcPr>
            <w:tcW w:w="2288" w:type="dxa"/>
            <w:tcBorders>
              <w:top w:val="single" w:sz="4" w:space="0" w:color="DDDDDD"/>
              <w:bottom w:val="single" w:sz="4" w:space="0" w:color="DDDDDD"/>
            </w:tcBorders>
            <w:shd w:val="clear" w:color="auto" w:fill="auto"/>
            <w:noWrap/>
            <w:vAlign w:val="bottom"/>
            <w:hideMark/>
          </w:tcPr>
          <w:p w14:paraId="35882D24"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0.11</w:t>
            </w:r>
          </w:p>
        </w:tc>
        <w:tc>
          <w:tcPr>
            <w:tcW w:w="2280" w:type="dxa"/>
            <w:tcBorders>
              <w:top w:val="single" w:sz="4" w:space="0" w:color="DDDDDD"/>
              <w:bottom w:val="single" w:sz="4" w:space="0" w:color="DDDDDD"/>
            </w:tcBorders>
            <w:vAlign w:val="bottom"/>
          </w:tcPr>
          <w:p w14:paraId="44388F9A" w14:textId="77777777" w:rsidR="00734757" w:rsidRPr="00A70F6D" w:rsidRDefault="00734757" w:rsidP="00734757">
            <w:pPr>
              <w:spacing w:line="240" w:lineRule="auto"/>
              <w:rPr>
                <w:rFonts w:cs="Times New Roman"/>
                <w:color w:val="000000"/>
                <w:szCs w:val="24"/>
                <w:lang w:val="fr-FR"/>
              </w:rPr>
            </w:pPr>
          </w:p>
        </w:tc>
        <w:tc>
          <w:tcPr>
            <w:tcW w:w="2661" w:type="dxa"/>
            <w:tcBorders>
              <w:top w:val="single" w:sz="4" w:space="0" w:color="DDDDDD"/>
              <w:bottom w:val="single" w:sz="4" w:space="0" w:color="DDDDDD"/>
            </w:tcBorders>
            <w:vAlign w:val="bottom"/>
          </w:tcPr>
          <w:p w14:paraId="48E9D266"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1%</w:t>
            </w:r>
          </w:p>
        </w:tc>
      </w:tr>
      <w:tr w:rsidR="00734757" w:rsidRPr="00A70F6D" w14:paraId="762A2E37" w14:textId="77777777" w:rsidTr="0083288D">
        <w:trPr>
          <w:trHeight w:val="74"/>
          <w:jc w:val="center"/>
        </w:trPr>
        <w:tc>
          <w:tcPr>
            <w:tcW w:w="2122" w:type="dxa"/>
            <w:tcBorders>
              <w:top w:val="single" w:sz="4" w:space="0" w:color="DDDDDD"/>
            </w:tcBorders>
            <w:shd w:val="clear" w:color="auto" w:fill="auto"/>
            <w:noWrap/>
            <w:vAlign w:val="bottom"/>
            <w:hideMark/>
          </w:tcPr>
          <w:p w14:paraId="2E9204AF" w14:textId="77777777" w:rsidR="00734757" w:rsidRPr="00A70F6D" w:rsidRDefault="00734757" w:rsidP="00734757">
            <w:pPr>
              <w:spacing w:line="240" w:lineRule="auto"/>
              <w:ind w:firstLine="0"/>
              <w:jc w:val="left"/>
              <w:rPr>
                <w:rFonts w:eastAsia="Times New Roman" w:cs="Times New Roman"/>
                <w:lang w:val="en-US"/>
              </w:rPr>
            </w:pPr>
            <w:r w:rsidRPr="00A70F6D">
              <w:rPr>
                <w:rFonts w:eastAsiaTheme="minorEastAsia"/>
                <w:lang w:val="en-US"/>
              </w:rPr>
              <w:t>India</w:t>
            </w:r>
          </w:p>
        </w:tc>
        <w:tc>
          <w:tcPr>
            <w:tcW w:w="2288" w:type="dxa"/>
            <w:tcBorders>
              <w:top w:val="single" w:sz="4" w:space="0" w:color="DDDDDD"/>
            </w:tcBorders>
            <w:shd w:val="clear" w:color="auto" w:fill="auto"/>
            <w:noWrap/>
            <w:vAlign w:val="bottom"/>
            <w:hideMark/>
          </w:tcPr>
          <w:p w14:paraId="32CA8099"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0.03</w:t>
            </w:r>
          </w:p>
        </w:tc>
        <w:tc>
          <w:tcPr>
            <w:tcW w:w="2280" w:type="dxa"/>
            <w:tcBorders>
              <w:top w:val="single" w:sz="4" w:space="0" w:color="DDDDDD"/>
            </w:tcBorders>
            <w:vAlign w:val="bottom"/>
          </w:tcPr>
          <w:p w14:paraId="1DB42AF3" w14:textId="77777777" w:rsidR="00734757" w:rsidRPr="00A70F6D" w:rsidRDefault="00734757" w:rsidP="00734757">
            <w:pPr>
              <w:spacing w:line="240" w:lineRule="auto"/>
              <w:rPr>
                <w:rFonts w:cs="Times New Roman"/>
                <w:color w:val="000000"/>
                <w:szCs w:val="24"/>
                <w:lang w:val="fr-FR"/>
              </w:rPr>
            </w:pPr>
            <w:r w:rsidRPr="00A70F6D">
              <w:rPr>
                <w:color w:val="000000"/>
                <w:szCs w:val="24"/>
              </w:rPr>
              <w:t>14%</w:t>
            </w:r>
          </w:p>
        </w:tc>
        <w:tc>
          <w:tcPr>
            <w:tcW w:w="2661" w:type="dxa"/>
            <w:tcBorders>
              <w:top w:val="single" w:sz="4" w:space="0" w:color="DDDDDD"/>
            </w:tcBorders>
            <w:vAlign w:val="bottom"/>
          </w:tcPr>
          <w:p w14:paraId="23E07D0D" w14:textId="77777777" w:rsidR="00734757" w:rsidRPr="00A70F6D" w:rsidRDefault="00734757" w:rsidP="00734757">
            <w:pPr>
              <w:spacing w:line="240" w:lineRule="auto"/>
              <w:rPr>
                <w:rFonts w:eastAsia="Times New Roman" w:cs="Times New Roman"/>
                <w:color w:val="000000"/>
                <w:szCs w:val="24"/>
                <w:lang w:val="en-US"/>
              </w:rPr>
            </w:pPr>
            <w:r w:rsidRPr="00A70F6D">
              <w:rPr>
                <w:color w:val="000000"/>
                <w:szCs w:val="24"/>
              </w:rPr>
              <w:t>2%</w:t>
            </w:r>
          </w:p>
        </w:tc>
      </w:tr>
    </w:tbl>
    <w:p w14:paraId="4B3BF3A8" w14:textId="77777777" w:rsidR="00734757" w:rsidRPr="00A70F6D" w:rsidRDefault="00734757" w:rsidP="00734757">
      <w:pPr>
        <w:spacing w:line="240" w:lineRule="auto"/>
        <w:ind w:firstLine="0"/>
        <w:jc w:val="left"/>
        <w:rPr>
          <w:rFonts w:eastAsiaTheme="minorEastAsia"/>
          <w:szCs w:val="24"/>
          <w:lang w:val="en-US"/>
        </w:rPr>
      </w:pPr>
      <w:r w:rsidRPr="00A70F6D">
        <w:rPr>
          <w:rFonts w:eastAsiaTheme="minorEastAsia"/>
          <w:i/>
          <w:iCs/>
          <w:szCs w:val="24"/>
          <w:lang w:val="en-US"/>
        </w:rPr>
        <w:t xml:space="preserve">Source: </w:t>
      </w:r>
      <w:r w:rsidRPr="00A70F6D">
        <w:rPr>
          <w:rFonts w:eastAsiaTheme="minorEastAsia"/>
          <w:szCs w:val="24"/>
          <w:lang w:val="en-US"/>
        </w:rPr>
        <w:t xml:space="preserve">Author’s calculation using author’s database and TRADHIST CEPII. </w:t>
      </w:r>
    </w:p>
    <w:p w14:paraId="55FF61A6" w14:textId="1DA962C1" w:rsidR="00DC7FC8" w:rsidRPr="00A70F6D" w:rsidRDefault="00DC7FC8">
      <w:pPr>
        <w:spacing w:after="160" w:line="259" w:lineRule="auto"/>
        <w:ind w:firstLine="0"/>
        <w:jc w:val="left"/>
        <w:rPr>
          <w:rFonts w:eastAsiaTheme="minorEastAsia"/>
          <w:szCs w:val="24"/>
          <w:lang w:val="en-US"/>
        </w:rPr>
      </w:pPr>
      <w:r w:rsidRPr="00A70F6D">
        <w:rPr>
          <w:rFonts w:eastAsiaTheme="minorEastAsia"/>
          <w:szCs w:val="24"/>
          <w:lang w:val="en-US"/>
        </w:rPr>
        <w:br w:type="page"/>
      </w:r>
    </w:p>
    <w:p w14:paraId="08AFAB50" w14:textId="0384154E" w:rsidR="001D0B26" w:rsidRPr="00A70F6D" w:rsidRDefault="00A20F5B" w:rsidP="00307ACA">
      <w:pPr>
        <w:spacing w:before="240" w:after="400" w:line="240" w:lineRule="auto"/>
        <w:ind w:left="1985" w:firstLine="0"/>
        <w:jc w:val="left"/>
        <w:outlineLvl w:val="2"/>
        <w:rPr>
          <w:rFonts w:eastAsiaTheme="majorEastAsia" w:cs="Times New Roman"/>
          <w:i/>
          <w:sz w:val="22"/>
          <w:szCs w:val="24"/>
          <w:lang w:val="en-US"/>
        </w:rPr>
      </w:pPr>
      <w:r w:rsidRPr="00A70F6D">
        <w:rPr>
          <w:rFonts w:eastAsiaTheme="majorEastAsia" w:cs="Times New Roman"/>
          <w:i/>
          <w:sz w:val="22"/>
          <w:szCs w:val="24"/>
          <w:lang w:val="en-US"/>
        </w:rPr>
        <w:lastRenderedPageBreak/>
        <w:t>Appendix 5</w:t>
      </w:r>
      <w:r w:rsidR="00F32545" w:rsidRPr="00A70F6D">
        <w:rPr>
          <w:rFonts w:eastAsiaTheme="majorEastAsia" w:cs="Times New Roman"/>
          <w:i/>
          <w:sz w:val="22"/>
          <w:szCs w:val="24"/>
          <w:lang w:val="en-US"/>
        </w:rPr>
        <w:t>: Archival sources</w:t>
      </w:r>
    </w:p>
    <w:p w14:paraId="0F2891B7" w14:textId="77777777" w:rsidR="00A20F5B" w:rsidRPr="00A70F6D" w:rsidRDefault="00A20F5B" w:rsidP="00A20F5B">
      <w:pPr>
        <w:rPr>
          <w:b/>
          <w:bCs/>
          <w:u w:val="single"/>
          <w:lang w:val="en-US"/>
        </w:rPr>
      </w:pPr>
      <w:r w:rsidRPr="00A70F6D">
        <w:rPr>
          <w:b/>
          <w:bCs/>
          <w:u w:val="single"/>
          <w:lang w:val="en-US"/>
        </w:rPr>
        <w:t xml:space="preserve">Sources of European data: </w:t>
      </w:r>
    </w:p>
    <w:p w14:paraId="226AE349" w14:textId="77777777" w:rsidR="00A20F5B" w:rsidRPr="00A70F6D" w:rsidRDefault="00A20F5B" w:rsidP="00A20F5B">
      <w:pPr>
        <w:rPr>
          <w:lang w:val="en-US"/>
        </w:rPr>
      </w:pPr>
      <w:r w:rsidRPr="00A70F6D">
        <w:rPr>
          <w:b/>
          <w:bCs/>
          <w:lang w:val="en-US"/>
        </w:rPr>
        <w:t>Austria</w:t>
      </w:r>
      <w:r w:rsidRPr="00A70F6D">
        <w:rPr>
          <w:lang w:val="en-US"/>
        </w:rPr>
        <w:t xml:space="preserve">: Annual data on the foreign official assets of the </w:t>
      </w:r>
      <w:proofErr w:type="spellStart"/>
      <w:r w:rsidRPr="00A70F6D">
        <w:rPr>
          <w:lang w:val="en-US"/>
        </w:rPr>
        <w:t>Oesterreichische</w:t>
      </w:r>
      <w:proofErr w:type="spellEnd"/>
      <w:r w:rsidRPr="00A70F6D">
        <w:rPr>
          <w:lang w:val="en-US"/>
        </w:rPr>
        <w:t xml:space="preserve"> </w:t>
      </w:r>
      <w:proofErr w:type="spellStart"/>
      <w:r w:rsidRPr="00A70F6D">
        <w:rPr>
          <w:lang w:val="en-US"/>
        </w:rPr>
        <w:t>Nationalbank</w:t>
      </w:r>
      <w:proofErr w:type="spellEnd"/>
      <w:r w:rsidRPr="00A70F6D">
        <w:rPr>
          <w:lang w:val="en-US"/>
        </w:rPr>
        <w:t xml:space="preserve"> was obtained from Bank History Archives for the period 1948-1972. The source is the yearly publication </w:t>
      </w:r>
      <w:proofErr w:type="spellStart"/>
      <w:r w:rsidRPr="00A70F6D">
        <w:rPr>
          <w:lang w:val="en-US"/>
        </w:rPr>
        <w:t>Rechnungsabschluss</w:t>
      </w:r>
      <w:proofErr w:type="spellEnd"/>
      <w:r w:rsidRPr="00A70F6D">
        <w:rPr>
          <w:lang w:val="en-US"/>
        </w:rPr>
        <w:t xml:space="preserve">. There is no data for 1950 and 1952 as the corresponding volumes are lost. </w:t>
      </w:r>
    </w:p>
    <w:p w14:paraId="799E3E22" w14:textId="77777777" w:rsidR="00A20F5B" w:rsidRPr="00A70F6D" w:rsidRDefault="00A20F5B" w:rsidP="00A20F5B">
      <w:pPr>
        <w:rPr>
          <w:lang w:val="fr-FR"/>
        </w:rPr>
      </w:pPr>
      <w:r w:rsidRPr="00A70F6D">
        <w:rPr>
          <w:b/>
          <w:bCs/>
          <w:lang w:val="en-US"/>
        </w:rPr>
        <w:t>Belgium</w:t>
      </w:r>
      <w:r w:rsidRPr="00A70F6D">
        <w:rPr>
          <w:lang w:val="en-US"/>
        </w:rPr>
        <w:t xml:space="preserve">: Annual data on the foreign official assets for Belgium was obtained from the archives of the Bank of Belgium. </w:t>
      </w:r>
      <w:r w:rsidRPr="00A70F6D">
        <w:rPr>
          <w:lang w:val="fr-FR"/>
        </w:rPr>
        <w:t xml:space="preserve">The source </w:t>
      </w:r>
      <w:proofErr w:type="spellStart"/>
      <w:r w:rsidRPr="00A70F6D">
        <w:rPr>
          <w:lang w:val="fr-FR"/>
        </w:rPr>
        <w:t>is</w:t>
      </w:r>
      <w:proofErr w:type="spellEnd"/>
      <w:r w:rsidRPr="00A70F6D">
        <w:rPr>
          <w:lang w:val="fr-FR"/>
        </w:rPr>
        <w:t xml:space="preserve"> ‘Analyse détaillée du bilan, du compte de profits et pertes et des comptes d’ordre au …’. </w:t>
      </w:r>
    </w:p>
    <w:p w14:paraId="46C29DA8" w14:textId="77777777" w:rsidR="00A20F5B" w:rsidRPr="00A70F6D" w:rsidRDefault="00A20F5B" w:rsidP="00A20F5B">
      <w:pPr>
        <w:rPr>
          <w:lang w:val="en-US"/>
        </w:rPr>
      </w:pPr>
      <w:r w:rsidRPr="00A70F6D">
        <w:rPr>
          <w:b/>
          <w:bCs/>
          <w:lang w:val="en-US"/>
        </w:rPr>
        <w:t>France</w:t>
      </w:r>
      <w:r w:rsidRPr="00A70F6D">
        <w:rPr>
          <w:lang w:val="en-US"/>
        </w:rPr>
        <w:t xml:space="preserve">: Annual data on the foreign official assets for France was obtained from the Bank of France Archives for the period 1945-1972. The reserves were composed by sight deposits in foreign central banks, others assets of the Bank of France and assets of the Fonds de stabilization des changes. The source is 1463200401/50-51 and 1463200401/131-133. </w:t>
      </w:r>
    </w:p>
    <w:p w14:paraId="332700E3" w14:textId="77777777" w:rsidR="00A20F5B" w:rsidRPr="00A70F6D" w:rsidRDefault="00A20F5B" w:rsidP="00A20F5B">
      <w:pPr>
        <w:rPr>
          <w:lang w:val="en-US"/>
        </w:rPr>
      </w:pPr>
      <w:r w:rsidRPr="00A70F6D">
        <w:rPr>
          <w:b/>
          <w:bCs/>
          <w:lang w:val="en-US"/>
        </w:rPr>
        <w:t>Germany</w:t>
      </w:r>
      <w:r w:rsidRPr="00A70F6D">
        <w:rPr>
          <w:lang w:val="en-US"/>
        </w:rPr>
        <w:t xml:space="preserve">: Annual data on the foreign official assets for Germany was obtained from the archives of the Bundesbank for the period 1953-1972. The source is </w:t>
      </w:r>
      <w:proofErr w:type="spellStart"/>
      <w:r w:rsidRPr="00A70F6D">
        <w:rPr>
          <w:lang w:val="en-US"/>
        </w:rPr>
        <w:t>Devisenposition</w:t>
      </w:r>
      <w:proofErr w:type="spellEnd"/>
      <w:r w:rsidRPr="00A70F6D">
        <w:rPr>
          <w:lang w:val="en-US"/>
        </w:rPr>
        <w:t xml:space="preserve"> und </w:t>
      </w:r>
      <w:proofErr w:type="spellStart"/>
      <w:r w:rsidRPr="00A70F6D">
        <w:rPr>
          <w:lang w:val="en-US"/>
        </w:rPr>
        <w:t>devisenstatus</w:t>
      </w:r>
      <w:proofErr w:type="spellEnd"/>
      <w:r w:rsidRPr="00A70F6D">
        <w:rPr>
          <w:lang w:val="en-US"/>
        </w:rPr>
        <w:t xml:space="preserve">, B330/20780-20792. </w:t>
      </w:r>
    </w:p>
    <w:p w14:paraId="7A59C98C" w14:textId="77777777" w:rsidR="00A20F5B" w:rsidRPr="00A70F6D" w:rsidRDefault="00A20F5B" w:rsidP="00A20F5B">
      <w:pPr>
        <w:rPr>
          <w:lang w:val="en-US"/>
        </w:rPr>
      </w:pPr>
      <w:r w:rsidRPr="00A70F6D">
        <w:rPr>
          <w:b/>
          <w:bCs/>
          <w:lang w:val="en-US"/>
        </w:rPr>
        <w:t>Italy</w:t>
      </w:r>
      <w:r w:rsidRPr="00A70F6D">
        <w:rPr>
          <w:lang w:val="en-US"/>
        </w:rPr>
        <w:t xml:space="preserve">: Annual data for on the foreign official assets for Italy was obtained from the archives of the Bank of Italy for the period 1946-1973. The source for the period 1962-1973 is the </w:t>
      </w:r>
      <w:proofErr w:type="spellStart"/>
      <w:r w:rsidRPr="00A70F6D">
        <w:rPr>
          <w:lang w:val="en-US"/>
        </w:rPr>
        <w:t>Relazione</w:t>
      </w:r>
      <w:proofErr w:type="spellEnd"/>
      <w:r w:rsidRPr="00A70F6D">
        <w:rPr>
          <w:lang w:val="en-US"/>
        </w:rPr>
        <w:t xml:space="preserve"> annual of the Bank of Italy. For the period 1946-1961, the source is the balance sheet of the </w:t>
      </w:r>
      <w:proofErr w:type="spellStart"/>
      <w:r w:rsidRPr="00A70F6D">
        <w:rPr>
          <w:lang w:val="en-US"/>
        </w:rPr>
        <w:t>Ufficio</w:t>
      </w:r>
      <w:proofErr w:type="spellEnd"/>
      <w:r w:rsidRPr="00A70F6D">
        <w:rPr>
          <w:lang w:val="en-US"/>
        </w:rPr>
        <w:t xml:space="preserve"> </w:t>
      </w:r>
      <w:proofErr w:type="spellStart"/>
      <w:r w:rsidRPr="00A70F6D">
        <w:rPr>
          <w:lang w:val="en-US"/>
        </w:rPr>
        <w:t>Italiano</w:t>
      </w:r>
      <w:proofErr w:type="spellEnd"/>
      <w:r w:rsidRPr="00A70F6D">
        <w:rPr>
          <w:lang w:val="en-US"/>
        </w:rPr>
        <w:t xml:space="preserve"> </w:t>
      </w:r>
      <w:proofErr w:type="spellStart"/>
      <w:r w:rsidRPr="00A70F6D">
        <w:rPr>
          <w:lang w:val="en-US"/>
        </w:rPr>
        <w:t>dei</w:t>
      </w:r>
      <w:proofErr w:type="spellEnd"/>
      <w:r w:rsidRPr="00A70F6D">
        <w:rPr>
          <w:lang w:val="en-US"/>
        </w:rPr>
        <w:t xml:space="preserve"> </w:t>
      </w:r>
      <w:proofErr w:type="spellStart"/>
      <w:r w:rsidRPr="00A70F6D">
        <w:rPr>
          <w:lang w:val="en-US"/>
        </w:rPr>
        <w:t>Cambi</w:t>
      </w:r>
      <w:proofErr w:type="spellEnd"/>
      <w:r w:rsidRPr="00A70F6D">
        <w:rPr>
          <w:lang w:val="en-US"/>
        </w:rPr>
        <w:t xml:space="preserve"> which reports the decomposition of the reserves for end of June. From the source of the </w:t>
      </w:r>
      <w:proofErr w:type="spellStart"/>
      <w:r w:rsidRPr="00A70F6D">
        <w:rPr>
          <w:lang w:val="en-US"/>
        </w:rPr>
        <w:t>Situaziono</w:t>
      </w:r>
      <w:proofErr w:type="spellEnd"/>
      <w:r w:rsidRPr="00A70F6D">
        <w:rPr>
          <w:lang w:val="en-US"/>
        </w:rPr>
        <w:t xml:space="preserve"> </w:t>
      </w:r>
      <w:proofErr w:type="spellStart"/>
      <w:r w:rsidRPr="00A70F6D">
        <w:rPr>
          <w:lang w:val="en-US"/>
        </w:rPr>
        <w:t>dell’Ufficio</w:t>
      </w:r>
      <w:proofErr w:type="spellEnd"/>
      <w:r w:rsidRPr="00A70F6D">
        <w:rPr>
          <w:lang w:val="en-US"/>
        </w:rPr>
        <w:t xml:space="preserve"> </w:t>
      </w:r>
      <w:proofErr w:type="spellStart"/>
      <w:r w:rsidRPr="00A70F6D">
        <w:rPr>
          <w:lang w:val="en-US"/>
        </w:rPr>
        <w:t>Italiano</w:t>
      </w:r>
      <w:proofErr w:type="spellEnd"/>
      <w:r w:rsidRPr="00A70F6D">
        <w:rPr>
          <w:lang w:val="en-US"/>
        </w:rPr>
        <w:t xml:space="preserve"> </w:t>
      </w:r>
      <w:proofErr w:type="spellStart"/>
      <w:r w:rsidRPr="00A70F6D">
        <w:rPr>
          <w:lang w:val="en-US"/>
        </w:rPr>
        <w:t>dei</w:t>
      </w:r>
      <w:proofErr w:type="spellEnd"/>
      <w:r w:rsidRPr="00A70F6D">
        <w:rPr>
          <w:lang w:val="en-US"/>
        </w:rPr>
        <w:t xml:space="preserve"> </w:t>
      </w:r>
      <w:proofErr w:type="spellStart"/>
      <w:r w:rsidRPr="00A70F6D">
        <w:rPr>
          <w:lang w:val="en-US"/>
        </w:rPr>
        <w:t>Cambi</w:t>
      </w:r>
      <w:proofErr w:type="spellEnd"/>
      <w:r w:rsidRPr="00A70F6D">
        <w:rPr>
          <w:lang w:val="en-US"/>
        </w:rPr>
        <w:t xml:space="preserve"> (1945-1970) by </w:t>
      </w:r>
      <w:proofErr w:type="spellStart"/>
      <w:r w:rsidRPr="00A70F6D">
        <w:rPr>
          <w:lang w:val="en-US"/>
        </w:rPr>
        <w:t>F.Samuelli</w:t>
      </w:r>
      <w:proofErr w:type="spellEnd"/>
      <w:r w:rsidRPr="00A70F6D">
        <w:rPr>
          <w:lang w:val="en-US"/>
        </w:rPr>
        <w:t xml:space="preserve">, I retrieved the value of the total of the reserve portfolio at the end of December of each year and I applied a percentage of each currency from the June’s portfolios to produce estimates of the decomposition of the reserves at the end of year. </w:t>
      </w:r>
    </w:p>
    <w:p w14:paraId="6195EBD4" w14:textId="77777777" w:rsidR="00A20F5B" w:rsidRPr="00A70F6D" w:rsidRDefault="00A20F5B" w:rsidP="00A20F5B">
      <w:pPr>
        <w:rPr>
          <w:lang w:val="en-US"/>
        </w:rPr>
      </w:pPr>
      <w:r w:rsidRPr="00A70F6D">
        <w:rPr>
          <w:b/>
          <w:bCs/>
          <w:lang w:val="en-US"/>
        </w:rPr>
        <w:t>Norway</w:t>
      </w:r>
      <w:r w:rsidRPr="00A70F6D">
        <w:rPr>
          <w:lang w:val="en-US"/>
        </w:rPr>
        <w:t xml:space="preserve">: Annual data on the foreign official assets of the </w:t>
      </w:r>
      <w:proofErr w:type="spellStart"/>
      <w:r w:rsidRPr="00A70F6D">
        <w:rPr>
          <w:lang w:val="en-US"/>
        </w:rPr>
        <w:t>Norges</w:t>
      </w:r>
      <w:proofErr w:type="spellEnd"/>
      <w:r w:rsidRPr="00A70F6D">
        <w:rPr>
          <w:lang w:val="en-US"/>
        </w:rPr>
        <w:t xml:space="preserve"> Bank for the period 1945-1972  comes from </w:t>
      </w:r>
      <w:proofErr w:type="spellStart"/>
      <w:r w:rsidRPr="00A70F6D">
        <w:rPr>
          <w:lang w:val="en-US"/>
        </w:rPr>
        <w:t>Eitrheim</w:t>
      </w:r>
      <w:proofErr w:type="spellEnd"/>
      <w:r w:rsidRPr="00A70F6D">
        <w:rPr>
          <w:lang w:val="en-US"/>
        </w:rPr>
        <w:t xml:space="preserve">, Ø. and M. </w:t>
      </w:r>
      <w:proofErr w:type="spellStart"/>
      <w:r w:rsidRPr="00A70F6D">
        <w:rPr>
          <w:lang w:val="en-US"/>
        </w:rPr>
        <w:t>Fevolden</w:t>
      </w:r>
      <w:proofErr w:type="spellEnd"/>
      <w:r w:rsidRPr="00A70F6D">
        <w:rPr>
          <w:lang w:val="en-US"/>
        </w:rPr>
        <w:t xml:space="preserve"> (2019). "</w:t>
      </w:r>
      <w:proofErr w:type="spellStart"/>
      <w:r w:rsidRPr="00A70F6D">
        <w:rPr>
          <w:lang w:val="en-US"/>
        </w:rPr>
        <w:t>Norges</w:t>
      </w:r>
      <w:proofErr w:type="spellEnd"/>
      <w:r w:rsidRPr="00A70F6D">
        <w:rPr>
          <w:lang w:val="en-US"/>
        </w:rPr>
        <w:t xml:space="preserve"> Bank’s international reserves, 1817-2017", Chapter 3 in </w:t>
      </w:r>
      <w:proofErr w:type="spellStart"/>
      <w:r w:rsidRPr="00A70F6D">
        <w:rPr>
          <w:lang w:val="en-US"/>
        </w:rPr>
        <w:t>Eitrheim</w:t>
      </w:r>
      <w:proofErr w:type="spellEnd"/>
      <w:r w:rsidRPr="00A70F6D">
        <w:rPr>
          <w:lang w:val="en-US"/>
        </w:rPr>
        <w:t xml:space="preserve">, Ø., J.T. </w:t>
      </w:r>
      <w:proofErr w:type="spellStart"/>
      <w:r w:rsidRPr="00A70F6D">
        <w:rPr>
          <w:lang w:val="en-US"/>
        </w:rPr>
        <w:t>Klovland</w:t>
      </w:r>
      <w:proofErr w:type="spellEnd"/>
      <w:r w:rsidRPr="00A70F6D">
        <w:rPr>
          <w:lang w:val="en-US"/>
        </w:rPr>
        <w:t xml:space="preserve"> and J.F. </w:t>
      </w:r>
      <w:proofErr w:type="spellStart"/>
      <w:r w:rsidRPr="00A70F6D">
        <w:rPr>
          <w:lang w:val="en-US"/>
        </w:rPr>
        <w:t>Qvigstad</w:t>
      </w:r>
      <w:proofErr w:type="spellEnd"/>
      <w:r w:rsidRPr="00A70F6D">
        <w:rPr>
          <w:lang w:val="en-US"/>
        </w:rPr>
        <w:t xml:space="preserve"> (eds.), </w:t>
      </w:r>
      <w:r w:rsidRPr="00A70F6D">
        <w:rPr>
          <w:i/>
          <w:iCs/>
          <w:lang w:val="en-US"/>
        </w:rPr>
        <w:t>Historical Monetary Statistics for</w:t>
      </w:r>
      <w:r w:rsidRPr="00A70F6D">
        <w:rPr>
          <w:lang w:val="en-US"/>
        </w:rPr>
        <w:t xml:space="preserve"> </w:t>
      </w:r>
      <w:r w:rsidRPr="00A70F6D">
        <w:rPr>
          <w:i/>
          <w:iCs/>
          <w:lang w:val="en-US"/>
        </w:rPr>
        <w:t>Norway</w:t>
      </w:r>
      <w:r w:rsidRPr="00A70F6D">
        <w:rPr>
          <w:lang w:val="en-US"/>
        </w:rPr>
        <w:t xml:space="preserve"> - Part III, </w:t>
      </w:r>
      <w:proofErr w:type="spellStart"/>
      <w:r w:rsidRPr="00A70F6D">
        <w:rPr>
          <w:lang w:val="en-US"/>
        </w:rPr>
        <w:t>Norges</w:t>
      </w:r>
      <w:proofErr w:type="spellEnd"/>
      <w:r w:rsidRPr="00A70F6D">
        <w:rPr>
          <w:lang w:val="en-US"/>
        </w:rPr>
        <w:t xml:space="preserve"> Bank Occasional Papers no. 5x, Oslo, 2019, Tables 3.A.1-3. </w:t>
      </w:r>
    </w:p>
    <w:p w14:paraId="4F851A7A" w14:textId="77777777" w:rsidR="00A20F5B" w:rsidRPr="00A70F6D" w:rsidRDefault="00A20F5B" w:rsidP="00A20F5B">
      <w:pPr>
        <w:rPr>
          <w:lang w:val="en-US"/>
        </w:rPr>
      </w:pPr>
      <w:r w:rsidRPr="00A70F6D">
        <w:rPr>
          <w:b/>
          <w:bCs/>
          <w:lang w:val="en-US"/>
        </w:rPr>
        <w:t>Portugal</w:t>
      </w:r>
      <w:r w:rsidRPr="00A70F6D">
        <w:rPr>
          <w:lang w:val="en-US"/>
        </w:rPr>
        <w:t xml:space="preserve">: Annual data for the foreign official assets of the Bank of Portugal for the period 1945-1971 comes from the historical archives of the Bank of Portugal. The source is </w:t>
      </w:r>
      <w:r w:rsidRPr="00A70F6D">
        <w:rPr>
          <w:lang w:val="en-US"/>
        </w:rPr>
        <w:lastRenderedPageBreak/>
        <w:t>‘</w:t>
      </w:r>
      <w:proofErr w:type="spellStart"/>
      <w:r w:rsidRPr="00A70F6D">
        <w:rPr>
          <w:lang w:val="en-US"/>
        </w:rPr>
        <w:t>Departamento</w:t>
      </w:r>
      <w:proofErr w:type="spellEnd"/>
      <w:r w:rsidRPr="00A70F6D">
        <w:rPr>
          <w:lang w:val="en-US"/>
        </w:rPr>
        <w:t xml:space="preserve"> de </w:t>
      </w:r>
      <w:proofErr w:type="spellStart"/>
      <w:r w:rsidRPr="00A70F6D">
        <w:rPr>
          <w:lang w:val="en-US"/>
        </w:rPr>
        <w:t>Contabilidade</w:t>
      </w:r>
      <w:proofErr w:type="spellEnd"/>
      <w:r w:rsidRPr="00A70F6D">
        <w:rPr>
          <w:lang w:val="en-US"/>
        </w:rPr>
        <w:t xml:space="preserve"> </w:t>
      </w:r>
      <w:proofErr w:type="spellStart"/>
      <w:r w:rsidRPr="00A70F6D">
        <w:rPr>
          <w:lang w:val="en-US"/>
        </w:rPr>
        <w:t>Geral</w:t>
      </w:r>
      <w:proofErr w:type="spellEnd"/>
      <w:r w:rsidRPr="00A70F6D">
        <w:rPr>
          <w:lang w:val="en-US"/>
        </w:rPr>
        <w:t xml:space="preserve">. </w:t>
      </w:r>
      <w:proofErr w:type="spellStart"/>
      <w:r w:rsidRPr="00A70F6D">
        <w:rPr>
          <w:lang w:val="en-US"/>
        </w:rPr>
        <w:t>Reservas</w:t>
      </w:r>
      <w:proofErr w:type="spellEnd"/>
      <w:r w:rsidRPr="00A70F6D">
        <w:rPr>
          <w:lang w:val="en-US"/>
        </w:rPr>
        <w:t xml:space="preserve"> </w:t>
      </w:r>
      <w:proofErr w:type="spellStart"/>
      <w:r w:rsidRPr="00A70F6D">
        <w:rPr>
          <w:lang w:val="en-US"/>
        </w:rPr>
        <w:t>em</w:t>
      </w:r>
      <w:proofErr w:type="spellEnd"/>
      <w:r w:rsidRPr="00A70F6D">
        <w:rPr>
          <w:lang w:val="en-US"/>
        </w:rPr>
        <w:t xml:space="preserve"> </w:t>
      </w:r>
      <w:proofErr w:type="spellStart"/>
      <w:r w:rsidRPr="00A70F6D">
        <w:rPr>
          <w:lang w:val="en-US"/>
        </w:rPr>
        <w:t>moeda</w:t>
      </w:r>
      <w:proofErr w:type="spellEnd"/>
      <w:r w:rsidRPr="00A70F6D">
        <w:rPr>
          <w:lang w:val="en-US"/>
        </w:rPr>
        <w:t xml:space="preserve"> </w:t>
      </w:r>
      <w:proofErr w:type="spellStart"/>
      <w:r w:rsidRPr="00A70F6D">
        <w:rPr>
          <w:lang w:val="en-US"/>
        </w:rPr>
        <w:t>estrangeira</w:t>
      </w:r>
      <w:proofErr w:type="spellEnd"/>
      <w:r w:rsidRPr="00A70F6D">
        <w:rPr>
          <w:lang w:val="en-US"/>
        </w:rPr>
        <w:t>. 1939-1974. [</w:t>
      </w:r>
      <w:proofErr w:type="spellStart"/>
      <w:r w:rsidRPr="00A70F6D">
        <w:rPr>
          <w:lang w:val="en-US"/>
        </w:rPr>
        <w:t>Documentação</w:t>
      </w:r>
      <w:proofErr w:type="spellEnd"/>
      <w:r w:rsidRPr="00A70F6D">
        <w:rPr>
          <w:lang w:val="en-US"/>
        </w:rPr>
        <w:t xml:space="preserve"> </w:t>
      </w:r>
      <w:proofErr w:type="spellStart"/>
      <w:r w:rsidRPr="00A70F6D">
        <w:rPr>
          <w:lang w:val="en-US"/>
        </w:rPr>
        <w:t>não</w:t>
      </w:r>
      <w:proofErr w:type="spellEnd"/>
      <w:r w:rsidRPr="00A70F6D">
        <w:rPr>
          <w:lang w:val="en-US"/>
        </w:rPr>
        <w:t xml:space="preserve"> </w:t>
      </w:r>
      <w:proofErr w:type="spellStart"/>
      <w:r w:rsidRPr="00A70F6D">
        <w:rPr>
          <w:lang w:val="en-US"/>
        </w:rPr>
        <w:t>tratada</w:t>
      </w:r>
      <w:proofErr w:type="spellEnd"/>
      <w:r w:rsidRPr="00A70F6D">
        <w:rPr>
          <w:lang w:val="en-US"/>
        </w:rPr>
        <w:t xml:space="preserve">]’. </w:t>
      </w:r>
    </w:p>
    <w:p w14:paraId="40559AD4" w14:textId="77777777" w:rsidR="00A20F5B" w:rsidRPr="00A70F6D" w:rsidRDefault="00A20F5B" w:rsidP="00A20F5B">
      <w:pPr>
        <w:rPr>
          <w:lang w:val="en-US"/>
        </w:rPr>
      </w:pPr>
      <w:r w:rsidRPr="00A70F6D">
        <w:rPr>
          <w:b/>
          <w:bCs/>
          <w:lang w:val="en-US"/>
        </w:rPr>
        <w:t>Switzerland</w:t>
      </w:r>
      <w:r w:rsidRPr="00A70F6D">
        <w:rPr>
          <w:lang w:val="en-US"/>
        </w:rPr>
        <w:t xml:space="preserve">: Annual data for the foreign official assets for Switzerland for the period 1945-1972 comes from the archives of the Swiss National Bank (SNB). </w:t>
      </w:r>
      <w:r w:rsidRPr="00A70F6D">
        <w:rPr>
          <w:lang w:val="de-DE"/>
        </w:rPr>
        <w:t xml:space="preserve">The source is the yearly ‘Protokoll uber die Verhandlungen des Bankausschusses der Schweizerischen Nationalbank’. </w:t>
      </w:r>
      <w:r w:rsidRPr="00A70F6D">
        <w:rPr>
          <w:lang w:val="en-US"/>
        </w:rPr>
        <w:t>From 1959 onward, the reserves of the SNB were composed only of gold and dollar. Anecdotal evidences show some European currencies were held by the Bank among the ‘other assets’ of its balance sheets. These foreign currency holdings, observed in 1965 and 1967</w:t>
      </w:r>
      <w:r w:rsidRPr="00A70F6D">
        <w:rPr>
          <w:vertAlign w:val="superscript"/>
          <w:lang w:val="en-US"/>
        </w:rPr>
        <w:footnoteReference w:id="4"/>
      </w:r>
      <w:r w:rsidRPr="00A70F6D">
        <w:rPr>
          <w:lang w:val="en-US"/>
        </w:rPr>
        <w:t xml:space="preserve"> represented less than 0.1% of the dollar holdings of the SNB.</w:t>
      </w:r>
    </w:p>
    <w:p w14:paraId="2F218F0F" w14:textId="77777777" w:rsidR="00A20F5B" w:rsidRPr="00A70F6D" w:rsidRDefault="00A20F5B" w:rsidP="00A20F5B">
      <w:pPr>
        <w:rPr>
          <w:lang w:val="en-US"/>
        </w:rPr>
      </w:pPr>
      <w:r w:rsidRPr="00A70F6D">
        <w:rPr>
          <w:b/>
          <w:bCs/>
          <w:lang w:val="en-US"/>
        </w:rPr>
        <w:t>Spain</w:t>
      </w:r>
      <w:r w:rsidRPr="00A70F6D">
        <w:rPr>
          <w:lang w:val="en-US"/>
        </w:rPr>
        <w:t>:</w:t>
      </w:r>
      <w:r w:rsidRPr="00A70F6D">
        <w:rPr>
          <w:lang w:val="en-US"/>
        </w:rPr>
        <w:tab/>
        <w:t>Annual data for the foreign official assets for Spain for the period 1945-1971 comes from the archives of the Bank of Spain. Elena Martinez Ruiz kindly shared her unpublished data from her work in the archives for the period 1939-1962. The source for the period 1963-1971 ‘</w:t>
      </w:r>
      <w:proofErr w:type="spellStart"/>
      <w:r w:rsidRPr="00A70F6D">
        <w:rPr>
          <w:lang w:val="en-US"/>
        </w:rPr>
        <w:t>Departamento</w:t>
      </w:r>
      <w:proofErr w:type="spellEnd"/>
      <w:r w:rsidRPr="00A70F6D">
        <w:rPr>
          <w:lang w:val="en-US"/>
        </w:rPr>
        <w:t xml:space="preserve"> </w:t>
      </w:r>
      <w:proofErr w:type="spellStart"/>
      <w:r w:rsidRPr="00A70F6D">
        <w:rPr>
          <w:lang w:val="en-US"/>
        </w:rPr>
        <w:t>extranjero</w:t>
      </w:r>
      <w:proofErr w:type="spellEnd"/>
      <w:r w:rsidRPr="00A70F6D">
        <w:rPr>
          <w:lang w:val="en-US"/>
        </w:rPr>
        <w:t xml:space="preserve"> I.E.M.E. </w:t>
      </w:r>
      <w:proofErr w:type="spellStart"/>
      <w:r w:rsidRPr="00A70F6D">
        <w:rPr>
          <w:lang w:val="en-US"/>
        </w:rPr>
        <w:t>Intervencion</w:t>
      </w:r>
      <w:proofErr w:type="spellEnd"/>
      <w:r w:rsidRPr="00A70F6D">
        <w:rPr>
          <w:lang w:val="en-US"/>
        </w:rPr>
        <w:t xml:space="preserve"> y </w:t>
      </w:r>
      <w:proofErr w:type="spellStart"/>
      <w:r w:rsidRPr="00A70F6D">
        <w:rPr>
          <w:lang w:val="en-US"/>
        </w:rPr>
        <w:t>Contabilidad</w:t>
      </w:r>
      <w:proofErr w:type="spellEnd"/>
      <w:r w:rsidRPr="00A70F6D">
        <w:rPr>
          <w:lang w:val="en-US"/>
        </w:rPr>
        <w:t xml:space="preserve">’ files 4330-4482.  The Spanish reserves were held by the Instituto </w:t>
      </w:r>
      <w:proofErr w:type="spellStart"/>
      <w:r w:rsidRPr="00A70F6D">
        <w:rPr>
          <w:lang w:val="en-US"/>
        </w:rPr>
        <w:t>Español</w:t>
      </w:r>
      <w:proofErr w:type="spellEnd"/>
      <w:r w:rsidRPr="00A70F6D">
        <w:rPr>
          <w:lang w:val="en-US"/>
        </w:rPr>
        <w:t xml:space="preserve"> de </w:t>
      </w:r>
      <w:proofErr w:type="spellStart"/>
      <w:r w:rsidRPr="00A70F6D">
        <w:rPr>
          <w:lang w:val="en-US"/>
        </w:rPr>
        <w:t>Moneda</w:t>
      </w:r>
      <w:proofErr w:type="spellEnd"/>
      <w:r w:rsidRPr="00A70F6D">
        <w:rPr>
          <w:lang w:val="en-US"/>
        </w:rPr>
        <w:t xml:space="preserve"> </w:t>
      </w:r>
      <w:proofErr w:type="spellStart"/>
      <w:r w:rsidRPr="00A70F6D">
        <w:rPr>
          <w:lang w:val="en-US"/>
        </w:rPr>
        <w:t>Extranjera</w:t>
      </w:r>
      <w:proofErr w:type="spellEnd"/>
      <w:r w:rsidRPr="00A70F6D">
        <w:rPr>
          <w:lang w:val="en-US"/>
        </w:rPr>
        <w:t xml:space="preserve">.  </w:t>
      </w:r>
    </w:p>
    <w:p w14:paraId="3579F656" w14:textId="77777777" w:rsidR="00A20F5B" w:rsidRPr="00A70F6D" w:rsidRDefault="00A20F5B" w:rsidP="00A20F5B">
      <w:pPr>
        <w:rPr>
          <w:lang w:val="en-US"/>
        </w:rPr>
      </w:pPr>
      <w:r w:rsidRPr="00A70F6D">
        <w:rPr>
          <w:b/>
          <w:bCs/>
          <w:lang w:val="en-US"/>
        </w:rPr>
        <w:t xml:space="preserve">United Kingdom: </w:t>
      </w:r>
      <w:r w:rsidRPr="00A70F6D">
        <w:rPr>
          <w:lang w:val="en-US"/>
        </w:rPr>
        <w:t>Annual data for the foreign official assets for the UK for the period 1947-1970 comes from the archives of the Bank of England. The UK reserves were held by the Equalization Account General Ledger. The source is ‘Exchange Equalization Account, General Ledger’ EA141/1-17.</w:t>
      </w:r>
    </w:p>
    <w:p w14:paraId="22EC0A73" w14:textId="77777777" w:rsidR="00A20F5B" w:rsidRPr="00A70F6D" w:rsidRDefault="00A20F5B" w:rsidP="00A20F5B">
      <w:pPr>
        <w:rPr>
          <w:lang w:val="en-US"/>
        </w:rPr>
      </w:pPr>
    </w:p>
    <w:p w14:paraId="5459A303" w14:textId="77777777" w:rsidR="00A20F5B" w:rsidRPr="00A70F6D" w:rsidRDefault="00A20F5B" w:rsidP="00A20F5B">
      <w:pPr>
        <w:rPr>
          <w:b/>
          <w:bCs/>
          <w:u w:val="single"/>
          <w:lang w:val="en-US"/>
        </w:rPr>
      </w:pPr>
      <w:r w:rsidRPr="00A70F6D">
        <w:rPr>
          <w:b/>
          <w:bCs/>
          <w:u w:val="single"/>
          <w:lang w:val="en-US"/>
        </w:rPr>
        <w:t xml:space="preserve">Archival sources for sterling area countries: </w:t>
      </w:r>
    </w:p>
    <w:p w14:paraId="0DCF7DA3" w14:textId="77777777" w:rsidR="00A20F5B" w:rsidRPr="00A70F6D" w:rsidRDefault="00A20F5B" w:rsidP="00A20F5B">
      <w:pPr>
        <w:pStyle w:val="ListParagraph"/>
        <w:numPr>
          <w:ilvl w:val="0"/>
          <w:numId w:val="17"/>
        </w:numPr>
      </w:pPr>
      <w:r w:rsidRPr="00A70F6D">
        <w:t>TNA T236/5369</w:t>
      </w:r>
    </w:p>
    <w:p w14:paraId="6C139DFE" w14:textId="77777777" w:rsidR="00A20F5B" w:rsidRPr="00A70F6D" w:rsidRDefault="00A20F5B" w:rsidP="00A20F5B">
      <w:pPr>
        <w:pStyle w:val="ListParagraph"/>
        <w:numPr>
          <w:ilvl w:val="0"/>
          <w:numId w:val="17"/>
        </w:numPr>
      </w:pPr>
      <w:r w:rsidRPr="00A70F6D">
        <w:t>BoE EID16</w:t>
      </w:r>
    </w:p>
    <w:p w14:paraId="47A119ED" w14:textId="77777777" w:rsidR="00A20F5B" w:rsidRPr="00A70F6D" w:rsidRDefault="00A20F5B" w:rsidP="00A20F5B">
      <w:pPr>
        <w:pStyle w:val="ListParagraph"/>
        <w:numPr>
          <w:ilvl w:val="0"/>
          <w:numId w:val="17"/>
        </w:numPr>
      </w:pPr>
      <w:r w:rsidRPr="00A70F6D">
        <w:t>BoE OV44/33</w:t>
      </w:r>
    </w:p>
    <w:p w14:paraId="0A6C6E4B" w14:textId="77777777" w:rsidR="00A20F5B" w:rsidRPr="00A70F6D" w:rsidRDefault="00A20F5B" w:rsidP="00A20F5B">
      <w:pPr>
        <w:pStyle w:val="ListParagraph"/>
        <w:numPr>
          <w:ilvl w:val="0"/>
          <w:numId w:val="17"/>
        </w:numPr>
      </w:pPr>
      <w:r w:rsidRPr="00A70F6D">
        <w:t>BoE OV44/53</w:t>
      </w:r>
    </w:p>
    <w:p w14:paraId="7CCFFAE0" w14:textId="77777777" w:rsidR="00A20F5B" w:rsidRPr="00A70F6D" w:rsidRDefault="00A20F5B" w:rsidP="00A20F5B">
      <w:pPr>
        <w:pStyle w:val="ListParagraph"/>
        <w:numPr>
          <w:ilvl w:val="0"/>
          <w:numId w:val="17"/>
        </w:numPr>
      </w:pPr>
      <w:r w:rsidRPr="00A70F6D">
        <w:t>BoE OV44/116</w:t>
      </w:r>
    </w:p>
    <w:p w14:paraId="51D85617" w14:textId="77777777" w:rsidR="00A20F5B" w:rsidRPr="00A70F6D" w:rsidRDefault="00A20F5B" w:rsidP="00A20F5B">
      <w:pPr>
        <w:pStyle w:val="ListParagraph"/>
        <w:numPr>
          <w:ilvl w:val="0"/>
          <w:numId w:val="17"/>
        </w:numPr>
      </w:pPr>
      <w:r w:rsidRPr="00A70F6D">
        <w:t>BoE OV44/120</w:t>
      </w:r>
    </w:p>
    <w:p w14:paraId="736B8DCA" w14:textId="77777777" w:rsidR="00A20F5B" w:rsidRPr="00A70F6D" w:rsidRDefault="00A20F5B" w:rsidP="00A20F5B">
      <w:pPr>
        <w:pStyle w:val="ListParagraph"/>
        <w:numPr>
          <w:ilvl w:val="0"/>
          <w:numId w:val="17"/>
        </w:numPr>
      </w:pPr>
      <w:r w:rsidRPr="00A70F6D">
        <w:t>BoE OV44/122</w:t>
      </w:r>
    </w:p>
    <w:p w14:paraId="002B6BA2" w14:textId="77777777" w:rsidR="00A20F5B" w:rsidRPr="00A70F6D" w:rsidRDefault="00A20F5B" w:rsidP="00A20F5B">
      <w:pPr>
        <w:pStyle w:val="ListParagraph"/>
        <w:numPr>
          <w:ilvl w:val="0"/>
          <w:numId w:val="17"/>
        </w:numPr>
      </w:pPr>
      <w:r w:rsidRPr="00A70F6D">
        <w:t xml:space="preserve">BoE OV44/155 </w:t>
      </w:r>
    </w:p>
    <w:p w14:paraId="1CCCD309" w14:textId="77777777" w:rsidR="00A20F5B" w:rsidRPr="00A70F6D" w:rsidRDefault="00A20F5B" w:rsidP="00A20F5B">
      <w:pPr>
        <w:pStyle w:val="ListParagraph"/>
        <w:numPr>
          <w:ilvl w:val="0"/>
          <w:numId w:val="17"/>
        </w:numPr>
      </w:pPr>
      <w:r w:rsidRPr="00A70F6D">
        <w:t xml:space="preserve">BoE OV44/161 </w:t>
      </w:r>
    </w:p>
    <w:p w14:paraId="78C8C80D" w14:textId="77777777" w:rsidR="00A20F5B" w:rsidRPr="00A70F6D" w:rsidRDefault="00A20F5B" w:rsidP="00A20F5B">
      <w:pPr>
        <w:rPr>
          <w:lang w:val="en-US"/>
        </w:rPr>
      </w:pPr>
    </w:p>
    <w:p w14:paraId="6968F6ED" w14:textId="77E8CF20" w:rsidR="00E0104B" w:rsidRPr="00A70F6D" w:rsidRDefault="00F32545" w:rsidP="00307ACA">
      <w:pPr>
        <w:spacing w:before="240" w:after="400" w:line="240" w:lineRule="auto"/>
        <w:ind w:left="1985" w:firstLine="0"/>
        <w:jc w:val="left"/>
        <w:outlineLvl w:val="2"/>
        <w:rPr>
          <w:rFonts w:eastAsiaTheme="majorEastAsia" w:cs="Times New Roman"/>
          <w:i/>
          <w:sz w:val="22"/>
          <w:szCs w:val="24"/>
          <w:lang w:val="en-US"/>
        </w:rPr>
      </w:pPr>
      <w:r w:rsidRPr="00A70F6D">
        <w:rPr>
          <w:rFonts w:eastAsiaTheme="majorEastAsia" w:cs="Times New Roman"/>
          <w:i/>
          <w:sz w:val="22"/>
          <w:szCs w:val="24"/>
          <w:lang w:val="en-US"/>
        </w:rPr>
        <w:lastRenderedPageBreak/>
        <w:t xml:space="preserve">Appendix 6: </w:t>
      </w:r>
      <w:r w:rsidR="00E0104B" w:rsidRPr="00A70F6D">
        <w:rPr>
          <w:rFonts w:eastAsiaTheme="majorEastAsia" w:cs="Times New Roman"/>
          <w:i/>
          <w:sz w:val="22"/>
          <w:szCs w:val="24"/>
          <w:lang w:val="en-US"/>
        </w:rPr>
        <w:t>Supplementary figures</w:t>
      </w:r>
    </w:p>
    <w:p w14:paraId="159D1019" w14:textId="7626329F" w:rsidR="00E0104B" w:rsidRPr="00A70F6D" w:rsidRDefault="00E0104B" w:rsidP="00E0104B">
      <w:pPr>
        <w:spacing w:before="240" w:after="400" w:line="240" w:lineRule="auto"/>
        <w:jc w:val="left"/>
        <w:outlineLvl w:val="2"/>
        <w:rPr>
          <w:rFonts w:eastAsiaTheme="majorEastAsia" w:cstheme="majorBidi"/>
          <w:iCs/>
          <w:sz w:val="22"/>
          <w:lang w:val="en-US"/>
        </w:rPr>
      </w:pPr>
      <w:bookmarkStart w:id="12" w:name="_Ref47367316"/>
      <w:r w:rsidRPr="00A70F6D">
        <w:rPr>
          <w:szCs w:val="24"/>
        </w:rPr>
        <w:t xml:space="preserve">Figure </w:t>
      </w:r>
      <w:bookmarkEnd w:id="12"/>
      <w:r w:rsidRPr="00A70F6D">
        <w:rPr>
          <w:szCs w:val="24"/>
        </w:rPr>
        <w:t>A1</w:t>
      </w:r>
      <w:r w:rsidRPr="00A70F6D">
        <w:rPr>
          <w:rFonts w:cs="Times New Roman"/>
          <w:szCs w:val="24"/>
        </w:rPr>
        <w:t>: Volume of sterling holdings in central banks' reserves.</w:t>
      </w:r>
      <w:r w:rsidR="00762C2E" w:rsidRPr="00762C2E">
        <w:rPr>
          <w:noProof/>
          <w:szCs w:val="24"/>
        </w:rPr>
        <w:t xml:space="preserve"> </w:t>
      </w:r>
      <w:r w:rsidR="00762C2E" w:rsidRPr="00762C2E">
        <w:rPr>
          <w:noProof/>
          <w:szCs w:val="24"/>
        </w:rPr>
        <w:drawing>
          <wp:inline distT="0" distB="0" distL="0" distR="0" wp14:anchorId="65CD177A" wp14:editId="7E4E43DD">
            <wp:extent cx="4603806" cy="3350761"/>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6725" cy="3352885"/>
                    </a:xfrm>
                    <a:prstGeom prst="rect">
                      <a:avLst/>
                    </a:prstGeom>
                    <a:noFill/>
                    <a:ln>
                      <a:noFill/>
                    </a:ln>
                  </pic:spPr>
                </pic:pic>
              </a:graphicData>
            </a:graphic>
          </wp:inline>
        </w:drawing>
      </w:r>
    </w:p>
    <w:p w14:paraId="41371672" w14:textId="1CC4BA92" w:rsidR="00E0104B" w:rsidRDefault="00E0104B" w:rsidP="00E0104B">
      <w:pPr>
        <w:pStyle w:val="NoSpacing"/>
        <w:rPr>
          <w:rFonts w:cs="Times New Roman"/>
          <w:sz w:val="20"/>
          <w:szCs w:val="20"/>
        </w:rPr>
      </w:pPr>
      <w:r w:rsidRPr="00A70F6D">
        <w:rPr>
          <w:rFonts w:cs="Times New Roman"/>
          <w:i/>
          <w:iCs/>
          <w:sz w:val="20"/>
          <w:szCs w:val="20"/>
        </w:rPr>
        <w:t>Source</w:t>
      </w:r>
      <w:r w:rsidRPr="00A70F6D">
        <w:rPr>
          <w:rFonts w:cs="Times New Roman"/>
          <w:sz w:val="20"/>
          <w:szCs w:val="20"/>
        </w:rPr>
        <w:t xml:space="preserve">: Author’s dataset, see text. </w:t>
      </w:r>
    </w:p>
    <w:p w14:paraId="5BEF875B" w14:textId="10130AFE" w:rsidR="00A20F5B" w:rsidRPr="000E73A0" w:rsidRDefault="000E73A0" w:rsidP="000E73A0">
      <w:pPr>
        <w:pStyle w:val="NoSpacing"/>
        <w:rPr>
          <w:rFonts w:cs="Times New Roman"/>
          <w:sz w:val="20"/>
          <w:szCs w:val="20"/>
          <w:lang w:val="en-GB"/>
        </w:rPr>
      </w:pPr>
      <w:r>
        <w:rPr>
          <w:rFonts w:cs="Times New Roman"/>
          <w:sz w:val="20"/>
          <w:szCs w:val="20"/>
          <w:lang w:val="en-GB"/>
        </w:rPr>
        <w:t xml:space="preserve">Note: </w:t>
      </w:r>
      <w:r w:rsidRPr="000E73A0">
        <w:rPr>
          <w:rFonts w:cs="Times New Roman"/>
          <w:sz w:val="20"/>
          <w:szCs w:val="20"/>
          <w:lang w:val="en-GB"/>
        </w:rPr>
        <w:t xml:space="preserve">The line for the sterling area represents the </w:t>
      </w:r>
      <w:r>
        <w:rPr>
          <w:rFonts w:cs="Times New Roman"/>
          <w:sz w:val="20"/>
          <w:szCs w:val="20"/>
          <w:lang w:val="en-GB"/>
        </w:rPr>
        <w:t>volume</w:t>
      </w:r>
      <w:r w:rsidRPr="000E73A0">
        <w:rPr>
          <w:rFonts w:cs="Times New Roman"/>
          <w:sz w:val="20"/>
          <w:szCs w:val="20"/>
          <w:lang w:val="en-GB"/>
        </w:rPr>
        <w:t xml:space="preserve"> of sterling for all members of the sterling area. This group is also divided among the British colonies and the independent sterling area members.</w:t>
      </w:r>
    </w:p>
    <w:p w14:paraId="58784605" w14:textId="1923039D" w:rsidR="0012434B" w:rsidRPr="00A70F6D" w:rsidRDefault="0012434B">
      <w:pPr>
        <w:spacing w:after="160" w:line="259" w:lineRule="auto"/>
        <w:ind w:firstLine="0"/>
        <w:jc w:val="left"/>
        <w:rPr>
          <w:rFonts w:eastAsiaTheme="majorEastAsia" w:cs="Times New Roman"/>
          <w:i/>
          <w:sz w:val="22"/>
          <w:szCs w:val="24"/>
          <w:lang w:val="en-US"/>
        </w:rPr>
      </w:pPr>
      <w:r w:rsidRPr="00A70F6D">
        <w:rPr>
          <w:rFonts w:eastAsiaTheme="majorEastAsia" w:cs="Times New Roman"/>
          <w:i/>
          <w:sz w:val="22"/>
          <w:szCs w:val="24"/>
          <w:lang w:val="en-US"/>
        </w:rPr>
        <w:br w:type="page"/>
      </w:r>
    </w:p>
    <w:p w14:paraId="6F4E50AF" w14:textId="6DAE3C18" w:rsidR="0012434B" w:rsidRPr="00A70F6D" w:rsidRDefault="0012434B" w:rsidP="00307ACA">
      <w:pPr>
        <w:spacing w:before="240" w:after="400" w:line="240" w:lineRule="auto"/>
        <w:ind w:left="1985" w:firstLine="0"/>
        <w:jc w:val="left"/>
        <w:outlineLvl w:val="2"/>
        <w:rPr>
          <w:rFonts w:eastAsiaTheme="majorEastAsia" w:cs="Times New Roman"/>
          <w:i/>
          <w:sz w:val="22"/>
          <w:szCs w:val="24"/>
          <w:lang w:val="en-US"/>
        </w:rPr>
      </w:pPr>
      <w:r w:rsidRPr="00A70F6D">
        <w:rPr>
          <w:rFonts w:eastAsiaTheme="majorEastAsia" w:cs="Times New Roman"/>
          <w:i/>
          <w:sz w:val="22"/>
          <w:szCs w:val="24"/>
          <w:lang w:val="en-US"/>
        </w:rPr>
        <w:lastRenderedPageBreak/>
        <w:t xml:space="preserve">Appendix 7: </w:t>
      </w:r>
      <w:r w:rsidR="00307ACA" w:rsidRPr="00A70F6D">
        <w:rPr>
          <w:rFonts w:eastAsiaTheme="majorEastAsia" w:cs="Times New Roman"/>
          <w:i/>
          <w:sz w:val="22"/>
          <w:szCs w:val="24"/>
          <w:lang w:val="en-US"/>
        </w:rPr>
        <w:t>Summary Statistics</w:t>
      </w:r>
    </w:p>
    <w:tbl>
      <w:tblPr>
        <w:tblStyle w:val="TableGrid1"/>
        <w:tblW w:w="8963" w:type="dxa"/>
        <w:tblInd w:w="-147" w:type="dxa"/>
        <w:tblLook w:val="04A0" w:firstRow="1" w:lastRow="0" w:firstColumn="1" w:lastColumn="0" w:noHBand="0" w:noVBand="1"/>
      </w:tblPr>
      <w:tblGrid>
        <w:gridCol w:w="1610"/>
        <w:gridCol w:w="4524"/>
        <w:gridCol w:w="676"/>
        <w:gridCol w:w="709"/>
        <w:gridCol w:w="678"/>
        <w:gridCol w:w="766"/>
      </w:tblGrid>
      <w:tr w:rsidR="0012434B" w:rsidRPr="00A70F6D" w14:paraId="2139CD3E" w14:textId="77777777" w:rsidTr="003D7885">
        <w:tc>
          <w:tcPr>
            <w:tcW w:w="1610" w:type="dxa"/>
          </w:tcPr>
          <w:p w14:paraId="51507F8F"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Variable Name</w:t>
            </w:r>
          </w:p>
        </w:tc>
        <w:tc>
          <w:tcPr>
            <w:tcW w:w="4524" w:type="dxa"/>
          </w:tcPr>
          <w:p w14:paraId="183A61CD"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Definition</w:t>
            </w:r>
          </w:p>
        </w:tc>
        <w:tc>
          <w:tcPr>
            <w:tcW w:w="676" w:type="dxa"/>
          </w:tcPr>
          <w:p w14:paraId="12C6A894"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 obs.</w:t>
            </w:r>
          </w:p>
        </w:tc>
        <w:tc>
          <w:tcPr>
            <w:tcW w:w="709" w:type="dxa"/>
          </w:tcPr>
          <w:p w14:paraId="6A3DE498"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Mean</w:t>
            </w:r>
          </w:p>
        </w:tc>
        <w:tc>
          <w:tcPr>
            <w:tcW w:w="678" w:type="dxa"/>
          </w:tcPr>
          <w:p w14:paraId="63778936"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Min</w:t>
            </w:r>
          </w:p>
        </w:tc>
        <w:tc>
          <w:tcPr>
            <w:tcW w:w="766" w:type="dxa"/>
          </w:tcPr>
          <w:p w14:paraId="7BD7CF54"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Max</w:t>
            </w:r>
          </w:p>
        </w:tc>
      </w:tr>
      <w:tr w:rsidR="0012434B" w:rsidRPr="00A70F6D" w14:paraId="6C8A7B49" w14:textId="77777777" w:rsidTr="003D7885">
        <w:tc>
          <w:tcPr>
            <w:tcW w:w="1610" w:type="dxa"/>
          </w:tcPr>
          <w:p w14:paraId="41838396" w14:textId="77777777" w:rsidR="0012434B" w:rsidRPr="00A70F6D" w:rsidRDefault="0012434B" w:rsidP="0012434B">
            <w:pPr>
              <w:spacing w:line="240" w:lineRule="auto"/>
              <w:ind w:firstLine="0"/>
              <w:jc w:val="center"/>
              <w:rPr>
                <w:rFonts w:cstheme="minorBidi"/>
                <w:i/>
                <w:sz w:val="22"/>
                <w:lang w:val="en-US"/>
              </w:rPr>
            </w:pPr>
            <m:oMathPara>
              <m:oMath>
                <m:r>
                  <w:rPr>
                    <w:rFonts w:ascii="Cambria Math" w:hAnsi="Cambria Math" w:cs="Times New Roman"/>
                    <w:sz w:val="22"/>
                    <w:lang w:val="en-US"/>
                  </w:rPr>
                  <m:t>Share</m:t>
                </m:r>
              </m:oMath>
            </m:oMathPara>
          </w:p>
        </w:tc>
        <w:tc>
          <w:tcPr>
            <w:tcW w:w="4524" w:type="dxa"/>
          </w:tcPr>
          <w:p w14:paraId="6D5BF6F1"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 xml:space="preserve">The share of sterling holdings within reserve portfolios of year </w:t>
            </w:r>
            <w:r w:rsidRPr="00A70F6D">
              <w:rPr>
                <w:rFonts w:cstheme="minorBidi"/>
                <w:i/>
                <w:sz w:val="22"/>
                <w:lang w:val="en-US"/>
              </w:rPr>
              <w:t>t</w:t>
            </w:r>
            <w:r w:rsidRPr="00A70F6D">
              <w:rPr>
                <w:rFonts w:cstheme="minorBidi"/>
                <w:sz w:val="22"/>
                <w:lang w:val="en-US"/>
              </w:rPr>
              <w:t>. The denominator is the sum of gold and foreign exchange holdings.</w:t>
            </w:r>
          </w:p>
        </w:tc>
        <w:tc>
          <w:tcPr>
            <w:tcW w:w="676" w:type="dxa"/>
          </w:tcPr>
          <w:p w14:paraId="7C1D7980"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489</w:t>
            </w:r>
          </w:p>
        </w:tc>
        <w:tc>
          <w:tcPr>
            <w:tcW w:w="709" w:type="dxa"/>
          </w:tcPr>
          <w:p w14:paraId="11CB30BE"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0.59</w:t>
            </w:r>
          </w:p>
        </w:tc>
        <w:tc>
          <w:tcPr>
            <w:tcW w:w="678" w:type="dxa"/>
          </w:tcPr>
          <w:p w14:paraId="3B19ABA3"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w:t>
            </w:r>
          </w:p>
        </w:tc>
        <w:tc>
          <w:tcPr>
            <w:tcW w:w="766" w:type="dxa"/>
          </w:tcPr>
          <w:p w14:paraId="62DA520C"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1</w:t>
            </w:r>
          </w:p>
        </w:tc>
      </w:tr>
      <w:tr w:rsidR="0012434B" w:rsidRPr="00A70F6D" w14:paraId="34479D06" w14:textId="77777777" w:rsidTr="003D7885">
        <w:tc>
          <w:tcPr>
            <w:tcW w:w="1610" w:type="dxa"/>
          </w:tcPr>
          <w:p w14:paraId="17A89310" w14:textId="77777777" w:rsidR="0012434B" w:rsidRPr="00A70F6D" w:rsidRDefault="0012434B" w:rsidP="0012434B">
            <w:pPr>
              <w:spacing w:line="240" w:lineRule="auto"/>
              <w:ind w:firstLine="0"/>
              <w:jc w:val="center"/>
              <w:rPr>
                <w:rFonts w:cstheme="minorBidi"/>
                <w:i/>
                <w:sz w:val="22"/>
                <w:lang w:val="en-US"/>
              </w:rPr>
            </w:pPr>
            <w:r w:rsidRPr="00A70F6D">
              <w:rPr>
                <w:rFonts w:cstheme="minorBidi"/>
                <w:i/>
                <w:sz w:val="22"/>
                <w:lang w:val="en-US"/>
              </w:rPr>
              <w:t>Sterling area membership</w:t>
            </w:r>
          </w:p>
        </w:tc>
        <w:tc>
          <w:tcPr>
            <w:tcW w:w="4524" w:type="dxa"/>
          </w:tcPr>
          <w:p w14:paraId="391E83E3"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 xml:space="preserve">Dummy coding 1 for countries that were member of the sterling area on year </w:t>
            </w:r>
            <w:r w:rsidRPr="00A70F6D">
              <w:rPr>
                <w:rFonts w:cstheme="minorBidi"/>
                <w:i/>
                <w:sz w:val="22"/>
                <w:lang w:val="en-US"/>
              </w:rPr>
              <w:t>t</w:t>
            </w:r>
            <w:r w:rsidRPr="00A70F6D">
              <w:rPr>
                <w:rFonts w:cstheme="minorBidi"/>
                <w:sz w:val="22"/>
                <w:lang w:val="en-US"/>
              </w:rPr>
              <w:t>.</w:t>
            </w:r>
          </w:p>
        </w:tc>
        <w:tc>
          <w:tcPr>
            <w:tcW w:w="676" w:type="dxa"/>
          </w:tcPr>
          <w:p w14:paraId="62B66258"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495</w:t>
            </w:r>
          </w:p>
        </w:tc>
        <w:tc>
          <w:tcPr>
            <w:tcW w:w="709" w:type="dxa"/>
          </w:tcPr>
          <w:p w14:paraId="09E7C3BB"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0.71</w:t>
            </w:r>
          </w:p>
        </w:tc>
        <w:tc>
          <w:tcPr>
            <w:tcW w:w="678" w:type="dxa"/>
          </w:tcPr>
          <w:p w14:paraId="1B4C96C8"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w:t>
            </w:r>
          </w:p>
        </w:tc>
        <w:tc>
          <w:tcPr>
            <w:tcW w:w="766" w:type="dxa"/>
          </w:tcPr>
          <w:p w14:paraId="644132D2"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1</w:t>
            </w:r>
          </w:p>
        </w:tc>
      </w:tr>
      <w:tr w:rsidR="0012434B" w:rsidRPr="00A70F6D" w14:paraId="6BD02D7E" w14:textId="77777777" w:rsidTr="003D7885">
        <w:tc>
          <w:tcPr>
            <w:tcW w:w="1610" w:type="dxa"/>
          </w:tcPr>
          <w:p w14:paraId="3A5FB6E3" w14:textId="77777777" w:rsidR="0012434B" w:rsidRPr="00A70F6D" w:rsidRDefault="0012434B" w:rsidP="0012434B">
            <w:pPr>
              <w:spacing w:line="240" w:lineRule="auto"/>
              <w:ind w:firstLine="0"/>
              <w:jc w:val="center"/>
              <w:rPr>
                <w:rFonts w:cstheme="minorBidi"/>
                <w:i/>
                <w:sz w:val="22"/>
                <w:lang w:val="en-US"/>
              </w:rPr>
            </w:pPr>
            <w:r w:rsidRPr="00A70F6D">
              <w:rPr>
                <w:rFonts w:cstheme="minorBidi"/>
                <w:i/>
                <w:sz w:val="22"/>
                <w:lang w:val="en-US"/>
              </w:rPr>
              <w:t>Trade intensity w/ UK</w:t>
            </w:r>
          </w:p>
        </w:tc>
        <w:tc>
          <w:tcPr>
            <w:tcW w:w="4524" w:type="dxa"/>
          </w:tcPr>
          <w:p w14:paraId="04F7F5CA" w14:textId="77777777" w:rsidR="0012434B" w:rsidRPr="00A70F6D" w:rsidRDefault="0012434B" w:rsidP="0012434B">
            <w:pPr>
              <w:spacing w:line="240" w:lineRule="auto"/>
              <w:ind w:firstLine="0"/>
              <w:jc w:val="center"/>
              <w:rPr>
                <w:rFonts w:cstheme="minorBidi"/>
                <w:sz w:val="22"/>
                <w:lang w:val="en-US"/>
              </w:rPr>
            </w:pPr>
            <w:proofErr w:type="spellStart"/>
            <w:r w:rsidRPr="00A70F6D">
              <w:rPr>
                <w:rFonts w:cs="Times New Roman"/>
                <w:sz w:val="22"/>
                <w:szCs w:val="24"/>
                <w:lang w:val="en-US"/>
              </w:rPr>
              <w:t>Koijma</w:t>
            </w:r>
            <w:proofErr w:type="spellEnd"/>
            <w:r w:rsidRPr="00A70F6D">
              <w:rPr>
                <w:rFonts w:cs="Times New Roman"/>
                <w:sz w:val="22"/>
                <w:szCs w:val="24"/>
                <w:lang w:val="en-US"/>
              </w:rPr>
              <w:t xml:space="preserve"> </w:t>
            </w:r>
            <w:r w:rsidRPr="00A70F6D">
              <w:rPr>
                <w:rFonts w:cstheme="minorBidi"/>
                <w:sz w:val="22"/>
                <w:lang w:val="en-US"/>
              </w:rPr>
              <w:t>index of trade intensity for year t</w:t>
            </w:r>
          </w:p>
          <w:p w14:paraId="379CF943" w14:textId="77777777" w:rsidR="0012434B" w:rsidRPr="00A70F6D" w:rsidRDefault="008C74D1" w:rsidP="0012434B">
            <w:pPr>
              <w:spacing w:line="240" w:lineRule="auto"/>
              <w:ind w:firstLine="0"/>
              <w:jc w:val="left"/>
              <w:rPr>
                <w:rFonts w:eastAsiaTheme="minorEastAsia" w:cs="Times New Roman"/>
                <w:sz w:val="22"/>
                <w:szCs w:val="24"/>
                <w:lang w:val="en-US"/>
              </w:rPr>
            </w:pPr>
            <m:oMathPara>
              <m:oMath>
                <m:sSub>
                  <m:sSubPr>
                    <m:ctrlPr>
                      <w:rPr>
                        <w:rFonts w:ascii="Cambria Math" w:hAnsi="Cambria Math" w:cs="Times New Roman"/>
                        <w:i/>
                        <w:sz w:val="22"/>
                        <w:szCs w:val="24"/>
                        <w:lang w:val="en-US"/>
                      </w:rPr>
                    </m:ctrlPr>
                  </m:sSubPr>
                  <m:e>
                    <m:r>
                      <w:rPr>
                        <w:rFonts w:ascii="Cambria Math" w:hAnsi="Cambria Math" w:cs="Times New Roman"/>
                        <w:sz w:val="22"/>
                        <w:szCs w:val="24"/>
                        <w:lang w:val="en-US"/>
                      </w:rPr>
                      <m:t>I</m:t>
                    </m:r>
                  </m:e>
                  <m:sub>
                    <m:r>
                      <w:rPr>
                        <w:rFonts w:ascii="Cambria Math" w:hAnsi="Cambria Math" w:cs="Times New Roman"/>
                        <w:sz w:val="22"/>
                        <w:szCs w:val="24"/>
                        <w:lang w:val="en-US"/>
                      </w:rPr>
                      <m:t>i</m:t>
                    </m:r>
                    <m:r>
                      <w:rPr>
                        <w:rFonts w:ascii="Cambria Math" w:hAnsi="Cambria Math" w:cs="Times New Roman"/>
                        <w:sz w:val="22"/>
                        <w:szCs w:val="24"/>
                        <w:lang w:val="en-US"/>
                      </w:rPr>
                      <m:t>,</m:t>
                    </m:r>
                    <m:r>
                      <w:rPr>
                        <w:rFonts w:ascii="Cambria Math" w:hAnsi="Cambria Math" w:cs="Times New Roman"/>
                        <w:sz w:val="22"/>
                        <w:szCs w:val="24"/>
                        <w:lang w:val="en-US"/>
                      </w:rPr>
                      <m:t>j</m:t>
                    </m:r>
                  </m:sub>
                </m:sSub>
                <m:r>
                  <w:rPr>
                    <w:rFonts w:ascii="Cambria Math" w:hAnsi="Cambria Math" w:cs="Times New Roman"/>
                    <w:sz w:val="22"/>
                    <w:szCs w:val="24"/>
                    <w:lang w:val="en-US"/>
                  </w:rPr>
                  <m:t>=(</m:t>
                </m:r>
                <m:f>
                  <m:fPr>
                    <m:ctrlPr>
                      <w:rPr>
                        <w:rFonts w:ascii="Cambria Math" w:hAnsi="Cambria Math" w:cs="Times New Roman"/>
                        <w:i/>
                        <w:sz w:val="22"/>
                        <w:szCs w:val="24"/>
                        <w:lang w:val="en-US"/>
                      </w:rPr>
                    </m:ctrlPr>
                  </m:fPr>
                  <m:num>
                    <m:sSub>
                      <m:sSubPr>
                        <m:ctrlPr>
                          <w:rPr>
                            <w:rFonts w:ascii="Cambria Math" w:hAnsi="Cambria Math" w:cs="Times New Roman"/>
                            <w:i/>
                            <w:sz w:val="22"/>
                            <w:szCs w:val="24"/>
                            <w:lang w:val="en-US"/>
                          </w:rPr>
                        </m:ctrlPr>
                      </m:sSubPr>
                      <m:e>
                        <m:r>
                          <w:rPr>
                            <w:rFonts w:ascii="Cambria Math" w:hAnsi="Cambria Math" w:cs="Times New Roman"/>
                            <w:sz w:val="22"/>
                            <w:szCs w:val="24"/>
                            <w:lang w:val="en-US"/>
                          </w:rPr>
                          <m:t>X</m:t>
                        </m:r>
                      </m:e>
                      <m:sub>
                        <m:r>
                          <w:rPr>
                            <w:rFonts w:ascii="Cambria Math" w:hAnsi="Cambria Math" w:cs="Times New Roman"/>
                            <w:sz w:val="22"/>
                            <w:szCs w:val="24"/>
                            <w:lang w:val="en-US"/>
                          </w:rPr>
                          <m:t>ij</m:t>
                        </m:r>
                      </m:sub>
                    </m:sSub>
                  </m:num>
                  <m:den>
                    <m:r>
                      <w:rPr>
                        <w:rFonts w:ascii="Cambria Math" w:hAnsi="Cambria Math" w:cs="Times New Roman"/>
                        <w:sz w:val="22"/>
                        <w:szCs w:val="24"/>
                        <w:lang w:val="en-US"/>
                      </w:rPr>
                      <m:t>Xi</m:t>
                    </m:r>
                  </m:den>
                </m:f>
                <m:r>
                  <w:rPr>
                    <w:rFonts w:ascii="Cambria Math" w:hAnsi="Cambria Math" w:cs="Times New Roman"/>
                    <w:sz w:val="22"/>
                    <w:szCs w:val="24"/>
                    <w:lang w:val="en-US"/>
                  </w:rPr>
                  <m:t>)/(</m:t>
                </m:r>
                <m:f>
                  <m:fPr>
                    <m:ctrlPr>
                      <w:rPr>
                        <w:rFonts w:ascii="Cambria Math" w:hAnsi="Cambria Math" w:cs="Times New Roman"/>
                        <w:i/>
                        <w:sz w:val="22"/>
                        <w:szCs w:val="24"/>
                        <w:lang w:val="en-US"/>
                      </w:rPr>
                    </m:ctrlPr>
                  </m:fPr>
                  <m:num>
                    <m:sSub>
                      <m:sSubPr>
                        <m:ctrlPr>
                          <w:rPr>
                            <w:rFonts w:ascii="Cambria Math" w:hAnsi="Cambria Math" w:cs="Times New Roman"/>
                            <w:i/>
                            <w:sz w:val="22"/>
                            <w:szCs w:val="24"/>
                            <w:lang w:val="en-US"/>
                          </w:rPr>
                        </m:ctrlPr>
                      </m:sSubPr>
                      <m:e>
                        <m:r>
                          <w:rPr>
                            <w:rFonts w:ascii="Cambria Math" w:hAnsi="Cambria Math" w:cs="Times New Roman"/>
                            <w:sz w:val="22"/>
                            <w:szCs w:val="24"/>
                            <w:lang w:val="en-US"/>
                          </w:rPr>
                          <m:t>M</m:t>
                        </m:r>
                      </m:e>
                      <m:sub>
                        <m:r>
                          <w:rPr>
                            <w:rFonts w:ascii="Cambria Math" w:hAnsi="Cambria Math" w:cs="Times New Roman"/>
                            <w:sz w:val="22"/>
                            <w:szCs w:val="24"/>
                            <w:lang w:val="en-US"/>
                          </w:rPr>
                          <m:t>j</m:t>
                        </m:r>
                      </m:sub>
                    </m:sSub>
                  </m:num>
                  <m:den>
                    <m:sSub>
                      <m:sSubPr>
                        <m:ctrlPr>
                          <w:rPr>
                            <w:rFonts w:ascii="Cambria Math" w:hAnsi="Cambria Math" w:cs="Times New Roman"/>
                            <w:i/>
                            <w:sz w:val="22"/>
                            <w:szCs w:val="24"/>
                            <w:lang w:val="en-US"/>
                          </w:rPr>
                        </m:ctrlPr>
                      </m:sSubPr>
                      <m:e>
                        <m:r>
                          <w:rPr>
                            <w:rFonts w:ascii="Cambria Math" w:hAnsi="Cambria Math" w:cs="Times New Roman"/>
                            <w:sz w:val="22"/>
                            <w:szCs w:val="24"/>
                            <w:lang w:val="en-US"/>
                          </w:rPr>
                          <m:t>M</m:t>
                        </m:r>
                      </m:e>
                      <m:sub>
                        <m:r>
                          <w:rPr>
                            <w:rFonts w:ascii="Cambria Math" w:hAnsi="Cambria Math" w:cs="Times New Roman"/>
                            <w:sz w:val="22"/>
                            <w:szCs w:val="24"/>
                            <w:lang w:val="en-US"/>
                          </w:rPr>
                          <m:t>w</m:t>
                        </m:r>
                      </m:sub>
                    </m:sSub>
                    <m:r>
                      <w:rPr>
                        <w:rFonts w:ascii="Cambria Math" w:hAnsi="Cambria Math" w:cs="Times New Roman"/>
                        <w:sz w:val="22"/>
                        <w:szCs w:val="24"/>
                        <w:lang w:val="en-US"/>
                      </w:rPr>
                      <m:t>-</m:t>
                    </m:r>
                    <m:r>
                      <w:rPr>
                        <w:rFonts w:ascii="Cambria Math" w:hAnsi="Cambria Math" w:cs="Times New Roman"/>
                        <w:sz w:val="22"/>
                        <w:szCs w:val="24"/>
                        <w:lang w:val="en-US"/>
                      </w:rPr>
                      <m:t>Mi</m:t>
                    </m:r>
                  </m:den>
                </m:f>
                <m:r>
                  <w:rPr>
                    <w:rFonts w:ascii="Cambria Math" w:hAnsi="Cambria Math" w:cs="Times New Roman"/>
                    <w:sz w:val="22"/>
                    <w:szCs w:val="24"/>
                    <w:lang w:val="en-US"/>
                  </w:rPr>
                  <m:t xml:space="preserve">) </m:t>
                </m:r>
              </m:oMath>
            </m:oMathPara>
          </w:p>
          <w:p w14:paraId="1C133FA1"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 xml:space="preserve"> (see Online Appendix 1)</w:t>
            </w:r>
          </w:p>
        </w:tc>
        <w:tc>
          <w:tcPr>
            <w:tcW w:w="676" w:type="dxa"/>
          </w:tcPr>
          <w:p w14:paraId="297CD77C"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455</w:t>
            </w:r>
          </w:p>
        </w:tc>
        <w:tc>
          <w:tcPr>
            <w:tcW w:w="709" w:type="dxa"/>
          </w:tcPr>
          <w:p w14:paraId="35637B47"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2.76</w:t>
            </w:r>
          </w:p>
        </w:tc>
        <w:tc>
          <w:tcPr>
            <w:tcW w:w="678" w:type="dxa"/>
          </w:tcPr>
          <w:p w14:paraId="447D145B"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w:t>
            </w:r>
          </w:p>
        </w:tc>
        <w:tc>
          <w:tcPr>
            <w:tcW w:w="766" w:type="dxa"/>
          </w:tcPr>
          <w:p w14:paraId="0D82BE6E"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11.1</w:t>
            </w:r>
          </w:p>
        </w:tc>
      </w:tr>
      <w:tr w:rsidR="0012434B" w:rsidRPr="00A70F6D" w14:paraId="060485C0" w14:textId="77777777" w:rsidTr="003D7885">
        <w:tc>
          <w:tcPr>
            <w:tcW w:w="1610" w:type="dxa"/>
          </w:tcPr>
          <w:p w14:paraId="2C6E2912" w14:textId="77777777" w:rsidR="0012434B" w:rsidRPr="00A70F6D" w:rsidRDefault="0012434B" w:rsidP="0012434B">
            <w:pPr>
              <w:spacing w:line="240" w:lineRule="auto"/>
              <w:ind w:firstLine="0"/>
              <w:jc w:val="center"/>
              <w:rPr>
                <w:rFonts w:cstheme="minorBidi"/>
                <w:i/>
                <w:sz w:val="22"/>
                <w:lang w:val="en-US"/>
              </w:rPr>
            </w:pPr>
            <w:r w:rsidRPr="00A70F6D">
              <w:rPr>
                <w:rFonts w:cstheme="minorBidi"/>
                <w:i/>
                <w:sz w:val="22"/>
                <w:lang w:val="en-US"/>
              </w:rPr>
              <w:t>GDP ratio</w:t>
            </w:r>
          </w:p>
        </w:tc>
        <w:tc>
          <w:tcPr>
            <w:tcW w:w="4524" w:type="dxa"/>
          </w:tcPr>
          <w:p w14:paraId="192A5967"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 xml:space="preserve">Ratio of country </w:t>
            </w:r>
            <w:r w:rsidRPr="00A70F6D">
              <w:rPr>
                <w:rFonts w:cstheme="minorBidi"/>
                <w:i/>
                <w:sz w:val="22"/>
                <w:lang w:val="en-US"/>
              </w:rPr>
              <w:t>i</w:t>
            </w:r>
            <w:r w:rsidRPr="00A70F6D">
              <w:rPr>
                <w:rFonts w:cstheme="minorBidi"/>
                <w:sz w:val="22"/>
                <w:lang w:val="en-US"/>
              </w:rPr>
              <w:t xml:space="preserve">’s GDP and British GDP for year </w:t>
            </w:r>
            <w:r w:rsidRPr="00A70F6D">
              <w:rPr>
                <w:rFonts w:cstheme="minorBidi"/>
                <w:i/>
                <w:sz w:val="22"/>
                <w:lang w:val="en-US"/>
              </w:rPr>
              <w:t>t</w:t>
            </w:r>
            <w:r w:rsidRPr="00A70F6D">
              <w:rPr>
                <w:rFonts w:cstheme="minorBidi"/>
                <w:sz w:val="22"/>
                <w:lang w:val="en-US"/>
              </w:rPr>
              <w:t xml:space="preserve">, measured in nominal terms. </w:t>
            </w:r>
          </w:p>
        </w:tc>
        <w:tc>
          <w:tcPr>
            <w:tcW w:w="676" w:type="dxa"/>
          </w:tcPr>
          <w:p w14:paraId="08B4914C"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456</w:t>
            </w:r>
          </w:p>
        </w:tc>
        <w:tc>
          <w:tcPr>
            <w:tcW w:w="709" w:type="dxa"/>
          </w:tcPr>
          <w:p w14:paraId="1236D206"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0.16</w:t>
            </w:r>
          </w:p>
        </w:tc>
        <w:tc>
          <w:tcPr>
            <w:tcW w:w="678" w:type="dxa"/>
          </w:tcPr>
          <w:p w14:paraId="5C23F99C"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0.01</w:t>
            </w:r>
          </w:p>
        </w:tc>
        <w:tc>
          <w:tcPr>
            <w:tcW w:w="766" w:type="dxa"/>
          </w:tcPr>
          <w:p w14:paraId="6B2BAFCF"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1.68</w:t>
            </w:r>
          </w:p>
        </w:tc>
      </w:tr>
      <w:tr w:rsidR="0012434B" w:rsidRPr="00A70F6D" w14:paraId="7704740C" w14:textId="77777777" w:rsidTr="003D7885">
        <w:tc>
          <w:tcPr>
            <w:tcW w:w="1610" w:type="dxa"/>
          </w:tcPr>
          <w:p w14:paraId="768BB970" w14:textId="77777777" w:rsidR="0012434B" w:rsidRPr="00A70F6D" w:rsidRDefault="0012434B" w:rsidP="0012434B">
            <w:pPr>
              <w:spacing w:line="240" w:lineRule="auto"/>
              <w:ind w:firstLine="0"/>
              <w:jc w:val="center"/>
              <w:rPr>
                <w:rFonts w:cstheme="minorBidi"/>
                <w:i/>
                <w:sz w:val="22"/>
                <w:lang w:val="en-US"/>
              </w:rPr>
            </w:pPr>
            <w:r w:rsidRPr="00A70F6D">
              <w:rPr>
                <w:rFonts w:cstheme="minorBidi"/>
                <w:i/>
                <w:sz w:val="22"/>
                <w:lang w:val="en-US"/>
              </w:rPr>
              <w:t>Inertia</w:t>
            </w:r>
          </w:p>
        </w:tc>
        <w:tc>
          <w:tcPr>
            <w:tcW w:w="4524" w:type="dxa"/>
          </w:tcPr>
          <w:p w14:paraId="695601B5"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 xml:space="preserve">The sterling share of the reserves of country </w:t>
            </w:r>
            <w:r w:rsidRPr="00A70F6D">
              <w:rPr>
                <w:rFonts w:cstheme="minorBidi"/>
                <w:i/>
                <w:sz w:val="22"/>
                <w:lang w:val="en-US"/>
              </w:rPr>
              <w:t>i</w:t>
            </w:r>
            <w:r w:rsidRPr="00A70F6D">
              <w:rPr>
                <w:rFonts w:cstheme="minorBidi"/>
                <w:sz w:val="22"/>
                <w:lang w:val="en-US"/>
              </w:rPr>
              <w:t xml:space="preserve"> in 1953.</w:t>
            </w:r>
          </w:p>
        </w:tc>
        <w:tc>
          <w:tcPr>
            <w:tcW w:w="676" w:type="dxa"/>
          </w:tcPr>
          <w:p w14:paraId="238C7F0E"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495</w:t>
            </w:r>
          </w:p>
        </w:tc>
        <w:tc>
          <w:tcPr>
            <w:tcW w:w="709" w:type="dxa"/>
          </w:tcPr>
          <w:p w14:paraId="5FF3110E"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0.68</w:t>
            </w:r>
          </w:p>
        </w:tc>
        <w:tc>
          <w:tcPr>
            <w:tcW w:w="678" w:type="dxa"/>
          </w:tcPr>
          <w:p w14:paraId="0AE21F2E"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w:t>
            </w:r>
          </w:p>
        </w:tc>
        <w:tc>
          <w:tcPr>
            <w:tcW w:w="766" w:type="dxa"/>
          </w:tcPr>
          <w:p w14:paraId="1FD2DA11"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1</w:t>
            </w:r>
          </w:p>
        </w:tc>
      </w:tr>
      <w:tr w:rsidR="0012434B" w:rsidRPr="00A70F6D" w14:paraId="7A40FB59" w14:textId="77777777" w:rsidTr="003D7885">
        <w:tc>
          <w:tcPr>
            <w:tcW w:w="1610" w:type="dxa"/>
          </w:tcPr>
          <w:p w14:paraId="00E4E135" w14:textId="77777777" w:rsidR="0012434B" w:rsidRPr="00A70F6D" w:rsidRDefault="0012434B" w:rsidP="0012434B">
            <w:pPr>
              <w:spacing w:line="240" w:lineRule="auto"/>
              <w:ind w:firstLine="0"/>
              <w:jc w:val="center"/>
              <w:rPr>
                <w:rFonts w:cstheme="minorBidi"/>
                <w:i/>
                <w:sz w:val="22"/>
                <w:lang w:val="en-US"/>
              </w:rPr>
            </w:pPr>
            <w:r w:rsidRPr="00A70F6D">
              <w:rPr>
                <w:rFonts w:cstheme="minorBidi"/>
                <w:i/>
                <w:sz w:val="22"/>
                <w:lang w:val="en-US"/>
              </w:rPr>
              <w:t>Colonies</w:t>
            </w:r>
          </w:p>
        </w:tc>
        <w:tc>
          <w:tcPr>
            <w:tcW w:w="4524" w:type="dxa"/>
          </w:tcPr>
          <w:p w14:paraId="67A050A5" w14:textId="77777777" w:rsidR="0012434B" w:rsidRPr="00A70F6D" w:rsidRDefault="0012434B" w:rsidP="0012434B">
            <w:pPr>
              <w:spacing w:line="240" w:lineRule="auto"/>
              <w:ind w:firstLine="0"/>
              <w:jc w:val="center"/>
              <w:rPr>
                <w:rFonts w:cstheme="minorBidi"/>
                <w:sz w:val="22"/>
                <w:lang w:val="en-US"/>
              </w:rPr>
            </w:pPr>
            <w:r w:rsidRPr="00A70F6D">
              <w:rPr>
                <w:rFonts w:eastAsiaTheme="minorEastAsia" w:cstheme="minorBidi"/>
                <w:sz w:val="22"/>
                <w:lang w:val="en-US"/>
              </w:rPr>
              <w:t xml:space="preserve">Dummy coding 1 if country </w:t>
            </w:r>
            <w:r w:rsidRPr="00A70F6D">
              <w:rPr>
                <w:rFonts w:eastAsiaTheme="minorEastAsia" w:cstheme="minorBidi"/>
                <w:i/>
                <w:iCs/>
                <w:sz w:val="22"/>
                <w:lang w:val="en-US"/>
              </w:rPr>
              <w:t>i</w:t>
            </w:r>
            <w:r w:rsidRPr="00A70F6D">
              <w:rPr>
                <w:rFonts w:eastAsiaTheme="minorEastAsia" w:cstheme="minorBidi"/>
                <w:sz w:val="22"/>
                <w:lang w:val="en-US"/>
              </w:rPr>
              <w:t xml:space="preserve"> is a British colony in year </w:t>
            </w:r>
            <w:r w:rsidRPr="00A70F6D">
              <w:rPr>
                <w:rFonts w:eastAsiaTheme="minorEastAsia" w:cstheme="minorBidi"/>
                <w:i/>
                <w:iCs/>
                <w:sz w:val="22"/>
                <w:lang w:val="en-US"/>
              </w:rPr>
              <w:t>t.</w:t>
            </w:r>
          </w:p>
        </w:tc>
        <w:tc>
          <w:tcPr>
            <w:tcW w:w="676" w:type="dxa"/>
          </w:tcPr>
          <w:p w14:paraId="0C42B219"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495</w:t>
            </w:r>
          </w:p>
        </w:tc>
        <w:tc>
          <w:tcPr>
            <w:tcW w:w="709" w:type="dxa"/>
          </w:tcPr>
          <w:p w14:paraId="75B71417"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0.78</w:t>
            </w:r>
          </w:p>
        </w:tc>
        <w:tc>
          <w:tcPr>
            <w:tcW w:w="678" w:type="dxa"/>
          </w:tcPr>
          <w:p w14:paraId="0B8A9A3D"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0</w:t>
            </w:r>
          </w:p>
        </w:tc>
        <w:tc>
          <w:tcPr>
            <w:tcW w:w="766" w:type="dxa"/>
          </w:tcPr>
          <w:p w14:paraId="5F4BCE94"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1</w:t>
            </w:r>
          </w:p>
        </w:tc>
      </w:tr>
      <w:tr w:rsidR="0012434B" w:rsidRPr="00A70F6D" w14:paraId="24210764" w14:textId="77777777" w:rsidTr="003D7885">
        <w:tc>
          <w:tcPr>
            <w:tcW w:w="1610" w:type="dxa"/>
          </w:tcPr>
          <w:p w14:paraId="29F781A4" w14:textId="77777777" w:rsidR="0012434B" w:rsidRPr="00A70F6D" w:rsidRDefault="0012434B" w:rsidP="0012434B">
            <w:pPr>
              <w:spacing w:line="240" w:lineRule="auto"/>
              <w:ind w:firstLine="0"/>
              <w:jc w:val="center"/>
              <w:rPr>
                <w:rFonts w:cstheme="minorBidi"/>
                <w:i/>
                <w:sz w:val="22"/>
                <w:lang w:val="en-US"/>
              </w:rPr>
            </w:pPr>
            <w:r w:rsidRPr="00A70F6D">
              <w:rPr>
                <w:rFonts w:cstheme="minorBidi"/>
                <w:i/>
                <w:sz w:val="22"/>
                <w:lang w:val="en-US"/>
              </w:rPr>
              <w:t>Weighted Distance</w:t>
            </w:r>
          </w:p>
        </w:tc>
        <w:tc>
          <w:tcPr>
            <w:tcW w:w="4524" w:type="dxa"/>
          </w:tcPr>
          <w:p w14:paraId="1735313E" w14:textId="77777777" w:rsidR="0012434B" w:rsidRPr="00A70F6D" w:rsidRDefault="0012434B" w:rsidP="0012434B">
            <w:pPr>
              <w:spacing w:line="240" w:lineRule="auto"/>
              <w:ind w:firstLine="0"/>
              <w:jc w:val="center"/>
              <w:rPr>
                <w:rFonts w:cstheme="minorBidi"/>
                <w:sz w:val="22"/>
                <w:lang w:val="en-US"/>
              </w:rPr>
            </w:pPr>
            <w:r w:rsidRPr="00A70F6D">
              <w:rPr>
                <w:rFonts w:eastAsiaTheme="minorEastAsia" w:cstheme="minorBidi"/>
                <w:sz w:val="22"/>
                <w:lang w:val="en-US"/>
              </w:rPr>
              <w:t xml:space="preserve">Distance from country </w:t>
            </w:r>
            <w:r w:rsidRPr="00A70F6D">
              <w:rPr>
                <w:rFonts w:eastAsiaTheme="minorEastAsia" w:cstheme="minorBidi"/>
                <w:i/>
                <w:sz w:val="22"/>
                <w:lang w:val="en-US"/>
              </w:rPr>
              <w:t>i</w:t>
            </w:r>
            <w:r w:rsidRPr="00A70F6D">
              <w:rPr>
                <w:rFonts w:eastAsiaTheme="minorEastAsia" w:cstheme="minorBidi"/>
                <w:sz w:val="22"/>
                <w:lang w:val="en-US"/>
              </w:rPr>
              <w:t xml:space="preserve"> to the United Kingdom, weighted by population size.</w:t>
            </w:r>
          </w:p>
        </w:tc>
        <w:tc>
          <w:tcPr>
            <w:tcW w:w="676" w:type="dxa"/>
          </w:tcPr>
          <w:p w14:paraId="6EAEE7FE" w14:textId="77777777" w:rsidR="0012434B" w:rsidRPr="00A70F6D" w:rsidRDefault="0012434B" w:rsidP="0012434B">
            <w:pPr>
              <w:spacing w:line="240" w:lineRule="auto"/>
              <w:ind w:firstLine="0"/>
              <w:jc w:val="center"/>
              <w:rPr>
                <w:rFonts w:cstheme="minorBidi"/>
                <w:sz w:val="22"/>
                <w:lang w:val="en-US"/>
              </w:rPr>
            </w:pPr>
            <w:r w:rsidRPr="00A70F6D">
              <w:rPr>
                <w:rFonts w:cstheme="minorBidi"/>
                <w:sz w:val="22"/>
                <w:lang w:val="en-US"/>
              </w:rPr>
              <w:t>479</w:t>
            </w:r>
          </w:p>
        </w:tc>
        <w:tc>
          <w:tcPr>
            <w:tcW w:w="709" w:type="dxa"/>
          </w:tcPr>
          <w:p w14:paraId="4706FE9F"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6077</w:t>
            </w:r>
          </w:p>
        </w:tc>
        <w:tc>
          <w:tcPr>
            <w:tcW w:w="678" w:type="dxa"/>
          </w:tcPr>
          <w:p w14:paraId="726303A2"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425</w:t>
            </w:r>
          </w:p>
        </w:tc>
        <w:tc>
          <w:tcPr>
            <w:tcW w:w="766" w:type="dxa"/>
          </w:tcPr>
          <w:p w14:paraId="5B8F50F1" w14:textId="77777777" w:rsidR="0012434B" w:rsidRPr="00A70F6D" w:rsidRDefault="0012434B" w:rsidP="00307ACA">
            <w:pPr>
              <w:spacing w:line="240" w:lineRule="auto"/>
              <w:ind w:firstLine="0"/>
              <w:jc w:val="center"/>
              <w:rPr>
                <w:rFonts w:cstheme="minorBidi"/>
                <w:sz w:val="22"/>
                <w:lang w:val="en-US"/>
              </w:rPr>
            </w:pPr>
            <w:r w:rsidRPr="00A70F6D">
              <w:rPr>
                <w:rFonts w:cstheme="minorBidi"/>
                <w:sz w:val="22"/>
                <w:lang w:val="en-US"/>
              </w:rPr>
              <w:t>18521</w:t>
            </w:r>
          </w:p>
        </w:tc>
      </w:tr>
    </w:tbl>
    <w:p w14:paraId="327F0C6D" w14:textId="77777777" w:rsidR="00A241DC" w:rsidRDefault="00A241DC" w:rsidP="00A241DC">
      <w:pPr>
        <w:spacing w:after="160" w:line="259" w:lineRule="auto"/>
        <w:ind w:firstLine="0"/>
        <w:jc w:val="left"/>
        <w:rPr>
          <w:rFonts w:eastAsiaTheme="majorEastAsia" w:cs="Times New Roman"/>
          <w:sz w:val="22"/>
          <w:szCs w:val="24"/>
          <w:lang w:val="en-US"/>
        </w:rPr>
      </w:pPr>
    </w:p>
    <w:p w14:paraId="3F9B66FF" w14:textId="3512F59F" w:rsidR="00A241DC" w:rsidRPr="00A241DC" w:rsidRDefault="00A241DC" w:rsidP="00A241DC">
      <w:pPr>
        <w:spacing w:line="480" w:lineRule="auto"/>
        <w:ind w:left="360" w:firstLine="0"/>
        <w:jc w:val="center"/>
        <w:outlineLvl w:val="1"/>
        <w:rPr>
          <w:rFonts w:ascii="Times New Roman" w:eastAsia="Times New Roman" w:hAnsi="Times New Roman" w:cs="Times New Roman"/>
          <w:bCs/>
          <w:iCs/>
          <w:szCs w:val="24"/>
          <w:lang w:val="fr-FR"/>
        </w:rPr>
      </w:pPr>
      <w:r w:rsidRPr="00A241DC">
        <w:rPr>
          <w:rFonts w:ascii="Times New Roman" w:eastAsia="Times New Roman" w:hAnsi="Times New Roman" w:cs="Times New Roman"/>
          <w:bCs/>
          <w:iCs/>
          <w:szCs w:val="24"/>
          <w:lang w:val="fr-FR"/>
        </w:rPr>
        <w:t>REFERENCES</w:t>
      </w:r>
    </w:p>
    <w:p w14:paraId="722893B1" w14:textId="77777777" w:rsidR="00A241DC" w:rsidRDefault="00A241DC" w:rsidP="00A241DC">
      <w:pPr>
        <w:spacing w:after="160" w:line="259" w:lineRule="auto"/>
        <w:ind w:firstLine="0"/>
        <w:jc w:val="left"/>
        <w:rPr>
          <w:rFonts w:eastAsiaTheme="majorEastAsia" w:cs="Times New Roman"/>
          <w:sz w:val="22"/>
          <w:szCs w:val="24"/>
          <w:lang w:val="en-US"/>
        </w:rPr>
      </w:pPr>
    </w:p>
    <w:p w14:paraId="162417FF" w14:textId="77777777" w:rsidR="00A241DC" w:rsidRDefault="00A241DC" w:rsidP="00A241DC">
      <w:pPr>
        <w:spacing w:line="480" w:lineRule="auto"/>
        <w:ind w:left="720" w:hanging="720"/>
        <w:rPr>
          <w:rFonts w:ascii="Times New Roman" w:hAnsi="Times New Roman" w:cs="Times New Roman"/>
          <w:sz w:val="22"/>
          <w:szCs w:val="20"/>
          <w:lang w:val="en-US"/>
        </w:rPr>
      </w:pPr>
      <w:r w:rsidRPr="00B31FD4">
        <w:rPr>
          <w:rFonts w:ascii="Times New Roman" w:hAnsi="Times New Roman" w:cs="Times New Roman"/>
          <w:sz w:val="22"/>
          <w:szCs w:val="20"/>
          <w:lang w:val="en-US"/>
        </w:rPr>
        <w:t>Ben-</w:t>
      </w:r>
      <w:proofErr w:type="spellStart"/>
      <w:r w:rsidRPr="00B31FD4">
        <w:rPr>
          <w:rFonts w:ascii="Times New Roman" w:hAnsi="Times New Roman" w:cs="Times New Roman"/>
          <w:sz w:val="22"/>
          <w:szCs w:val="20"/>
          <w:lang w:val="en-US"/>
        </w:rPr>
        <w:t>Bassat</w:t>
      </w:r>
      <w:proofErr w:type="spellEnd"/>
      <w:r w:rsidRPr="00B31FD4">
        <w:rPr>
          <w:rFonts w:ascii="Times New Roman" w:hAnsi="Times New Roman" w:cs="Times New Roman"/>
          <w:sz w:val="22"/>
          <w:szCs w:val="20"/>
          <w:lang w:val="en-US"/>
        </w:rPr>
        <w:t xml:space="preserve">, Avraham. “The Optimal Composition of Foreign Exchange Reserves.” </w:t>
      </w:r>
      <w:r w:rsidRPr="00B31FD4">
        <w:rPr>
          <w:rFonts w:ascii="Times New Roman" w:hAnsi="Times New Roman" w:cs="Times New Roman"/>
          <w:i/>
          <w:iCs/>
          <w:sz w:val="22"/>
          <w:szCs w:val="20"/>
          <w:lang w:val="en-US"/>
        </w:rPr>
        <w:t>Journal of International Economics</w:t>
      </w:r>
      <w:r w:rsidRPr="00B31FD4">
        <w:rPr>
          <w:rFonts w:ascii="Times New Roman" w:hAnsi="Times New Roman" w:cs="Times New Roman"/>
          <w:sz w:val="22"/>
          <w:szCs w:val="20"/>
          <w:lang w:val="en-US"/>
        </w:rPr>
        <w:t xml:space="preserve"> 10, no. 2 (1980): 285–95. </w:t>
      </w:r>
    </w:p>
    <w:p w14:paraId="08CB2BBF" w14:textId="77777777" w:rsidR="00A241DC" w:rsidRPr="00B31FD4" w:rsidRDefault="00A241DC" w:rsidP="00A241DC">
      <w:pPr>
        <w:spacing w:line="480" w:lineRule="auto"/>
        <w:ind w:left="720" w:hanging="720"/>
        <w:rPr>
          <w:rFonts w:ascii="Times New Roman" w:hAnsi="Times New Roman" w:cs="Times New Roman"/>
          <w:sz w:val="22"/>
          <w:szCs w:val="20"/>
          <w:lang w:val="en-US"/>
        </w:rPr>
      </w:pPr>
      <w:proofErr w:type="spellStart"/>
      <w:r w:rsidRPr="00B31FD4">
        <w:rPr>
          <w:rFonts w:ascii="Times New Roman" w:hAnsi="Times New Roman" w:cs="Times New Roman"/>
          <w:sz w:val="22"/>
          <w:szCs w:val="20"/>
          <w:lang w:val="en-US"/>
        </w:rPr>
        <w:t>Jordà</w:t>
      </w:r>
      <w:proofErr w:type="spellEnd"/>
      <w:r w:rsidRPr="00B31FD4">
        <w:rPr>
          <w:rFonts w:ascii="Times New Roman" w:hAnsi="Times New Roman" w:cs="Times New Roman"/>
          <w:sz w:val="22"/>
          <w:szCs w:val="20"/>
          <w:lang w:val="en-US"/>
        </w:rPr>
        <w:t xml:space="preserve">, </w:t>
      </w:r>
      <w:proofErr w:type="spellStart"/>
      <w:r w:rsidRPr="00B31FD4">
        <w:rPr>
          <w:rFonts w:ascii="Times New Roman" w:hAnsi="Times New Roman" w:cs="Times New Roman"/>
          <w:sz w:val="22"/>
          <w:szCs w:val="20"/>
          <w:lang w:val="en-US"/>
        </w:rPr>
        <w:t>Òscar</w:t>
      </w:r>
      <w:proofErr w:type="spellEnd"/>
      <w:r w:rsidRPr="00B31FD4">
        <w:rPr>
          <w:rFonts w:ascii="Times New Roman" w:hAnsi="Times New Roman" w:cs="Times New Roman"/>
          <w:sz w:val="22"/>
          <w:szCs w:val="20"/>
          <w:lang w:val="en-US"/>
        </w:rPr>
        <w:t xml:space="preserve">, Moritz </w:t>
      </w:r>
      <w:proofErr w:type="spellStart"/>
      <w:r w:rsidRPr="00B31FD4">
        <w:rPr>
          <w:rFonts w:ascii="Times New Roman" w:hAnsi="Times New Roman" w:cs="Times New Roman"/>
          <w:sz w:val="22"/>
          <w:szCs w:val="20"/>
          <w:lang w:val="en-US"/>
        </w:rPr>
        <w:t>Schularick</w:t>
      </w:r>
      <w:proofErr w:type="spellEnd"/>
      <w:r w:rsidRPr="00B31FD4">
        <w:rPr>
          <w:rFonts w:ascii="Times New Roman" w:hAnsi="Times New Roman" w:cs="Times New Roman"/>
          <w:sz w:val="22"/>
          <w:szCs w:val="20"/>
          <w:lang w:val="en-US"/>
        </w:rPr>
        <w:t>, and Alan M. Taylor. “</w:t>
      </w:r>
      <w:proofErr w:type="spellStart"/>
      <w:r w:rsidRPr="00B31FD4">
        <w:rPr>
          <w:rFonts w:ascii="Times New Roman" w:hAnsi="Times New Roman" w:cs="Times New Roman"/>
          <w:sz w:val="22"/>
          <w:szCs w:val="20"/>
          <w:lang w:val="en-US"/>
        </w:rPr>
        <w:t>Macrofinancial</w:t>
      </w:r>
      <w:proofErr w:type="spellEnd"/>
      <w:r w:rsidRPr="00B31FD4">
        <w:rPr>
          <w:rFonts w:ascii="Times New Roman" w:hAnsi="Times New Roman" w:cs="Times New Roman"/>
          <w:sz w:val="22"/>
          <w:szCs w:val="20"/>
          <w:lang w:val="en-US"/>
        </w:rPr>
        <w:t xml:space="preserve"> History and the New Business Cycle Facts.” </w:t>
      </w:r>
      <w:r w:rsidRPr="00B31FD4">
        <w:rPr>
          <w:rFonts w:ascii="Times New Roman" w:hAnsi="Times New Roman" w:cs="Times New Roman"/>
          <w:i/>
          <w:sz w:val="22"/>
          <w:szCs w:val="20"/>
          <w:lang w:val="en-US"/>
        </w:rPr>
        <w:t>NBER Macroeconomics Annual</w:t>
      </w:r>
      <w:r w:rsidRPr="00B31FD4">
        <w:rPr>
          <w:rFonts w:ascii="Times New Roman" w:hAnsi="Times New Roman" w:cs="Times New Roman"/>
          <w:sz w:val="22"/>
          <w:szCs w:val="20"/>
          <w:lang w:val="en-US"/>
        </w:rPr>
        <w:t xml:space="preserve"> 31, no. 1 (2017): 213–63.</w:t>
      </w:r>
    </w:p>
    <w:p w14:paraId="464BE2DD" w14:textId="77777777" w:rsidR="00A241DC" w:rsidRPr="00B31FD4" w:rsidRDefault="00A241DC" w:rsidP="00A241DC">
      <w:pPr>
        <w:spacing w:line="480" w:lineRule="auto"/>
        <w:ind w:left="720" w:hanging="720"/>
        <w:rPr>
          <w:rFonts w:ascii="Times New Roman" w:hAnsi="Times New Roman" w:cs="Times New Roman"/>
          <w:sz w:val="22"/>
          <w:szCs w:val="20"/>
          <w:lang w:val="en-US"/>
        </w:rPr>
      </w:pPr>
    </w:p>
    <w:p w14:paraId="196363F5" w14:textId="77777777" w:rsidR="00A241DC" w:rsidRDefault="00A241DC" w:rsidP="00A241DC">
      <w:pPr>
        <w:spacing w:after="160" w:line="259" w:lineRule="auto"/>
        <w:ind w:firstLine="0"/>
        <w:jc w:val="left"/>
        <w:rPr>
          <w:rFonts w:eastAsiaTheme="majorEastAsia" w:cs="Times New Roman"/>
          <w:sz w:val="22"/>
          <w:szCs w:val="24"/>
          <w:lang w:val="en-US"/>
        </w:rPr>
      </w:pPr>
    </w:p>
    <w:p w14:paraId="0623A6F1" w14:textId="77777777" w:rsidR="00A241DC" w:rsidRPr="00A70F6D" w:rsidRDefault="00A241DC" w:rsidP="0012434B">
      <w:pPr>
        <w:spacing w:after="160" w:line="259" w:lineRule="auto"/>
        <w:ind w:firstLine="0"/>
        <w:jc w:val="center"/>
        <w:rPr>
          <w:rFonts w:eastAsiaTheme="minorHAnsi" w:cstheme="minorBidi"/>
          <w:sz w:val="22"/>
          <w:lang w:val="en-US"/>
        </w:rPr>
      </w:pPr>
    </w:p>
    <w:p w14:paraId="4599BB47" w14:textId="77777777" w:rsidR="00A241DC" w:rsidRPr="00A70F6D" w:rsidRDefault="00A241DC" w:rsidP="0012434B">
      <w:pPr>
        <w:spacing w:before="240" w:after="400" w:line="240" w:lineRule="auto"/>
        <w:ind w:left="1416" w:firstLine="0"/>
        <w:outlineLvl w:val="2"/>
        <w:rPr>
          <w:rFonts w:eastAsiaTheme="majorEastAsia" w:cs="Times New Roman"/>
          <w:sz w:val="22"/>
          <w:szCs w:val="24"/>
          <w:lang w:val="en-US"/>
        </w:rPr>
      </w:pPr>
    </w:p>
    <w:sectPr w:rsidR="00A241DC" w:rsidRPr="00A70F6D" w:rsidSect="0083288D">
      <w:footerReference w:type="defaul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1FCE" w14:textId="77777777" w:rsidR="008C74D1" w:rsidRDefault="008C74D1" w:rsidP="00734757">
      <w:pPr>
        <w:spacing w:line="240" w:lineRule="auto"/>
      </w:pPr>
      <w:r>
        <w:separator/>
      </w:r>
    </w:p>
  </w:endnote>
  <w:endnote w:type="continuationSeparator" w:id="0">
    <w:p w14:paraId="6D65D281" w14:textId="77777777" w:rsidR="008C74D1" w:rsidRDefault="008C74D1" w:rsidP="00734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Garamond Pro">
    <w:panose1 w:val="02020502060506020403"/>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574592"/>
      <w:docPartObj>
        <w:docPartGallery w:val="Page Numbers (Bottom of Page)"/>
        <w:docPartUnique/>
      </w:docPartObj>
    </w:sdtPr>
    <w:sdtEndPr/>
    <w:sdtContent>
      <w:p w14:paraId="1B541E87" w14:textId="77777777" w:rsidR="00A70F6D" w:rsidRDefault="00A70F6D">
        <w:pPr>
          <w:pStyle w:val="Footer"/>
          <w:jc w:val="center"/>
        </w:pPr>
        <w:r>
          <w:fldChar w:fldCharType="begin"/>
        </w:r>
        <w:r>
          <w:instrText>PAGE   \* MERGEFORMAT</w:instrText>
        </w:r>
        <w:r>
          <w:fldChar w:fldCharType="separate"/>
        </w:r>
        <w:r>
          <w:rPr>
            <w:lang w:val="fr-FR"/>
          </w:rPr>
          <w:t>2</w:t>
        </w:r>
        <w:r>
          <w:fldChar w:fldCharType="end"/>
        </w:r>
      </w:p>
    </w:sdtContent>
  </w:sdt>
  <w:p w14:paraId="0523CF94" w14:textId="77777777" w:rsidR="00A70F6D" w:rsidRDefault="00A70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269A7" w14:textId="77777777" w:rsidR="008C74D1" w:rsidRDefault="008C74D1" w:rsidP="00734757">
      <w:pPr>
        <w:spacing w:line="240" w:lineRule="auto"/>
      </w:pPr>
      <w:r>
        <w:separator/>
      </w:r>
    </w:p>
  </w:footnote>
  <w:footnote w:type="continuationSeparator" w:id="0">
    <w:p w14:paraId="540E76FD" w14:textId="77777777" w:rsidR="008C74D1" w:rsidRDefault="008C74D1" w:rsidP="00734757">
      <w:pPr>
        <w:spacing w:line="240" w:lineRule="auto"/>
      </w:pPr>
      <w:r>
        <w:continuationSeparator/>
      </w:r>
    </w:p>
  </w:footnote>
  <w:footnote w:id="1">
    <w:p w14:paraId="174812E1" w14:textId="77777777" w:rsidR="00A70F6D" w:rsidRPr="00804D7A" w:rsidRDefault="00A70F6D" w:rsidP="00734757">
      <w:pPr>
        <w:pStyle w:val="FootnoteText"/>
      </w:pPr>
      <w:r w:rsidRPr="00804D7A">
        <w:rPr>
          <w:rStyle w:val="FootnoteReference"/>
        </w:rPr>
        <w:footnoteRef/>
      </w:r>
      <w:r w:rsidRPr="00804D7A">
        <w:t xml:space="preserve"> I chose the arbitrary level of 20% based on the observed average share of sterling that Libya, India and South Africa reached toward the mid-1960s as these countries managed to find ways to diversify their reserve and this level is thus susceptible to represent their preferred level of exposition to sterling. A more conservative level could have been 10% as European countries were always under 10% on average but the economic interrelations of Britain and Sterling Area countries and the sterling peg would have probably induced a higher level of sterling share in sterling area countries compared to European countries.  </w:t>
      </w:r>
    </w:p>
  </w:footnote>
  <w:footnote w:id="2">
    <w:p w14:paraId="33A46BD4" w14:textId="14AE619A" w:rsidR="00A70F6D" w:rsidRPr="00F32545" w:rsidRDefault="00A70F6D" w:rsidP="00F32545">
      <w:r>
        <w:rPr>
          <w:rStyle w:val="FootnoteReference"/>
        </w:rPr>
        <w:footnoteRef/>
      </w:r>
      <w:r>
        <w:t xml:space="preserve"> </w:t>
      </w:r>
      <w:proofErr w:type="spellStart"/>
      <w:r w:rsidRPr="003D7885">
        <w:rPr>
          <w:sz w:val="22"/>
        </w:rPr>
        <w:t>Jordà</w:t>
      </w:r>
      <w:proofErr w:type="spellEnd"/>
      <w:r w:rsidR="007A0B0F">
        <w:rPr>
          <w:sz w:val="22"/>
        </w:rPr>
        <w:t>,</w:t>
      </w:r>
      <w:r w:rsidRPr="003D7885">
        <w:rPr>
          <w:sz w:val="22"/>
        </w:rPr>
        <w:t xml:space="preserve"> </w:t>
      </w:r>
      <w:proofErr w:type="spellStart"/>
      <w:r w:rsidRPr="003D7885">
        <w:rPr>
          <w:sz w:val="20"/>
          <w:szCs w:val="20"/>
          <w:lang w:val="en-US"/>
        </w:rPr>
        <w:t>Schularick</w:t>
      </w:r>
      <w:proofErr w:type="spellEnd"/>
      <w:r w:rsidRPr="003D7885">
        <w:rPr>
          <w:sz w:val="20"/>
          <w:szCs w:val="20"/>
          <w:lang w:val="en-US"/>
        </w:rPr>
        <w:t xml:space="preserve"> and Taylor (2017)</w:t>
      </w:r>
    </w:p>
  </w:footnote>
  <w:footnote w:id="3">
    <w:p w14:paraId="4D5A469F" w14:textId="77777777" w:rsidR="00A70F6D" w:rsidRPr="00804D7A" w:rsidRDefault="00A70F6D" w:rsidP="00734757">
      <w:pPr>
        <w:pStyle w:val="FootnoteText"/>
      </w:pPr>
      <w:r w:rsidRPr="00804D7A">
        <w:rPr>
          <w:rStyle w:val="FootnoteReference"/>
        </w:rPr>
        <w:footnoteRef/>
      </w:r>
      <w:r w:rsidRPr="00804D7A">
        <w:t xml:space="preserve"> I chose 1955 as sterling became de facto convertible for current account transactions for European countries. So, in my counterfactual analysis, I make the hypothesis that sterling area countries would have been granted freedom of composition of their reserve portfolio from that date onward. </w:t>
      </w:r>
    </w:p>
  </w:footnote>
  <w:footnote w:id="4">
    <w:p w14:paraId="49AF8366" w14:textId="77777777" w:rsidR="00A70F6D" w:rsidRPr="00804D7A" w:rsidRDefault="00A70F6D" w:rsidP="00A20F5B">
      <w:pPr>
        <w:pStyle w:val="FootnoteText"/>
        <w:rPr>
          <w:lang w:val="fr-FR"/>
        </w:rPr>
      </w:pPr>
      <w:r w:rsidRPr="00804D7A">
        <w:rPr>
          <w:rStyle w:val="FootnoteReference"/>
        </w:rPr>
        <w:footnoteRef/>
      </w:r>
      <w:r w:rsidRPr="00804D7A">
        <w:rPr>
          <w:lang w:val="en-US"/>
        </w:rPr>
        <w:t xml:space="preserve"> Source: Archives of the Swiss National Bank, 9.1/9107. </w:t>
      </w:r>
      <w:r w:rsidRPr="00804D7A">
        <w:rPr>
          <w:lang w:val="fr-FR"/>
        </w:rPr>
        <w:t xml:space="preserve">EPU.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488A"/>
    <w:multiLevelType w:val="multilevel"/>
    <w:tmpl w:val="9ACC16A4"/>
    <w:lvl w:ilvl="0">
      <w:start w:val="1"/>
      <w:numFmt w:val="decimal"/>
      <w:suff w:val="nothing"/>
      <w:lvlText w:val="%1."/>
      <w:lvlJc w:val="left"/>
      <w:pPr>
        <w:ind w:left="426" w:firstLine="0"/>
      </w:pPr>
      <w:rPr>
        <w:rFonts w:ascii="Helvetica Neue" w:hAnsi="Helvetica Neue" w:hint="default"/>
        <w:color w:val="FFFFFF" w:themeColor="background1"/>
        <w:sz w:val="32"/>
      </w:rPr>
    </w:lvl>
    <w:lvl w:ilvl="1">
      <w:start w:val="1"/>
      <w:numFmt w:val="decimal"/>
      <w:lvlText w:val="%1%2."/>
      <w:lvlJc w:val="left"/>
      <w:pPr>
        <w:ind w:left="576" w:hanging="576"/>
      </w:pPr>
      <w:rPr>
        <w:rFonts w:ascii="Cambria" w:hAnsi="Cambria" w:hint="default"/>
        <w:b/>
        <w:i/>
        <w:color w:val="auto"/>
        <w:sz w:val="24"/>
      </w:rPr>
    </w:lvl>
    <w:lvl w:ilvl="2">
      <w:start w:val="1"/>
      <w:numFmt w:val="decimal"/>
      <w:lvlText w:val="%1%2.%3"/>
      <w:lvlJc w:val="left"/>
      <w:pPr>
        <w:ind w:left="720" w:hanging="720"/>
      </w:pPr>
      <w:rPr>
        <w:rFonts w:ascii="Cambria" w:hAnsi="Cambria" w:hint="default"/>
        <w:b w:val="0"/>
        <w:i/>
        <w:sz w:val="24"/>
      </w:rPr>
    </w:lvl>
    <w:lvl w:ilvl="3">
      <w:start w:val="1"/>
      <w:numFmt w:val="decimal"/>
      <w:suff w:val="nothing"/>
      <w:lvlText w:val="%1%2.%3.%4"/>
      <w:lvlJc w:val="left"/>
      <w:pPr>
        <w:ind w:left="864" w:hanging="864"/>
      </w:pPr>
      <w:rPr>
        <w:rFonts w:ascii="Cambria" w:hAnsi="Cambria" w:hint="default"/>
        <w:b w:val="0"/>
        <w:i/>
        <w:color w:val="auto"/>
        <w:sz w:val="22"/>
      </w:rPr>
    </w:lvl>
    <w:lvl w:ilvl="4">
      <w:start w:val="1"/>
      <w:numFmt w:val="decimal"/>
      <w:lvlText w:val="%1%2.%3.%4.%5"/>
      <w:lvlJc w:val="left"/>
      <w:pPr>
        <w:ind w:left="1008" w:hanging="1008"/>
      </w:pPr>
      <w:rPr>
        <w:rFonts w:hint="default"/>
        <w:color w:val="FFFFFF" w:themeColor="background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A5A29F0"/>
    <w:multiLevelType w:val="multilevel"/>
    <w:tmpl w:val="3898A426"/>
    <w:lvl w:ilvl="0">
      <w:start w:val="1"/>
      <w:numFmt w:val="none"/>
      <w:suff w:val="nothing"/>
      <w:lvlText w:val="1."/>
      <w:lvlJc w:val="left"/>
      <w:pPr>
        <w:ind w:left="0" w:firstLine="0"/>
      </w:pPr>
      <w:rPr>
        <w:rFonts w:ascii="Helvetica Neue" w:hAnsi="Helvetica Neue" w:hint="default"/>
        <w:color w:val="FFFFFF" w:themeColor="background1"/>
        <w:sz w:val="32"/>
      </w:rPr>
    </w:lvl>
    <w:lvl w:ilvl="1">
      <w:start w:val="1"/>
      <w:numFmt w:val="decimal"/>
      <w:pStyle w:val="Heading2"/>
      <w:lvlText w:val="%1%2."/>
      <w:lvlJc w:val="left"/>
      <w:pPr>
        <w:ind w:left="576" w:hanging="576"/>
      </w:pPr>
      <w:rPr>
        <w:rFonts w:ascii="Cambria" w:hAnsi="Cambria" w:hint="default"/>
        <w:b/>
        <w:i/>
        <w:color w:val="auto"/>
        <w:sz w:val="24"/>
      </w:rPr>
    </w:lvl>
    <w:lvl w:ilvl="2">
      <w:start w:val="1"/>
      <w:numFmt w:val="decimal"/>
      <w:lvlRestart w:val="1"/>
      <w:lvlText w:val="%2.%3."/>
      <w:lvlJc w:val="left"/>
      <w:pPr>
        <w:ind w:left="1985" w:hanging="850"/>
      </w:pPr>
      <w:rPr>
        <w:rFonts w:ascii="Cambria" w:hAnsi="Cambria" w:hint="default"/>
        <w:b w:val="0"/>
        <w:i/>
        <w:sz w:val="24"/>
      </w:rPr>
    </w:lvl>
    <w:lvl w:ilvl="3">
      <w:start w:val="1"/>
      <w:numFmt w:val="decimal"/>
      <w:lvlRestart w:val="0"/>
      <w:suff w:val="nothing"/>
      <w:lvlText w:val="%1%2.%3.%4"/>
      <w:lvlJc w:val="left"/>
      <w:pPr>
        <w:ind w:left="864" w:hanging="864"/>
      </w:pPr>
      <w:rPr>
        <w:rFonts w:ascii="Cambria" w:hAnsi="Cambria" w:hint="default"/>
        <w:b w:val="0"/>
        <w:i/>
        <w:color w:val="auto"/>
        <w:sz w:val="22"/>
      </w:rPr>
    </w:lvl>
    <w:lvl w:ilvl="4">
      <w:start w:val="1"/>
      <w:numFmt w:val="decimal"/>
      <w:lvlRestart w:val="0"/>
      <w:lvlText w:val="%1%2.%3.%4.%5"/>
      <w:lvlJc w:val="left"/>
      <w:pPr>
        <w:ind w:left="1008" w:hanging="1008"/>
      </w:pPr>
      <w:rPr>
        <w:rFonts w:hint="default"/>
        <w:color w:val="FFFFFF" w:themeColor="background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AD26CB2"/>
    <w:multiLevelType w:val="multilevel"/>
    <w:tmpl w:val="76E222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5A26451"/>
    <w:multiLevelType w:val="multilevel"/>
    <w:tmpl w:val="BB04065C"/>
    <w:styleLink w:val="Style2"/>
    <w:lvl w:ilvl="0">
      <w:start w:val="1"/>
      <w:numFmt w:val="decimal"/>
      <w:suff w:val="space"/>
      <w:lvlText w:val="Chapter %1"/>
      <w:lvlJc w:val="left"/>
      <w:pPr>
        <w:ind w:left="0" w:firstLine="0"/>
      </w:pPr>
      <w:rPr>
        <w:rFonts w:ascii="Helvetica Neue" w:hAnsi="Helvetica Neue" w:hint="default"/>
        <w:color w:val="auto"/>
        <w:sz w:val="32"/>
      </w:rPr>
    </w:lvl>
    <w:lvl w:ilvl="1">
      <w:start w:val="1"/>
      <w:numFmt w:val="decimal"/>
      <w:suff w:val="space"/>
      <w:lvlText w:val="%2."/>
      <w:lvlJc w:val="left"/>
      <w:pPr>
        <w:ind w:left="720" w:hanging="360"/>
      </w:pPr>
      <w:rPr>
        <w:rFonts w:ascii="Cambria" w:hAnsi="Cambria" w:hint="default"/>
        <w:b/>
        <w:i w:val="0"/>
        <w:color w:val="auto"/>
        <w:sz w:val="24"/>
      </w:rPr>
    </w:lvl>
    <w:lvl w:ilvl="2">
      <w:start w:val="1"/>
      <w:numFmt w:val="decimal"/>
      <w:suff w:val="space"/>
      <w:lvlText w:val="1.%3."/>
      <w:lvlJc w:val="left"/>
      <w:pPr>
        <w:ind w:left="1080" w:hanging="360"/>
      </w:pPr>
      <w:rPr>
        <w:rFonts w:ascii="Cambria" w:hAnsi="Cambria" w:hint="default"/>
        <w:b w:val="0"/>
        <w:i/>
        <w:color w:val="auto"/>
        <w:sz w:val="24"/>
      </w:rPr>
    </w:lvl>
    <w:lvl w:ilvl="3">
      <w:start w:val="1"/>
      <w:numFmt w:val="decimal"/>
      <w:suff w:val="space"/>
      <w:lvlText w:val="1.1.%4"/>
      <w:lvlJc w:val="left"/>
      <w:pPr>
        <w:ind w:left="1440" w:hanging="360"/>
      </w:pPr>
      <w:rPr>
        <w:rFonts w:ascii="Cambria" w:hAnsi="Cambria" w:hint="default"/>
        <w:b w:val="0"/>
        <w:i/>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BA6FB0"/>
    <w:multiLevelType w:val="multilevel"/>
    <w:tmpl w:val="819EFA76"/>
    <w:lvl w:ilvl="0">
      <w:start w:val="1"/>
      <w:numFmt w:val="decimal"/>
      <w:pStyle w:val="Heading1"/>
      <w:lvlText w:val="%1."/>
      <w:lvlJc w:val="left"/>
      <w:pPr>
        <w:ind w:left="360" w:hanging="360"/>
      </w:pPr>
      <w:rPr>
        <w:rFonts w:hint="default"/>
      </w:rPr>
    </w:lvl>
    <w:lvl w:ilvl="1">
      <w:start w:val="1"/>
      <w:numFmt w:val="decimal"/>
      <w:lvlText w:val="%1.%2."/>
      <w:lvlJc w:val="left"/>
      <w:pPr>
        <w:ind w:left="1428" w:hanging="720"/>
      </w:pPr>
      <w:rPr>
        <w:rFonts w:ascii="Cambria" w:eastAsia="Calibri" w:hAnsi="Cambria" w:hint="default"/>
        <w:sz w:val="24"/>
        <w:szCs w:val="32"/>
      </w:rPr>
    </w:lvl>
    <w:lvl w:ilvl="2">
      <w:start w:val="1"/>
      <w:numFmt w:val="decimal"/>
      <w:pStyle w:val="Heading3"/>
      <w:lvlText w:val="%1.%2.%3."/>
      <w:lvlJc w:val="left"/>
      <w:pPr>
        <w:ind w:left="2136" w:hanging="720"/>
      </w:pPr>
      <w:rPr>
        <w:rFonts w:ascii="Times New Roman" w:eastAsia="Calibri" w:hAnsi="Times New Roman" w:hint="default"/>
      </w:rPr>
    </w:lvl>
    <w:lvl w:ilvl="3">
      <w:start w:val="1"/>
      <w:numFmt w:val="decimal"/>
      <w:lvlText w:val="%1.%2.%3.%4."/>
      <w:lvlJc w:val="left"/>
      <w:pPr>
        <w:ind w:left="3204" w:hanging="1080"/>
      </w:pPr>
      <w:rPr>
        <w:rFonts w:ascii="Times New Roman" w:eastAsia="Calibri" w:hAnsi="Times New Roman" w:hint="default"/>
      </w:rPr>
    </w:lvl>
    <w:lvl w:ilvl="4">
      <w:start w:val="1"/>
      <w:numFmt w:val="decimal"/>
      <w:lvlText w:val="%1.%2.%3.%4.%5."/>
      <w:lvlJc w:val="left"/>
      <w:pPr>
        <w:ind w:left="3912" w:hanging="1080"/>
      </w:pPr>
      <w:rPr>
        <w:rFonts w:ascii="Times New Roman" w:eastAsia="Calibri" w:hAnsi="Times New Roman" w:hint="default"/>
      </w:rPr>
    </w:lvl>
    <w:lvl w:ilvl="5">
      <w:start w:val="1"/>
      <w:numFmt w:val="decimal"/>
      <w:lvlText w:val="%1.%2.%3.%4.%5.%6."/>
      <w:lvlJc w:val="left"/>
      <w:pPr>
        <w:ind w:left="4980" w:hanging="1440"/>
      </w:pPr>
      <w:rPr>
        <w:rFonts w:ascii="Times New Roman" w:eastAsia="Calibri" w:hAnsi="Times New Roman" w:hint="default"/>
      </w:rPr>
    </w:lvl>
    <w:lvl w:ilvl="6">
      <w:start w:val="1"/>
      <w:numFmt w:val="decimal"/>
      <w:lvlText w:val="%1.%2.%3.%4.%5.%6.%7."/>
      <w:lvlJc w:val="left"/>
      <w:pPr>
        <w:ind w:left="5688" w:hanging="1440"/>
      </w:pPr>
      <w:rPr>
        <w:rFonts w:ascii="Times New Roman" w:eastAsia="Calibri" w:hAnsi="Times New Roman" w:hint="default"/>
      </w:rPr>
    </w:lvl>
    <w:lvl w:ilvl="7">
      <w:start w:val="1"/>
      <w:numFmt w:val="decimal"/>
      <w:lvlText w:val="%1.%2.%3.%4.%5.%6.%7.%8."/>
      <w:lvlJc w:val="left"/>
      <w:pPr>
        <w:ind w:left="6756" w:hanging="1800"/>
      </w:pPr>
      <w:rPr>
        <w:rFonts w:ascii="Times New Roman" w:eastAsia="Calibri" w:hAnsi="Times New Roman" w:hint="default"/>
      </w:rPr>
    </w:lvl>
    <w:lvl w:ilvl="8">
      <w:start w:val="1"/>
      <w:numFmt w:val="decimal"/>
      <w:lvlText w:val="%1.%2.%3.%4.%5.%6.%7.%8.%9."/>
      <w:lvlJc w:val="left"/>
      <w:pPr>
        <w:ind w:left="7464" w:hanging="1800"/>
      </w:pPr>
      <w:rPr>
        <w:rFonts w:ascii="Times New Roman" w:eastAsia="Calibri" w:hAnsi="Times New Roman" w:hint="default"/>
      </w:rPr>
    </w:lvl>
  </w:abstractNum>
  <w:abstractNum w:abstractNumId="5" w15:restartNumberingAfterBreak="0">
    <w:nsid w:val="6D23314A"/>
    <w:multiLevelType w:val="hybridMultilevel"/>
    <w:tmpl w:val="5672A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CF0A23"/>
    <w:multiLevelType w:val="multilevel"/>
    <w:tmpl w:val="30DA9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num>
  <w:num w:numId="3">
    <w:abstractNumId w:val="4"/>
  </w:num>
  <w:num w:numId="4">
    <w:abstractNumId w:val="6"/>
  </w:num>
  <w:num w:numId="5">
    <w:abstractNumId w:val="4"/>
  </w:num>
  <w:num w:numId="6">
    <w:abstractNumId w:val="4"/>
  </w:num>
  <w:num w:numId="7">
    <w:abstractNumId w:val="6"/>
  </w:num>
  <w:num w:numId="8">
    <w:abstractNumId w:val="4"/>
  </w:num>
  <w:num w:numId="9">
    <w:abstractNumId w:val="3"/>
  </w:num>
  <w:num w:numId="10">
    <w:abstractNumId w:val="1"/>
  </w:num>
  <w:num w:numId="11">
    <w:abstractNumId w:val="1"/>
  </w:num>
  <w:num w:numId="12">
    <w:abstractNumId w:val="0"/>
  </w:num>
  <w:num w:numId="13">
    <w:abstractNumId w:val="1"/>
  </w:num>
  <w:num w:numId="14">
    <w:abstractNumId w:val="1"/>
  </w:num>
  <w:num w:numId="15">
    <w:abstractNumId w:val="1"/>
  </w:num>
  <w:num w:numId="16">
    <w:abstractNumId w:val="1"/>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57"/>
    <w:rsid w:val="000243DE"/>
    <w:rsid w:val="00060B20"/>
    <w:rsid w:val="00065DD1"/>
    <w:rsid w:val="000E73A0"/>
    <w:rsid w:val="00103C25"/>
    <w:rsid w:val="00123DED"/>
    <w:rsid w:val="0012434B"/>
    <w:rsid w:val="001C5BA1"/>
    <w:rsid w:val="001D0B26"/>
    <w:rsid w:val="0020448F"/>
    <w:rsid w:val="00235E7E"/>
    <w:rsid w:val="00253C1A"/>
    <w:rsid w:val="002621F6"/>
    <w:rsid w:val="00266184"/>
    <w:rsid w:val="002752DC"/>
    <w:rsid w:val="00295D16"/>
    <w:rsid w:val="00307ACA"/>
    <w:rsid w:val="00332A12"/>
    <w:rsid w:val="00334A5E"/>
    <w:rsid w:val="003D7885"/>
    <w:rsid w:val="004A67E1"/>
    <w:rsid w:val="00501DEB"/>
    <w:rsid w:val="00527F02"/>
    <w:rsid w:val="005E1AE0"/>
    <w:rsid w:val="006441AC"/>
    <w:rsid w:val="006957A4"/>
    <w:rsid w:val="006D2579"/>
    <w:rsid w:val="00734757"/>
    <w:rsid w:val="00762C2E"/>
    <w:rsid w:val="007A0B0F"/>
    <w:rsid w:val="00804D7A"/>
    <w:rsid w:val="0083288D"/>
    <w:rsid w:val="00870F14"/>
    <w:rsid w:val="008A1967"/>
    <w:rsid w:val="008C74D1"/>
    <w:rsid w:val="009574D8"/>
    <w:rsid w:val="009D1885"/>
    <w:rsid w:val="00A20F5B"/>
    <w:rsid w:val="00A241DC"/>
    <w:rsid w:val="00A26458"/>
    <w:rsid w:val="00A42893"/>
    <w:rsid w:val="00A70F6D"/>
    <w:rsid w:val="00B5014A"/>
    <w:rsid w:val="00BC42C4"/>
    <w:rsid w:val="00C02D32"/>
    <w:rsid w:val="00C25E2D"/>
    <w:rsid w:val="00CC1AE6"/>
    <w:rsid w:val="00CD43CD"/>
    <w:rsid w:val="00D34F23"/>
    <w:rsid w:val="00DC7FC8"/>
    <w:rsid w:val="00E0104B"/>
    <w:rsid w:val="00E447AF"/>
    <w:rsid w:val="00EC3FAE"/>
    <w:rsid w:val="00F01EC4"/>
    <w:rsid w:val="00F32545"/>
    <w:rsid w:val="00FC022E"/>
    <w:rsid w:val="00FC1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2AFD"/>
  <w15:chartTrackingRefBased/>
  <w15:docId w15:val="{5D11923C-4CC2-4B03-B63B-9DD9882A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E7E"/>
    <w:pPr>
      <w:spacing w:after="0" w:line="360" w:lineRule="auto"/>
      <w:ind w:firstLine="720"/>
      <w:jc w:val="both"/>
    </w:pPr>
    <w:rPr>
      <w:rFonts w:ascii="Adobe Garamond Pro" w:hAnsi="Adobe Garamond Pro" w:cstheme="minorHAnsi"/>
      <w:sz w:val="24"/>
      <w:lang w:val="en-GB"/>
    </w:rPr>
  </w:style>
  <w:style w:type="paragraph" w:styleId="Heading1">
    <w:name w:val="heading 1"/>
    <w:aliases w:val="T1 - article"/>
    <w:basedOn w:val="Normal"/>
    <w:next w:val="Normal"/>
    <w:link w:val="Heading1Char"/>
    <w:autoRedefine/>
    <w:uiPriority w:val="9"/>
    <w:qFormat/>
    <w:rsid w:val="00235E7E"/>
    <w:pPr>
      <w:keepNext/>
      <w:keepLines/>
      <w:numPr>
        <w:numId w:val="3"/>
      </w:numPr>
      <w:spacing w:line="240" w:lineRule="auto"/>
      <w:ind w:left="284" w:firstLine="0"/>
      <w:jc w:val="center"/>
      <w:outlineLvl w:val="0"/>
    </w:pPr>
    <w:rPr>
      <w:rFonts w:ascii="Helvetica Neue" w:eastAsiaTheme="majorEastAsia" w:hAnsi="Helvetica Neue" w:cstheme="majorBidi"/>
      <w:b/>
      <w:sz w:val="32"/>
      <w:szCs w:val="32"/>
    </w:rPr>
  </w:style>
  <w:style w:type="paragraph" w:styleId="Heading2">
    <w:name w:val="heading 2"/>
    <w:aliases w:val="T2 section"/>
    <w:next w:val="Normal"/>
    <w:link w:val="Heading2Char"/>
    <w:autoRedefine/>
    <w:uiPriority w:val="9"/>
    <w:unhideWhenUsed/>
    <w:qFormat/>
    <w:rsid w:val="00BC42C4"/>
    <w:pPr>
      <w:numPr>
        <w:ilvl w:val="1"/>
        <w:numId w:val="16"/>
      </w:numPr>
      <w:spacing w:before="120" w:after="280" w:line="240" w:lineRule="auto"/>
      <w:outlineLvl w:val="1"/>
    </w:pPr>
    <w:rPr>
      <w:rFonts w:ascii="Cambria" w:eastAsiaTheme="majorEastAsia" w:hAnsi="Cambria" w:cstheme="majorBidi"/>
      <w:b/>
      <w:i/>
      <w:szCs w:val="32"/>
      <w:lang w:val="en-US"/>
    </w:rPr>
  </w:style>
  <w:style w:type="paragraph" w:styleId="Heading3">
    <w:name w:val="heading 3"/>
    <w:aliases w:val="T3 ss-section"/>
    <w:next w:val="Normal"/>
    <w:link w:val="Heading3Char"/>
    <w:autoRedefine/>
    <w:uiPriority w:val="9"/>
    <w:unhideWhenUsed/>
    <w:qFormat/>
    <w:rsid w:val="00BC42C4"/>
    <w:pPr>
      <w:numPr>
        <w:ilvl w:val="2"/>
        <w:numId w:val="5"/>
      </w:numPr>
      <w:spacing w:before="240" w:after="400" w:line="240" w:lineRule="auto"/>
      <w:ind w:left="1985" w:hanging="850"/>
      <w:outlineLvl w:val="2"/>
    </w:pPr>
    <w:rPr>
      <w:rFonts w:ascii="Cambria" w:eastAsiaTheme="majorEastAsia" w:hAnsi="Cambria" w:cstheme="majorBidi"/>
      <w:i/>
      <w:szCs w:val="32"/>
      <w:lang w:val="en-GB"/>
    </w:rPr>
  </w:style>
  <w:style w:type="paragraph" w:styleId="Heading4">
    <w:name w:val="heading 4"/>
    <w:basedOn w:val="Normal"/>
    <w:next w:val="Normal"/>
    <w:link w:val="Heading4Char"/>
    <w:autoRedefine/>
    <w:uiPriority w:val="9"/>
    <w:unhideWhenUsed/>
    <w:qFormat/>
    <w:rsid w:val="00235E7E"/>
    <w:pPr>
      <w:ind w:left="720" w:firstLine="0"/>
      <w:outlineLvl w:val="3"/>
    </w:pPr>
    <w:rPr>
      <w:rFonts w:asciiTheme="minorHAnsi" w:hAnsiTheme="minorHAnsi" w:cstheme="minorBidi"/>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1 - article Char"/>
    <w:basedOn w:val="DefaultParagraphFont"/>
    <w:link w:val="Heading1"/>
    <w:uiPriority w:val="9"/>
    <w:rsid w:val="00235E7E"/>
    <w:rPr>
      <w:rFonts w:ascii="Helvetica Neue" w:eastAsiaTheme="majorEastAsia" w:hAnsi="Helvetica Neue" w:cstheme="majorBidi"/>
      <w:b/>
      <w:sz w:val="32"/>
      <w:szCs w:val="32"/>
      <w:lang w:val="en-GB"/>
    </w:rPr>
  </w:style>
  <w:style w:type="character" w:customStyle="1" w:styleId="Heading2Char">
    <w:name w:val="Heading 2 Char"/>
    <w:aliases w:val="T2 section Char"/>
    <w:basedOn w:val="DefaultParagraphFont"/>
    <w:link w:val="Heading2"/>
    <w:uiPriority w:val="9"/>
    <w:rsid w:val="00235E7E"/>
    <w:rPr>
      <w:rFonts w:ascii="Cambria" w:eastAsiaTheme="majorEastAsia" w:hAnsi="Cambria" w:cstheme="majorBidi"/>
      <w:b/>
      <w:i/>
      <w:szCs w:val="32"/>
      <w:lang w:val="en-US"/>
    </w:rPr>
  </w:style>
  <w:style w:type="character" w:customStyle="1" w:styleId="Heading3Char">
    <w:name w:val="Heading 3 Char"/>
    <w:aliases w:val="T3 ss-section Char"/>
    <w:basedOn w:val="DefaultParagraphFont"/>
    <w:link w:val="Heading3"/>
    <w:uiPriority w:val="9"/>
    <w:rsid w:val="00BC42C4"/>
    <w:rPr>
      <w:rFonts w:ascii="Cambria" w:eastAsiaTheme="majorEastAsia" w:hAnsi="Cambria" w:cstheme="majorBidi"/>
      <w:i/>
      <w:szCs w:val="32"/>
      <w:lang w:val="en-GB"/>
    </w:rPr>
  </w:style>
  <w:style w:type="character" w:customStyle="1" w:styleId="Heading4Char">
    <w:name w:val="Heading 4 Char"/>
    <w:basedOn w:val="DefaultParagraphFont"/>
    <w:link w:val="Heading4"/>
    <w:uiPriority w:val="9"/>
    <w:rsid w:val="00235E7E"/>
    <w:rPr>
      <w:rFonts w:eastAsia="Calibri"/>
      <w:b/>
      <w:bCs/>
      <w:szCs w:val="20"/>
      <w:u w:val="single"/>
      <w:lang w:val="en-GB"/>
    </w:rPr>
  </w:style>
  <w:style w:type="paragraph" w:styleId="TOC1">
    <w:name w:val="toc 1"/>
    <w:basedOn w:val="Normal"/>
    <w:next w:val="Normal"/>
    <w:autoRedefine/>
    <w:uiPriority w:val="39"/>
    <w:unhideWhenUsed/>
    <w:rsid w:val="00F01EC4"/>
    <w:pPr>
      <w:spacing w:after="100"/>
    </w:pPr>
  </w:style>
  <w:style w:type="paragraph" w:styleId="TOC2">
    <w:name w:val="toc 2"/>
    <w:basedOn w:val="Normal"/>
    <w:next w:val="Normal"/>
    <w:autoRedefine/>
    <w:uiPriority w:val="39"/>
    <w:unhideWhenUsed/>
    <w:rsid w:val="00F01EC4"/>
    <w:pPr>
      <w:spacing w:after="100"/>
      <w:ind w:left="220"/>
    </w:pPr>
  </w:style>
  <w:style w:type="paragraph" w:styleId="Title">
    <w:name w:val="Title"/>
    <w:basedOn w:val="Normal"/>
    <w:next w:val="Normal"/>
    <w:link w:val="TitleChar"/>
    <w:uiPriority w:val="10"/>
    <w:qFormat/>
    <w:rsid w:val="00F01E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EC4"/>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F01EC4"/>
    <w:rPr>
      <w:color w:val="0563C1" w:themeColor="hyperlink"/>
      <w:u w:val="single"/>
    </w:rPr>
  </w:style>
  <w:style w:type="paragraph" w:styleId="BalloonText">
    <w:name w:val="Balloon Text"/>
    <w:basedOn w:val="Normal"/>
    <w:link w:val="BalloonTextChar"/>
    <w:uiPriority w:val="99"/>
    <w:semiHidden/>
    <w:unhideWhenUsed/>
    <w:rsid w:val="00F01E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EC4"/>
    <w:rPr>
      <w:rFonts w:ascii="Segoe UI" w:hAnsi="Segoe UI" w:cs="Segoe UI"/>
      <w:sz w:val="18"/>
      <w:szCs w:val="18"/>
      <w:lang w:val="en-US"/>
    </w:rPr>
  </w:style>
  <w:style w:type="paragraph" w:styleId="TOCHeading">
    <w:name w:val="TOC Heading"/>
    <w:basedOn w:val="Heading1"/>
    <w:next w:val="Normal"/>
    <w:uiPriority w:val="39"/>
    <w:unhideWhenUsed/>
    <w:qFormat/>
    <w:rsid w:val="00F01EC4"/>
    <w:pPr>
      <w:numPr>
        <w:numId w:val="0"/>
      </w:numPr>
      <w:spacing w:before="240" w:line="259" w:lineRule="auto"/>
      <w:outlineLvl w:val="9"/>
    </w:pPr>
    <w:rPr>
      <w:rFonts w:asciiTheme="majorHAnsi" w:hAnsiTheme="majorHAnsi"/>
      <w:b w:val="0"/>
      <w:i/>
      <w:color w:val="2F5496" w:themeColor="accent1" w:themeShade="BF"/>
    </w:rPr>
  </w:style>
  <w:style w:type="numbering" w:customStyle="1" w:styleId="Style2">
    <w:name w:val="Style2"/>
    <w:uiPriority w:val="99"/>
    <w:rsid w:val="00A26458"/>
    <w:pPr>
      <w:numPr>
        <w:numId w:val="9"/>
      </w:numPr>
    </w:pPr>
  </w:style>
  <w:style w:type="paragraph" w:styleId="Quote">
    <w:name w:val="Quote"/>
    <w:basedOn w:val="Normal"/>
    <w:next w:val="Normal"/>
    <w:link w:val="QuoteChar"/>
    <w:autoRedefine/>
    <w:uiPriority w:val="29"/>
    <w:qFormat/>
    <w:rsid w:val="00235E7E"/>
    <w:pPr>
      <w:ind w:left="863" w:right="864"/>
    </w:pPr>
    <w:rPr>
      <w:rFonts w:asciiTheme="minorHAnsi" w:hAnsiTheme="minorHAnsi" w:cstheme="minorBidi"/>
      <w:i/>
      <w:iCs/>
      <w:color w:val="404040" w:themeColor="text1" w:themeTint="BF"/>
      <w:sz w:val="22"/>
    </w:rPr>
  </w:style>
  <w:style w:type="character" w:customStyle="1" w:styleId="QuoteChar">
    <w:name w:val="Quote Char"/>
    <w:basedOn w:val="DefaultParagraphFont"/>
    <w:link w:val="Quote"/>
    <w:uiPriority w:val="29"/>
    <w:rsid w:val="00235E7E"/>
    <w:rPr>
      <w:rFonts w:eastAsia="Calibri"/>
      <w:i/>
      <w:iCs/>
      <w:color w:val="404040" w:themeColor="text1" w:themeTint="BF"/>
      <w:lang w:val="en-GB"/>
    </w:rPr>
  </w:style>
  <w:style w:type="paragraph" w:styleId="FootnoteText">
    <w:name w:val="footnote text"/>
    <w:basedOn w:val="Normal"/>
    <w:link w:val="FootnoteTextChar"/>
    <w:uiPriority w:val="99"/>
    <w:unhideWhenUsed/>
    <w:qFormat/>
    <w:rsid w:val="00734757"/>
    <w:pPr>
      <w:spacing w:line="240" w:lineRule="auto"/>
    </w:pPr>
    <w:rPr>
      <w:sz w:val="20"/>
      <w:szCs w:val="20"/>
    </w:rPr>
  </w:style>
  <w:style w:type="character" w:customStyle="1" w:styleId="FootnoteTextChar">
    <w:name w:val="Footnote Text Char"/>
    <w:basedOn w:val="DefaultParagraphFont"/>
    <w:link w:val="FootnoteText"/>
    <w:uiPriority w:val="99"/>
    <w:rsid w:val="00734757"/>
    <w:rPr>
      <w:rFonts w:ascii="Adobe Garamond Pro" w:hAnsi="Adobe Garamond Pro" w:cstheme="minorHAnsi"/>
      <w:sz w:val="20"/>
      <w:szCs w:val="20"/>
      <w:lang w:val="en-GB"/>
    </w:rPr>
  </w:style>
  <w:style w:type="character" w:styleId="FootnoteReference">
    <w:name w:val="footnote reference"/>
    <w:basedOn w:val="DefaultParagraphFont"/>
    <w:uiPriority w:val="99"/>
    <w:unhideWhenUsed/>
    <w:rsid w:val="00734757"/>
    <w:rPr>
      <w:vertAlign w:val="superscript"/>
    </w:rPr>
  </w:style>
  <w:style w:type="paragraph" w:styleId="Footer">
    <w:name w:val="footer"/>
    <w:basedOn w:val="Normal"/>
    <w:link w:val="FooterChar"/>
    <w:uiPriority w:val="99"/>
    <w:unhideWhenUsed/>
    <w:rsid w:val="00734757"/>
    <w:pPr>
      <w:tabs>
        <w:tab w:val="center" w:pos="4536"/>
        <w:tab w:val="right" w:pos="9072"/>
      </w:tabs>
      <w:spacing w:line="240" w:lineRule="auto"/>
    </w:pPr>
  </w:style>
  <w:style w:type="character" w:customStyle="1" w:styleId="FooterChar">
    <w:name w:val="Footer Char"/>
    <w:basedOn w:val="DefaultParagraphFont"/>
    <w:link w:val="Footer"/>
    <w:uiPriority w:val="99"/>
    <w:rsid w:val="00734757"/>
    <w:rPr>
      <w:rFonts w:ascii="Adobe Garamond Pro" w:hAnsi="Adobe Garamond Pro" w:cstheme="minorHAnsi"/>
      <w:sz w:val="24"/>
      <w:lang w:val="en-GB"/>
    </w:rPr>
  </w:style>
  <w:style w:type="paragraph" w:styleId="ListParagraph">
    <w:name w:val="List Paragraph"/>
    <w:basedOn w:val="Normal"/>
    <w:uiPriority w:val="34"/>
    <w:qFormat/>
    <w:rsid w:val="00A20F5B"/>
    <w:pPr>
      <w:ind w:left="720"/>
      <w:contextualSpacing/>
    </w:pPr>
  </w:style>
  <w:style w:type="paragraph" w:styleId="NoSpacing">
    <w:name w:val="No Spacing"/>
    <w:link w:val="NoSpacingChar"/>
    <w:uiPriority w:val="1"/>
    <w:qFormat/>
    <w:rsid w:val="00E0104B"/>
    <w:pPr>
      <w:spacing w:after="0" w:line="240" w:lineRule="auto"/>
    </w:pPr>
    <w:rPr>
      <w:rFonts w:ascii="Adobe Garamond Pro" w:eastAsiaTheme="minorEastAsia" w:hAnsi="Adobe Garamond Pro" w:cstheme="minorHAnsi"/>
      <w:sz w:val="24"/>
      <w:lang w:val="en-US"/>
    </w:rPr>
  </w:style>
  <w:style w:type="character" w:customStyle="1" w:styleId="NoSpacingChar">
    <w:name w:val="No Spacing Char"/>
    <w:basedOn w:val="DefaultParagraphFont"/>
    <w:link w:val="NoSpacing"/>
    <w:uiPriority w:val="1"/>
    <w:rsid w:val="00E0104B"/>
    <w:rPr>
      <w:rFonts w:ascii="Adobe Garamond Pro" w:eastAsiaTheme="minorEastAsia" w:hAnsi="Adobe Garamond Pro" w:cstheme="minorHAnsi"/>
      <w:sz w:val="24"/>
      <w:lang w:val="en-US"/>
    </w:rPr>
  </w:style>
  <w:style w:type="table" w:styleId="TableGrid">
    <w:name w:val="Table Grid"/>
    <w:basedOn w:val="TableNormal"/>
    <w:uiPriority w:val="39"/>
    <w:rsid w:val="00E0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47AF"/>
    <w:pPr>
      <w:spacing w:after="0" w:line="240" w:lineRule="auto"/>
    </w:pPr>
    <w:rPr>
      <w:rFonts w:ascii="Adobe Garamond Pro" w:hAnsi="Adobe Garamond Pro" w:cstheme="minorHAnsi"/>
      <w:sz w:val="24"/>
      <w:lang w:val="en-GB"/>
    </w:rPr>
  </w:style>
  <w:style w:type="table" w:customStyle="1" w:styleId="TableGrid1">
    <w:name w:val="Table Grid1"/>
    <w:basedOn w:val="TableNormal"/>
    <w:next w:val="TableGrid"/>
    <w:uiPriority w:val="39"/>
    <w:rsid w:val="0012434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41DC"/>
    <w:rPr>
      <w:sz w:val="16"/>
      <w:szCs w:val="16"/>
    </w:rPr>
  </w:style>
  <w:style w:type="paragraph" w:styleId="CommentText">
    <w:name w:val="annotation text"/>
    <w:basedOn w:val="Normal"/>
    <w:link w:val="CommentTextChar"/>
    <w:uiPriority w:val="99"/>
    <w:unhideWhenUsed/>
    <w:rsid w:val="00A241DC"/>
    <w:rPr>
      <w:sz w:val="20"/>
      <w:szCs w:val="20"/>
    </w:rPr>
  </w:style>
  <w:style w:type="character" w:customStyle="1" w:styleId="CommentTextChar">
    <w:name w:val="Comment Text Char"/>
    <w:basedOn w:val="DefaultParagraphFont"/>
    <w:link w:val="CommentText"/>
    <w:uiPriority w:val="99"/>
    <w:rsid w:val="00A241DC"/>
    <w:rPr>
      <w:rFonts w:ascii="Adobe Garamond Pro" w:hAnsi="Adobe Garamond Pro" w:cs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085f-0e34-438c-ad29-39113ae77b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A90894AC6E5744ACC0AEEC132E5FBF" ma:contentTypeVersion="5" ma:contentTypeDescription="Create a new document." ma:contentTypeScope="" ma:versionID="2f243a9ffbb7632e8379e60c184e2f52">
  <xsd:schema xmlns:xsd="http://www.w3.org/2001/XMLSchema" xmlns:xs="http://www.w3.org/2001/XMLSchema" xmlns:p="http://schemas.microsoft.com/office/2006/metadata/properties" xmlns:ns3="073d085f-0e34-438c-ad29-39113ae77bb1" targetNamespace="http://schemas.microsoft.com/office/2006/metadata/properties" ma:root="true" ma:fieldsID="6fca7f5dc085b79b5d64e68bfce3dbb2" ns3:_="">
    <xsd:import namespace="073d085f-0e34-438c-ad29-39113ae77bb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085f-0e34-438c-ad29-39113ae77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A612-0BE6-4A6E-8E48-3DBA15309A12}">
  <ds:schemaRefs>
    <ds:schemaRef ds:uri="http://schemas.microsoft.com/office/2006/metadata/properties"/>
    <ds:schemaRef ds:uri="http://schemas.microsoft.com/office/infopath/2007/PartnerControls"/>
    <ds:schemaRef ds:uri="073d085f-0e34-438c-ad29-39113ae77bb1"/>
  </ds:schemaRefs>
</ds:datastoreItem>
</file>

<file path=customXml/itemProps2.xml><?xml version="1.0" encoding="utf-8"?>
<ds:datastoreItem xmlns:ds="http://schemas.openxmlformats.org/officeDocument/2006/customXml" ds:itemID="{98DD4F78-CA9F-4629-A821-5A711E4A5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085f-0e34-438c-ad29-39113ae7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D2535-AF05-48F3-A617-B6FD1CD02537}">
  <ds:schemaRefs>
    <ds:schemaRef ds:uri="http://schemas.microsoft.com/sharepoint/v3/contenttype/forms"/>
  </ds:schemaRefs>
</ds:datastoreItem>
</file>

<file path=customXml/itemProps4.xml><?xml version="1.0" encoding="utf-8"?>
<ds:datastoreItem xmlns:ds="http://schemas.openxmlformats.org/officeDocument/2006/customXml" ds:itemID="{4266299B-2216-5A49-974A-083E8654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1994</Words>
  <Characters>10928</Characters>
  <Application>Microsoft Office Word</Application>
  <DocSecurity>0</DocSecurity>
  <Lines>168</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AVARO  Maylis</dc:creator>
  <cp:keywords/>
  <dc:description/>
  <cp:lastModifiedBy>SS</cp:lastModifiedBy>
  <cp:revision>4</cp:revision>
  <cp:lastPrinted>2023-04-24T04:50:00Z</cp:lastPrinted>
  <dcterms:created xsi:type="dcterms:W3CDTF">2024-07-08T04:54:00Z</dcterms:created>
  <dcterms:modified xsi:type="dcterms:W3CDTF">2024-07-09T20:24:00Z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0x01010088A90894AC6E5744ACC0AEEC132E5FBF</vt:lpwstr>
  </property>
</Properties>
</file>