
<file path=[Content_Types].xml><?xml version="1.0" encoding="utf-8"?>
<Types xmlns="http://schemas.openxmlformats.org/package/2006/content-types">
  <Default Extension="rels" ContentType="application/vnd.openxmlformats-package.relationships+xml"/>
  <Default Extension="tif" ContentType="image/tiff"/>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2F74EB" w14:textId="28FE4556" w:rsidR="005E6559" w:rsidRPr="00631CF2" w:rsidRDefault="005E6559" w:rsidP="007F0193">
      <w:pPr>
        <w:pStyle w:val="Heading1"/>
        <w:keepLines w:val="0"/>
        <w:widowControl w:val="0"/>
        <w:spacing w:before="0" w:line="480" w:lineRule="auto"/>
        <w:jc w:val="both"/>
        <w:rPr>
          <w:rFonts w:ascii="Calibri" w:eastAsia="Times New Roman" w:hAnsi="Calibri" w:cs="Calibri"/>
          <w:b w:val="0"/>
          <w:bCs w:val="0"/>
          <w:color w:val="538135"/>
          <w:sz w:val="28"/>
          <w:szCs w:val="28"/>
          <w:lang w:val="en-GB"/>
        </w:rPr>
      </w:pPr>
      <w:r w:rsidRPr="00631CF2">
        <w:rPr>
          <w:rFonts w:ascii="Calibri" w:eastAsia="Times New Roman" w:hAnsi="Calibri" w:cs="Calibri"/>
          <w:b w:val="0"/>
          <w:bCs w:val="0"/>
          <w:color w:val="538135"/>
          <w:sz w:val="28"/>
          <w:szCs w:val="28"/>
          <w:lang w:val="en-GB"/>
        </w:rPr>
        <w:t xml:space="preserve">Tiller </w:t>
      </w:r>
      <w:r w:rsidR="007F0193" w:rsidRPr="00631CF2">
        <w:rPr>
          <w:rFonts w:ascii="Calibri" w:eastAsia="Times New Roman" w:hAnsi="Calibri" w:cs="Calibri"/>
          <w:b w:val="0"/>
          <w:bCs w:val="0"/>
          <w:color w:val="538135"/>
          <w:sz w:val="28"/>
          <w:szCs w:val="28"/>
          <w:lang w:val="en-GB"/>
        </w:rPr>
        <w:t>population dynamics and self-thinning law reveal stability mechanisms in mixed grass swards under variable grazing management</w:t>
      </w:r>
    </w:p>
    <w:p w14:paraId="42257AC0" w14:textId="77777777" w:rsidR="000F33C5" w:rsidRPr="00631CF2" w:rsidRDefault="000F33C5" w:rsidP="007F0193">
      <w:pPr>
        <w:widowControl w:val="0"/>
        <w:spacing w:after="0" w:line="480" w:lineRule="auto"/>
        <w:jc w:val="both"/>
        <w:rPr>
          <w:rFonts w:ascii="Calibri" w:eastAsia="Arial" w:hAnsi="Calibri" w:cs="Calibri"/>
          <w:sz w:val="24"/>
          <w:szCs w:val="24"/>
        </w:rPr>
      </w:pPr>
    </w:p>
    <w:p w14:paraId="32E2F749" w14:textId="11879735" w:rsidR="000F33C5" w:rsidRPr="00631CF2" w:rsidRDefault="412175EC" w:rsidP="007F0193">
      <w:pPr>
        <w:widowControl w:val="0"/>
        <w:spacing w:after="0" w:line="480" w:lineRule="auto"/>
        <w:jc w:val="both"/>
        <w:rPr>
          <w:rFonts w:ascii="Calibri" w:eastAsia="Arial" w:hAnsi="Calibri" w:cs="Calibri"/>
          <w:sz w:val="24"/>
          <w:szCs w:val="24"/>
          <w:vertAlign w:val="superscript"/>
        </w:rPr>
      </w:pPr>
      <w:r w:rsidRPr="00631CF2">
        <w:rPr>
          <w:rFonts w:ascii="Calibri" w:eastAsia="Arial" w:hAnsi="Calibri" w:cs="Calibri"/>
          <w:sz w:val="24"/>
          <w:szCs w:val="24"/>
          <w:shd w:val="clear" w:color="auto" w:fill="FFFFFF"/>
        </w:rPr>
        <w:t>M</w:t>
      </w:r>
      <w:r w:rsidR="00071CEB" w:rsidRPr="00631CF2">
        <w:rPr>
          <w:rFonts w:ascii="Calibri" w:eastAsia="Arial" w:hAnsi="Calibri" w:cs="Calibri"/>
          <w:sz w:val="24"/>
          <w:szCs w:val="24"/>
          <w:shd w:val="clear" w:color="auto" w:fill="FFFFFF"/>
        </w:rPr>
        <w:t>aria</w:t>
      </w:r>
      <w:r w:rsidRPr="00631CF2">
        <w:rPr>
          <w:rFonts w:ascii="Calibri" w:eastAsia="Arial" w:hAnsi="Calibri" w:cs="Calibri"/>
          <w:sz w:val="24"/>
          <w:szCs w:val="24"/>
          <w:shd w:val="clear" w:color="auto" w:fill="FFFFFF"/>
        </w:rPr>
        <w:t xml:space="preserve"> G</w:t>
      </w:r>
      <w:r w:rsidR="00071CEB" w:rsidRPr="00631CF2">
        <w:rPr>
          <w:rFonts w:ascii="Calibri" w:eastAsia="Arial" w:hAnsi="Calibri" w:cs="Calibri"/>
          <w:sz w:val="24"/>
          <w:szCs w:val="24"/>
          <w:shd w:val="clear" w:color="auto" w:fill="FFFFFF"/>
        </w:rPr>
        <w:t>.</w:t>
      </w:r>
      <w:r w:rsidRPr="00631CF2">
        <w:rPr>
          <w:rFonts w:ascii="Calibri" w:eastAsia="Arial" w:hAnsi="Calibri" w:cs="Calibri"/>
          <w:sz w:val="24"/>
          <w:szCs w:val="24"/>
          <w:shd w:val="clear" w:color="auto" w:fill="FFFFFF"/>
        </w:rPr>
        <w:t xml:space="preserve"> Pittaro</w:t>
      </w:r>
      <w:r w:rsidRPr="00631CF2">
        <w:rPr>
          <w:rFonts w:ascii="Calibri" w:eastAsia="Arial" w:hAnsi="Calibri" w:cs="Calibri"/>
          <w:sz w:val="24"/>
          <w:szCs w:val="24"/>
          <w:shd w:val="clear" w:color="auto" w:fill="FFFFFF"/>
          <w:vertAlign w:val="superscript"/>
        </w:rPr>
        <w:t>1, 2</w:t>
      </w:r>
      <w:r w:rsidRPr="00631CF2">
        <w:rPr>
          <w:rFonts w:ascii="Calibri" w:eastAsia="Arial" w:hAnsi="Calibri" w:cs="Calibri"/>
          <w:sz w:val="24"/>
          <w:szCs w:val="24"/>
          <w:shd w:val="clear" w:color="auto" w:fill="FFFFFF"/>
        </w:rPr>
        <w:t xml:space="preserve">, </w:t>
      </w:r>
      <w:r w:rsidR="008878F6" w:rsidRPr="00631CF2">
        <w:rPr>
          <w:rFonts w:ascii="Calibri" w:hAnsi="Calibri" w:cs="Calibri"/>
          <w:sz w:val="24"/>
          <w:szCs w:val="24"/>
        </w:rPr>
        <w:t>Fábio</w:t>
      </w:r>
      <w:r w:rsidR="008878F6" w:rsidRPr="00631CF2">
        <w:rPr>
          <w:rFonts w:ascii="Calibri" w:eastAsia="Arial" w:hAnsi="Calibri" w:cs="Calibri"/>
          <w:sz w:val="24"/>
          <w:szCs w:val="24"/>
        </w:rPr>
        <w:t xml:space="preserve"> </w:t>
      </w:r>
      <w:r w:rsidRPr="00631CF2">
        <w:rPr>
          <w:rFonts w:ascii="Calibri" w:eastAsia="Arial" w:hAnsi="Calibri" w:cs="Calibri"/>
          <w:sz w:val="24"/>
          <w:szCs w:val="24"/>
        </w:rPr>
        <w:t>L</w:t>
      </w:r>
      <w:r w:rsidR="00071CEB" w:rsidRPr="00631CF2">
        <w:rPr>
          <w:rFonts w:ascii="Calibri" w:eastAsia="Arial" w:hAnsi="Calibri" w:cs="Calibri"/>
          <w:sz w:val="24"/>
          <w:szCs w:val="24"/>
        </w:rPr>
        <w:t>.</w:t>
      </w:r>
      <w:r w:rsidRPr="00631CF2">
        <w:rPr>
          <w:rFonts w:ascii="Calibri" w:eastAsia="Arial" w:hAnsi="Calibri" w:cs="Calibri"/>
          <w:sz w:val="24"/>
          <w:szCs w:val="24"/>
        </w:rPr>
        <w:t xml:space="preserve"> Winter</w:t>
      </w:r>
      <w:r w:rsidRPr="00631CF2">
        <w:rPr>
          <w:rFonts w:ascii="Calibri" w:eastAsia="Arial" w:hAnsi="Calibri" w:cs="Calibri"/>
          <w:sz w:val="24"/>
          <w:szCs w:val="24"/>
          <w:vertAlign w:val="superscript"/>
        </w:rPr>
        <w:t>2</w:t>
      </w:r>
      <w:r w:rsidRPr="00631CF2">
        <w:rPr>
          <w:rFonts w:ascii="Calibri" w:eastAsia="Arial" w:hAnsi="Calibri" w:cs="Calibri"/>
          <w:sz w:val="24"/>
          <w:szCs w:val="24"/>
        </w:rPr>
        <w:t>, V</w:t>
      </w:r>
      <w:r w:rsidR="00071CEB" w:rsidRPr="00631CF2">
        <w:rPr>
          <w:rFonts w:ascii="Calibri" w:eastAsia="Arial" w:hAnsi="Calibri" w:cs="Calibri"/>
          <w:sz w:val="24"/>
          <w:szCs w:val="24"/>
        </w:rPr>
        <w:t>alentina</w:t>
      </w:r>
      <w:r w:rsidRPr="00631CF2">
        <w:rPr>
          <w:rFonts w:ascii="Calibri" w:eastAsia="Arial" w:hAnsi="Calibri" w:cs="Calibri"/>
          <w:sz w:val="24"/>
          <w:szCs w:val="24"/>
        </w:rPr>
        <w:t xml:space="preserve"> Y</w:t>
      </w:r>
      <w:r w:rsidR="008878F6" w:rsidRPr="00631CF2">
        <w:rPr>
          <w:rFonts w:ascii="Calibri" w:eastAsia="Arial" w:hAnsi="Calibri" w:cs="Calibri"/>
          <w:sz w:val="24"/>
          <w:szCs w:val="24"/>
        </w:rPr>
        <w:t>.</w:t>
      </w:r>
      <w:r w:rsidRPr="00631CF2">
        <w:rPr>
          <w:rFonts w:ascii="Calibri" w:eastAsia="Arial" w:hAnsi="Calibri" w:cs="Calibri"/>
          <w:sz w:val="24"/>
          <w:szCs w:val="24"/>
        </w:rPr>
        <w:t xml:space="preserve"> M</w:t>
      </w:r>
      <w:r w:rsidR="008878F6" w:rsidRPr="00631CF2">
        <w:rPr>
          <w:rFonts w:ascii="Calibri" w:eastAsia="Arial" w:hAnsi="Calibri" w:cs="Calibri"/>
          <w:sz w:val="24"/>
          <w:szCs w:val="24"/>
        </w:rPr>
        <w:t>.</w:t>
      </w:r>
      <w:r w:rsidRPr="00631CF2">
        <w:rPr>
          <w:rFonts w:ascii="Calibri" w:eastAsia="Arial" w:hAnsi="Calibri" w:cs="Calibri"/>
          <w:sz w:val="24"/>
          <w:szCs w:val="24"/>
        </w:rPr>
        <w:t xml:space="preserve"> Moncada</w:t>
      </w:r>
      <w:r w:rsidRPr="00631CF2">
        <w:rPr>
          <w:rFonts w:ascii="Calibri" w:eastAsia="Arial" w:hAnsi="Calibri" w:cs="Calibri"/>
          <w:sz w:val="24"/>
          <w:szCs w:val="24"/>
          <w:vertAlign w:val="superscript"/>
        </w:rPr>
        <w:t>2</w:t>
      </w:r>
      <w:r w:rsidR="00C564EF" w:rsidRPr="00631CF2">
        <w:rPr>
          <w:rFonts w:ascii="Calibri" w:eastAsia="Arial" w:hAnsi="Calibri" w:cs="Calibri"/>
          <w:sz w:val="24"/>
          <w:szCs w:val="24"/>
        </w:rPr>
        <w:t xml:space="preserve"> and</w:t>
      </w:r>
      <w:r w:rsidRPr="00631CF2">
        <w:rPr>
          <w:rFonts w:ascii="Calibri" w:eastAsia="Arial" w:hAnsi="Calibri" w:cs="Calibri"/>
          <w:sz w:val="24"/>
          <w:szCs w:val="24"/>
        </w:rPr>
        <w:t xml:space="preserve"> </w:t>
      </w:r>
      <w:r w:rsidR="00351506" w:rsidRPr="00631CF2">
        <w:rPr>
          <w:rFonts w:ascii="Calibri" w:hAnsi="Calibri" w:cs="Calibri"/>
          <w:sz w:val="24"/>
          <w:szCs w:val="24"/>
        </w:rPr>
        <w:t>André</w:t>
      </w:r>
      <w:r w:rsidRPr="00631CF2">
        <w:rPr>
          <w:rFonts w:ascii="Calibri" w:eastAsia="Arial" w:hAnsi="Calibri" w:cs="Calibri"/>
          <w:sz w:val="24"/>
          <w:szCs w:val="24"/>
        </w:rPr>
        <w:t xml:space="preserve"> F</w:t>
      </w:r>
      <w:r w:rsidR="008878F6" w:rsidRPr="00631CF2">
        <w:rPr>
          <w:rFonts w:ascii="Calibri" w:eastAsia="Arial" w:hAnsi="Calibri" w:cs="Calibri"/>
          <w:sz w:val="24"/>
          <w:szCs w:val="24"/>
        </w:rPr>
        <w:t>.</w:t>
      </w:r>
      <w:r w:rsidRPr="00631CF2">
        <w:rPr>
          <w:rFonts w:ascii="Calibri" w:eastAsia="Arial" w:hAnsi="Calibri" w:cs="Calibri"/>
          <w:sz w:val="24"/>
          <w:szCs w:val="24"/>
        </w:rPr>
        <w:t xml:space="preserve"> Sbrissia</w:t>
      </w:r>
      <w:r w:rsidRPr="00631CF2">
        <w:rPr>
          <w:rFonts w:ascii="Calibri" w:eastAsia="Arial" w:hAnsi="Calibri" w:cs="Calibri"/>
          <w:sz w:val="24"/>
          <w:szCs w:val="24"/>
          <w:vertAlign w:val="superscript"/>
        </w:rPr>
        <w:t>2</w:t>
      </w:r>
    </w:p>
    <w:p w14:paraId="1E071A0B" w14:textId="7BE1B216" w:rsidR="69315EEE" w:rsidRPr="00631CF2" w:rsidRDefault="69315EEE" w:rsidP="007F0193">
      <w:pPr>
        <w:widowControl w:val="0"/>
        <w:spacing w:after="0" w:line="480" w:lineRule="auto"/>
        <w:jc w:val="both"/>
        <w:rPr>
          <w:rFonts w:ascii="Calibri" w:eastAsia="Arial" w:hAnsi="Calibri" w:cs="Calibri"/>
          <w:sz w:val="24"/>
          <w:szCs w:val="24"/>
          <w:vertAlign w:val="superscript"/>
        </w:rPr>
      </w:pPr>
    </w:p>
    <w:p w14:paraId="4BDB8173" w14:textId="1A94A9C5" w:rsidR="000F33C5" w:rsidRPr="00631CF2" w:rsidRDefault="00C564EF" w:rsidP="007F0193">
      <w:pPr>
        <w:pStyle w:val="ListParagraph"/>
        <w:widowControl w:val="0"/>
        <w:shd w:val="clear" w:color="auto" w:fill="FFFFFF" w:themeFill="background1"/>
        <w:tabs>
          <w:tab w:val="num" w:pos="360"/>
        </w:tabs>
        <w:spacing w:after="0" w:line="480" w:lineRule="auto"/>
        <w:ind w:left="0"/>
        <w:jc w:val="both"/>
        <w:rPr>
          <w:rFonts w:ascii="Calibri" w:eastAsia="Arial" w:hAnsi="Calibri" w:cs="Calibri"/>
          <w:sz w:val="24"/>
          <w:szCs w:val="24"/>
          <w:lang w:val="en-GB" w:eastAsia="en-AU"/>
        </w:rPr>
      </w:pPr>
      <w:r w:rsidRPr="00631CF2">
        <w:rPr>
          <w:rFonts w:ascii="Calibri" w:eastAsia="Arial" w:hAnsi="Calibri" w:cs="Calibri"/>
          <w:sz w:val="24"/>
          <w:szCs w:val="24"/>
          <w:vertAlign w:val="superscript"/>
          <w:lang w:val="en-GB"/>
        </w:rPr>
        <w:t>1</w:t>
      </w:r>
      <w:r w:rsidR="412175EC" w:rsidRPr="00631CF2">
        <w:rPr>
          <w:rFonts w:ascii="Calibri" w:eastAsia="Arial" w:hAnsi="Calibri" w:cs="Calibri"/>
          <w:sz w:val="24"/>
          <w:szCs w:val="24"/>
          <w:lang w:val="en-GB"/>
        </w:rPr>
        <w:t xml:space="preserve">Instituto de </w:t>
      </w:r>
      <w:proofErr w:type="spellStart"/>
      <w:r w:rsidR="412175EC" w:rsidRPr="00631CF2">
        <w:rPr>
          <w:rFonts w:ascii="Calibri" w:eastAsia="Arial" w:hAnsi="Calibri" w:cs="Calibri"/>
          <w:sz w:val="24"/>
          <w:szCs w:val="24"/>
          <w:lang w:val="en-GB"/>
        </w:rPr>
        <w:t>Fisiología</w:t>
      </w:r>
      <w:proofErr w:type="spellEnd"/>
      <w:r w:rsidR="412175EC" w:rsidRPr="00631CF2">
        <w:rPr>
          <w:rFonts w:ascii="Calibri" w:eastAsia="Arial" w:hAnsi="Calibri" w:cs="Calibri"/>
          <w:sz w:val="24"/>
          <w:szCs w:val="24"/>
          <w:lang w:val="en-GB"/>
        </w:rPr>
        <w:t xml:space="preserve"> y </w:t>
      </w:r>
      <w:proofErr w:type="spellStart"/>
      <w:r w:rsidR="412175EC" w:rsidRPr="00631CF2">
        <w:rPr>
          <w:rFonts w:ascii="Calibri" w:eastAsia="Arial" w:hAnsi="Calibri" w:cs="Calibri"/>
          <w:sz w:val="24"/>
          <w:szCs w:val="24"/>
          <w:lang w:val="en-GB"/>
        </w:rPr>
        <w:t>Recursos</w:t>
      </w:r>
      <w:proofErr w:type="spellEnd"/>
      <w:r w:rsidR="412175EC" w:rsidRPr="00631CF2">
        <w:rPr>
          <w:rFonts w:ascii="Calibri" w:eastAsia="Arial" w:hAnsi="Calibri" w:cs="Calibri"/>
          <w:sz w:val="24"/>
          <w:szCs w:val="24"/>
          <w:lang w:val="en-GB"/>
        </w:rPr>
        <w:t xml:space="preserve"> </w:t>
      </w:r>
      <w:proofErr w:type="spellStart"/>
      <w:r w:rsidR="412175EC" w:rsidRPr="00631CF2">
        <w:rPr>
          <w:rFonts w:ascii="Calibri" w:eastAsia="Arial" w:hAnsi="Calibri" w:cs="Calibri"/>
          <w:sz w:val="24"/>
          <w:szCs w:val="24"/>
          <w:lang w:val="en-GB"/>
        </w:rPr>
        <w:t>Genéticos</w:t>
      </w:r>
      <w:proofErr w:type="spellEnd"/>
      <w:r w:rsidR="412175EC" w:rsidRPr="00631CF2">
        <w:rPr>
          <w:rFonts w:ascii="Calibri" w:eastAsia="Arial" w:hAnsi="Calibri" w:cs="Calibri"/>
          <w:sz w:val="24"/>
          <w:szCs w:val="24"/>
          <w:lang w:val="en-GB"/>
        </w:rPr>
        <w:t xml:space="preserve"> </w:t>
      </w:r>
      <w:proofErr w:type="spellStart"/>
      <w:r w:rsidR="412175EC" w:rsidRPr="00631CF2">
        <w:rPr>
          <w:rFonts w:ascii="Calibri" w:eastAsia="Arial" w:hAnsi="Calibri" w:cs="Calibri"/>
          <w:sz w:val="24"/>
          <w:szCs w:val="24"/>
          <w:lang w:val="en-GB"/>
        </w:rPr>
        <w:t>Vegetales</w:t>
      </w:r>
      <w:proofErr w:type="spellEnd"/>
      <w:r w:rsidR="412175EC" w:rsidRPr="00631CF2">
        <w:rPr>
          <w:rFonts w:ascii="Calibri" w:eastAsia="Arial" w:hAnsi="Calibri" w:cs="Calibri"/>
          <w:sz w:val="24"/>
          <w:szCs w:val="24"/>
          <w:lang w:val="en-GB"/>
        </w:rPr>
        <w:t xml:space="preserve"> (IFRGV), Centro de </w:t>
      </w:r>
      <w:proofErr w:type="spellStart"/>
      <w:r w:rsidR="412175EC" w:rsidRPr="00631CF2">
        <w:rPr>
          <w:rFonts w:ascii="Calibri" w:eastAsia="Arial" w:hAnsi="Calibri" w:cs="Calibri"/>
          <w:sz w:val="24"/>
          <w:szCs w:val="24"/>
          <w:lang w:val="en-GB"/>
        </w:rPr>
        <w:t>Investigaciones</w:t>
      </w:r>
      <w:proofErr w:type="spellEnd"/>
      <w:r w:rsidR="412175EC" w:rsidRPr="00631CF2">
        <w:rPr>
          <w:rFonts w:ascii="Calibri" w:eastAsia="Arial" w:hAnsi="Calibri" w:cs="Calibri"/>
          <w:sz w:val="24"/>
          <w:szCs w:val="24"/>
          <w:lang w:val="en-GB"/>
        </w:rPr>
        <w:t xml:space="preserve"> </w:t>
      </w:r>
      <w:proofErr w:type="spellStart"/>
      <w:r w:rsidR="412175EC" w:rsidRPr="00631CF2">
        <w:rPr>
          <w:rFonts w:ascii="Calibri" w:eastAsia="Arial" w:hAnsi="Calibri" w:cs="Calibri"/>
          <w:sz w:val="24"/>
          <w:szCs w:val="24"/>
          <w:lang w:val="en-GB"/>
        </w:rPr>
        <w:t>Agropecuarias</w:t>
      </w:r>
      <w:proofErr w:type="spellEnd"/>
      <w:r w:rsidR="412175EC" w:rsidRPr="00631CF2">
        <w:rPr>
          <w:rFonts w:ascii="Calibri" w:eastAsia="Arial" w:hAnsi="Calibri" w:cs="Calibri"/>
          <w:sz w:val="24"/>
          <w:szCs w:val="24"/>
          <w:lang w:val="en-GB"/>
        </w:rPr>
        <w:t xml:space="preserve"> (CIAP), Instituto Nacional de </w:t>
      </w:r>
      <w:proofErr w:type="spellStart"/>
      <w:r w:rsidR="412175EC" w:rsidRPr="00631CF2">
        <w:rPr>
          <w:rFonts w:ascii="Calibri" w:eastAsia="Arial" w:hAnsi="Calibri" w:cs="Calibri"/>
          <w:sz w:val="24"/>
          <w:szCs w:val="24"/>
          <w:lang w:val="en-GB"/>
        </w:rPr>
        <w:t>Tecnología</w:t>
      </w:r>
      <w:proofErr w:type="spellEnd"/>
      <w:r w:rsidR="412175EC" w:rsidRPr="00631CF2">
        <w:rPr>
          <w:rFonts w:ascii="Calibri" w:eastAsia="Arial" w:hAnsi="Calibri" w:cs="Calibri"/>
          <w:sz w:val="24"/>
          <w:szCs w:val="24"/>
          <w:lang w:val="en-GB"/>
        </w:rPr>
        <w:t xml:space="preserve"> </w:t>
      </w:r>
      <w:proofErr w:type="spellStart"/>
      <w:r w:rsidR="412175EC" w:rsidRPr="00631CF2">
        <w:rPr>
          <w:rFonts w:ascii="Calibri" w:eastAsia="Arial" w:hAnsi="Calibri" w:cs="Calibri"/>
          <w:sz w:val="24"/>
          <w:szCs w:val="24"/>
          <w:lang w:val="en-GB"/>
        </w:rPr>
        <w:t>Agropecuaria</w:t>
      </w:r>
      <w:proofErr w:type="spellEnd"/>
      <w:r w:rsidR="412175EC" w:rsidRPr="00631CF2">
        <w:rPr>
          <w:rFonts w:ascii="Calibri" w:eastAsia="Arial" w:hAnsi="Calibri" w:cs="Calibri"/>
          <w:sz w:val="24"/>
          <w:szCs w:val="24"/>
          <w:lang w:val="en-GB"/>
        </w:rPr>
        <w:t xml:space="preserve"> (INTA) - Unidad de </w:t>
      </w:r>
      <w:proofErr w:type="spellStart"/>
      <w:r w:rsidR="412175EC" w:rsidRPr="00631CF2">
        <w:rPr>
          <w:rFonts w:ascii="Calibri" w:eastAsia="Arial" w:hAnsi="Calibri" w:cs="Calibri"/>
          <w:sz w:val="24"/>
          <w:szCs w:val="24"/>
          <w:lang w:val="en-GB"/>
        </w:rPr>
        <w:t>Estudios</w:t>
      </w:r>
      <w:proofErr w:type="spellEnd"/>
      <w:r w:rsidR="412175EC" w:rsidRPr="00631CF2">
        <w:rPr>
          <w:rFonts w:ascii="Calibri" w:eastAsia="Arial" w:hAnsi="Calibri" w:cs="Calibri"/>
          <w:sz w:val="24"/>
          <w:szCs w:val="24"/>
          <w:lang w:val="en-GB"/>
        </w:rPr>
        <w:t xml:space="preserve"> </w:t>
      </w:r>
      <w:proofErr w:type="spellStart"/>
      <w:r w:rsidR="412175EC" w:rsidRPr="00631CF2">
        <w:rPr>
          <w:rFonts w:ascii="Calibri" w:eastAsia="Arial" w:hAnsi="Calibri" w:cs="Calibri"/>
          <w:sz w:val="24"/>
          <w:szCs w:val="24"/>
          <w:lang w:val="en-GB"/>
        </w:rPr>
        <w:t>Agropecuarios</w:t>
      </w:r>
      <w:proofErr w:type="spellEnd"/>
      <w:r w:rsidR="412175EC" w:rsidRPr="00631CF2">
        <w:rPr>
          <w:rFonts w:ascii="Calibri" w:eastAsia="Arial" w:hAnsi="Calibri" w:cs="Calibri"/>
          <w:sz w:val="24"/>
          <w:szCs w:val="24"/>
          <w:lang w:val="en-GB"/>
        </w:rPr>
        <w:t xml:space="preserve"> (UDEA), Consejo Nacional de </w:t>
      </w:r>
      <w:proofErr w:type="spellStart"/>
      <w:r w:rsidR="412175EC" w:rsidRPr="00631CF2">
        <w:rPr>
          <w:rFonts w:ascii="Calibri" w:eastAsia="Arial" w:hAnsi="Calibri" w:cs="Calibri"/>
          <w:sz w:val="24"/>
          <w:szCs w:val="24"/>
          <w:lang w:val="en-GB"/>
        </w:rPr>
        <w:t>Investigaciones</w:t>
      </w:r>
      <w:proofErr w:type="spellEnd"/>
      <w:r w:rsidR="412175EC" w:rsidRPr="00631CF2">
        <w:rPr>
          <w:rFonts w:ascii="Calibri" w:eastAsia="Arial" w:hAnsi="Calibri" w:cs="Calibri"/>
          <w:sz w:val="24"/>
          <w:szCs w:val="24"/>
          <w:lang w:val="en-GB"/>
        </w:rPr>
        <w:t xml:space="preserve"> </w:t>
      </w:r>
      <w:proofErr w:type="spellStart"/>
      <w:r w:rsidR="412175EC" w:rsidRPr="00631CF2">
        <w:rPr>
          <w:rFonts w:ascii="Calibri" w:eastAsia="Arial" w:hAnsi="Calibri" w:cs="Calibri"/>
          <w:sz w:val="24"/>
          <w:szCs w:val="24"/>
          <w:lang w:val="en-GB"/>
        </w:rPr>
        <w:t>Científicas</w:t>
      </w:r>
      <w:proofErr w:type="spellEnd"/>
      <w:r w:rsidR="412175EC" w:rsidRPr="00631CF2">
        <w:rPr>
          <w:rFonts w:ascii="Calibri" w:eastAsia="Arial" w:hAnsi="Calibri" w:cs="Calibri"/>
          <w:sz w:val="24"/>
          <w:szCs w:val="24"/>
          <w:lang w:val="en-GB"/>
        </w:rPr>
        <w:t xml:space="preserve"> y </w:t>
      </w:r>
      <w:proofErr w:type="spellStart"/>
      <w:r w:rsidR="412175EC" w:rsidRPr="00631CF2">
        <w:rPr>
          <w:rFonts w:ascii="Calibri" w:eastAsia="Arial" w:hAnsi="Calibri" w:cs="Calibri"/>
          <w:sz w:val="24"/>
          <w:szCs w:val="24"/>
          <w:lang w:val="en-GB"/>
        </w:rPr>
        <w:t>Técnicas</w:t>
      </w:r>
      <w:proofErr w:type="spellEnd"/>
      <w:r w:rsidR="412175EC" w:rsidRPr="00631CF2">
        <w:rPr>
          <w:rFonts w:ascii="Calibri" w:eastAsia="Arial" w:hAnsi="Calibri" w:cs="Calibri"/>
          <w:sz w:val="24"/>
          <w:szCs w:val="24"/>
          <w:lang w:val="en-GB"/>
        </w:rPr>
        <w:t xml:space="preserve"> (CONICET)</w:t>
      </w:r>
      <w:r w:rsidR="00A66575" w:rsidRPr="00631CF2">
        <w:rPr>
          <w:rFonts w:ascii="Calibri" w:eastAsia="Arial" w:hAnsi="Calibri" w:cs="Calibri"/>
          <w:sz w:val="24"/>
          <w:szCs w:val="24"/>
          <w:lang w:val="en-GB"/>
        </w:rPr>
        <w:t>;</w:t>
      </w:r>
      <w:r w:rsidR="412175EC" w:rsidRPr="00631CF2">
        <w:rPr>
          <w:rFonts w:ascii="Calibri" w:eastAsia="Arial" w:hAnsi="Calibri" w:cs="Calibri"/>
          <w:sz w:val="24"/>
          <w:szCs w:val="24"/>
          <w:lang w:val="en-GB"/>
        </w:rPr>
        <w:t xml:space="preserve"> </w:t>
      </w:r>
      <w:r w:rsidR="00A66575" w:rsidRPr="00631CF2">
        <w:rPr>
          <w:rFonts w:ascii="Calibri" w:eastAsia="Arial" w:hAnsi="Calibri" w:cs="Calibri"/>
          <w:sz w:val="24"/>
          <w:szCs w:val="24"/>
          <w:lang w:val="en-GB"/>
        </w:rPr>
        <w:t xml:space="preserve">Argentina, </w:t>
      </w:r>
      <w:r w:rsidR="412175EC" w:rsidRPr="00631CF2">
        <w:rPr>
          <w:rFonts w:ascii="Calibri" w:eastAsia="Arial" w:hAnsi="Calibri" w:cs="Calibri"/>
          <w:sz w:val="24"/>
          <w:szCs w:val="24"/>
          <w:lang w:val="en-GB"/>
        </w:rPr>
        <w:t>Córdoba</w:t>
      </w:r>
      <w:r w:rsidR="00A66575" w:rsidRPr="00631CF2">
        <w:rPr>
          <w:rFonts w:ascii="Calibri" w:eastAsia="Arial" w:hAnsi="Calibri" w:cs="Calibri"/>
          <w:sz w:val="24"/>
          <w:szCs w:val="24"/>
          <w:lang w:val="en-GB"/>
        </w:rPr>
        <w:t>.</w:t>
      </w:r>
      <w:r w:rsidRPr="00631CF2">
        <w:rPr>
          <w:rFonts w:ascii="Calibri" w:eastAsia="Arial" w:hAnsi="Calibri" w:cs="Calibri"/>
          <w:sz w:val="24"/>
          <w:szCs w:val="24"/>
          <w:lang w:val="en-GB"/>
        </w:rPr>
        <w:t xml:space="preserve"> </w:t>
      </w:r>
      <w:r w:rsidRPr="00631CF2">
        <w:rPr>
          <w:rFonts w:ascii="Calibri" w:hAnsi="Calibri" w:cs="Calibri"/>
          <w:noProof/>
          <w:sz w:val="24"/>
          <w:szCs w:val="24"/>
          <w:vertAlign w:val="superscript"/>
          <w:lang w:val="en-GB"/>
        </w:rPr>
        <w:t>2</w:t>
      </w:r>
      <w:r w:rsidR="412175EC" w:rsidRPr="00631CF2">
        <w:rPr>
          <w:rFonts w:ascii="Calibri" w:eastAsia="Arial" w:hAnsi="Calibri" w:cs="Calibri"/>
          <w:sz w:val="24"/>
          <w:szCs w:val="24"/>
          <w:lang w:val="en-GB"/>
        </w:rPr>
        <w:t xml:space="preserve">Centro de </w:t>
      </w:r>
      <w:proofErr w:type="spellStart"/>
      <w:r w:rsidR="412175EC" w:rsidRPr="00631CF2">
        <w:rPr>
          <w:rFonts w:ascii="Calibri" w:eastAsia="Arial" w:hAnsi="Calibri" w:cs="Calibri"/>
          <w:sz w:val="24"/>
          <w:szCs w:val="24"/>
          <w:lang w:val="en-GB"/>
        </w:rPr>
        <w:t>Ciências</w:t>
      </w:r>
      <w:proofErr w:type="spellEnd"/>
      <w:r w:rsidR="412175EC" w:rsidRPr="00631CF2">
        <w:rPr>
          <w:rFonts w:ascii="Calibri" w:eastAsia="Arial" w:hAnsi="Calibri" w:cs="Calibri"/>
          <w:sz w:val="24"/>
          <w:szCs w:val="24"/>
          <w:lang w:val="en-GB"/>
        </w:rPr>
        <w:t xml:space="preserve"> </w:t>
      </w:r>
      <w:proofErr w:type="spellStart"/>
      <w:r w:rsidR="412175EC" w:rsidRPr="00631CF2">
        <w:rPr>
          <w:rFonts w:ascii="Calibri" w:eastAsia="Arial" w:hAnsi="Calibri" w:cs="Calibri"/>
          <w:sz w:val="24"/>
          <w:szCs w:val="24"/>
          <w:lang w:val="en-GB"/>
        </w:rPr>
        <w:t>Agroveterinárias</w:t>
      </w:r>
      <w:proofErr w:type="spellEnd"/>
      <w:r w:rsidR="412175EC" w:rsidRPr="00631CF2">
        <w:rPr>
          <w:rFonts w:ascii="Calibri" w:eastAsia="Arial" w:hAnsi="Calibri" w:cs="Calibri"/>
          <w:sz w:val="24"/>
          <w:szCs w:val="24"/>
          <w:lang w:val="en-GB"/>
        </w:rPr>
        <w:t xml:space="preserve"> (</w:t>
      </w:r>
      <w:r w:rsidR="412175EC" w:rsidRPr="00631CF2">
        <w:rPr>
          <w:rFonts w:ascii="Calibri" w:eastAsia="Arial" w:hAnsi="Calibri" w:cs="Calibri"/>
          <w:sz w:val="24"/>
          <w:szCs w:val="24"/>
          <w:shd w:val="clear" w:color="auto" w:fill="FFFFFF"/>
          <w:lang w:val="en-GB"/>
        </w:rPr>
        <w:t>CAV</w:t>
      </w:r>
      <w:r w:rsidR="412175EC" w:rsidRPr="00631CF2">
        <w:rPr>
          <w:rFonts w:ascii="Calibri" w:eastAsia="Arial" w:hAnsi="Calibri" w:cs="Calibri"/>
          <w:sz w:val="24"/>
          <w:szCs w:val="24"/>
          <w:lang w:val="en-GB"/>
        </w:rPr>
        <w:t xml:space="preserve">), </w:t>
      </w:r>
      <w:proofErr w:type="spellStart"/>
      <w:r w:rsidR="412175EC" w:rsidRPr="00631CF2">
        <w:rPr>
          <w:rFonts w:ascii="Calibri" w:eastAsia="Arial" w:hAnsi="Calibri" w:cs="Calibri"/>
          <w:sz w:val="24"/>
          <w:szCs w:val="24"/>
          <w:lang w:val="en-GB"/>
        </w:rPr>
        <w:t>Universidade</w:t>
      </w:r>
      <w:proofErr w:type="spellEnd"/>
      <w:r w:rsidR="412175EC" w:rsidRPr="00631CF2">
        <w:rPr>
          <w:rFonts w:ascii="Calibri" w:eastAsia="Arial" w:hAnsi="Calibri" w:cs="Calibri"/>
          <w:sz w:val="24"/>
          <w:szCs w:val="24"/>
          <w:lang w:val="en-GB"/>
        </w:rPr>
        <w:t xml:space="preserve"> do Estado de Santa Catarina </w:t>
      </w:r>
      <w:r w:rsidR="412175EC" w:rsidRPr="00631CF2">
        <w:rPr>
          <w:rFonts w:ascii="Calibri" w:eastAsia="Arial" w:hAnsi="Calibri" w:cs="Calibri"/>
          <w:sz w:val="24"/>
          <w:szCs w:val="24"/>
          <w:shd w:val="clear" w:color="auto" w:fill="FFFFFF"/>
          <w:lang w:val="en-GB"/>
        </w:rPr>
        <w:t>(UDESC)</w:t>
      </w:r>
      <w:r w:rsidR="00A66575" w:rsidRPr="00631CF2">
        <w:rPr>
          <w:rFonts w:ascii="Calibri" w:eastAsia="Arial" w:hAnsi="Calibri" w:cs="Calibri"/>
          <w:sz w:val="24"/>
          <w:szCs w:val="24"/>
          <w:lang w:val="en-GB"/>
        </w:rPr>
        <w:t xml:space="preserve">; </w:t>
      </w:r>
      <w:r w:rsidR="00A66575" w:rsidRPr="00631CF2">
        <w:rPr>
          <w:rFonts w:ascii="Calibri" w:eastAsia="Arial" w:hAnsi="Calibri" w:cs="Calibri"/>
          <w:sz w:val="24"/>
          <w:szCs w:val="24"/>
          <w:shd w:val="clear" w:color="auto" w:fill="FFFFFF"/>
          <w:lang w:val="en-GB"/>
        </w:rPr>
        <w:t>Brazil,</w:t>
      </w:r>
      <w:r w:rsidR="005C492E" w:rsidRPr="00631CF2">
        <w:rPr>
          <w:rFonts w:ascii="Calibri" w:eastAsia="Arial" w:hAnsi="Calibri" w:cs="Calibri"/>
          <w:sz w:val="24"/>
          <w:szCs w:val="24"/>
          <w:shd w:val="clear" w:color="auto" w:fill="FFFFFF"/>
          <w:lang w:val="en-GB"/>
        </w:rPr>
        <w:t xml:space="preserve"> </w:t>
      </w:r>
      <w:r w:rsidR="412175EC" w:rsidRPr="00631CF2">
        <w:rPr>
          <w:rFonts w:ascii="Calibri" w:eastAsia="Arial" w:hAnsi="Calibri" w:cs="Calibri"/>
          <w:sz w:val="24"/>
          <w:szCs w:val="24"/>
          <w:shd w:val="clear" w:color="auto" w:fill="FFFFFF"/>
          <w:lang w:val="en-GB"/>
        </w:rPr>
        <w:t>Lages, Santa Catarina</w:t>
      </w:r>
      <w:r w:rsidR="00A66575" w:rsidRPr="00631CF2">
        <w:rPr>
          <w:rFonts w:ascii="Calibri" w:eastAsia="Arial" w:hAnsi="Calibri" w:cs="Calibri"/>
          <w:sz w:val="24"/>
          <w:szCs w:val="24"/>
          <w:shd w:val="clear" w:color="auto" w:fill="FFFFFF"/>
          <w:lang w:val="en-GB"/>
        </w:rPr>
        <w:t>.</w:t>
      </w:r>
      <w:r w:rsidR="412175EC" w:rsidRPr="00631CF2">
        <w:rPr>
          <w:rFonts w:ascii="Calibri" w:eastAsia="Arial" w:hAnsi="Calibri" w:cs="Calibri"/>
          <w:sz w:val="24"/>
          <w:szCs w:val="24"/>
          <w:shd w:val="clear" w:color="auto" w:fill="FFFFFF"/>
          <w:lang w:val="en-GB"/>
        </w:rPr>
        <w:t xml:space="preserve"> </w:t>
      </w:r>
    </w:p>
    <w:p w14:paraId="070496AA" w14:textId="4593F457" w:rsidR="07FAC51B" w:rsidRPr="00631CF2" w:rsidRDefault="07FAC51B" w:rsidP="007F0193">
      <w:pPr>
        <w:widowControl w:val="0"/>
        <w:shd w:val="clear" w:color="auto" w:fill="FFFFFF" w:themeFill="background1"/>
        <w:tabs>
          <w:tab w:val="num" w:pos="360"/>
        </w:tabs>
        <w:spacing w:after="0" w:line="480" w:lineRule="auto"/>
        <w:jc w:val="both"/>
        <w:rPr>
          <w:rFonts w:ascii="Calibri" w:eastAsia="Arial" w:hAnsi="Calibri" w:cs="Calibri"/>
          <w:sz w:val="24"/>
          <w:szCs w:val="24"/>
          <w:lang w:eastAsia="en-AU"/>
        </w:rPr>
      </w:pPr>
    </w:p>
    <w:p w14:paraId="18F66DB9" w14:textId="600ECB7B" w:rsidR="0032622C" w:rsidRPr="00631CF2" w:rsidRDefault="412175EC" w:rsidP="007F0193">
      <w:pPr>
        <w:widowControl w:val="0"/>
        <w:shd w:val="clear" w:color="auto" w:fill="FFFFFF" w:themeFill="background1"/>
        <w:spacing w:after="0" w:line="480" w:lineRule="auto"/>
        <w:jc w:val="both"/>
        <w:rPr>
          <w:rFonts w:ascii="Calibri" w:hAnsi="Calibri" w:cs="Calibri"/>
          <w:sz w:val="24"/>
          <w:szCs w:val="24"/>
        </w:rPr>
      </w:pPr>
      <w:r w:rsidRPr="00631CF2">
        <w:rPr>
          <w:rFonts w:ascii="Calibri" w:eastAsia="Arial" w:hAnsi="Calibri" w:cs="Calibri"/>
          <w:b/>
          <w:bCs/>
          <w:sz w:val="24"/>
          <w:szCs w:val="24"/>
          <w:shd w:val="clear" w:color="auto" w:fill="FFFFFF"/>
        </w:rPr>
        <w:t>Corresponding author</w:t>
      </w:r>
      <w:r w:rsidR="17F55660" w:rsidRPr="00631CF2">
        <w:rPr>
          <w:rFonts w:ascii="Calibri" w:eastAsia="Arial" w:hAnsi="Calibri" w:cs="Calibri"/>
          <w:b/>
          <w:bCs/>
          <w:sz w:val="24"/>
          <w:szCs w:val="24"/>
          <w:shd w:val="clear" w:color="auto" w:fill="FFFFFF"/>
        </w:rPr>
        <w:t xml:space="preserve">: </w:t>
      </w:r>
      <w:r w:rsidR="17F55660" w:rsidRPr="00631CF2">
        <w:rPr>
          <w:rFonts w:ascii="Calibri" w:eastAsia="Arial" w:hAnsi="Calibri" w:cs="Calibri"/>
          <w:sz w:val="24"/>
          <w:szCs w:val="24"/>
        </w:rPr>
        <w:t>M</w:t>
      </w:r>
      <w:r w:rsidR="005C492E" w:rsidRPr="00631CF2">
        <w:rPr>
          <w:rFonts w:ascii="Calibri" w:eastAsia="Arial" w:hAnsi="Calibri" w:cs="Calibri"/>
          <w:sz w:val="24"/>
          <w:szCs w:val="24"/>
        </w:rPr>
        <w:t>aria</w:t>
      </w:r>
      <w:r w:rsidR="17F55660" w:rsidRPr="00631CF2">
        <w:rPr>
          <w:rFonts w:ascii="Calibri" w:eastAsia="Arial" w:hAnsi="Calibri" w:cs="Calibri"/>
          <w:sz w:val="24"/>
          <w:szCs w:val="24"/>
        </w:rPr>
        <w:t xml:space="preserve"> G</w:t>
      </w:r>
      <w:r w:rsidR="005C492E" w:rsidRPr="00631CF2">
        <w:rPr>
          <w:rFonts w:ascii="Calibri" w:eastAsia="Arial" w:hAnsi="Calibri" w:cs="Calibri"/>
          <w:sz w:val="24"/>
          <w:szCs w:val="24"/>
        </w:rPr>
        <w:t>.</w:t>
      </w:r>
      <w:r w:rsidR="17F55660" w:rsidRPr="00631CF2">
        <w:rPr>
          <w:rFonts w:ascii="Calibri" w:eastAsia="Arial" w:hAnsi="Calibri" w:cs="Calibri"/>
          <w:sz w:val="24"/>
          <w:szCs w:val="24"/>
        </w:rPr>
        <w:t xml:space="preserve"> Pittaro, </w:t>
      </w:r>
      <w:r w:rsidRPr="00631CF2">
        <w:rPr>
          <w:rFonts w:ascii="Calibri" w:eastAsia="Arial" w:hAnsi="Calibri" w:cs="Calibri"/>
          <w:sz w:val="24"/>
          <w:szCs w:val="24"/>
          <w:shd w:val="clear" w:color="auto" w:fill="FFFFFF"/>
        </w:rPr>
        <w:t xml:space="preserve">E-mail: </w:t>
      </w:r>
      <w:hyperlink r:id="rId8" w:history="1">
        <w:r w:rsidRPr="00631CF2">
          <w:rPr>
            <w:rStyle w:val="Hyperlink"/>
            <w:rFonts w:ascii="Calibri" w:eastAsia="Arial" w:hAnsi="Calibri" w:cs="Calibri"/>
            <w:sz w:val="24"/>
            <w:szCs w:val="24"/>
            <w:shd w:val="clear" w:color="auto" w:fill="FFFFFF"/>
          </w:rPr>
          <w:t>pittaro.gabriela@inta.gob.ar</w:t>
        </w:r>
      </w:hyperlink>
    </w:p>
    <w:p w14:paraId="1A151570" w14:textId="77777777" w:rsidR="0032622C" w:rsidRPr="00631CF2" w:rsidRDefault="0032622C" w:rsidP="007F0193">
      <w:pPr>
        <w:widowControl w:val="0"/>
        <w:shd w:val="clear" w:color="auto" w:fill="FFFFFF" w:themeFill="background1"/>
        <w:spacing w:after="0" w:line="480" w:lineRule="auto"/>
        <w:jc w:val="both"/>
        <w:rPr>
          <w:rFonts w:ascii="Calibri" w:hAnsi="Calibri" w:cs="Calibri"/>
        </w:rPr>
      </w:pPr>
    </w:p>
    <w:p w14:paraId="3AD00781" w14:textId="62D10A15" w:rsidR="007F0193" w:rsidRPr="00631CF2" w:rsidRDefault="007F0193" w:rsidP="007F0193">
      <w:pPr>
        <w:widowControl w:val="0"/>
        <w:shd w:val="clear" w:color="auto" w:fill="FFFFFF" w:themeFill="background1"/>
        <w:spacing w:after="0" w:line="480" w:lineRule="auto"/>
        <w:jc w:val="both"/>
        <w:rPr>
          <w:rFonts w:ascii="Calibri" w:hAnsi="Calibri" w:cs="Calibri"/>
        </w:rPr>
      </w:pPr>
      <w:r w:rsidRPr="00631CF2">
        <w:rPr>
          <w:rFonts w:ascii="Calibri" w:hAnsi="Calibri" w:cs="Calibri"/>
        </w:rPr>
        <w:t xml:space="preserve">Received: </w:t>
      </w:r>
      <w:r w:rsidR="00615B33" w:rsidRPr="00631CF2">
        <w:rPr>
          <w:rFonts w:ascii="Calibri" w:hAnsi="Calibri" w:cs="Calibri"/>
        </w:rPr>
        <w:t>8 July 2024</w:t>
      </w:r>
    </w:p>
    <w:p w14:paraId="1F1F803A" w14:textId="1049679D" w:rsidR="007F0193" w:rsidRPr="00631CF2" w:rsidRDefault="007F0193" w:rsidP="007F0193">
      <w:pPr>
        <w:widowControl w:val="0"/>
        <w:shd w:val="clear" w:color="auto" w:fill="FFFFFF" w:themeFill="background1"/>
        <w:spacing w:after="0" w:line="480" w:lineRule="auto"/>
        <w:jc w:val="both"/>
        <w:rPr>
          <w:rFonts w:ascii="Calibri" w:hAnsi="Calibri" w:cs="Calibri"/>
        </w:rPr>
      </w:pPr>
      <w:r w:rsidRPr="00631CF2">
        <w:rPr>
          <w:rFonts w:ascii="Calibri" w:hAnsi="Calibri" w:cs="Calibri"/>
        </w:rPr>
        <w:t xml:space="preserve">Revised: </w:t>
      </w:r>
      <w:r w:rsidR="00615B33" w:rsidRPr="00631CF2">
        <w:rPr>
          <w:rFonts w:ascii="Calibri" w:hAnsi="Calibri" w:cs="Calibri"/>
        </w:rPr>
        <w:t>23 January 2025</w:t>
      </w:r>
    </w:p>
    <w:p w14:paraId="07A091D8" w14:textId="7A254A73" w:rsidR="007F0193" w:rsidRPr="00631CF2" w:rsidRDefault="007F0193" w:rsidP="007F0193">
      <w:pPr>
        <w:widowControl w:val="0"/>
        <w:shd w:val="clear" w:color="auto" w:fill="FFFFFF" w:themeFill="background1"/>
        <w:spacing w:after="0" w:line="480" w:lineRule="auto"/>
        <w:jc w:val="both"/>
        <w:rPr>
          <w:rFonts w:ascii="Calibri" w:hAnsi="Calibri" w:cs="Calibri"/>
        </w:rPr>
      </w:pPr>
      <w:r w:rsidRPr="00631CF2">
        <w:rPr>
          <w:rFonts w:ascii="Calibri" w:hAnsi="Calibri" w:cs="Calibri"/>
        </w:rPr>
        <w:t xml:space="preserve">Accepted: </w:t>
      </w:r>
      <w:r w:rsidR="00615B33" w:rsidRPr="00631CF2">
        <w:rPr>
          <w:rFonts w:ascii="Calibri" w:hAnsi="Calibri" w:cs="Calibri"/>
        </w:rPr>
        <w:t>11 February 2025</w:t>
      </w:r>
    </w:p>
    <w:p w14:paraId="608A389B" w14:textId="77777777" w:rsidR="007F0193" w:rsidRPr="00631CF2" w:rsidRDefault="007F0193" w:rsidP="007F0193">
      <w:pPr>
        <w:widowControl w:val="0"/>
        <w:shd w:val="clear" w:color="auto" w:fill="FFFFFF" w:themeFill="background1"/>
        <w:spacing w:after="0" w:line="480" w:lineRule="auto"/>
        <w:jc w:val="both"/>
        <w:rPr>
          <w:rFonts w:ascii="Calibri" w:hAnsi="Calibri" w:cs="Calibri"/>
        </w:rPr>
      </w:pPr>
    </w:p>
    <w:p w14:paraId="5BB8AB7F" w14:textId="4DC7A2A3" w:rsidR="76DC7810" w:rsidRPr="00631CF2" w:rsidRDefault="76DC7810" w:rsidP="007F0193">
      <w:pPr>
        <w:pStyle w:val="Heading1"/>
        <w:keepLines w:val="0"/>
        <w:widowControl w:val="0"/>
        <w:spacing w:before="0" w:line="480" w:lineRule="auto"/>
        <w:jc w:val="both"/>
        <w:rPr>
          <w:rFonts w:eastAsia="Times New Roman" w:cs="Times New Roman"/>
          <w:sz w:val="24"/>
          <w:szCs w:val="24"/>
          <w:lang w:val="en-GB"/>
        </w:rPr>
      </w:pPr>
      <w:r w:rsidRPr="00631CF2">
        <w:rPr>
          <w:rFonts w:eastAsia="Times New Roman" w:cs="Times New Roman"/>
          <w:sz w:val="24"/>
          <w:szCs w:val="24"/>
          <w:lang w:val="en-GB"/>
        </w:rPr>
        <w:t>Abstract</w:t>
      </w:r>
    </w:p>
    <w:p w14:paraId="38FFB202" w14:textId="70B40C7F" w:rsidR="00E316ED" w:rsidRPr="00631CF2" w:rsidRDefault="412175EC" w:rsidP="007F0193">
      <w:pPr>
        <w:widowControl w:val="0"/>
        <w:spacing w:after="0" w:line="480" w:lineRule="auto"/>
        <w:jc w:val="both"/>
        <w:rPr>
          <w:rFonts w:ascii="Times New Roman" w:hAnsi="Times New Roman" w:cs="Times New Roman"/>
          <w:sz w:val="24"/>
          <w:szCs w:val="24"/>
        </w:rPr>
      </w:pPr>
      <w:r w:rsidRPr="00631CF2">
        <w:rPr>
          <w:rFonts w:ascii="Times New Roman" w:hAnsi="Times New Roman" w:cs="Times New Roman"/>
          <w:sz w:val="24"/>
          <w:szCs w:val="24"/>
        </w:rPr>
        <w:t xml:space="preserve">Grazing management is an important </w:t>
      </w:r>
      <w:r w:rsidR="00FB68DB" w:rsidRPr="00631CF2">
        <w:rPr>
          <w:rFonts w:ascii="Times New Roman" w:hAnsi="Times New Roman" w:cs="Times New Roman"/>
          <w:sz w:val="24"/>
          <w:szCs w:val="24"/>
        </w:rPr>
        <w:t>component affecting pasture stability, but the underlying demographic mechanisms remain poorly understood in mixed-species systems.</w:t>
      </w:r>
      <w:r w:rsidRPr="00631CF2">
        <w:rPr>
          <w:rFonts w:ascii="Times New Roman" w:hAnsi="Times New Roman" w:cs="Times New Roman"/>
          <w:sz w:val="24"/>
          <w:szCs w:val="24"/>
        </w:rPr>
        <w:t xml:space="preserve"> </w:t>
      </w:r>
      <w:r w:rsidR="00FB68DB" w:rsidRPr="00631CF2">
        <w:rPr>
          <w:rFonts w:ascii="Times New Roman" w:hAnsi="Times New Roman" w:cs="Times New Roman"/>
          <w:sz w:val="24"/>
          <w:szCs w:val="24"/>
        </w:rPr>
        <w:t>This three-year study investigated how grazing height (15 cm and 20 cm pre-grazing) and strategic spring defoliation (7 cm) influence stability in mixed pastures composed of complementary C</w:t>
      </w:r>
      <w:r w:rsidR="00FB68DB" w:rsidRPr="00631CF2">
        <w:rPr>
          <w:rFonts w:ascii="Times New Roman" w:hAnsi="Times New Roman" w:cs="Times New Roman"/>
          <w:sz w:val="24"/>
          <w:szCs w:val="24"/>
          <w:vertAlign w:val="subscript"/>
        </w:rPr>
        <w:t>3</w:t>
      </w:r>
      <w:r w:rsidR="00FB68DB" w:rsidRPr="00631CF2">
        <w:rPr>
          <w:rFonts w:ascii="Times New Roman" w:hAnsi="Times New Roman" w:cs="Times New Roman"/>
          <w:sz w:val="24"/>
          <w:szCs w:val="24"/>
        </w:rPr>
        <w:t>/C</w:t>
      </w:r>
      <w:r w:rsidR="00FB68DB" w:rsidRPr="00631CF2">
        <w:rPr>
          <w:rFonts w:ascii="Times New Roman" w:hAnsi="Times New Roman" w:cs="Times New Roman"/>
          <w:sz w:val="24"/>
          <w:szCs w:val="24"/>
          <w:vertAlign w:val="subscript"/>
        </w:rPr>
        <w:t>4</w:t>
      </w:r>
      <w:r w:rsidR="00FB68DB" w:rsidRPr="00631CF2">
        <w:rPr>
          <w:rFonts w:ascii="Times New Roman" w:hAnsi="Times New Roman" w:cs="Times New Roman"/>
          <w:sz w:val="24"/>
          <w:szCs w:val="24"/>
        </w:rPr>
        <w:t xml:space="preserve"> grasses (</w:t>
      </w:r>
      <w:r w:rsidR="00FB68DB" w:rsidRPr="00631CF2">
        <w:rPr>
          <w:rFonts w:ascii="Times New Roman" w:hAnsi="Times New Roman" w:cs="Times New Roman"/>
          <w:i/>
          <w:iCs/>
          <w:sz w:val="24"/>
          <w:szCs w:val="24"/>
        </w:rPr>
        <w:t xml:space="preserve">Lolium </w:t>
      </w:r>
      <w:proofErr w:type="spellStart"/>
      <w:r w:rsidR="00FB68DB" w:rsidRPr="00631CF2">
        <w:rPr>
          <w:rFonts w:ascii="Times New Roman" w:hAnsi="Times New Roman" w:cs="Times New Roman"/>
          <w:i/>
          <w:iCs/>
          <w:sz w:val="24"/>
          <w:szCs w:val="24"/>
        </w:rPr>
        <w:t>arundinaceum</w:t>
      </w:r>
      <w:proofErr w:type="spellEnd"/>
      <w:r w:rsidR="00FB68DB" w:rsidRPr="00631CF2">
        <w:rPr>
          <w:rFonts w:ascii="Times New Roman" w:hAnsi="Times New Roman" w:cs="Times New Roman"/>
          <w:sz w:val="24"/>
          <w:szCs w:val="24"/>
        </w:rPr>
        <w:t xml:space="preserve"> and </w:t>
      </w:r>
      <w:hyperlink r:id="rId9">
        <w:r w:rsidR="00EE5F0B" w:rsidRPr="00631CF2">
          <w:rPr>
            <w:rStyle w:val="Hyperlink"/>
            <w:rFonts w:ascii="Times New Roman" w:hAnsi="Times New Roman" w:cs="Times New Roman"/>
            <w:i/>
            <w:iCs/>
            <w:color w:val="auto"/>
            <w:sz w:val="24"/>
            <w:szCs w:val="24"/>
            <w:u w:val="none"/>
          </w:rPr>
          <w:t>Cenchrus</w:t>
        </w:r>
      </w:hyperlink>
      <w:r w:rsidR="00EE5F0B" w:rsidRPr="00631CF2">
        <w:rPr>
          <w:rFonts w:ascii="Times New Roman" w:hAnsi="Times New Roman" w:cs="Times New Roman"/>
          <w:i/>
          <w:iCs/>
          <w:sz w:val="24"/>
          <w:szCs w:val="24"/>
        </w:rPr>
        <w:t> </w:t>
      </w:r>
      <w:proofErr w:type="spellStart"/>
      <w:r w:rsidR="00FB68DB" w:rsidRPr="00631CF2">
        <w:rPr>
          <w:rFonts w:ascii="Times New Roman" w:hAnsi="Times New Roman" w:cs="Times New Roman"/>
          <w:i/>
          <w:iCs/>
          <w:sz w:val="24"/>
          <w:szCs w:val="24"/>
        </w:rPr>
        <w:t>clandestinus</w:t>
      </w:r>
      <w:proofErr w:type="spellEnd"/>
      <w:r w:rsidR="00FB68DB" w:rsidRPr="00631CF2">
        <w:rPr>
          <w:rFonts w:ascii="Times New Roman" w:hAnsi="Times New Roman" w:cs="Times New Roman"/>
          <w:sz w:val="24"/>
          <w:szCs w:val="24"/>
        </w:rPr>
        <w:t xml:space="preserve">). </w:t>
      </w:r>
      <w:r w:rsidRPr="00631CF2">
        <w:rPr>
          <w:rFonts w:ascii="Times New Roman" w:hAnsi="Times New Roman" w:cs="Times New Roman"/>
          <w:sz w:val="24"/>
          <w:szCs w:val="24"/>
        </w:rPr>
        <w:t xml:space="preserve">Utilizing demographic and tiller size/density </w:t>
      </w:r>
      <w:r w:rsidR="00957F4D" w:rsidRPr="00631CF2">
        <w:rPr>
          <w:rFonts w:ascii="Times New Roman" w:hAnsi="Times New Roman" w:cs="Times New Roman"/>
          <w:sz w:val="24"/>
          <w:szCs w:val="24"/>
        </w:rPr>
        <w:t>relationship</w:t>
      </w:r>
      <w:r w:rsidRPr="00631CF2">
        <w:rPr>
          <w:rFonts w:ascii="Times New Roman" w:hAnsi="Times New Roman" w:cs="Times New Roman"/>
          <w:sz w:val="24"/>
          <w:szCs w:val="24"/>
        </w:rPr>
        <w:t xml:space="preserve"> theories, we examined population dynamics to better understand pasture stability. </w:t>
      </w:r>
      <w:r w:rsidR="00957F4D" w:rsidRPr="00631CF2">
        <w:rPr>
          <w:rFonts w:ascii="Times New Roman" w:hAnsi="Times New Roman" w:cs="Times New Roman"/>
          <w:sz w:val="24"/>
          <w:szCs w:val="24"/>
        </w:rPr>
        <w:t>The results</w:t>
      </w:r>
      <w:r w:rsidRPr="00631CF2">
        <w:rPr>
          <w:rFonts w:ascii="Times New Roman" w:hAnsi="Times New Roman" w:cs="Times New Roman"/>
          <w:sz w:val="24"/>
          <w:szCs w:val="24"/>
        </w:rPr>
        <w:t xml:space="preserve"> indicated that height management significantly affected </w:t>
      </w:r>
      <w:r w:rsidR="00957F4D" w:rsidRPr="00631CF2">
        <w:rPr>
          <w:rFonts w:ascii="Times New Roman" w:hAnsi="Times New Roman" w:cs="Times New Roman"/>
          <w:sz w:val="24"/>
          <w:szCs w:val="24"/>
        </w:rPr>
        <w:t xml:space="preserve">the </w:t>
      </w:r>
      <w:r w:rsidRPr="00631CF2">
        <w:rPr>
          <w:rFonts w:ascii="Times New Roman" w:hAnsi="Times New Roman" w:cs="Times New Roman"/>
          <w:sz w:val="24"/>
          <w:szCs w:val="24"/>
        </w:rPr>
        <w:t xml:space="preserve">demographic traits </w:t>
      </w:r>
      <w:r w:rsidR="00FB68DB" w:rsidRPr="00631CF2">
        <w:rPr>
          <w:rFonts w:ascii="Times New Roman" w:hAnsi="Times New Roman" w:cs="Times New Roman"/>
          <w:sz w:val="24"/>
          <w:szCs w:val="24"/>
        </w:rPr>
        <w:t>with shorter grazing (15 cm) increasing tiller emergence and population density while reducing individual tiller weight</w:t>
      </w:r>
      <w:r w:rsidRPr="00631CF2">
        <w:rPr>
          <w:rFonts w:ascii="Times New Roman" w:hAnsi="Times New Roman" w:cs="Times New Roman"/>
          <w:sz w:val="24"/>
          <w:szCs w:val="24"/>
        </w:rPr>
        <w:t xml:space="preserve">. </w:t>
      </w:r>
      <w:r w:rsidR="00957F4D" w:rsidRPr="00631CF2">
        <w:rPr>
          <w:rFonts w:ascii="Times New Roman" w:hAnsi="Times New Roman" w:cs="Times New Roman"/>
          <w:sz w:val="24"/>
          <w:szCs w:val="24"/>
        </w:rPr>
        <w:t>In addition,</w:t>
      </w:r>
      <w:r w:rsidRPr="00631CF2">
        <w:rPr>
          <w:rFonts w:ascii="Times New Roman" w:hAnsi="Times New Roman" w:cs="Times New Roman"/>
          <w:sz w:val="24"/>
          <w:szCs w:val="24"/>
        </w:rPr>
        <w:t xml:space="preserve"> higher tiller population </w:t>
      </w:r>
      <w:r w:rsidR="00957F4D" w:rsidRPr="00631CF2">
        <w:rPr>
          <w:rFonts w:ascii="Times New Roman" w:hAnsi="Times New Roman" w:cs="Times New Roman"/>
          <w:sz w:val="24"/>
          <w:szCs w:val="24"/>
        </w:rPr>
        <w:t>density</w:t>
      </w:r>
      <w:r w:rsidRPr="00631CF2">
        <w:rPr>
          <w:rFonts w:ascii="Times New Roman" w:hAnsi="Times New Roman" w:cs="Times New Roman"/>
          <w:sz w:val="24"/>
          <w:szCs w:val="24"/>
        </w:rPr>
        <w:t xml:space="preserve"> (TPD) and lower tiller </w:t>
      </w:r>
      <w:r w:rsidR="00957F4D" w:rsidRPr="00631CF2">
        <w:rPr>
          <w:rFonts w:ascii="Times New Roman" w:hAnsi="Times New Roman" w:cs="Times New Roman"/>
          <w:sz w:val="24"/>
          <w:szCs w:val="24"/>
        </w:rPr>
        <w:t>weight</w:t>
      </w:r>
      <w:r w:rsidRPr="00631CF2">
        <w:rPr>
          <w:rFonts w:ascii="Times New Roman" w:hAnsi="Times New Roman" w:cs="Times New Roman"/>
          <w:sz w:val="24"/>
          <w:szCs w:val="24"/>
        </w:rPr>
        <w:t xml:space="preserve"> (TW) </w:t>
      </w:r>
      <w:r w:rsidR="00957F4D" w:rsidRPr="00631CF2">
        <w:rPr>
          <w:rFonts w:ascii="Times New Roman" w:hAnsi="Times New Roman" w:cs="Times New Roman"/>
          <w:sz w:val="24"/>
          <w:szCs w:val="24"/>
        </w:rPr>
        <w:t xml:space="preserve">were observed in the </w:t>
      </w:r>
      <w:r w:rsidRPr="00631CF2">
        <w:rPr>
          <w:rFonts w:ascii="Times New Roman" w:hAnsi="Times New Roman" w:cs="Times New Roman"/>
          <w:sz w:val="24"/>
          <w:szCs w:val="24"/>
        </w:rPr>
        <w:t xml:space="preserve">shorter </w:t>
      </w:r>
      <w:r w:rsidR="00957F4D" w:rsidRPr="00631CF2">
        <w:rPr>
          <w:rFonts w:ascii="Times New Roman" w:hAnsi="Times New Roman" w:cs="Times New Roman"/>
          <w:sz w:val="24"/>
          <w:szCs w:val="24"/>
        </w:rPr>
        <w:t>treatments</w:t>
      </w:r>
      <w:r w:rsidRPr="00631CF2">
        <w:rPr>
          <w:rFonts w:ascii="Times New Roman" w:hAnsi="Times New Roman" w:cs="Times New Roman"/>
          <w:sz w:val="24"/>
          <w:szCs w:val="24"/>
        </w:rPr>
        <w:t xml:space="preserve">. </w:t>
      </w:r>
      <w:r w:rsidR="00AC70EE" w:rsidRPr="00631CF2">
        <w:rPr>
          <w:rFonts w:ascii="Times New Roman" w:hAnsi="Times New Roman" w:cs="Times New Roman"/>
          <w:sz w:val="24"/>
          <w:szCs w:val="24"/>
        </w:rPr>
        <w:t xml:space="preserve">Despite these contrasting responses, the mixed pasture maintained consistent stability across treatments through compensatory relationships between tiller traits. The stability index remained </w:t>
      </w:r>
      <w:r w:rsidR="00AC70EE" w:rsidRPr="00631CF2">
        <w:rPr>
          <w:rFonts w:ascii="Times New Roman" w:hAnsi="Times New Roman" w:cs="Times New Roman"/>
          <w:sz w:val="24"/>
          <w:szCs w:val="24"/>
        </w:rPr>
        <w:lastRenderedPageBreak/>
        <w:t xml:space="preserve">close to 1 (0.956 ± 0.02) regardless of management, demonstrating robust demographic equilibrium. Individual species showed distinct seasonal stability patterns - </w:t>
      </w:r>
      <w:r w:rsidR="00AC70EE" w:rsidRPr="00631CF2">
        <w:rPr>
          <w:rFonts w:ascii="Times New Roman" w:hAnsi="Times New Roman" w:cs="Times New Roman"/>
          <w:i/>
          <w:iCs/>
          <w:sz w:val="24"/>
          <w:szCs w:val="24"/>
        </w:rPr>
        <w:t xml:space="preserve">L. </w:t>
      </w:r>
      <w:proofErr w:type="spellStart"/>
      <w:r w:rsidR="00AC70EE" w:rsidRPr="00631CF2">
        <w:rPr>
          <w:rFonts w:ascii="Times New Roman" w:hAnsi="Times New Roman" w:cs="Times New Roman"/>
          <w:i/>
          <w:iCs/>
          <w:sz w:val="24"/>
          <w:szCs w:val="24"/>
        </w:rPr>
        <w:t>arundinaceum</w:t>
      </w:r>
      <w:proofErr w:type="spellEnd"/>
      <w:r w:rsidR="00AC70EE" w:rsidRPr="00631CF2">
        <w:rPr>
          <w:rFonts w:ascii="Times New Roman" w:hAnsi="Times New Roman" w:cs="Times New Roman"/>
          <w:sz w:val="24"/>
          <w:szCs w:val="24"/>
        </w:rPr>
        <w:t xml:space="preserve"> dominating </w:t>
      </w:r>
      <w:r w:rsidR="00EF5070" w:rsidRPr="00631CF2">
        <w:rPr>
          <w:rFonts w:ascii="Times New Roman" w:hAnsi="Times New Roman" w:cs="Times New Roman"/>
          <w:sz w:val="24"/>
          <w:szCs w:val="24"/>
        </w:rPr>
        <w:t xml:space="preserve">in </w:t>
      </w:r>
      <w:r w:rsidR="00AC70EE" w:rsidRPr="00631CF2">
        <w:rPr>
          <w:rFonts w:ascii="Times New Roman" w:hAnsi="Times New Roman" w:cs="Times New Roman"/>
          <w:sz w:val="24"/>
          <w:szCs w:val="24"/>
        </w:rPr>
        <w:t xml:space="preserve">winter and </w:t>
      </w:r>
      <w:r w:rsidR="00EE5F0B" w:rsidRPr="00631CF2">
        <w:rPr>
          <w:rFonts w:ascii="Times New Roman" w:hAnsi="Times New Roman" w:cs="Times New Roman"/>
          <w:i/>
          <w:iCs/>
          <w:sz w:val="24"/>
          <w:szCs w:val="24"/>
        </w:rPr>
        <w:t>C</w:t>
      </w:r>
      <w:r w:rsidR="00AC70EE" w:rsidRPr="00631CF2">
        <w:rPr>
          <w:rFonts w:ascii="Times New Roman" w:hAnsi="Times New Roman" w:cs="Times New Roman"/>
          <w:i/>
          <w:iCs/>
          <w:sz w:val="24"/>
          <w:szCs w:val="24"/>
        </w:rPr>
        <w:t xml:space="preserve">. </w:t>
      </w:r>
      <w:proofErr w:type="spellStart"/>
      <w:r w:rsidR="00AC70EE" w:rsidRPr="00631CF2">
        <w:rPr>
          <w:rFonts w:ascii="Times New Roman" w:hAnsi="Times New Roman" w:cs="Times New Roman"/>
          <w:i/>
          <w:iCs/>
          <w:sz w:val="24"/>
          <w:szCs w:val="24"/>
        </w:rPr>
        <w:t>clandestinus</w:t>
      </w:r>
      <w:proofErr w:type="spellEnd"/>
      <w:r w:rsidR="00AC70EE" w:rsidRPr="00631CF2">
        <w:rPr>
          <w:rFonts w:ascii="Times New Roman" w:hAnsi="Times New Roman" w:cs="Times New Roman"/>
          <w:sz w:val="24"/>
          <w:szCs w:val="24"/>
        </w:rPr>
        <w:t xml:space="preserve"> </w:t>
      </w:r>
      <w:r w:rsidR="00EF5070" w:rsidRPr="00631CF2">
        <w:rPr>
          <w:rFonts w:ascii="Times New Roman" w:hAnsi="Times New Roman" w:cs="Times New Roman"/>
          <w:sz w:val="24"/>
          <w:szCs w:val="24"/>
        </w:rPr>
        <w:t xml:space="preserve">in </w:t>
      </w:r>
      <w:r w:rsidR="00AC70EE" w:rsidRPr="00631CF2">
        <w:rPr>
          <w:rFonts w:ascii="Times New Roman" w:hAnsi="Times New Roman" w:cs="Times New Roman"/>
          <w:sz w:val="24"/>
          <w:szCs w:val="24"/>
        </w:rPr>
        <w:t>spring</w:t>
      </w:r>
      <w:r w:rsidR="00F928D7" w:rsidRPr="00631CF2">
        <w:rPr>
          <w:rFonts w:ascii="Times New Roman" w:hAnsi="Times New Roman" w:cs="Times New Roman"/>
          <w:sz w:val="24"/>
          <w:szCs w:val="24"/>
        </w:rPr>
        <w:t xml:space="preserve"> and </w:t>
      </w:r>
      <w:r w:rsidR="00AC70EE" w:rsidRPr="00631CF2">
        <w:rPr>
          <w:rFonts w:ascii="Times New Roman" w:hAnsi="Times New Roman" w:cs="Times New Roman"/>
          <w:sz w:val="24"/>
          <w:szCs w:val="24"/>
        </w:rPr>
        <w:t>summer - yet their complementary growth maintained year-round system stability. The self-thinning law effectively revealed stable size-density compensation across treatments, suggesting its utility for assessing mixed sward persistence. These findings demonstrate that mixed pastures can maintain demographic stability under varying grazing regimes through species complementarity and population-level compensatory mechanisms.</w:t>
      </w:r>
    </w:p>
    <w:p w14:paraId="6CAF5506" w14:textId="10C6DC91" w:rsidR="000F33C5" w:rsidRPr="00631CF2" w:rsidRDefault="412175EC" w:rsidP="007F0193">
      <w:pPr>
        <w:widowControl w:val="0"/>
        <w:spacing w:after="0" w:line="480" w:lineRule="auto"/>
        <w:jc w:val="both"/>
        <w:rPr>
          <w:rStyle w:val="normaltextrun"/>
          <w:rFonts w:ascii="Times New Roman" w:hAnsi="Times New Roman" w:cs="Times New Roman"/>
          <w:sz w:val="24"/>
          <w:szCs w:val="24"/>
        </w:rPr>
      </w:pPr>
      <w:r w:rsidRPr="00631CF2">
        <w:rPr>
          <w:rFonts w:ascii="Times New Roman" w:hAnsi="Times New Roman" w:cs="Times New Roman"/>
          <w:b/>
          <w:bCs/>
          <w:sz w:val="24"/>
          <w:szCs w:val="24"/>
        </w:rPr>
        <w:t xml:space="preserve">Keywords: </w:t>
      </w:r>
      <w:r w:rsidRPr="00631CF2">
        <w:rPr>
          <w:rFonts w:ascii="Times New Roman" w:hAnsi="Times New Roman" w:cs="Times New Roman"/>
          <w:sz w:val="24"/>
          <w:szCs w:val="24"/>
        </w:rPr>
        <w:t xml:space="preserve">perennial grasses, </w:t>
      </w:r>
      <w:r w:rsidR="3509C1A6" w:rsidRPr="00631CF2">
        <w:rPr>
          <w:rFonts w:ascii="Times New Roman" w:hAnsi="Times New Roman" w:cs="Times New Roman"/>
          <w:sz w:val="24"/>
          <w:szCs w:val="24"/>
        </w:rPr>
        <w:t>tillering</w:t>
      </w:r>
      <w:r w:rsidRPr="00631CF2">
        <w:rPr>
          <w:rFonts w:ascii="Times New Roman" w:hAnsi="Times New Roman" w:cs="Times New Roman"/>
          <w:sz w:val="24"/>
          <w:szCs w:val="24"/>
        </w:rPr>
        <w:t xml:space="preserve"> dynamics, </w:t>
      </w:r>
      <w:r w:rsidR="572F9CEE" w:rsidRPr="00631CF2">
        <w:rPr>
          <w:rStyle w:val="normaltextrun"/>
          <w:rFonts w:ascii="Times New Roman" w:hAnsi="Times New Roman" w:cs="Times New Roman"/>
          <w:sz w:val="24"/>
          <w:szCs w:val="24"/>
        </w:rPr>
        <w:t>tiller size/density compensation</w:t>
      </w:r>
      <w:r w:rsidRPr="00631CF2">
        <w:rPr>
          <w:rStyle w:val="normaltextrun"/>
          <w:rFonts w:ascii="Times New Roman" w:hAnsi="Times New Roman" w:cs="Times New Roman"/>
          <w:sz w:val="24"/>
          <w:szCs w:val="24"/>
        </w:rPr>
        <w:t>, sward persistence</w:t>
      </w:r>
    </w:p>
    <w:p w14:paraId="40FD58B5" w14:textId="77777777" w:rsidR="00AC70EE" w:rsidRPr="00631CF2" w:rsidRDefault="00AC70EE" w:rsidP="007F0193">
      <w:pPr>
        <w:widowControl w:val="0"/>
        <w:spacing w:after="0" w:line="480" w:lineRule="auto"/>
        <w:jc w:val="both"/>
        <w:rPr>
          <w:rFonts w:ascii="Times New Roman" w:hAnsi="Times New Roman" w:cs="Times New Roman"/>
        </w:rPr>
      </w:pPr>
    </w:p>
    <w:p w14:paraId="14D87F40" w14:textId="2EB245AE" w:rsidR="000F33C5" w:rsidRPr="00631CF2" w:rsidRDefault="2CB802C1" w:rsidP="007F0193">
      <w:pPr>
        <w:pStyle w:val="Heading1"/>
        <w:keepLines w:val="0"/>
        <w:widowControl w:val="0"/>
        <w:spacing w:before="0" w:line="480" w:lineRule="auto"/>
        <w:jc w:val="both"/>
        <w:rPr>
          <w:rFonts w:eastAsia="Times New Roman" w:cs="Times New Roman"/>
          <w:color w:val="538135"/>
          <w:sz w:val="24"/>
          <w:szCs w:val="24"/>
          <w:lang w:val="en-GB"/>
        </w:rPr>
      </w:pPr>
      <w:r w:rsidRPr="00631CF2">
        <w:rPr>
          <w:rFonts w:eastAsia="Times New Roman" w:cs="Times New Roman"/>
          <w:color w:val="538135"/>
          <w:sz w:val="24"/>
          <w:szCs w:val="24"/>
          <w:lang w:val="en-GB"/>
        </w:rPr>
        <w:t>Introduction</w:t>
      </w:r>
    </w:p>
    <w:p w14:paraId="5A31BBD1" w14:textId="1CB1C8B6" w:rsidR="000F33C5" w:rsidRPr="00631CF2" w:rsidRDefault="007675A3" w:rsidP="007F0193">
      <w:pPr>
        <w:widowControl w:val="0"/>
        <w:spacing w:after="0" w:line="480" w:lineRule="auto"/>
        <w:jc w:val="both"/>
        <w:rPr>
          <w:rFonts w:ascii="Times New Roman" w:eastAsia="Times New Roman" w:hAnsi="Times New Roman" w:cs="Times New Roman"/>
          <w:sz w:val="24"/>
          <w:szCs w:val="24"/>
        </w:rPr>
      </w:pPr>
      <w:r w:rsidRPr="00631CF2">
        <w:rPr>
          <w:rFonts w:ascii="Times New Roman" w:eastAsia="Times New Roman" w:hAnsi="Times New Roman" w:cs="Times New Roman"/>
          <w:color w:val="000000" w:themeColor="text1"/>
          <w:sz w:val="24"/>
          <w:szCs w:val="24"/>
        </w:rPr>
        <w:t>Mixed pastures</w:t>
      </w:r>
      <w:r w:rsidR="0055200B" w:rsidRPr="00631CF2">
        <w:rPr>
          <w:rFonts w:ascii="Times New Roman" w:eastAsia="Times New Roman" w:hAnsi="Times New Roman" w:cs="Times New Roman"/>
          <w:color w:val="000000" w:themeColor="text1"/>
          <w:sz w:val="24"/>
          <w:szCs w:val="24"/>
        </w:rPr>
        <w:t xml:space="preserve"> have </w:t>
      </w:r>
      <w:r w:rsidR="00FA30BE" w:rsidRPr="00631CF2">
        <w:rPr>
          <w:rFonts w:ascii="Times New Roman" w:eastAsia="Times New Roman" w:hAnsi="Times New Roman" w:cs="Times New Roman"/>
          <w:color w:val="000000" w:themeColor="text1"/>
          <w:sz w:val="24"/>
          <w:szCs w:val="24"/>
        </w:rPr>
        <w:t>been considered</w:t>
      </w:r>
      <w:r w:rsidR="0055200B" w:rsidRPr="00631CF2">
        <w:rPr>
          <w:rFonts w:ascii="Times New Roman" w:eastAsia="Times New Roman" w:hAnsi="Times New Roman" w:cs="Times New Roman"/>
          <w:color w:val="000000" w:themeColor="text1"/>
          <w:sz w:val="24"/>
          <w:szCs w:val="24"/>
        </w:rPr>
        <w:t xml:space="preserve"> as a valuable</w:t>
      </w:r>
      <w:r w:rsidRPr="00631CF2">
        <w:rPr>
          <w:rFonts w:ascii="Times New Roman" w:eastAsia="Times New Roman" w:hAnsi="Times New Roman" w:cs="Times New Roman"/>
          <w:color w:val="000000" w:themeColor="text1"/>
          <w:sz w:val="24"/>
          <w:szCs w:val="24"/>
        </w:rPr>
        <w:t xml:space="preserve"> alternative to monocultures, offer</w:t>
      </w:r>
      <w:r w:rsidR="0055200B" w:rsidRPr="00631CF2">
        <w:rPr>
          <w:rFonts w:ascii="Times New Roman" w:eastAsia="Times New Roman" w:hAnsi="Times New Roman" w:cs="Times New Roman"/>
          <w:color w:val="000000" w:themeColor="text1"/>
          <w:sz w:val="24"/>
          <w:szCs w:val="24"/>
        </w:rPr>
        <w:t>ing</w:t>
      </w:r>
      <w:r w:rsidRPr="00631CF2">
        <w:rPr>
          <w:rFonts w:ascii="Times New Roman" w:eastAsia="Times New Roman" w:hAnsi="Times New Roman" w:cs="Times New Roman"/>
          <w:color w:val="000000" w:themeColor="text1"/>
          <w:sz w:val="24"/>
          <w:szCs w:val="24"/>
        </w:rPr>
        <w:t xml:space="preserve"> enhanced ecosystem multifunctionality</w:t>
      </w:r>
      <w:r w:rsidR="0055200B" w:rsidRPr="00631CF2">
        <w:rPr>
          <w:rFonts w:ascii="Times New Roman" w:eastAsia="Times New Roman" w:hAnsi="Times New Roman" w:cs="Times New Roman"/>
          <w:color w:val="000000" w:themeColor="text1"/>
          <w:sz w:val="24"/>
          <w:szCs w:val="24"/>
        </w:rPr>
        <w:t xml:space="preserve"> through their diverse species composition</w:t>
      </w:r>
      <w:r w:rsidRPr="00631CF2">
        <w:rPr>
          <w:rFonts w:ascii="Times New Roman" w:eastAsia="Times New Roman" w:hAnsi="Times New Roman" w:cs="Times New Roman"/>
          <w:color w:val="000000" w:themeColor="text1"/>
          <w:sz w:val="24"/>
          <w:szCs w:val="24"/>
        </w:rPr>
        <w:t xml:space="preserve"> </w:t>
      </w:r>
      <w:r w:rsidRPr="00631CF2">
        <w:rPr>
          <w:rFonts w:ascii="Times New Roman" w:eastAsia="Times New Roman" w:hAnsi="Times New Roman" w:cs="Times New Roman"/>
          <w:sz w:val="24"/>
          <w:szCs w:val="24"/>
        </w:rPr>
        <w:t>(</w:t>
      </w:r>
      <w:proofErr w:type="spellStart"/>
      <w:r w:rsidRPr="00631CF2">
        <w:rPr>
          <w:rFonts w:ascii="Times New Roman" w:eastAsia="Times New Roman" w:hAnsi="Times New Roman" w:cs="Times New Roman"/>
          <w:sz w:val="24"/>
          <w:szCs w:val="24"/>
        </w:rPr>
        <w:t>Pasari</w:t>
      </w:r>
      <w:proofErr w:type="spellEnd"/>
      <w:r w:rsidRPr="00631CF2">
        <w:rPr>
          <w:rFonts w:ascii="Times New Roman" w:eastAsia="Times New Roman" w:hAnsi="Times New Roman" w:cs="Times New Roman"/>
          <w:sz w:val="24"/>
          <w:szCs w:val="24"/>
        </w:rPr>
        <w:t xml:space="preserve"> </w:t>
      </w:r>
      <w:r w:rsidRPr="00631CF2">
        <w:rPr>
          <w:rFonts w:ascii="Times New Roman" w:eastAsia="Times New Roman" w:hAnsi="Times New Roman" w:cs="Times New Roman"/>
          <w:i/>
          <w:iCs/>
          <w:sz w:val="24"/>
          <w:szCs w:val="24"/>
        </w:rPr>
        <w:t>et al.</w:t>
      </w:r>
      <w:r w:rsidR="000C0E26" w:rsidRPr="00631CF2">
        <w:rPr>
          <w:rFonts w:ascii="Times New Roman" w:eastAsia="Times New Roman" w:hAnsi="Times New Roman" w:cs="Times New Roman"/>
          <w:i/>
          <w:iCs/>
          <w:sz w:val="24"/>
          <w:szCs w:val="24"/>
        </w:rPr>
        <w:t>,</w:t>
      </w:r>
      <w:r w:rsidRPr="00631CF2">
        <w:rPr>
          <w:rFonts w:ascii="Times New Roman" w:eastAsia="Times New Roman" w:hAnsi="Times New Roman" w:cs="Times New Roman"/>
          <w:sz w:val="24"/>
          <w:szCs w:val="24"/>
        </w:rPr>
        <w:t xml:space="preserve"> 2013; Pembleton </w:t>
      </w:r>
      <w:r w:rsidRPr="00631CF2">
        <w:rPr>
          <w:rFonts w:ascii="Times New Roman" w:eastAsia="Times New Roman" w:hAnsi="Times New Roman" w:cs="Times New Roman"/>
          <w:i/>
          <w:iCs/>
          <w:sz w:val="24"/>
          <w:szCs w:val="24"/>
        </w:rPr>
        <w:t>et al.</w:t>
      </w:r>
      <w:r w:rsidR="000C0E26" w:rsidRPr="00631CF2">
        <w:rPr>
          <w:rFonts w:ascii="Times New Roman" w:eastAsia="Times New Roman" w:hAnsi="Times New Roman" w:cs="Times New Roman"/>
          <w:i/>
          <w:iCs/>
          <w:sz w:val="24"/>
          <w:szCs w:val="24"/>
        </w:rPr>
        <w:t>,</w:t>
      </w:r>
      <w:r w:rsidRPr="00631CF2">
        <w:rPr>
          <w:rFonts w:ascii="Times New Roman" w:eastAsia="Times New Roman" w:hAnsi="Times New Roman" w:cs="Times New Roman"/>
          <w:sz w:val="24"/>
          <w:szCs w:val="24"/>
        </w:rPr>
        <w:t xml:space="preserve"> 2015). </w:t>
      </w:r>
      <w:r w:rsidR="0055200B" w:rsidRPr="00631CF2">
        <w:rPr>
          <w:rFonts w:ascii="Times New Roman" w:eastAsia="Times New Roman" w:hAnsi="Times New Roman" w:cs="Times New Roman"/>
          <w:sz w:val="24"/>
          <w:szCs w:val="24"/>
        </w:rPr>
        <w:t xml:space="preserve">While these complex grasslands systems can maintain both </w:t>
      </w:r>
      <w:r w:rsidR="00C157FA" w:rsidRPr="00631CF2">
        <w:rPr>
          <w:rFonts w:ascii="Times New Roman" w:eastAsia="Times New Roman" w:hAnsi="Times New Roman" w:cs="Times New Roman"/>
          <w:color w:val="1F1F1F"/>
          <w:sz w:val="24"/>
          <w:szCs w:val="24"/>
        </w:rPr>
        <w:t>stab</w:t>
      </w:r>
      <w:r w:rsidR="00F4511B" w:rsidRPr="00631CF2">
        <w:rPr>
          <w:rFonts w:ascii="Times New Roman" w:eastAsia="Times New Roman" w:hAnsi="Times New Roman" w:cs="Times New Roman"/>
          <w:color w:val="1F1F1F"/>
          <w:sz w:val="24"/>
          <w:szCs w:val="24"/>
        </w:rPr>
        <w:t xml:space="preserve">ility </w:t>
      </w:r>
      <w:r w:rsidR="00C157FA" w:rsidRPr="00631CF2">
        <w:rPr>
          <w:rFonts w:ascii="Times New Roman" w:eastAsia="Times New Roman" w:hAnsi="Times New Roman" w:cs="Times New Roman"/>
          <w:color w:val="1F1F1F"/>
          <w:sz w:val="24"/>
          <w:szCs w:val="24"/>
        </w:rPr>
        <w:t>and productiv</w:t>
      </w:r>
      <w:r w:rsidR="00180F80" w:rsidRPr="00631CF2">
        <w:rPr>
          <w:rFonts w:ascii="Times New Roman" w:eastAsia="Times New Roman" w:hAnsi="Times New Roman" w:cs="Times New Roman"/>
          <w:color w:val="1F1F1F"/>
          <w:sz w:val="24"/>
          <w:szCs w:val="24"/>
        </w:rPr>
        <w:t xml:space="preserve">ity over time, their successful </w:t>
      </w:r>
      <w:r w:rsidR="3F0135B2" w:rsidRPr="00631CF2">
        <w:rPr>
          <w:rFonts w:ascii="Times New Roman" w:eastAsia="Times New Roman" w:hAnsi="Times New Roman" w:cs="Times New Roman"/>
          <w:color w:val="1F1F1F"/>
          <w:sz w:val="24"/>
          <w:szCs w:val="24"/>
        </w:rPr>
        <w:t>management</w:t>
      </w:r>
      <w:r w:rsidR="00180F80" w:rsidRPr="00631CF2">
        <w:rPr>
          <w:rFonts w:ascii="Times New Roman" w:eastAsia="Times New Roman" w:hAnsi="Times New Roman" w:cs="Times New Roman"/>
          <w:color w:val="1F1F1F"/>
          <w:sz w:val="24"/>
          <w:szCs w:val="24"/>
        </w:rPr>
        <w:t xml:space="preserve"> </w:t>
      </w:r>
      <w:r w:rsidR="00180F80" w:rsidRPr="00631CF2">
        <w:rPr>
          <w:rFonts w:ascii="Times New Roman" w:eastAsia="Times New Roman" w:hAnsi="Times New Roman" w:cs="Times New Roman"/>
          <w:color w:val="000000" w:themeColor="text1"/>
          <w:sz w:val="24"/>
          <w:szCs w:val="24"/>
        </w:rPr>
        <w:t xml:space="preserve">represents </w:t>
      </w:r>
      <w:r w:rsidR="00180F80" w:rsidRPr="00631CF2">
        <w:rPr>
          <w:rFonts w:ascii="Times New Roman" w:eastAsia="Times New Roman" w:hAnsi="Times New Roman" w:cs="Times New Roman"/>
          <w:sz w:val="24"/>
          <w:szCs w:val="24"/>
        </w:rPr>
        <w:t>a significant</w:t>
      </w:r>
      <w:r w:rsidR="3F0135B2" w:rsidRPr="00631CF2">
        <w:rPr>
          <w:rFonts w:ascii="Times New Roman" w:eastAsia="Times New Roman" w:hAnsi="Times New Roman" w:cs="Times New Roman"/>
          <w:sz w:val="24"/>
          <w:szCs w:val="24"/>
        </w:rPr>
        <w:t xml:space="preserve"> challenge</w:t>
      </w:r>
      <w:r w:rsidR="00180F80" w:rsidRPr="00631CF2">
        <w:rPr>
          <w:rFonts w:ascii="Times New Roman" w:eastAsia="Times New Roman" w:hAnsi="Times New Roman" w:cs="Times New Roman"/>
          <w:sz w:val="24"/>
          <w:szCs w:val="24"/>
        </w:rPr>
        <w:t xml:space="preserve">, as it directly influences </w:t>
      </w:r>
      <w:r w:rsidR="3F0135B2" w:rsidRPr="00631CF2">
        <w:rPr>
          <w:rFonts w:ascii="Times New Roman" w:eastAsia="Times New Roman" w:hAnsi="Times New Roman" w:cs="Times New Roman"/>
          <w:sz w:val="24"/>
          <w:szCs w:val="24"/>
        </w:rPr>
        <w:t>pasture stability</w:t>
      </w:r>
      <w:r w:rsidR="00180F80" w:rsidRPr="00631CF2">
        <w:rPr>
          <w:rFonts w:ascii="Times New Roman" w:eastAsia="Times New Roman" w:hAnsi="Times New Roman" w:cs="Times New Roman"/>
          <w:sz w:val="24"/>
          <w:szCs w:val="24"/>
        </w:rPr>
        <w:t xml:space="preserve"> through its effects on species interactions and community dynamics</w:t>
      </w:r>
      <w:r w:rsidR="3F0135B2" w:rsidRPr="00631CF2">
        <w:rPr>
          <w:rFonts w:ascii="Times New Roman" w:eastAsia="Times New Roman" w:hAnsi="Times New Roman" w:cs="Times New Roman"/>
          <w:sz w:val="24"/>
          <w:szCs w:val="24"/>
        </w:rPr>
        <w:t xml:space="preserve"> (Schulte </w:t>
      </w:r>
      <w:r w:rsidR="3F0135B2" w:rsidRPr="00631CF2">
        <w:rPr>
          <w:rFonts w:ascii="Times New Roman" w:eastAsia="Times New Roman" w:hAnsi="Times New Roman" w:cs="Times New Roman"/>
          <w:i/>
          <w:iCs/>
          <w:sz w:val="24"/>
          <w:szCs w:val="24"/>
        </w:rPr>
        <w:t>et al.</w:t>
      </w:r>
      <w:r w:rsidR="000C0E26" w:rsidRPr="00631CF2">
        <w:rPr>
          <w:rFonts w:ascii="Times New Roman" w:eastAsia="Times New Roman" w:hAnsi="Times New Roman" w:cs="Times New Roman"/>
          <w:i/>
          <w:iCs/>
          <w:sz w:val="24"/>
          <w:szCs w:val="24"/>
        </w:rPr>
        <w:t>,</w:t>
      </w:r>
      <w:r w:rsidR="3F0135B2" w:rsidRPr="00631CF2">
        <w:rPr>
          <w:rFonts w:ascii="Times New Roman" w:eastAsia="Times New Roman" w:hAnsi="Times New Roman" w:cs="Times New Roman"/>
          <w:sz w:val="24"/>
          <w:szCs w:val="24"/>
        </w:rPr>
        <w:t xml:space="preserve"> 2003).</w:t>
      </w:r>
      <w:r w:rsidR="3F0135B2" w:rsidRPr="00631CF2">
        <w:rPr>
          <w:rFonts w:ascii="Times New Roman" w:eastAsia="Times New Roman" w:hAnsi="Times New Roman" w:cs="Times New Roman"/>
          <w:color w:val="000000" w:themeColor="text1"/>
          <w:sz w:val="24"/>
          <w:szCs w:val="24"/>
        </w:rPr>
        <w:t xml:space="preserve"> </w:t>
      </w:r>
      <w:r w:rsidR="00180F80" w:rsidRPr="00631CF2">
        <w:rPr>
          <w:rFonts w:ascii="Times New Roman" w:eastAsia="Times New Roman" w:hAnsi="Times New Roman" w:cs="Times New Roman"/>
          <w:color w:val="000000" w:themeColor="text1"/>
          <w:sz w:val="24"/>
          <w:szCs w:val="24"/>
        </w:rPr>
        <w:t>Among the various management tools available, grazing height and nitrogen fertilization have been identified as particularly important</w:t>
      </w:r>
      <w:r w:rsidR="3F0135B2" w:rsidRPr="00631CF2">
        <w:rPr>
          <w:rFonts w:ascii="Times New Roman" w:eastAsia="Times New Roman" w:hAnsi="Times New Roman" w:cs="Times New Roman"/>
          <w:color w:val="1F1F1F"/>
          <w:sz w:val="24"/>
          <w:szCs w:val="24"/>
        </w:rPr>
        <w:t xml:space="preserve">, </w:t>
      </w:r>
      <w:r w:rsidR="00180F80" w:rsidRPr="00631CF2">
        <w:rPr>
          <w:rFonts w:ascii="Times New Roman" w:eastAsia="Times New Roman" w:hAnsi="Times New Roman" w:cs="Times New Roman"/>
          <w:color w:val="1F1F1F"/>
          <w:sz w:val="24"/>
          <w:szCs w:val="24"/>
        </w:rPr>
        <w:t>capable of significantly altering species composition and population dynamics</w:t>
      </w:r>
      <w:r w:rsidR="3F0135B2" w:rsidRPr="00631CF2">
        <w:rPr>
          <w:rFonts w:ascii="Times New Roman" w:eastAsia="Times New Roman" w:hAnsi="Times New Roman" w:cs="Times New Roman"/>
          <w:color w:val="1F1F1F"/>
          <w:sz w:val="24"/>
          <w:szCs w:val="24"/>
        </w:rPr>
        <w:t xml:space="preserve"> over time</w:t>
      </w:r>
      <w:r w:rsidR="3F0135B2" w:rsidRPr="00631CF2">
        <w:rPr>
          <w:rFonts w:ascii="Times New Roman" w:eastAsia="Times New Roman" w:hAnsi="Times New Roman" w:cs="Times New Roman"/>
          <w:sz w:val="24"/>
          <w:szCs w:val="24"/>
        </w:rPr>
        <w:t xml:space="preserve"> (</w:t>
      </w:r>
      <w:proofErr w:type="spellStart"/>
      <w:r w:rsidR="3F0135B2" w:rsidRPr="00631CF2">
        <w:rPr>
          <w:rFonts w:ascii="Times New Roman" w:eastAsia="Times New Roman" w:hAnsi="Times New Roman" w:cs="Times New Roman"/>
          <w:sz w:val="24"/>
          <w:szCs w:val="24"/>
        </w:rPr>
        <w:t>Barreta</w:t>
      </w:r>
      <w:proofErr w:type="spellEnd"/>
      <w:r w:rsidR="3F0135B2" w:rsidRPr="00631CF2">
        <w:rPr>
          <w:rFonts w:ascii="Times New Roman" w:eastAsia="Times New Roman" w:hAnsi="Times New Roman" w:cs="Times New Roman"/>
          <w:sz w:val="24"/>
          <w:szCs w:val="24"/>
        </w:rPr>
        <w:t xml:space="preserve"> </w:t>
      </w:r>
      <w:r w:rsidR="3F0135B2" w:rsidRPr="00631CF2">
        <w:rPr>
          <w:rFonts w:ascii="Times New Roman" w:eastAsia="Times New Roman" w:hAnsi="Times New Roman" w:cs="Times New Roman"/>
          <w:i/>
          <w:iCs/>
          <w:sz w:val="24"/>
          <w:szCs w:val="24"/>
        </w:rPr>
        <w:t>et al.</w:t>
      </w:r>
      <w:r w:rsidR="000C0E26" w:rsidRPr="00631CF2">
        <w:rPr>
          <w:rFonts w:ascii="Times New Roman" w:eastAsia="Times New Roman" w:hAnsi="Times New Roman" w:cs="Times New Roman"/>
          <w:i/>
          <w:iCs/>
          <w:sz w:val="24"/>
          <w:szCs w:val="24"/>
        </w:rPr>
        <w:t>,</w:t>
      </w:r>
      <w:r w:rsidR="3F0135B2" w:rsidRPr="00631CF2">
        <w:rPr>
          <w:rFonts w:ascii="Times New Roman" w:eastAsia="Times New Roman" w:hAnsi="Times New Roman" w:cs="Times New Roman"/>
          <w:i/>
          <w:iCs/>
          <w:sz w:val="24"/>
          <w:szCs w:val="24"/>
        </w:rPr>
        <w:t xml:space="preserve"> </w:t>
      </w:r>
      <w:r w:rsidR="3F0135B2" w:rsidRPr="00631CF2">
        <w:rPr>
          <w:rFonts w:ascii="Times New Roman" w:eastAsia="Times New Roman" w:hAnsi="Times New Roman" w:cs="Times New Roman"/>
          <w:sz w:val="24"/>
          <w:szCs w:val="24"/>
        </w:rPr>
        <w:t>2023).</w:t>
      </w:r>
    </w:p>
    <w:p w14:paraId="10509FCD" w14:textId="77777777" w:rsidR="00FB6CB4" w:rsidRPr="00631CF2" w:rsidRDefault="00180F80"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In grass plants, t</w:t>
      </w:r>
      <w:r w:rsidR="7607EC66" w:rsidRPr="00631CF2">
        <w:rPr>
          <w:rFonts w:ascii="Times New Roman" w:hAnsi="Times New Roman" w:cs="Times New Roman"/>
          <w:sz w:val="24"/>
          <w:szCs w:val="24"/>
        </w:rPr>
        <w:t xml:space="preserve">illers </w:t>
      </w:r>
      <w:r w:rsidRPr="00631CF2">
        <w:rPr>
          <w:rFonts w:ascii="Times New Roman" w:hAnsi="Times New Roman" w:cs="Times New Roman"/>
          <w:sz w:val="24"/>
          <w:szCs w:val="24"/>
        </w:rPr>
        <w:t xml:space="preserve">function </w:t>
      </w:r>
      <w:r w:rsidR="7607EC66" w:rsidRPr="00631CF2">
        <w:rPr>
          <w:rFonts w:ascii="Times New Roman" w:hAnsi="Times New Roman" w:cs="Times New Roman"/>
          <w:sz w:val="24"/>
          <w:szCs w:val="24"/>
        </w:rPr>
        <w:t xml:space="preserve">as </w:t>
      </w:r>
      <w:r w:rsidRPr="00631CF2">
        <w:rPr>
          <w:rFonts w:ascii="Times New Roman" w:hAnsi="Times New Roman" w:cs="Times New Roman"/>
          <w:sz w:val="24"/>
          <w:szCs w:val="24"/>
        </w:rPr>
        <w:t xml:space="preserve">the </w:t>
      </w:r>
      <w:r w:rsidR="7607EC66" w:rsidRPr="00631CF2">
        <w:rPr>
          <w:rFonts w:ascii="Times New Roman" w:hAnsi="Times New Roman" w:cs="Times New Roman"/>
          <w:sz w:val="24"/>
          <w:szCs w:val="24"/>
        </w:rPr>
        <w:t xml:space="preserve">fundamental units </w:t>
      </w:r>
      <w:r w:rsidRPr="00631CF2">
        <w:rPr>
          <w:rFonts w:ascii="Times New Roman" w:hAnsi="Times New Roman" w:cs="Times New Roman"/>
          <w:sz w:val="24"/>
          <w:szCs w:val="24"/>
        </w:rPr>
        <w:t xml:space="preserve">that determine both </w:t>
      </w:r>
      <w:r w:rsidR="7607EC66" w:rsidRPr="00631CF2">
        <w:rPr>
          <w:rFonts w:ascii="Times New Roman" w:hAnsi="Times New Roman" w:cs="Times New Roman"/>
          <w:sz w:val="24"/>
          <w:szCs w:val="24"/>
        </w:rPr>
        <w:t>production</w:t>
      </w:r>
      <w:r w:rsidRPr="00631CF2">
        <w:rPr>
          <w:rFonts w:ascii="Times New Roman" w:hAnsi="Times New Roman" w:cs="Times New Roman"/>
          <w:sz w:val="24"/>
          <w:szCs w:val="24"/>
        </w:rPr>
        <w:t xml:space="preserve"> capacity</w:t>
      </w:r>
      <w:r w:rsidR="7607EC66" w:rsidRPr="00631CF2">
        <w:rPr>
          <w:rFonts w:ascii="Times New Roman" w:hAnsi="Times New Roman" w:cs="Times New Roman"/>
          <w:sz w:val="24"/>
          <w:szCs w:val="24"/>
        </w:rPr>
        <w:t xml:space="preserve"> and </w:t>
      </w:r>
      <w:r w:rsidRPr="00631CF2">
        <w:rPr>
          <w:rFonts w:ascii="Times New Roman" w:hAnsi="Times New Roman" w:cs="Times New Roman"/>
          <w:sz w:val="24"/>
          <w:szCs w:val="24"/>
        </w:rPr>
        <w:t xml:space="preserve">long-term </w:t>
      </w:r>
      <w:r w:rsidR="7607EC66" w:rsidRPr="00631CF2">
        <w:rPr>
          <w:rFonts w:ascii="Times New Roman" w:hAnsi="Times New Roman" w:cs="Times New Roman"/>
          <w:sz w:val="24"/>
          <w:szCs w:val="24"/>
        </w:rPr>
        <w:t xml:space="preserve">persistence (Langer, 1963). </w:t>
      </w:r>
      <w:r w:rsidRPr="00631CF2">
        <w:rPr>
          <w:rFonts w:ascii="Times New Roman" w:hAnsi="Times New Roman" w:cs="Times New Roman"/>
          <w:sz w:val="24"/>
          <w:szCs w:val="24"/>
        </w:rPr>
        <w:t xml:space="preserve">The dynamics of tiller population are characterized by their rates of </w:t>
      </w:r>
      <w:r w:rsidR="7607EC66" w:rsidRPr="00631CF2">
        <w:rPr>
          <w:rFonts w:ascii="Times New Roman" w:hAnsi="Times New Roman" w:cs="Times New Roman"/>
          <w:sz w:val="24"/>
          <w:szCs w:val="24"/>
        </w:rPr>
        <w:t>appearance</w:t>
      </w:r>
      <w:r w:rsidRPr="00631CF2">
        <w:rPr>
          <w:rFonts w:ascii="Times New Roman" w:hAnsi="Times New Roman" w:cs="Times New Roman"/>
          <w:sz w:val="24"/>
          <w:szCs w:val="24"/>
        </w:rPr>
        <w:t xml:space="preserve"> and</w:t>
      </w:r>
      <w:r w:rsidR="7607EC66" w:rsidRPr="00631CF2">
        <w:rPr>
          <w:rFonts w:ascii="Times New Roman" w:hAnsi="Times New Roman" w:cs="Times New Roman"/>
          <w:sz w:val="24"/>
          <w:szCs w:val="24"/>
        </w:rPr>
        <w:t xml:space="preserve"> death, which determine </w:t>
      </w:r>
      <w:r w:rsidRPr="00631CF2">
        <w:rPr>
          <w:rFonts w:ascii="Times New Roman" w:hAnsi="Times New Roman" w:cs="Times New Roman"/>
          <w:sz w:val="24"/>
          <w:szCs w:val="24"/>
        </w:rPr>
        <w:t xml:space="preserve">the </w:t>
      </w:r>
      <w:r w:rsidR="7607EC66" w:rsidRPr="00631CF2">
        <w:rPr>
          <w:rFonts w:ascii="Times New Roman" w:hAnsi="Times New Roman" w:cs="Times New Roman"/>
          <w:sz w:val="24"/>
          <w:szCs w:val="24"/>
        </w:rPr>
        <w:t>tiller population density (TPD)</w:t>
      </w:r>
      <w:r w:rsidRPr="00631CF2">
        <w:rPr>
          <w:rFonts w:ascii="Times New Roman" w:hAnsi="Times New Roman" w:cs="Times New Roman"/>
          <w:sz w:val="24"/>
          <w:szCs w:val="24"/>
        </w:rPr>
        <w:t>. Th</w:t>
      </w:r>
      <w:r w:rsidR="00083847" w:rsidRPr="00631CF2">
        <w:rPr>
          <w:rFonts w:ascii="Times New Roman" w:hAnsi="Times New Roman" w:cs="Times New Roman"/>
          <w:sz w:val="24"/>
          <w:szCs w:val="24"/>
        </w:rPr>
        <w:t>e TPD</w:t>
      </w:r>
      <w:r w:rsidRPr="00631CF2">
        <w:rPr>
          <w:rFonts w:ascii="Times New Roman" w:hAnsi="Times New Roman" w:cs="Times New Roman"/>
          <w:sz w:val="24"/>
          <w:szCs w:val="24"/>
        </w:rPr>
        <w:t>, in turn, is heavily influenced by grazing management th</w:t>
      </w:r>
      <w:r w:rsidR="00513996" w:rsidRPr="00631CF2">
        <w:rPr>
          <w:rFonts w:ascii="Times New Roman" w:hAnsi="Times New Roman" w:cs="Times New Roman"/>
          <w:sz w:val="24"/>
          <w:szCs w:val="24"/>
        </w:rPr>
        <w:t>rough its effects on light penetration into the canopy and plant-plant competition (Grime, 1977), ultimately affecting sward persistence</w:t>
      </w:r>
      <w:r w:rsidR="7607EC66" w:rsidRPr="00631CF2">
        <w:rPr>
          <w:rFonts w:ascii="Times New Roman" w:hAnsi="Times New Roman" w:cs="Times New Roman"/>
          <w:sz w:val="24"/>
          <w:szCs w:val="24"/>
        </w:rPr>
        <w:t xml:space="preserve">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{"citationID":"pOBJhJN5","properties":{"formattedCitation":"(Matthew and Hamilton 2011)","plainCitation":"(Matthew and Hamilton 2011)","noteIndex":0},"citationItems":[{"id":79,"uris":["http://zotero.org/users/12323737/items/8G5GSIY2"],"itemData":{"id":79,"type":"article-journal","abstract":"A methodology is developed to analyse the contribution to sward persistence of the processes tiller birth and tiller death, and variation in their rate over an annual cycle. The methodology is tested using previously published data for timothy grass (Phleum pratense). The analysis shows that high death rates of timothy tillers in summer present a problem for persistence in that tiller appearance rates required to maintain the tiller population in these conditions require tiller bud site usage statistics that are biologically unlikely in field swards. While it is not suggested that ryegrass has a naturally high tiller death rate in summer as demonstrated here for timothy, where abiotic stresses reduce ryegrass tiller survival, the same principles are likely to apply. Keywords: Leslie matrix, Phleum pratense, population stability, tiller birth rate, tiller survival rate, timothy grass","container-title":"NZGA: Research and Practice Series","DOI":"10.33584/rps.15.2011.3225","ISSN":"2463-4751, 0110-8581","journalAbbreviation":"NZGA R&amp;P Series","page":"63-68","source":"DOI.org (Crossref)","title":"Analysing persistence of grass swards in terms of tiller birth and death","volume":"15","author":[{"family":"Matthew","given":"C."},{"family":"Hamilton","given":"Sackville"}],"issued":{"date-parts":[["2011",1,1]]}}}],"schema":"https://github.com/citation-style-language/schema/raw/master/csl-citation.json"} </w:instrText>
      </w:r>
      <w:r w:rsidRPr="00631CF2">
        <w:rPr>
          <w:rFonts w:ascii="Times New Roman" w:hAnsi="Times New Roman" w:cs="Times New Roman"/>
          <w:sz w:val="24"/>
          <w:szCs w:val="24"/>
        </w:rPr>
        <w:fldChar w:fldCharType="separate"/>
      </w:r>
      <w:r w:rsidR="7607EC66" w:rsidRPr="00631CF2">
        <w:rPr>
          <w:rFonts w:ascii="Times New Roman" w:hAnsi="Times New Roman" w:cs="Times New Roman"/>
          <w:sz w:val="24"/>
          <w:szCs w:val="24"/>
        </w:rPr>
        <w:t>(Matthew and Sackville-Hamilton</w:t>
      </w:r>
      <w:r w:rsidR="00513996" w:rsidRPr="00631CF2">
        <w:rPr>
          <w:rFonts w:ascii="Times New Roman" w:hAnsi="Times New Roman" w:cs="Times New Roman"/>
          <w:sz w:val="24"/>
          <w:szCs w:val="24"/>
        </w:rPr>
        <w:t>,</w:t>
      </w:r>
      <w:r w:rsidR="7607EC66" w:rsidRPr="00631CF2">
        <w:rPr>
          <w:rFonts w:ascii="Times New Roman" w:hAnsi="Times New Roman" w:cs="Times New Roman"/>
          <w:sz w:val="24"/>
          <w:szCs w:val="24"/>
        </w:rPr>
        <w:t xml:space="preserve"> 2011)</w:t>
      </w:r>
      <w:r w:rsidRPr="00631CF2">
        <w:rPr>
          <w:rFonts w:ascii="Times New Roman" w:hAnsi="Times New Roman" w:cs="Times New Roman"/>
          <w:sz w:val="24"/>
          <w:szCs w:val="24"/>
        </w:rPr>
        <w:fldChar w:fldCharType="end"/>
      </w:r>
      <w:r w:rsidR="00513996" w:rsidRPr="00631CF2">
        <w:rPr>
          <w:rFonts w:ascii="Times New Roman" w:hAnsi="Times New Roman" w:cs="Times New Roman"/>
          <w:sz w:val="24"/>
          <w:szCs w:val="24"/>
        </w:rPr>
        <w:t>.</w:t>
      </w:r>
    </w:p>
    <w:p w14:paraId="34048EE5" w14:textId="69C689FB" w:rsidR="00FB6CB4" w:rsidRPr="00631CF2" w:rsidRDefault="00513996"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 xml:space="preserve">The study of tiller demography, while labour-intensive, provides essential insights into pasture dynamics through detailed assessment of tiller </w:t>
      </w:r>
      <w:r w:rsidR="7607EC66" w:rsidRPr="00631CF2">
        <w:rPr>
          <w:rFonts w:ascii="Times New Roman" w:hAnsi="Times New Roman" w:cs="Times New Roman"/>
          <w:sz w:val="24"/>
          <w:szCs w:val="24"/>
        </w:rPr>
        <w:t>age cohorts</w:t>
      </w:r>
      <w:r w:rsidR="00B16DA8" w:rsidRPr="00631CF2">
        <w:rPr>
          <w:rFonts w:ascii="Times New Roman" w:hAnsi="Times New Roman" w:cs="Times New Roman"/>
          <w:sz w:val="24"/>
          <w:szCs w:val="24"/>
        </w:rPr>
        <w:t xml:space="preserve"> and their succession patterns </w:t>
      </w:r>
      <w:r w:rsidR="7607EC66" w:rsidRPr="00631CF2">
        <w:rPr>
          <w:rFonts w:ascii="Times New Roman" w:hAnsi="Times New Roman" w:cs="Times New Roman"/>
          <w:sz w:val="24"/>
          <w:szCs w:val="24"/>
        </w:rPr>
        <w:t xml:space="preserve">(Matthew </w:t>
      </w:r>
      <w:r w:rsidR="7607EC66" w:rsidRPr="00631CF2">
        <w:rPr>
          <w:rFonts w:ascii="Times New Roman" w:hAnsi="Times New Roman" w:cs="Times New Roman"/>
          <w:i/>
          <w:iCs/>
          <w:sz w:val="24"/>
          <w:szCs w:val="24"/>
        </w:rPr>
        <w:t>et al.</w:t>
      </w:r>
      <w:r w:rsidR="000C0E26" w:rsidRPr="00631CF2">
        <w:rPr>
          <w:rFonts w:ascii="Times New Roman" w:hAnsi="Times New Roman" w:cs="Times New Roman"/>
          <w:i/>
          <w:iCs/>
          <w:sz w:val="24"/>
          <w:szCs w:val="24"/>
        </w:rPr>
        <w:t>,</w:t>
      </w:r>
      <w:r w:rsidR="7607EC66" w:rsidRPr="00631CF2">
        <w:rPr>
          <w:rFonts w:ascii="Times New Roman" w:hAnsi="Times New Roman" w:cs="Times New Roman"/>
          <w:sz w:val="24"/>
          <w:szCs w:val="24"/>
        </w:rPr>
        <w:t xml:space="preserve"> 2013). </w:t>
      </w:r>
      <w:r w:rsidR="00B16DA8" w:rsidRPr="00631CF2">
        <w:rPr>
          <w:rFonts w:ascii="Times New Roman" w:hAnsi="Times New Roman" w:cs="Times New Roman"/>
          <w:sz w:val="24"/>
          <w:szCs w:val="24"/>
        </w:rPr>
        <w:t xml:space="preserve">Despite its </w:t>
      </w:r>
      <w:r w:rsidR="7607EC66" w:rsidRPr="00631CF2">
        <w:rPr>
          <w:rFonts w:ascii="Times New Roman" w:hAnsi="Times New Roman" w:cs="Times New Roman"/>
          <w:sz w:val="24"/>
          <w:szCs w:val="24"/>
        </w:rPr>
        <w:t>time-consuming</w:t>
      </w:r>
      <w:r w:rsidR="00B16DA8" w:rsidRPr="00631CF2">
        <w:rPr>
          <w:rFonts w:ascii="Times New Roman" w:hAnsi="Times New Roman" w:cs="Times New Roman"/>
          <w:sz w:val="24"/>
          <w:szCs w:val="24"/>
        </w:rPr>
        <w:t xml:space="preserve"> nature</w:t>
      </w:r>
      <w:r w:rsidR="7607EC66" w:rsidRPr="00631CF2">
        <w:rPr>
          <w:rFonts w:ascii="Times New Roman" w:hAnsi="Times New Roman" w:cs="Times New Roman"/>
          <w:sz w:val="24"/>
          <w:szCs w:val="24"/>
        </w:rPr>
        <w:t xml:space="preserve">, </w:t>
      </w:r>
      <w:r w:rsidR="00B16DA8" w:rsidRPr="00631CF2">
        <w:rPr>
          <w:rFonts w:ascii="Times New Roman" w:hAnsi="Times New Roman" w:cs="Times New Roman"/>
          <w:sz w:val="24"/>
          <w:szCs w:val="24"/>
        </w:rPr>
        <w:t xml:space="preserve">this methodological approach yields valuable </w:t>
      </w:r>
      <w:r w:rsidR="7607EC66" w:rsidRPr="00631CF2">
        <w:rPr>
          <w:rFonts w:ascii="Times New Roman" w:hAnsi="Times New Roman" w:cs="Times New Roman"/>
          <w:sz w:val="24"/>
          <w:szCs w:val="24"/>
        </w:rPr>
        <w:t xml:space="preserve">comparative </w:t>
      </w:r>
      <w:r w:rsidR="00B16DA8" w:rsidRPr="00631CF2">
        <w:rPr>
          <w:rFonts w:ascii="Times New Roman" w:hAnsi="Times New Roman" w:cs="Times New Roman"/>
          <w:sz w:val="24"/>
          <w:szCs w:val="24"/>
        </w:rPr>
        <w:t xml:space="preserve">data across different management </w:t>
      </w:r>
      <w:r w:rsidR="00B16DA8" w:rsidRPr="00631CF2">
        <w:rPr>
          <w:rFonts w:ascii="Times New Roman" w:hAnsi="Times New Roman" w:cs="Times New Roman"/>
          <w:sz w:val="24"/>
          <w:szCs w:val="24"/>
        </w:rPr>
        <w:lastRenderedPageBreak/>
        <w:t xml:space="preserve">strategies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{"citationID":"mZ20qkCW","properties":{"formattedCitation":"(Bahmani {\\i{}et al.} 2003; Korte 1986)","plainCitation":"(Bahmani et al. 2003; Korte 1986)","noteIndex":0},"citationItems":[{"id":80,"uris":["http://zotero.org/users/12323737/items/HGV8FHLH"],"itemData":{"id":80,"type":"article-journal","abstract":"A field study was made of the tiller dynamics of the New Zealand perennial ryegrass (Lolium perenne L.) cultivars Grasslands Ruanui, selected from a Hawke's Bay ecotype, and Ellett, selected from the Mangere ecotype. The work tested whether nitrogen (N) fertiliser or irrigation (Irr) could manipulate the persistence strategies of these morphologically distinct perennial ryegrass ecotypes, represented by these cultivars. Tiller births and deaths, and tiller survival, were monitored over 2 years, under rotational grazing by dairy cows. Patterns of cultivar tiller birth and death were similar. Much of the temporal change in tiller population density was shown to be a response to increasing or decreasing herbage mass associated with seasonal feed surplus or deficit. The probability of tiller survival between observation dates varied markedly with date, and was lowest in autumn. The cultivar effect on tiller survival was small but a significant (P &lt; 0.05) cultivar × date interaction was detected, with survival probability for Ellett tending to be higher than for Grasslands Ruanui in March–April 1997 but lower from July 1997 until March 1998. A cohort effect on tiller survival was also identified, in that tillers formed in January, July, and August 1997 had lower survival probability than those formed at other times. N-treated plots produced 34% more tillers than did untreated plots, and irrigation had no effect on overall tiller density. N and Irr treatments had variable effects on tiller survival. Size density compensation theory and analysis of survival probability are introduced to aid the interpretation of tiller dynamics data.","container-title":"Australian Journal of Agricultural Research","DOI":"10.1071/AR02135","ISSN":"0004-9409","issue":"8","journalAbbreviation":"Aust. J.  Agric. Res.","language":"en","page":"803","source":"DOI.org (Crossref)","title":"Tiller dynamics of perennial ryegrass cultivars derived from different New Zealand ecotypes: effects of cultivar, season, nitrogen fertiliser, and irrigation","title-short":"Tiller dynamics of perennial ryegrass cultivars derived from different New Zealand ecotypes","volume":"54","author":[{"family":"Bahmani","given":"I."},{"family":"Thom","given":"E. R."},{"family":"Matthew","given":"C."},{"family":"Hooper","given":"R. J."},{"family":"Lemaire","given":"G."}],"issued":{"date-parts":[["2003"]]}}},{"id":490,"uris":["http://zotero.org/users/12323737/items/JYW287DZ"],"itemData":{"id":490,"type":"article-journal","container-title":"New Zealand Journal of Agricultural Research","DOI":"10.1080/00288233.1986.10430456","ISSN":"0028-8233, 1175-8775","issue":"4","journalAbbreviation":"New Zealand Journal of Agricultural Research","language":"en","page":"629-638","source":"DOI.org (Crossref)","title":"Tillering in ‘Grasslands Nui’ perennial ryegrass swards 2. Seasonal pattern of tillering and age of flowering tillers with two mowing frequencies","volume":"29","author":[{"family":"Korte","given":"C. J."}],"issued":{"date-parts":[["1986",10]]}}}],"schema":"https://github.com/citation-style-language/schema/raw/master/csl-citation.json"} </w:instrText>
      </w:r>
      <w:r w:rsidRPr="00631CF2">
        <w:rPr>
          <w:rFonts w:ascii="Times New Roman" w:hAnsi="Times New Roman" w:cs="Times New Roman"/>
          <w:sz w:val="24"/>
          <w:szCs w:val="24"/>
        </w:rPr>
        <w:fldChar w:fldCharType="separate"/>
      </w:r>
      <w:r w:rsidR="7607EC66" w:rsidRPr="00631CF2">
        <w:rPr>
          <w:rFonts w:ascii="Times New Roman" w:hAnsi="Times New Roman" w:cs="Times New Roman"/>
          <w:sz w:val="24"/>
          <w:szCs w:val="24"/>
        </w:rPr>
        <w:t>(</w:t>
      </w:r>
      <w:r w:rsidR="5EC0BE48" w:rsidRPr="00631CF2">
        <w:rPr>
          <w:rFonts w:ascii="Times New Roman" w:hAnsi="Times New Roman" w:cs="Times New Roman"/>
          <w:sz w:val="24"/>
          <w:szCs w:val="24"/>
        </w:rPr>
        <w:t xml:space="preserve">Korte 1986; </w:t>
      </w:r>
      <w:r w:rsidR="7607EC66" w:rsidRPr="00631CF2">
        <w:rPr>
          <w:rFonts w:ascii="Times New Roman" w:hAnsi="Times New Roman" w:cs="Times New Roman"/>
          <w:sz w:val="24"/>
          <w:szCs w:val="24"/>
        </w:rPr>
        <w:t xml:space="preserve">Bahmani </w:t>
      </w:r>
      <w:r w:rsidR="7607EC66" w:rsidRPr="00631CF2">
        <w:rPr>
          <w:rFonts w:ascii="Times New Roman" w:hAnsi="Times New Roman" w:cs="Times New Roman"/>
          <w:i/>
          <w:iCs/>
          <w:sz w:val="24"/>
          <w:szCs w:val="24"/>
        </w:rPr>
        <w:t>et al.</w:t>
      </w:r>
      <w:r w:rsidR="000C0E26" w:rsidRPr="00631CF2">
        <w:rPr>
          <w:rFonts w:ascii="Times New Roman" w:hAnsi="Times New Roman" w:cs="Times New Roman"/>
          <w:i/>
          <w:iCs/>
          <w:sz w:val="24"/>
          <w:szCs w:val="24"/>
        </w:rPr>
        <w:t>,</w:t>
      </w:r>
      <w:r w:rsidR="7607EC66" w:rsidRPr="00631CF2">
        <w:rPr>
          <w:rFonts w:ascii="Times New Roman" w:hAnsi="Times New Roman" w:cs="Times New Roman"/>
          <w:sz w:val="24"/>
          <w:szCs w:val="24"/>
        </w:rPr>
        <w:t xml:space="preserve"> 2003</w:t>
      </w:r>
      <w:r w:rsidRPr="00631CF2">
        <w:rPr>
          <w:rFonts w:ascii="Times New Roman" w:hAnsi="Times New Roman" w:cs="Times New Roman"/>
          <w:sz w:val="24"/>
          <w:szCs w:val="24"/>
        </w:rPr>
        <w:fldChar w:fldCharType="end"/>
      </w:r>
      <w:r w:rsidR="7607EC66" w:rsidRPr="00631CF2">
        <w:rPr>
          <w:rFonts w:ascii="Times New Roman" w:hAnsi="Times New Roman" w:cs="Times New Roman"/>
          <w:sz w:val="24"/>
          <w:szCs w:val="24"/>
        </w:rPr>
        <w:t xml:space="preserve">) and </w:t>
      </w:r>
      <w:r w:rsidR="00B16DA8" w:rsidRPr="00631CF2">
        <w:rPr>
          <w:rFonts w:ascii="Times New Roman" w:hAnsi="Times New Roman" w:cs="Times New Roman"/>
          <w:sz w:val="24"/>
          <w:szCs w:val="24"/>
        </w:rPr>
        <w:t xml:space="preserve">enables a deeper understanding of the mechanisms governing </w:t>
      </w:r>
      <w:r w:rsidR="7607EC66" w:rsidRPr="00631CF2">
        <w:rPr>
          <w:rFonts w:ascii="Times New Roman" w:hAnsi="Times New Roman" w:cs="Times New Roman"/>
          <w:sz w:val="24"/>
          <w:szCs w:val="24"/>
        </w:rPr>
        <w:t>grass population</w:t>
      </w:r>
      <w:r w:rsidR="00B16DA8" w:rsidRPr="00631CF2">
        <w:rPr>
          <w:rFonts w:ascii="Times New Roman" w:hAnsi="Times New Roman" w:cs="Times New Roman"/>
          <w:sz w:val="24"/>
          <w:szCs w:val="24"/>
        </w:rPr>
        <w:t xml:space="preserve"> persistence</w:t>
      </w:r>
      <w:r w:rsidR="7607EC66" w:rsidRPr="00631CF2">
        <w:rPr>
          <w:rFonts w:ascii="Times New Roman" w:hAnsi="Times New Roman" w:cs="Times New Roman"/>
          <w:sz w:val="24"/>
          <w:szCs w:val="24"/>
        </w:rPr>
        <w:t xml:space="preserve">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{"citationID":"Z7brp8W3","properties":{"formattedCitation":"(Matthew and Hamilton 2011; Turchin 2001)","plainCitation":"(Matthew and Hamilton 2011; Turchin 2001)","noteIndex":0},"citationItems":[{"id":79,"uris":["http://zotero.org/users/12323737/items/8G5GSIY2"],"itemData":{"id":79,"type":"article-journal","abstract":"A methodology is developed to analyse the contribution to sward persistence of the processes tiller birth and tiller death, and variation in their rate over an annual cycle. The methodology is tested using previously published data for timothy grass (Phleum pratense). The analysis shows that high death rates of timothy tillers in summer present a problem for persistence in that tiller appearance rates required to maintain the tiller population in these conditions require tiller bud site usage statistics that are biologically unlikely in field swards. While it is not suggested that ryegrass has a naturally high tiller death rate in summer as demonstrated here for timothy, where abiotic stresses reduce ryegrass tiller survival, the same principles are likely to apply. Keywords: Leslie matrix, Phleum pratense, population stability, tiller birth rate, tiller survival rate, timothy grass","container-title":"NZGA: Research and Practice Series","DOI":"10.33584/rps.15.2011.3225","ISSN":"2463-4751, 0110-8581","journalAbbreviation":"NZGA R&amp;P Series","page":"63-68","source":"DOI.org (Crossref)","title":"Analysing persistence of grass swards in terms of tiller birth and death","volume":"15","author":[{"family":"Matthew","given":"C."},{"family":"Hamilton","given":"Sackville"}],"issued":{"date-parts":[["2011",1,1]]}}},{"id":497,"uris":["http://zotero.org/users/12323737/items/LVYIXHAX"],"itemData":{"id":497,"type":"article-journal","abstract":"There is a widespread opinion among ecologists that ecology lacks general laws. In this paper I argue that this opinion is mistaken. Taking the case of population dynamics, I point out that there are several very general law‐like propositions that provide the theoretical basis for most population dynamics models that were developed to address specific issues. Some of these foundational principles, like the law of exponential growth, are logically very similar to certain laws of physics (Newton's law of inertia, for example, is almost a direct analogue of exponential growth). I discuss two other principles (population self‐limitation and resource‐consumer oscillations), as well as the more elementary postulates that underlie them. None of the “laws” that I propose for population ecology are new. Collectively ecologists have been using these general principles in guiding development of their models and experiments since the days of Lotka, Volterra, and Gause.","container-title":"Oikos","DOI":"10.1034/j.1600-0706.2001.11310.x","ISSN":"0030-1299, 1600-0706","issue":"1","journalAbbreviation":"Oikos","language":"en","page":"17-26","source":"DOI.org (Crossref)","title":"Does population ecology have general laws?","volume":"94","author":[{"family":"Turchin","given":"Peter"}],"issued":{"date-parts":[["2001",7]]}}}],"schema":"https://github.com/citation-style-language/schema/raw/master/csl-citation.json"} </w:instrText>
      </w:r>
      <w:r w:rsidRPr="00631CF2">
        <w:rPr>
          <w:rFonts w:ascii="Times New Roman" w:hAnsi="Times New Roman" w:cs="Times New Roman"/>
          <w:sz w:val="24"/>
          <w:szCs w:val="24"/>
        </w:rPr>
        <w:fldChar w:fldCharType="separate"/>
      </w:r>
      <w:r w:rsidR="7607EC66" w:rsidRPr="00631CF2">
        <w:rPr>
          <w:rFonts w:ascii="Times New Roman" w:hAnsi="Times New Roman" w:cs="Times New Roman"/>
          <w:sz w:val="24"/>
          <w:szCs w:val="24"/>
        </w:rPr>
        <w:t>(</w:t>
      </w:r>
      <w:r w:rsidR="3D863F81" w:rsidRPr="00631CF2">
        <w:rPr>
          <w:rFonts w:ascii="Times New Roman" w:hAnsi="Times New Roman" w:cs="Times New Roman"/>
          <w:sz w:val="24"/>
          <w:szCs w:val="24"/>
        </w:rPr>
        <w:t xml:space="preserve">Turchin 2001; </w:t>
      </w:r>
      <w:r w:rsidR="7607EC66" w:rsidRPr="00631CF2">
        <w:rPr>
          <w:rFonts w:ascii="Times New Roman" w:hAnsi="Times New Roman" w:cs="Times New Roman"/>
          <w:sz w:val="24"/>
          <w:szCs w:val="24"/>
        </w:rPr>
        <w:t>Matthew and Sackville-Hamilton 2011)</w:t>
      </w:r>
      <w:r w:rsidRPr="00631CF2">
        <w:rPr>
          <w:rFonts w:ascii="Times New Roman" w:hAnsi="Times New Roman" w:cs="Times New Roman"/>
          <w:sz w:val="24"/>
          <w:szCs w:val="24"/>
        </w:rPr>
        <w:fldChar w:fldCharType="end"/>
      </w:r>
      <w:r w:rsidR="29EBBD9E" w:rsidRPr="00631CF2">
        <w:rPr>
          <w:rFonts w:ascii="Times New Roman" w:hAnsi="Times New Roman" w:cs="Times New Roman"/>
          <w:sz w:val="24"/>
          <w:szCs w:val="24"/>
        </w:rPr>
        <w:t>.</w:t>
      </w:r>
    </w:p>
    <w:p w14:paraId="76E2187A" w14:textId="77777777" w:rsidR="00FB6CB4" w:rsidRPr="00631CF2" w:rsidRDefault="00B16DA8"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Demographic theory establishes that population equilibrium in grass pastures is achieved through a dynamic balance between tiller appearance and mortality rates (Harper, 1980). This equilibrium becomes particularly complex in mixed pastures due to the additional influences of interspecific interactions and environmental variability</w:t>
      </w:r>
      <w:r w:rsidR="412175EC" w:rsidRPr="00631CF2">
        <w:rPr>
          <w:rFonts w:ascii="Times New Roman" w:hAnsi="Times New Roman" w:cs="Times New Roman"/>
          <w:sz w:val="24"/>
          <w:szCs w:val="24"/>
        </w:rPr>
        <w:t xml:space="preserve">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{"citationID":"47H0Tip7","properties":{"formattedCitation":"(Caswell 1989)","plainCitation":"(Caswell 1989)","noteIndex":0},"citationItems":[{"id":72,"uris":["http://zotero.org/users/12323737/items/7LGXS5M8"],"itemData":{"id":72,"type":"book","publisher":"Sinauer Associates Inc","title":"Matrix population models: construction, analysis, and interpretation","author":[{"family":"Caswell","given":"H."}],"issued":{"date-parts":[["1989"]]}}}],"schema":"https://github.com/citation-style-language/schema/raw/master/csl-citation.json"} </w:instrText>
      </w:r>
      <w:r w:rsidRPr="00631CF2">
        <w:rPr>
          <w:rFonts w:ascii="Times New Roman" w:hAnsi="Times New Roman" w:cs="Times New Roman"/>
          <w:sz w:val="24"/>
          <w:szCs w:val="24"/>
        </w:rPr>
        <w:fldChar w:fldCharType="separate"/>
      </w:r>
      <w:r w:rsidR="10BA86D7" w:rsidRPr="00631CF2">
        <w:rPr>
          <w:rFonts w:ascii="Times New Roman" w:hAnsi="Times New Roman" w:cs="Times New Roman"/>
          <w:sz w:val="24"/>
          <w:szCs w:val="24"/>
        </w:rPr>
        <w:t>(Caswell 1989)</w:t>
      </w:r>
      <w:r w:rsidRPr="00631CF2">
        <w:rPr>
          <w:rFonts w:ascii="Times New Roman" w:hAnsi="Times New Roman" w:cs="Times New Roman"/>
          <w:sz w:val="24"/>
          <w:szCs w:val="24"/>
        </w:rPr>
        <w:fldChar w:fldCharType="end"/>
      </w:r>
      <w:r w:rsidR="412175EC" w:rsidRPr="00631CF2">
        <w:rPr>
          <w:rFonts w:ascii="Times New Roman" w:hAnsi="Times New Roman" w:cs="Times New Roman"/>
          <w:sz w:val="24"/>
          <w:szCs w:val="24"/>
        </w:rPr>
        <w:t xml:space="preserve">. </w:t>
      </w:r>
    </w:p>
    <w:p w14:paraId="06665A2D" w14:textId="4CCA41E3" w:rsidR="00FB6CB4" w:rsidRPr="00631CF2" w:rsidRDefault="00F85821" w:rsidP="007F0193">
      <w:pPr>
        <w:widowControl w:val="0"/>
        <w:spacing w:after="0" w:line="480" w:lineRule="auto"/>
        <w:ind w:firstLine="426"/>
        <w:jc w:val="both"/>
        <w:rPr>
          <w:rFonts w:ascii="Times New Roman" w:hAnsi="Times New Roman" w:cs="Times New Roman"/>
          <w:sz w:val="24"/>
          <w:szCs w:val="24"/>
        </w:rPr>
      </w:pPr>
      <w:r w:rsidRPr="00631CF2">
        <w:rPr>
          <w:rFonts w:ascii="Times New Roman" w:eastAsia="Times New Roman" w:hAnsi="Times New Roman" w:cs="Times New Roman"/>
          <w:sz w:val="24"/>
          <w:szCs w:val="24"/>
        </w:rPr>
        <w:t>In grassland ecosystems, stability and persistence are interconnected concepts</w:t>
      </w:r>
      <w:r w:rsidR="0D500989" w:rsidRPr="00631CF2">
        <w:rPr>
          <w:rFonts w:ascii="Times New Roman" w:eastAsia="Times New Roman" w:hAnsi="Times New Roman" w:cs="Times New Roman"/>
          <w:sz w:val="24"/>
          <w:szCs w:val="24"/>
        </w:rPr>
        <w:t>.</w:t>
      </w:r>
      <w:r w:rsidRPr="00631CF2">
        <w:rPr>
          <w:rFonts w:ascii="Times New Roman" w:eastAsia="Times New Roman" w:hAnsi="Times New Roman" w:cs="Times New Roman"/>
          <w:sz w:val="24"/>
          <w:szCs w:val="24"/>
        </w:rPr>
        <w:t xml:space="preserve"> </w:t>
      </w:r>
      <w:r w:rsidR="64E81C65" w:rsidRPr="00631CF2">
        <w:rPr>
          <w:rFonts w:ascii="Times New Roman" w:eastAsia="Times New Roman" w:hAnsi="Times New Roman" w:cs="Times New Roman"/>
          <w:sz w:val="24"/>
          <w:szCs w:val="24"/>
        </w:rPr>
        <w:t>S</w:t>
      </w:r>
      <w:r w:rsidRPr="00631CF2">
        <w:rPr>
          <w:rFonts w:ascii="Times New Roman" w:eastAsia="Times New Roman" w:hAnsi="Times New Roman" w:cs="Times New Roman"/>
          <w:sz w:val="24"/>
          <w:szCs w:val="24"/>
        </w:rPr>
        <w:t>tability is the ability of a system to return to an equilibrium state after a disturbance, while persistence measure</w:t>
      </w:r>
      <w:r w:rsidR="63F91792" w:rsidRPr="00631CF2">
        <w:rPr>
          <w:rFonts w:ascii="Times New Roman" w:eastAsia="Times New Roman" w:hAnsi="Times New Roman" w:cs="Times New Roman"/>
          <w:sz w:val="24"/>
          <w:szCs w:val="24"/>
        </w:rPr>
        <w:t>s</w:t>
      </w:r>
      <w:r w:rsidRPr="00631CF2">
        <w:rPr>
          <w:rFonts w:ascii="Times New Roman" w:eastAsia="Times New Roman" w:hAnsi="Times New Roman" w:cs="Times New Roman"/>
          <w:sz w:val="24"/>
          <w:szCs w:val="24"/>
        </w:rPr>
        <w:t xml:space="preserve"> resilience, i.e. the capacity to absorb changes (</w:t>
      </w:r>
      <w:proofErr w:type="spellStart"/>
      <w:r w:rsidRPr="00631CF2">
        <w:rPr>
          <w:rFonts w:ascii="Times New Roman" w:eastAsia="Times New Roman" w:hAnsi="Times New Roman" w:cs="Times New Roman"/>
          <w:sz w:val="24"/>
          <w:szCs w:val="24"/>
        </w:rPr>
        <w:t>Fränzle</w:t>
      </w:r>
      <w:proofErr w:type="spellEnd"/>
      <w:r w:rsidRPr="00631CF2">
        <w:rPr>
          <w:rFonts w:ascii="Times New Roman" w:eastAsia="Times New Roman" w:hAnsi="Times New Roman" w:cs="Times New Roman"/>
          <w:sz w:val="24"/>
          <w:szCs w:val="24"/>
        </w:rPr>
        <w:t>, 1979) and resistance to disturbance (Seabloom, 2007). </w:t>
      </w:r>
      <w:r w:rsidR="5E7B6E48" w:rsidRPr="00631CF2">
        <w:rPr>
          <w:rFonts w:ascii="Times New Roman" w:eastAsia="Times New Roman" w:hAnsi="Times New Roman" w:cs="Times New Roman"/>
          <w:color w:val="1F1F1F"/>
          <w:sz w:val="24"/>
          <w:szCs w:val="24"/>
        </w:rPr>
        <w:t>Grimm and Wissel (1997)</w:t>
      </w:r>
      <w:r w:rsidR="4FEBB031" w:rsidRPr="00631CF2">
        <w:rPr>
          <w:rFonts w:ascii="Times New Roman" w:eastAsia="Times New Roman" w:hAnsi="Times New Roman" w:cs="Times New Roman"/>
          <w:color w:val="1F1F1F"/>
          <w:sz w:val="24"/>
          <w:szCs w:val="24"/>
        </w:rPr>
        <w:t xml:space="preserve"> i</w:t>
      </w:r>
      <w:r w:rsidR="4FEBB031" w:rsidRPr="00631CF2">
        <w:rPr>
          <w:rFonts w:ascii="Times New Roman" w:eastAsia="Times New Roman" w:hAnsi="Times New Roman" w:cs="Times New Roman"/>
          <w:sz w:val="24"/>
          <w:szCs w:val="24"/>
        </w:rPr>
        <w:t>ntegrate</w:t>
      </w:r>
      <w:r w:rsidR="004C5E6B" w:rsidRPr="00631CF2">
        <w:rPr>
          <w:rFonts w:ascii="Times New Roman" w:eastAsia="Times New Roman" w:hAnsi="Times New Roman" w:cs="Times New Roman"/>
          <w:sz w:val="24"/>
          <w:szCs w:val="24"/>
        </w:rPr>
        <w:t xml:space="preserve"> </w:t>
      </w:r>
      <w:r w:rsidR="66C91360" w:rsidRPr="00631CF2">
        <w:rPr>
          <w:rFonts w:ascii="Times New Roman" w:eastAsia="Times New Roman" w:hAnsi="Times New Roman" w:cs="Times New Roman"/>
          <w:sz w:val="24"/>
          <w:szCs w:val="24"/>
        </w:rPr>
        <w:t xml:space="preserve">the </w:t>
      </w:r>
      <w:r w:rsidR="004C5E6B" w:rsidRPr="00631CF2">
        <w:rPr>
          <w:rFonts w:ascii="Times New Roman" w:eastAsia="Times New Roman" w:hAnsi="Times New Roman" w:cs="Times New Roman"/>
          <w:sz w:val="24"/>
          <w:szCs w:val="24"/>
        </w:rPr>
        <w:t>term “stability”</w:t>
      </w:r>
      <w:r w:rsidR="14FEC3E3" w:rsidRPr="00631CF2">
        <w:rPr>
          <w:rFonts w:ascii="Times New Roman" w:eastAsia="Times New Roman" w:hAnsi="Times New Roman" w:cs="Times New Roman"/>
          <w:color w:val="1F1F1F"/>
          <w:sz w:val="24"/>
          <w:szCs w:val="24"/>
        </w:rPr>
        <w:t xml:space="preserve"> </w:t>
      </w:r>
      <w:r w:rsidR="5E7B6E48" w:rsidRPr="00631CF2">
        <w:rPr>
          <w:rFonts w:ascii="Times New Roman" w:eastAsia="Times New Roman" w:hAnsi="Times New Roman" w:cs="Times New Roman"/>
          <w:color w:val="1F1F1F"/>
          <w:sz w:val="24"/>
          <w:szCs w:val="24"/>
        </w:rPr>
        <w:t>into three fundamental properties: (1) the ability to stay essentially unchanged (constancy), (2) the ability to return to the reference state after a temporary disturbance (resilience) and (3) persistence through time (persistence).</w:t>
      </w:r>
      <w:r w:rsidR="672B4776" w:rsidRPr="00631CF2">
        <w:rPr>
          <w:rFonts w:ascii="Times New Roman" w:eastAsia="Times New Roman" w:hAnsi="Times New Roman" w:cs="Times New Roman"/>
          <w:color w:val="1F1F1F"/>
          <w:sz w:val="24"/>
          <w:szCs w:val="24"/>
        </w:rPr>
        <w:t xml:space="preserve"> </w:t>
      </w:r>
      <w:r w:rsidR="4188F140" w:rsidRPr="00631CF2">
        <w:rPr>
          <w:rFonts w:ascii="Times New Roman" w:eastAsia="Times New Roman" w:hAnsi="Times New Roman" w:cs="Times New Roman"/>
          <w:color w:val="1F1F1F"/>
          <w:sz w:val="24"/>
          <w:szCs w:val="24"/>
        </w:rPr>
        <w:t>Therefore</w:t>
      </w:r>
      <w:r w:rsidR="5180B45E" w:rsidRPr="00631CF2">
        <w:rPr>
          <w:rFonts w:ascii="Times New Roman" w:eastAsia="Times New Roman" w:hAnsi="Times New Roman" w:cs="Times New Roman"/>
          <w:color w:val="1F1F1F"/>
          <w:sz w:val="24"/>
          <w:szCs w:val="24"/>
        </w:rPr>
        <w:t>, in this</w:t>
      </w:r>
      <w:r w:rsidR="726D6FEC" w:rsidRPr="00631CF2">
        <w:rPr>
          <w:rFonts w:ascii="Times New Roman" w:eastAsia="Times New Roman" w:hAnsi="Times New Roman" w:cs="Times New Roman"/>
          <w:color w:val="1F1F1F"/>
          <w:sz w:val="24"/>
          <w:szCs w:val="24"/>
        </w:rPr>
        <w:t xml:space="preserve"> paper</w:t>
      </w:r>
      <w:r w:rsidR="00252A5F" w:rsidRPr="00631CF2">
        <w:rPr>
          <w:rFonts w:ascii="Times New Roman" w:eastAsia="Times New Roman" w:hAnsi="Times New Roman" w:cs="Times New Roman"/>
          <w:color w:val="1F1F1F"/>
          <w:sz w:val="24"/>
          <w:szCs w:val="24"/>
        </w:rPr>
        <w:t xml:space="preserve"> </w:t>
      </w:r>
      <w:r w:rsidR="00252A5F" w:rsidRPr="00631CF2">
        <w:rPr>
          <w:rFonts w:ascii="Times New Roman" w:eastAsia="Times New Roman" w:hAnsi="Times New Roman" w:cs="Times New Roman"/>
          <w:sz w:val="24"/>
          <w:szCs w:val="24"/>
        </w:rPr>
        <w:t>stability and persistence</w:t>
      </w:r>
      <w:r w:rsidR="00252A5F" w:rsidRPr="00631CF2">
        <w:rPr>
          <w:rFonts w:ascii="Times New Roman" w:eastAsia="Times New Roman" w:hAnsi="Times New Roman" w:cs="Times New Roman"/>
          <w:color w:val="1F1F1F"/>
          <w:sz w:val="24"/>
          <w:szCs w:val="24"/>
        </w:rPr>
        <w:t xml:space="preserve"> </w:t>
      </w:r>
      <w:r w:rsidR="0034167E" w:rsidRPr="00631CF2">
        <w:rPr>
          <w:rFonts w:ascii="Times New Roman" w:eastAsia="Times New Roman" w:hAnsi="Times New Roman" w:cs="Times New Roman"/>
          <w:color w:val="1F1F1F"/>
          <w:sz w:val="24"/>
          <w:szCs w:val="24"/>
        </w:rPr>
        <w:t xml:space="preserve">will be </w:t>
      </w:r>
      <w:r w:rsidRPr="00631CF2">
        <w:rPr>
          <w:rFonts w:ascii="Times New Roman" w:eastAsia="Times New Roman" w:hAnsi="Times New Roman" w:cs="Times New Roman"/>
          <w:sz w:val="24"/>
          <w:szCs w:val="24"/>
        </w:rPr>
        <w:t>considered as equivalent</w:t>
      </w:r>
      <w:r w:rsidR="00410D1A" w:rsidRPr="00631CF2">
        <w:rPr>
          <w:rFonts w:ascii="Times New Roman" w:eastAsia="Times New Roman" w:hAnsi="Times New Roman" w:cs="Times New Roman"/>
          <w:sz w:val="24"/>
          <w:szCs w:val="24"/>
        </w:rPr>
        <w:t xml:space="preserve"> terms</w:t>
      </w:r>
      <w:r w:rsidRPr="00631CF2">
        <w:rPr>
          <w:rFonts w:ascii="Times New Roman" w:eastAsia="Times New Roman" w:hAnsi="Times New Roman" w:cs="Times New Roman"/>
          <w:sz w:val="24"/>
          <w:szCs w:val="24"/>
        </w:rPr>
        <w:t xml:space="preserve">. </w:t>
      </w:r>
    </w:p>
    <w:p w14:paraId="141A80A4" w14:textId="7510290D" w:rsidR="00FB6CB4" w:rsidRPr="00631CF2" w:rsidRDefault="00F85821"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 xml:space="preserve">The persistence of perennial grass populations specifically depends on their capacity to recruit new tillers through bud banks and vegetative reproduction in response to both climate variations and disturbances (Ott and Harnett 2015). A </w:t>
      </w:r>
      <w:r w:rsidR="00C200EB" w:rsidRPr="00631CF2">
        <w:rPr>
          <w:rFonts w:ascii="Times New Roman" w:hAnsi="Times New Roman" w:cs="Times New Roman"/>
          <w:sz w:val="24"/>
          <w:szCs w:val="24"/>
        </w:rPr>
        <w:t xml:space="preserve">deeper </w:t>
      </w:r>
      <w:r w:rsidRPr="00631CF2">
        <w:rPr>
          <w:rFonts w:ascii="Times New Roman" w:hAnsi="Times New Roman" w:cs="Times New Roman"/>
          <w:sz w:val="24"/>
          <w:szCs w:val="24"/>
        </w:rPr>
        <w:t>understanding of these demographic processes and their interactions is fundamental for predicting how grassland communities respond to environmental changes, ultimately influencing their abundance, distribution, stability and resilience.</w:t>
      </w:r>
    </w:p>
    <w:p w14:paraId="623E6D74" w14:textId="6D460938" w:rsidR="00FB6CB4" w:rsidRPr="00631CF2" w:rsidRDefault="412175EC"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 xml:space="preserve">It is important to highlight that herbage mass is not synonymous with stability since it normally reflects the trade-off between tiller size and number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{"citationID":"I7QGqTO3","properties":{"formattedCitation":"(Matthew {\\i{}et al.} 2013)","plainCitation":"(Matthew et al. 2013)","noteIndex":0},"citationItems":[{"id":55,"uris":["http://zotero.org/users/12323737/items/43R2DNST"],"itemData":{"id":55,"type":"chapter","abstract":"Persistence of sown pastures is a concern for pastoral production worldwide. Fundamentally, when\na pasture does not persist the problem can be expressed in terms of inadequate new tiller production or\nexcessive tiller death. However, the collection of data to build an understanding of sward dynamics at this\nlevel is time consuming. Tiller survival diagrams are presented for a range of temperate and tropical grass\nspecies including Lolium perenne, Lolium multiflorum, Festuca arundinacea, Festuca pratensis, Phleum\npratense, Bromus willdenowii, Cynodon dactylon, Brachiaria brizantha, Panicum maximum, Chloris gayana\nand Paspalum notatum. It is shown that each grass has a unique perennation strategy and accordingly unique\nstrengths and weaknesses that confer persistence or lack of persistence in different situations. There is also\nconfusion in extension circles about the trade-off between tiller size and tiller density and how to detect a\nsuboptimal tiller density. Grass swards respond to high herbage mass by increase of tiller size and reduction\nin tiller density, but reduction in tiller density is often mistaken for sward decline. A distinction must be made\nbetween size/density compensation and sward decline. Increased understanding of sward dynamics at this\nlevel should help in the evolution of management practices that improve persistence on a range of grassland\ntypes.","collection-title":"The ecology of grassland and forage ecosystems","container-title":"The XXII International Grassland Congr assland Congress (Revitalising Gr vitalising Grasslands t asslands to Sustain Our o Sustain Our Communities) t","page":"1041-1044","publisher":"New South Wales Department of Primary Industry, Kite St., Orange New South Wales, Australia","title":"State of knowledge in tiller dynamics","URL":"https://uknowledge.uky.edu/igc/22/2-1/3","author":[{"family":"Matthew","given":"C."},{"family":"Agnusdei","given":"M"},{"family":"Assuero","given":"S"},{"family":"Sbrissia","given":"A"},{"family":"Scheneiter","given":"O"},{"family":"Da Silva","given":"S"}],"issued":{"date-parts":[["2013"]]}}}],"schema":"https://github.com/citation-style-language/schema/raw/master/csl-citation.json"} </w:instrText>
      </w:r>
      <w:r w:rsidRPr="00631CF2">
        <w:rPr>
          <w:rFonts w:ascii="Times New Roman" w:hAnsi="Times New Roman" w:cs="Times New Roman"/>
          <w:sz w:val="24"/>
          <w:szCs w:val="24"/>
        </w:rPr>
        <w:fldChar w:fldCharType="separate"/>
      </w:r>
      <w:r w:rsidR="6D114F20" w:rsidRPr="00631CF2">
        <w:rPr>
          <w:rFonts w:ascii="Times New Roman" w:hAnsi="Times New Roman" w:cs="Times New Roman"/>
          <w:sz w:val="24"/>
          <w:szCs w:val="24"/>
        </w:rPr>
        <w:t xml:space="preserve">(Matthew </w:t>
      </w:r>
      <w:r w:rsidR="6D114F20" w:rsidRPr="00631CF2">
        <w:rPr>
          <w:rFonts w:ascii="Times New Roman" w:hAnsi="Times New Roman" w:cs="Times New Roman"/>
          <w:i/>
          <w:iCs/>
          <w:sz w:val="24"/>
          <w:szCs w:val="24"/>
        </w:rPr>
        <w:t>et al.</w:t>
      </w:r>
      <w:r w:rsidR="000C0E26" w:rsidRPr="00631CF2">
        <w:rPr>
          <w:rFonts w:ascii="Times New Roman" w:hAnsi="Times New Roman" w:cs="Times New Roman"/>
          <w:i/>
          <w:iCs/>
          <w:sz w:val="24"/>
          <w:szCs w:val="24"/>
        </w:rPr>
        <w:t>,</w:t>
      </w:r>
      <w:r w:rsidR="6D114F20" w:rsidRPr="00631CF2">
        <w:rPr>
          <w:rFonts w:ascii="Times New Roman" w:hAnsi="Times New Roman" w:cs="Times New Roman"/>
          <w:sz w:val="24"/>
          <w:szCs w:val="24"/>
        </w:rPr>
        <w:t xml:space="preserve"> 2013)</w:t>
      </w:r>
      <w:r w:rsidRPr="00631CF2">
        <w:rPr>
          <w:rFonts w:ascii="Times New Roman" w:hAnsi="Times New Roman" w:cs="Times New Roman"/>
          <w:sz w:val="24"/>
          <w:szCs w:val="24"/>
        </w:rPr>
        <w:fldChar w:fldCharType="end"/>
      </w:r>
      <w:r w:rsidRPr="00631CF2">
        <w:rPr>
          <w:rFonts w:ascii="Times New Roman" w:hAnsi="Times New Roman" w:cs="Times New Roman"/>
          <w:sz w:val="24"/>
          <w:szCs w:val="24"/>
        </w:rPr>
        <w:t>.</w:t>
      </w:r>
      <w:r w:rsidRPr="00631CF2">
        <w:rPr>
          <w:rFonts w:ascii="Times New Roman" w:eastAsiaTheme="minorEastAsia" w:hAnsi="Times New Roman" w:cs="Times New Roman"/>
          <w:sz w:val="24"/>
          <w:szCs w:val="24"/>
        </w:rPr>
        <w:t xml:space="preserve"> </w:t>
      </w:r>
      <w:r w:rsidR="0046186E" w:rsidRPr="00631CF2">
        <w:rPr>
          <w:rFonts w:ascii="Times New Roman" w:hAnsi="Times New Roman" w:cs="Times New Roman"/>
          <w:sz w:val="24"/>
          <w:szCs w:val="24"/>
        </w:rPr>
        <w:t>This relationship manifests through the self-thinning process, where increased herbage mass typically results from larger but fewer tillers</w:t>
      </w:r>
      <w:r w:rsidRPr="00631CF2">
        <w:rPr>
          <w:rFonts w:ascii="Times New Roman" w:hAnsi="Times New Roman" w:cs="Times New Roman"/>
          <w:sz w:val="24"/>
          <w:szCs w:val="24"/>
        </w:rPr>
        <w:t xml:space="preserve"> (Yoda</w:t>
      </w:r>
      <w:r w:rsidR="46A07C5C" w:rsidRPr="00631CF2">
        <w:rPr>
          <w:rFonts w:ascii="Times New Roman" w:hAnsi="Times New Roman" w:cs="Times New Roman"/>
          <w:sz w:val="24"/>
          <w:szCs w:val="24"/>
        </w:rPr>
        <w:t xml:space="preserve"> </w:t>
      </w:r>
      <w:r w:rsidR="46A07C5C" w:rsidRPr="00631CF2">
        <w:rPr>
          <w:rFonts w:ascii="Times New Roman" w:hAnsi="Times New Roman" w:cs="Times New Roman"/>
          <w:i/>
          <w:iCs/>
          <w:sz w:val="24"/>
          <w:szCs w:val="24"/>
        </w:rPr>
        <w:t>et al.</w:t>
      </w:r>
      <w:r w:rsidR="000C0E26" w:rsidRPr="00631CF2">
        <w:rPr>
          <w:rFonts w:ascii="Times New Roman" w:hAnsi="Times New Roman" w:cs="Times New Roman"/>
          <w:i/>
          <w:iCs/>
          <w:sz w:val="24"/>
          <w:szCs w:val="24"/>
        </w:rPr>
        <w:t>,</w:t>
      </w:r>
      <w:r w:rsidRPr="00631CF2">
        <w:rPr>
          <w:rFonts w:ascii="Times New Roman" w:hAnsi="Times New Roman" w:cs="Times New Roman"/>
          <w:sz w:val="24"/>
          <w:szCs w:val="24"/>
        </w:rPr>
        <w:t xml:space="preserve"> 1963).</w:t>
      </w:r>
      <w:r w:rsidRPr="00631CF2">
        <w:rPr>
          <w:rFonts w:ascii="Times New Roman" w:eastAsiaTheme="minorEastAsia" w:hAnsi="Times New Roman" w:cs="Times New Roman"/>
          <w:sz w:val="24"/>
          <w:szCs w:val="24"/>
        </w:rPr>
        <w:t xml:space="preserve"> </w:t>
      </w:r>
      <w:r w:rsidRPr="00631CF2">
        <w:rPr>
          <w:rFonts w:ascii="Times New Roman" w:hAnsi="Times New Roman" w:cs="Times New Roman"/>
          <w:sz w:val="24"/>
          <w:szCs w:val="24"/>
        </w:rPr>
        <w:t xml:space="preserve">The slope of this relationship (on a log-log scale) has been used to make inferences about sward conditions, where it is normally assumed that a slope close to -3/2 indicates a constant LAI across a range of changes in tiller size and number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{"citationID":"UJL7yNWk","properties":{"formattedCitation":"(Matthew {\\i{}et al.} 1995)","plainCitation":"(Matthew et al. 1995)","noteIndex":0},"citationItems":[{"id":51,"uris":["http://zotero.org/users/12323737/items/HXV2AXF9"],"itemData":{"id":51,"type":"article-journal","abstract":"Interpretation of tiller or shoot density data requires resolution of two independent, confounding effects, namely size/density compensation and what is here called the \"leaf area effect\". Size/density compensation implies that at higher herbage mass, individual tillers or shoots are larger, but the population density is correspondingly decreased. The leaf area effect represents difference in sward leaf area for two tiller populations. Such leaf area differences may be environmentally or genetically determined, but must of necessity be expressed through change in tiller size and/or tiller density as \"yield components\" of leaf area. The theoretical basis for distinguishing between size/density compensation and the leaf area effect is to consider tiller or shoot density and herbage yield, respectively, as X,Y co-ordinates in a size/density plot. When such a plot is drawn on a logarithmic scale, points along a line of -l/2 slope show size/ density compensation with respect to each other. Movement of points to the right or left of the size/ density compensation line is evidence of a leaf area effect. It is shown that when the size/density effects are removed from a data set in this way, rankings of experimental treatments for the leaf area effect can often be reversed compared with the ranking of uncorrected tiller density. Tiller density data corrected for size/density compen-. sation in this way appear to be a useful indicator of sward productivity. Keywords: sizeldensity compensation, sward productivity, tiller density","container-title":"Proceedings of the New Zealand Grassland Association","DOI":"10.33584/jnzg.1995.57.2190","ISSN":"1179-4577, 0369-3902","journalAbbreviation":"ProNZG","page":"83-87","source":"DOI.org (Crossref)","title":"Making sense of the link between tiller density and pasture production","author":[{"family":"Matthew","given":"C."},{"family":"Hernandez-Garay","given":"A."},{"family":"Hodgson","given":"J."}],"issued":{"date-parts":[["1995",1,1]]}}}],"schema":"https://github.com/citation-style-language/schema/raw/master/csl-citation.json"} </w:instrText>
      </w:r>
      <w:r w:rsidRPr="00631CF2">
        <w:rPr>
          <w:rFonts w:ascii="Times New Roman" w:hAnsi="Times New Roman" w:cs="Times New Roman"/>
          <w:sz w:val="24"/>
          <w:szCs w:val="24"/>
        </w:rPr>
        <w:fldChar w:fldCharType="separate"/>
      </w:r>
      <w:r w:rsidR="1D08D277" w:rsidRPr="00631CF2">
        <w:rPr>
          <w:rFonts w:ascii="Times New Roman" w:hAnsi="Times New Roman" w:cs="Times New Roman"/>
          <w:sz w:val="24"/>
          <w:szCs w:val="24"/>
        </w:rPr>
        <w:t xml:space="preserve">(Matthew </w:t>
      </w:r>
      <w:r w:rsidR="1D08D277" w:rsidRPr="00631CF2">
        <w:rPr>
          <w:rFonts w:ascii="Times New Roman" w:hAnsi="Times New Roman" w:cs="Times New Roman"/>
          <w:i/>
          <w:iCs/>
          <w:sz w:val="24"/>
          <w:szCs w:val="24"/>
        </w:rPr>
        <w:t>et al.</w:t>
      </w:r>
      <w:r w:rsidR="000C0E26" w:rsidRPr="00631CF2">
        <w:rPr>
          <w:rFonts w:ascii="Times New Roman" w:hAnsi="Times New Roman" w:cs="Times New Roman"/>
          <w:i/>
          <w:iCs/>
          <w:sz w:val="24"/>
          <w:szCs w:val="24"/>
        </w:rPr>
        <w:t>,</w:t>
      </w:r>
      <w:r w:rsidR="1D08D277" w:rsidRPr="00631CF2">
        <w:rPr>
          <w:rFonts w:ascii="Times New Roman" w:hAnsi="Times New Roman" w:cs="Times New Roman"/>
          <w:sz w:val="24"/>
          <w:szCs w:val="24"/>
        </w:rPr>
        <w:t xml:space="preserve"> 1995)</w:t>
      </w:r>
      <w:r w:rsidRPr="00631CF2">
        <w:rPr>
          <w:rFonts w:ascii="Times New Roman" w:hAnsi="Times New Roman" w:cs="Times New Roman"/>
          <w:sz w:val="24"/>
          <w:szCs w:val="24"/>
        </w:rPr>
        <w:fldChar w:fldCharType="end"/>
      </w:r>
      <w:r w:rsidRPr="00631CF2">
        <w:rPr>
          <w:rFonts w:ascii="Times New Roman" w:hAnsi="Times New Roman" w:cs="Times New Roman"/>
          <w:sz w:val="24"/>
          <w:szCs w:val="24"/>
        </w:rPr>
        <w:t>.</w:t>
      </w:r>
    </w:p>
    <w:p w14:paraId="7A144AAB" w14:textId="11D6978C" w:rsidR="00FB6CB4" w:rsidRPr="00631CF2" w:rsidRDefault="412175EC"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 xml:space="preserve">In this sense, the relationship between tiller size and number has normally been </w:t>
      </w:r>
      <w:r w:rsidR="00083847" w:rsidRPr="00631CF2">
        <w:rPr>
          <w:rFonts w:ascii="Times New Roman" w:hAnsi="Times New Roman" w:cs="Times New Roman"/>
          <w:sz w:val="24"/>
          <w:szCs w:val="24"/>
        </w:rPr>
        <w:t>associated</w:t>
      </w:r>
      <w:r w:rsidRPr="00631CF2">
        <w:rPr>
          <w:rFonts w:ascii="Times New Roman" w:hAnsi="Times New Roman" w:cs="Times New Roman"/>
          <w:sz w:val="24"/>
          <w:szCs w:val="24"/>
        </w:rPr>
        <w:t xml:space="preserve"> with herbage production (Matthew </w:t>
      </w:r>
      <w:r w:rsidRPr="00631CF2">
        <w:rPr>
          <w:rFonts w:ascii="Times New Roman" w:hAnsi="Times New Roman" w:cs="Times New Roman"/>
          <w:i/>
          <w:iCs/>
          <w:sz w:val="24"/>
          <w:szCs w:val="24"/>
        </w:rPr>
        <w:t>et al</w:t>
      </w:r>
      <w:r w:rsidRPr="00631CF2">
        <w:rPr>
          <w:rFonts w:ascii="Times New Roman" w:hAnsi="Times New Roman" w:cs="Times New Roman"/>
          <w:sz w:val="24"/>
          <w:szCs w:val="24"/>
        </w:rPr>
        <w:t>.</w:t>
      </w:r>
      <w:r w:rsidR="000C0E26" w:rsidRPr="00631CF2">
        <w:rPr>
          <w:rFonts w:ascii="Times New Roman" w:hAnsi="Times New Roman" w:cs="Times New Roman"/>
          <w:sz w:val="24"/>
          <w:szCs w:val="24"/>
        </w:rPr>
        <w:t>,</w:t>
      </w:r>
      <w:r w:rsidRPr="00631CF2">
        <w:rPr>
          <w:rFonts w:ascii="Times New Roman" w:hAnsi="Times New Roman" w:cs="Times New Roman"/>
          <w:sz w:val="24"/>
          <w:szCs w:val="24"/>
        </w:rPr>
        <w:t xml:space="preserve"> 1996) but it is also reasonable to conjecture that this approach could be used as a tool to infer sward persistence and </w:t>
      </w:r>
      <w:r w:rsidRPr="00631CF2">
        <w:rPr>
          <w:rFonts w:ascii="Times New Roman" w:hAnsi="Times New Roman" w:cs="Times New Roman"/>
          <w:sz w:val="24"/>
          <w:szCs w:val="24"/>
        </w:rPr>
        <w:lastRenderedPageBreak/>
        <w:t xml:space="preserve">stability over time. For example, whether a pasture managed with a given canopy height/herbage mass presents a slope of a tiller size/density relationship close to –3/2 (or higher) </w:t>
      </w:r>
      <w:r w:rsidR="007852BC" w:rsidRPr="00631CF2">
        <w:rPr>
          <w:rFonts w:ascii="Times New Roman" w:hAnsi="Times New Roman" w:cs="Times New Roman"/>
          <w:sz w:val="24"/>
          <w:szCs w:val="24"/>
        </w:rPr>
        <w:t>that</w:t>
      </w:r>
      <w:r w:rsidR="00083847" w:rsidRPr="00631CF2">
        <w:rPr>
          <w:rFonts w:ascii="Times New Roman" w:hAnsi="Times New Roman" w:cs="Times New Roman"/>
          <w:sz w:val="24"/>
          <w:szCs w:val="24"/>
        </w:rPr>
        <w:t xml:space="preserve"> </w:t>
      </w:r>
      <w:r w:rsidRPr="00631CF2">
        <w:rPr>
          <w:rFonts w:ascii="Times New Roman" w:hAnsi="Times New Roman" w:cs="Times New Roman"/>
          <w:sz w:val="24"/>
          <w:szCs w:val="24"/>
        </w:rPr>
        <w:t>would mean that the trade-off between size and number of tillers is operating to maintain a relatively constant LAI across the years, suggesting stability at that given sward conditions.</w:t>
      </w:r>
    </w:p>
    <w:p w14:paraId="7C994BF8" w14:textId="67000BB1" w:rsidR="00FB6CB4" w:rsidRPr="00631CF2" w:rsidRDefault="00485A1C" w:rsidP="007F0193">
      <w:pPr>
        <w:widowControl w:val="0"/>
        <w:spacing w:after="0" w:line="480" w:lineRule="auto"/>
        <w:ind w:firstLine="426"/>
        <w:jc w:val="both"/>
        <w:rPr>
          <w:rFonts w:ascii="Times New Roman" w:hAnsi="Times New Roman" w:cs="Times New Roman"/>
          <w:sz w:val="24"/>
          <w:szCs w:val="24"/>
        </w:rPr>
      </w:pPr>
      <w:r w:rsidRPr="00631CF2">
        <w:rPr>
          <w:rFonts w:ascii="Times New Roman" w:eastAsia="Times New Roman" w:hAnsi="Times New Roman" w:cs="Times New Roman"/>
          <w:i/>
          <w:iCs/>
          <w:color w:val="000000" w:themeColor="text1"/>
          <w:sz w:val="24"/>
          <w:szCs w:val="24"/>
        </w:rPr>
        <w:t xml:space="preserve">Lolium </w:t>
      </w:r>
      <w:proofErr w:type="spellStart"/>
      <w:r w:rsidRPr="00631CF2">
        <w:rPr>
          <w:rFonts w:ascii="Times New Roman" w:eastAsia="Times New Roman" w:hAnsi="Times New Roman" w:cs="Times New Roman"/>
          <w:i/>
          <w:iCs/>
          <w:color w:val="000000" w:themeColor="text1"/>
          <w:sz w:val="24"/>
          <w:szCs w:val="24"/>
        </w:rPr>
        <w:t>arundinaceum</w:t>
      </w:r>
      <w:proofErr w:type="spellEnd"/>
      <w:r w:rsidRPr="00631CF2" w:rsidDel="00485A1C">
        <w:rPr>
          <w:rFonts w:ascii="Times New Roman" w:eastAsia="Times New Roman" w:hAnsi="Times New Roman" w:cs="Times New Roman"/>
          <w:color w:val="000000" w:themeColor="text1"/>
          <w:sz w:val="24"/>
          <w:szCs w:val="24"/>
        </w:rPr>
        <w:t xml:space="preserve"> </w:t>
      </w:r>
      <w:r w:rsidR="007852BC" w:rsidRPr="00631CF2">
        <w:rPr>
          <w:rFonts w:ascii="Times New Roman" w:eastAsia="Times New Roman" w:hAnsi="Times New Roman" w:cs="Times New Roman"/>
          <w:color w:val="000000" w:themeColor="text1"/>
          <w:sz w:val="24"/>
          <w:szCs w:val="24"/>
        </w:rPr>
        <w:t>is a C</w:t>
      </w:r>
      <w:r w:rsidR="007852BC" w:rsidRPr="00631CF2">
        <w:rPr>
          <w:rFonts w:ascii="Times New Roman" w:eastAsia="Times New Roman" w:hAnsi="Times New Roman" w:cs="Times New Roman"/>
          <w:color w:val="000000" w:themeColor="text1"/>
          <w:sz w:val="24"/>
          <w:szCs w:val="24"/>
          <w:vertAlign w:val="subscript"/>
        </w:rPr>
        <w:t>3</w:t>
      </w:r>
      <w:r w:rsidR="007852BC" w:rsidRPr="00631CF2">
        <w:rPr>
          <w:rFonts w:ascii="Times New Roman" w:eastAsia="Times New Roman" w:hAnsi="Times New Roman" w:cs="Times New Roman"/>
          <w:color w:val="000000" w:themeColor="text1"/>
          <w:sz w:val="24"/>
          <w:szCs w:val="24"/>
        </w:rPr>
        <w:t xml:space="preserve"> perennial grass with specific leaf area and functional traits associated with more conservative species (</w:t>
      </w:r>
      <w:proofErr w:type="spellStart"/>
      <w:r w:rsidR="007852BC" w:rsidRPr="00631CF2">
        <w:rPr>
          <w:rFonts w:ascii="Times New Roman" w:eastAsia="Times New Roman" w:hAnsi="Times New Roman" w:cs="Times New Roman"/>
          <w:color w:val="000000" w:themeColor="text1"/>
          <w:sz w:val="24"/>
          <w:szCs w:val="24"/>
        </w:rPr>
        <w:t>Duchini</w:t>
      </w:r>
      <w:proofErr w:type="spellEnd"/>
      <w:r w:rsidR="007852BC" w:rsidRPr="00631CF2">
        <w:rPr>
          <w:rFonts w:ascii="Times New Roman" w:eastAsia="Times New Roman" w:hAnsi="Times New Roman" w:cs="Times New Roman"/>
          <w:color w:val="000000" w:themeColor="text1"/>
          <w:sz w:val="24"/>
          <w:szCs w:val="24"/>
        </w:rPr>
        <w:t xml:space="preserve"> </w:t>
      </w:r>
      <w:r w:rsidR="000C0E26" w:rsidRPr="00631CF2">
        <w:rPr>
          <w:rFonts w:ascii="Times New Roman" w:eastAsia="Times New Roman" w:hAnsi="Times New Roman" w:cs="Times New Roman"/>
          <w:i/>
          <w:iCs/>
          <w:color w:val="000000" w:themeColor="text1"/>
          <w:sz w:val="24"/>
          <w:szCs w:val="24"/>
        </w:rPr>
        <w:t>et al.,</w:t>
      </w:r>
      <w:r w:rsidR="007852BC" w:rsidRPr="00631CF2">
        <w:rPr>
          <w:rFonts w:ascii="Times New Roman" w:eastAsia="Times New Roman" w:hAnsi="Times New Roman" w:cs="Times New Roman"/>
          <w:color w:val="000000" w:themeColor="text1"/>
          <w:sz w:val="24"/>
          <w:szCs w:val="24"/>
        </w:rPr>
        <w:t xml:space="preserve"> 2023) </w:t>
      </w:r>
      <w:r w:rsidR="005D7BDD" w:rsidRPr="00631CF2">
        <w:rPr>
          <w:rFonts w:ascii="Times New Roman" w:eastAsia="Times New Roman" w:hAnsi="Times New Roman" w:cs="Times New Roman"/>
          <w:color w:val="000000" w:themeColor="text1"/>
          <w:sz w:val="24"/>
          <w:szCs w:val="24"/>
        </w:rPr>
        <w:t xml:space="preserve">and </w:t>
      </w:r>
      <w:hyperlink r:id="rId10" w:history="1">
        <w:r w:rsidR="00EE5F0B" w:rsidRPr="00631CF2">
          <w:rPr>
            <w:rStyle w:val="Hyperlink"/>
            <w:rFonts w:ascii="Times New Roman" w:eastAsia="Times New Roman" w:hAnsi="Times New Roman" w:cs="Times New Roman"/>
            <w:i/>
            <w:iCs/>
            <w:color w:val="auto"/>
            <w:sz w:val="24"/>
            <w:szCs w:val="24"/>
            <w:u w:val="none"/>
          </w:rPr>
          <w:t>Cenchrus</w:t>
        </w:r>
      </w:hyperlink>
      <w:r w:rsidR="00EE5F0B" w:rsidRPr="00631CF2">
        <w:rPr>
          <w:rFonts w:ascii="Times New Roman" w:eastAsia="Times New Roman" w:hAnsi="Times New Roman" w:cs="Times New Roman"/>
          <w:i/>
          <w:iCs/>
          <w:color w:val="000000" w:themeColor="text1"/>
          <w:sz w:val="24"/>
          <w:szCs w:val="24"/>
        </w:rPr>
        <w:t> </w:t>
      </w:r>
      <w:proofErr w:type="spellStart"/>
      <w:r w:rsidR="005D7BDD" w:rsidRPr="00631CF2">
        <w:rPr>
          <w:rFonts w:ascii="Times New Roman" w:eastAsia="Times New Roman" w:hAnsi="Times New Roman" w:cs="Times New Roman"/>
          <w:i/>
          <w:iCs/>
          <w:color w:val="000000" w:themeColor="text1"/>
          <w:sz w:val="24"/>
          <w:szCs w:val="24"/>
        </w:rPr>
        <w:t>clandestinus</w:t>
      </w:r>
      <w:proofErr w:type="spellEnd"/>
      <w:r w:rsidR="005D7BDD" w:rsidRPr="00631CF2">
        <w:rPr>
          <w:rFonts w:ascii="Times New Roman" w:eastAsia="Times New Roman" w:hAnsi="Times New Roman" w:cs="Times New Roman"/>
          <w:color w:val="000000" w:themeColor="text1"/>
          <w:sz w:val="24"/>
          <w:szCs w:val="24"/>
        </w:rPr>
        <w:t xml:space="preserve"> </w:t>
      </w:r>
      <w:proofErr w:type="spellStart"/>
      <w:r w:rsidR="005D7BDD" w:rsidRPr="00631CF2">
        <w:rPr>
          <w:rFonts w:ascii="Times New Roman" w:eastAsia="Times New Roman" w:hAnsi="Times New Roman" w:cs="Times New Roman"/>
          <w:color w:val="000000" w:themeColor="text1"/>
          <w:sz w:val="24"/>
          <w:szCs w:val="24"/>
        </w:rPr>
        <w:t>Hochst</w:t>
      </w:r>
      <w:proofErr w:type="spellEnd"/>
      <w:r w:rsidR="005D7BDD" w:rsidRPr="00631CF2">
        <w:rPr>
          <w:rFonts w:ascii="Times New Roman" w:eastAsia="Times New Roman" w:hAnsi="Times New Roman" w:cs="Times New Roman"/>
          <w:color w:val="000000" w:themeColor="text1"/>
          <w:sz w:val="24"/>
          <w:szCs w:val="24"/>
        </w:rPr>
        <w:t xml:space="preserve">. ex </w:t>
      </w:r>
      <w:proofErr w:type="spellStart"/>
      <w:r w:rsidR="005D7BDD" w:rsidRPr="00631CF2">
        <w:rPr>
          <w:rFonts w:ascii="Times New Roman" w:eastAsia="Times New Roman" w:hAnsi="Times New Roman" w:cs="Times New Roman"/>
          <w:color w:val="000000" w:themeColor="text1"/>
          <w:sz w:val="24"/>
          <w:szCs w:val="24"/>
        </w:rPr>
        <w:t>Chiov</w:t>
      </w:r>
      <w:proofErr w:type="spellEnd"/>
      <w:r w:rsidR="007852BC" w:rsidRPr="00631CF2">
        <w:rPr>
          <w:rFonts w:ascii="Times New Roman" w:eastAsia="Times New Roman" w:hAnsi="Times New Roman" w:cs="Times New Roman"/>
          <w:color w:val="000000" w:themeColor="text1"/>
          <w:sz w:val="24"/>
          <w:szCs w:val="24"/>
        </w:rPr>
        <w:t xml:space="preserve"> is a C</w:t>
      </w:r>
      <w:r w:rsidR="007852BC" w:rsidRPr="00631CF2">
        <w:rPr>
          <w:rFonts w:ascii="Times New Roman" w:eastAsia="Times New Roman" w:hAnsi="Times New Roman" w:cs="Times New Roman"/>
          <w:color w:val="000000" w:themeColor="text1"/>
          <w:sz w:val="24"/>
          <w:szCs w:val="24"/>
          <w:vertAlign w:val="subscript"/>
        </w:rPr>
        <w:t>4</w:t>
      </w:r>
      <w:r w:rsidR="007852BC" w:rsidRPr="00631CF2">
        <w:rPr>
          <w:rFonts w:ascii="Times New Roman" w:eastAsia="Times New Roman" w:hAnsi="Times New Roman" w:cs="Times New Roman"/>
          <w:color w:val="000000" w:themeColor="text1"/>
          <w:sz w:val="24"/>
          <w:szCs w:val="24"/>
        </w:rPr>
        <w:t xml:space="preserve"> perennial grass with functional traits </w:t>
      </w:r>
      <w:r w:rsidR="00FA0626" w:rsidRPr="00631CF2">
        <w:rPr>
          <w:rFonts w:ascii="Times New Roman" w:eastAsia="Times New Roman" w:hAnsi="Times New Roman" w:cs="Times New Roman"/>
          <w:color w:val="000000" w:themeColor="text1"/>
          <w:sz w:val="24"/>
          <w:szCs w:val="24"/>
        </w:rPr>
        <w:t>related</w:t>
      </w:r>
      <w:r w:rsidR="007852BC" w:rsidRPr="00631CF2">
        <w:rPr>
          <w:rFonts w:ascii="Times New Roman" w:eastAsia="Times New Roman" w:hAnsi="Times New Roman" w:cs="Times New Roman"/>
          <w:color w:val="000000" w:themeColor="text1"/>
          <w:sz w:val="24"/>
          <w:szCs w:val="24"/>
        </w:rPr>
        <w:t xml:space="preserve"> to resource-acquisitive plant</w:t>
      </w:r>
      <w:r w:rsidR="01072712" w:rsidRPr="00631CF2">
        <w:rPr>
          <w:rFonts w:ascii="Times New Roman" w:eastAsia="Times New Roman" w:hAnsi="Times New Roman" w:cs="Times New Roman"/>
          <w:color w:val="000000" w:themeColor="text1"/>
          <w:sz w:val="24"/>
          <w:szCs w:val="24"/>
        </w:rPr>
        <w:t>s</w:t>
      </w:r>
      <w:r w:rsidR="007852BC" w:rsidRPr="00631CF2">
        <w:rPr>
          <w:rFonts w:ascii="Times New Roman" w:eastAsia="Times New Roman" w:hAnsi="Times New Roman" w:cs="Times New Roman"/>
          <w:color w:val="000000" w:themeColor="text1"/>
          <w:sz w:val="24"/>
          <w:szCs w:val="24"/>
        </w:rPr>
        <w:t xml:space="preserve"> (</w:t>
      </w:r>
      <w:proofErr w:type="spellStart"/>
      <w:r w:rsidR="00CD021E" w:rsidRPr="00631CF2">
        <w:rPr>
          <w:rFonts w:ascii="Times New Roman" w:eastAsia="Times New Roman" w:hAnsi="Times New Roman" w:cs="Times New Roman"/>
          <w:color w:val="000000" w:themeColor="text1"/>
          <w:sz w:val="24"/>
          <w:szCs w:val="24"/>
        </w:rPr>
        <w:t>Barreta</w:t>
      </w:r>
      <w:proofErr w:type="spellEnd"/>
      <w:r w:rsidR="00CD021E" w:rsidRPr="00631CF2">
        <w:rPr>
          <w:rFonts w:ascii="Times New Roman" w:eastAsia="Times New Roman" w:hAnsi="Times New Roman" w:cs="Times New Roman"/>
          <w:color w:val="000000" w:themeColor="text1"/>
          <w:sz w:val="24"/>
          <w:szCs w:val="24"/>
        </w:rPr>
        <w:t xml:space="preserve"> </w:t>
      </w:r>
      <w:r w:rsidR="000C0E26" w:rsidRPr="00631CF2">
        <w:rPr>
          <w:rFonts w:ascii="Times New Roman" w:eastAsia="Times New Roman" w:hAnsi="Times New Roman" w:cs="Times New Roman"/>
          <w:i/>
          <w:iCs/>
          <w:color w:val="000000" w:themeColor="text1"/>
          <w:sz w:val="24"/>
          <w:szCs w:val="24"/>
        </w:rPr>
        <w:t>et al.,</w:t>
      </w:r>
      <w:r w:rsidR="00CD021E" w:rsidRPr="00631CF2">
        <w:rPr>
          <w:rFonts w:ascii="Times New Roman" w:eastAsia="Times New Roman" w:hAnsi="Times New Roman" w:cs="Times New Roman"/>
          <w:color w:val="000000" w:themeColor="text1"/>
          <w:sz w:val="24"/>
          <w:szCs w:val="24"/>
        </w:rPr>
        <w:t xml:space="preserve"> 2023). Moreover, they</w:t>
      </w:r>
      <w:r w:rsidR="005D7BDD" w:rsidRPr="00631CF2">
        <w:rPr>
          <w:rFonts w:ascii="Times New Roman" w:eastAsia="Times New Roman" w:hAnsi="Times New Roman" w:cs="Times New Roman"/>
          <w:color w:val="000000" w:themeColor="text1"/>
          <w:sz w:val="24"/>
          <w:szCs w:val="24"/>
        </w:rPr>
        <w:t xml:space="preserve"> could represent an effective </w:t>
      </w:r>
      <w:r w:rsidR="00CD021E" w:rsidRPr="00631CF2">
        <w:rPr>
          <w:rFonts w:ascii="Times New Roman" w:eastAsia="Times New Roman" w:hAnsi="Times New Roman" w:cs="Times New Roman"/>
          <w:color w:val="000000" w:themeColor="text1"/>
          <w:sz w:val="24"/>
          <w:szCs w:val="24"/>
        </w:rPr>
        <w:t>alternative for a binary pasture mixture in subtropical environments</w:t>
      </w:r>
      <w:r w:rsidR="005D7BDD" w:rsidRPr="00631CF2">
        <w:rPr>
          <w:rFonts w:ascii="Times New Roman" w:eastAsia="Times New Roman" w:hAnsi="Times New Roman" w:cs="Times New Roman"/>
          <w:color w:val="000000" w:themeColor="text1"/>
          <w:sz w:val="24"/>
          <w:szCs w:val="24"/>
        </w:rPr>
        <w:t xml:space="preserve"> due to their complementary growth patterns and distinct resource utilization strategies</w:t>
      </w:r>
      <w:r w:rsidR="00CD021E" w:rsidRPr="00631CF2">
        <w:rPr>
          <w:rFonts w:ascii="Times New Roman" w:eastAsia="Times New Roman" w:hAnsi="Times New Roman" w:cs="Times New Roman"/>
          <w:color w:val="000000" w:themeColor="text1"/>
          <w:sz w:val="24"/>
          <w:szCs w:val="24"/>
        </w:rPr>
        <w:t>, as they</w:t>
      </w:r>
      <w:r w:rsidR="005D7BDD" w:rsidRPr="00631CF2">
        <w:rPr>
          <w:rFonts w:ascii="Times New Roman" w:eastAsia="Times New Roman" w:hAnsi="Times New Roman" w:cs="Times New Roman"/>
          <w:color w:val="000000" w:themeColor="text1"/>
          <w:sz w:val="24"/>
          <w:szCs w:val="24"/>
        </w:rPr>
        <w:t xml:space="preserve"> exhibit asynchronous peaks of forage production throughout the year (</w:t>
      </w:r>
      <w:proofErr w:type="spellStart"/>
      <w:r w:rsidR="005D7BDD" w:rsidRPr="00631CF2">
        <w:rPr>
          <w:rFonts w:ascii="Times New Roman" w:eastAsia="Times New Roman" w:hAnsi="Times New Roman" w:cs="Times New Roman"/>
          <w:color w:val="000000" w:themeColor="text1"/>
          <w:sz w:val="24"/>
          <w:szCs w:val="24"/>
        </w:rPr>
        <w:t>Miqueloto</w:t>
      </w:r>
      <w:proofErr w:type="spellEnd"/>
      <w:r w:rsidR="005D7BDD" w:rsidRPr="00631CF2">
        <w:rPr>
          <w:rFonts w:ascii="Times New Roman" w:eastAsia="Times New Roman" w:hAnsi="Times New Roman" w:cs="Times New Roman"/>
          <w:color w:val="000000" w:themeColor="text1"/>
          <w:sz w:val="24"/>
          <w:szCs w:val="24"/>
        </w:rPr>
        <w:t xml:space="preserve"> </w:t>
      </w:r>
      <w:r w:rsidR="000C0E26" w:rsidRPr="00631CF2">
        <w:rPr>
          <w:rFonts w:ascii="Times New Roman" w:eastAsia="Times New Roman" w:hAnsi="Times New Roman" w:cs="Times New Roman"/>
          <w:i/>
          <w:iCs/>
          <w:color w:val="000000" w:themeColor="text1"/>
          <w:sz w:val="24"/>
          <w:szCs w:val="24"/>
        </w:rPr>
        <w:t>et al.,</w:t>
      </w:r>
      <w:r w:rsidR="005D7BDD" w:rsidRPr="00631CF2">
        <w:rPr>
          <w:rFonts w:ascii="Times New Roman" w:eastAsia="Times New Roman" w:hAnsi="Times New Roman" w:cs="Times New Roman"/>
          <w:color w:val="000000" w:themeColor="text1"/>
          <w:sz w:val="24"/>
          <w:szCs w:val="24"/>
        </w:rPr>
        <w:t xml:space="preserve"> 2020</w:t>
      </w:r>
      <w:r w:rsidR="007D1E8A" w:rsidRPr="00631CF2">
        <w:rPr>
          <w:rFonts w:ascii="Times New Roman" w:eastAsia="Times New Roman" w:hAnsi="Times New Roman" w:cs="Times New Roman"/>
          <w:color w:val="000000" w:themeColor="text1"/>
          <w:sz w:val="24"/>
          <w:szCs w:val="24"/>
        </w:rPr>
        <w:t xml:space="preserve"> a, </w:t>
      </w:r>
      <w:r w:rsidR="005D7BDD" w:rsidRPr="00631CF2">
        <w:rPr>
          <w:rFonts w:ascii="Times New Roman" w:eastAsia="Times New Roman" w:hAnsi="Times New Roman" w:cs="Times New Roman"/>
          <w:i/>
          <w:iCs/>
          <w:color w:val="000000" w:themeColor="text1"/>
          <w:sz w:val="24"/>
          <w:szCs w:val="24"/>
        </w:rPr>
        <w:t>b</w:t>
      </w:r>
      <w:r w:rsidR="005D7BDD" w:rsidRPr="00631CF2">
        <w:rPr>
          <w:rFonts w:ascii="Times New Roman" w:eastAsia="Times New Roman" w:hAnsi="Times New Roman" w:cs="Times New Roman"/>
          <w:color w:val="000000" w:themeColor="text1"/>
          <w:sz w:val="24"/>
          <w:szCs w:val="24"/>
        </w:rPr>
        <w:t xml:space="preserve">; Bernardon </w:t>
      </w:r>
      <w:r w:rsidR="000C0E26" w:rsidRPr="00631CF2">
        <w:rPr>
          <w:rFonts w:ascii="Times New Roman" w:eastAsia="Times New Roman" w:hAnsi="Times New Roman" w:cs="Times New Roman"/>
          <w:i/>
          <w:iCs/>
          <w:color w:val="000000" w:themeColor="text1"/>
          <w:sz w:val="24"/>
          <w:szCs w:val="24"/>
        </w:rPr>
        <w:t>et al.,</w:t>
      </w:r>
      <w:r w:rsidR="005D7BDD" w:rsidRPr="00631CF2">
        <w:rPr>
          <w:rFonts w:ascii="Times New Roman" w:eastAsia="Times New Roman" w:hAnsi="Times New Roman" w:cs="Times New Roman"/>
          <w:color w:val="000000" w:themeColor="text1"/>
          <w:sz w:val="24"/>
          <w:szCs w:val="24"/>
        </w:rPr>
        <w:t xml:space="preserve"> 2021), with </w:t>
      </w:r>
      <w:r w:rsidRPr="00631CF2">
        <w:rPr>
          <w:rFonts w:ascii="Times New Roman" w:eastAsia="Times New Roman" w:hAnsi="Times New Roman" w:cs="Times New Roman"/>
          <w:i/>
          <w:iCs/>
          <w:color w:val="000000" w:themeColor="text1"/>
          <w:sz w:val="24"/>
          <w:szCs w:val="24"/>
        </w:rPr>
        <w:t xml:space="preserve">L. </w:t>
      </w:r>
      <w:proofErr w:type="spellStart"/>
      <w:r w:rsidRPr="00631CF2">
        <w:rPr>
          <w:rFonts w:ascii="Times New Roman" w:eastAsia="Times New Roman" w:hAnsi="Times New Roman" w:cs="Times New Roman"/>
          <w:i/>
          <w:iCs/>
          <w:color w:val="000000" w:themeColor="text1"/>
          <w:sz w:val="24"/>
          <w:szCs w:val="24"/>
        </w:rPr>
        <w:t>arundinaceum</w:t>
      </w:r>
      <w:proofErr w:type="spellEnd"/>
      <w:r w:rsidR="0067360C" w:rsidRPr="00631CF2">
        <w:rPr>
          <w:rFonts w:ascii="Times New Roman" w:eastAsia="Times New Roman" w:hAnsi="Times New Roman" w:cs="Times New Roman"/>
          <w:i/>
          <w:iCs/>
          <w:color w:val="000000" w:themeColor="text1"/>
          <w:sz w:val="24"/>
          <w:szCs w:val="24"/>
        </w:rPr>
        <w:t xml:space="preserve"> </w:t>
      </w:r>
      <w:r w:rsidR="005D7BDD" w:rsidRPr="00631CF2">
        <w:rPr>
          <w:rFonts w:ascii="Times New Roman" w:eastAsia="Times New Roman" w:hAnsi="Times New Roman" w:cs="Times New Roman"/>
          <w:color w:val="000000" w:themeColor="text1"/>
          <w:sz w:val="24"/>
          <w:szCs w:val="24"/>
        </w:rPr>
        <w:t xml:space="preserve">dominating during cooler seasons and </w:t>
      </w:r>
      <w:r w:rsidR="00445ACC" w:rsidRPr="00631CF2">
        <w:rPr>
          <w:rFonts w:ascii="Times New Roman" w:eastAsia="Times New Roman" w:hAnsi="Times New Roman" w:cs="Times New Roman"/>
          <w:i/>
          <w:iCs/>
          <w:color w:val="000000" w:themeColor="text1"/>
          <w:sz w:val="24"/>
          <w:szCs w:val="24"/>
        </w:rPr>
        <w:t>C</w:t>
      </w:r>
      <w:r w:rsidR="00BA4E17" w:rsidRPr="00631CF2">
        <w:rPr>
          <w:rFonts w:ascii="Times New Roman" w:hAnsi="Times New Roman" w:cs="Times New Roman"/>
          <w:i/>
          <w:iCs/>
          <w:color w:val="202020"/>
          <w:sz w:val="24"/>
          <w:szCs w:val="24"/>
          <w:shd w:val="clear" w:color="auto" w:fill="FFFFFF"/>
        </w:rPr>
        <w:t xml:space="preserve">. </w:t>
      </w:r>
      <w:proofErr w:type="spellStart"/>
      <w:r w:rsidR="00BA4E17" w:rsidRPr="00631CF2">
        <w:rPr>
          <w:rFonts w:ascii="Times New Roman" w:hAnsi="Times New Roman" w:cs="Times New Roman"/>
          <w:i/>
          <w:iCs/>
          <w:color w:val="202020"/>
          <w:sz w:val="24"/>
          <w:szCs w:val="24"/>
          <w:shd w:val="clear" w:color="auto" w:fill="FFFFFF"/>
        </w:rPr>
        <w:t>clandestinus</w:t>
      </w:r>
      <w:proofErr w:type="spellEnd"/>
      <w:r w:rsidR="00BA4E17" w:rsidRPr="00631CF2" w:rsidDel="00BA4E17">
        <w:rPr>
          <w:rFonts w:ascii="Times New Roman" w:eastAsia="Times New Roman" w:hAnsi="Times New Roman" w:cs="Times New Roman"/>
          <w:color w:val="000000" w:themeColor="text1"/>
          <w:sz w:val="24"/>
          <w:szCs w:val="24"/>
        </w:rPr>
        <w:t xml:space="preserve"> </w:t>
      </w:r>
      <w:r w:rsidR="005D7BDD" w:rsidRPr="00631CF2">
        <w:rPr>
          <w:rFonts w:ascii="Times New Roman" w:eastAsia="Times New Roman" w:hAnsi="Times New Roman" w:cs="Times New Roman"/>
          <w:color w:val="000000" w:themeColor="text1"/>
          <w:sz w:val="24"/>
          <w:szCs w:val="24"/>
        </w:rPr>
        <w:t xml:space="preserve">during warmer periods. </w:t>
      </w:r>
      <w:r w:rsidR="00CD021E" w:rsidRPr="00631CF2">
        <w:rPr>
          <w:rFonts w:ascii="Times New Roman" w:eastAsia="Times New Roman" w:hAnsi="Times New Roman" w:cs="Times New Roman"/>
          <w:color w:val="000000" w:themeColor="text1"/>
          <w:sz w:val="24"/>
          <w:szCs w:val="24"/>
        </w:rPr>
        <w:t xml:space="preserve">However, </w:t>
      </w:r>
      <w:r w:rsidR="00BF6049" w:rsidRPr="00631CF2">
        <w:rPr>
          <w:rFonts w:ascii="Times New Roman" w:eastAsia="Times New Roman" w:hAnsi="Times New Roman" w:cs="Times New Roman"/>
          <w:color w:val="000000" w:themeColor="text1"/>
          <w:sz w:val="24"/>
          <w:szCs w:val="24"/>
        </w:rPr>
        <w:t xml:space="preserve">in </w:t>
      </w:r>
      <w:r w:rsidR="009649EC" w:rsidRPr="00631CF2">
        <w:rPr>
          <w:rFonts w:ascii="Times New Roman" w:eastAsia="Times New Roman" w:hAnsi="Times New Roman" w:cs="Times New Roman"/>
          <w:color w:val="000000" w:themeColor="text1"/>
          <w:sz w:val="24"/>
          <w:szCs w:val="24"/>
        </w:rPr>
        <w:t>this</w:t>
      </w:r>
      <w:r w:rsidR="00807478" w:rsidRPr="00631CF2">
        <w:rPr>
          <w:rFonts w:ascii="Times New Roman" w:eastAsia="Times New Roman" w:hAnsi="Times New Roman" w:cs="Times New Roman"/>
          <w:color w:val="000000" w:themeColor="text1"/>
          <w:sz w:val="24"/>
          <w:szCs w:val="24"/>
        </w:rPr>
        <w:t xml:space="preserve"> mixture </w:t>
      </w:r>
      <w:r w:rsidR="00422D26" w:rsidRPr="00631CF2">
        <w:rPr>
          <w:rFonts w:ascii="Times New Roman" w:eastAsia="Times New Roman" w:hAnsi="Times New Roman" w:cs="Times New Roman"/>
          <w:color w:val="000000" w:themeColor="text1"/>
          <w:sz w:val="24"/>
          <w:szCs w:val="24"/>
        </w:rPr>
        <w:t>sward</w:t>
      </w:r>
      <w:r w:rsidR="00CD021E" w:rsidRPr="00631CF2">
        <w:rPr>
          <w:rFonts w:ascii="Times New Roman" w:eastAsia="Times New Roman" w:hAnsi="Times New Roman" w:cs="Times New Roman"/>
          <w:color w:val="000000" w:themeColor="text1"/>
          <w:sz w:val="24"/>
          <w:szCs w:val="24"/>
        </w:rPr>
        <w:t>, u</w:t>
      </w:r>
      <w:r w:rsidR="005D7BDD" w:rsidRPr="00631CF2">
        <w:rPr>
          <w:rFonts w:ascii="Times New Roman" w:eastAsia="Times New Roman" w:hAnsi="Times New Roman" w:cs="Times New Roman"/>
          <w:color w:val="000000" w:themeColor="text1"/>
          <w:sz w:val="24"/>
          <w:szCs w:val="24"/>
        </w:rPr>
        <w:t xml:space="preserve">nder continuous </w:t>
      </w:r>
      <w:r w:rsidR="00CD021E" w:rsidRPr="00631CF2">
        <w:rPr>
          <w:rFonts w:ascii="Times New Roman" w:eastAsia="Times New Roman" w:hAnsi="Times New Roman" w:cs="Times New Roman"/>
          <w:color w:val="000000" w:themeColor="text1"/>
          <w:sz w:val="24"/>
          <w:szCs w:val="24"/>
        </w:rPr>
        <w:t>stocking</w:t>
      </w:r>
      <w:r w:rsidR="00A95BFB" w:rsidRPr="00631CF2">
        <w:rPr>
          <w:rFonts w:ascii="Times New Roman" w:eastAsia="Times New Roman" w:hAnsi="Times New Roman" w:cs="Times New Roman"/>
          <w:color w:val="000000" w:themeColor="text1"/>
          <w:sz w:val="24"/>
          <w:szCs w:val="24"/>
        </w:rPr>
        <w:t>,</w:t>
      </w:r>
      <w:r w:rsidR="00CD021E" w:rsidRPr="00631CF2">
        <w:rPr>
          <w:rFonts w:ascii="Times New Roman" w:eastAsia="Times New Roman" w:hAnsi="Times New Roman" w:cs="Times New Roman"/>
          <w:color w:val="000000" w:themeColor="text1"/>
          <w:sz w:val="24"/>
          <w:szCs w:val="24"/>
        </w:rPr>
        <w:t xml:space="preserve"> with no nitrogen input during summer, </w:t>
      </w:r>
      <w:r w:rsidR="00771AF2" w:rsidRPr="00631CF2">
        <w:rPr>
          <w:rFonts w:ascii="Times New Roman" w:eastAsia="Times New Roman" w:hAnsi="Times New Roman" w:cs="Times New Roman"/>
          <w:color w:val="000000" w:themeColor="text1"/>
          <w:sz w:val="24"/>
          <w:szCs w:val="24"/>
        </w:rPr>
        <w:t xml:space="preserve">the </w:t>
      </w:r>
      <w:r w:rsidR="00CD021E" w:rsidRPr="00631CF2">
        <w:rPr>
          <w:rFonts w:ascii="Times New Roman" w:eastAsia="Times New Roman" w:hAnsi="Times New Roman" w:cs="Times New Roman"/>
          <w:color w:val="000000" w:themeColor="text1"/>
          <w:sz w:val="24"/>
          <w:szCs w:val="24"/>
        </w:rPr>
        <w:t xml:space="preserve">species composition </w:t>
      </w:r>
      <w:r w:rsidR="00771AF2" w:rsidRPr="00631CF2">
        <w:rPr>
          <w:rFonts w:ascii="Times New Roman" w:eastAsia="Times New Roman" w:hAnsi="Times New Roman" w:cs="Times New Roman"/>
          <w:color w:val="000000" w:themeColor="text1"/>
          <w:sz w:val="24"/>
          <w:szCs w:val="24"/>
        </w:rPr>
        <w:t>was modified</w:t>
      </w:r>
      <w:r w:rsidR="00481364" w:rsidRPr="00631CF2">
        <w:rPr>
          <w:rFonts w:ascii="Times New Roman" w:eastAsia="Times New Roman" w:hAnsi="Times New Roman" w:cs="Times New Roman"/>
          <w:color w:val="000000" w:themeColor="text1"/>
          <w:sz w:val="24"/>
          <w:szCs w:val="24"/>
        </w:rPr>
        <w:t xml:space="preserve"> under lenient grazing (around 17 cm)</w:t>
      </w:r>
      <w:r w:rsidR="00771AF2" w:rsidRPr="00631CF2">
        <w:rPr>
          <w:rFonts w:ascii="Times New Roman" w:eastAsia="Times New Roman" w:hAnsi="Times New Roman" w:cs="Times New Roman"/>
          <w:color w:val="000000" w:themeColor="text1"/>
          <w:sz w:val="24"/>
          <w:szCs w:val="24"/>
        </w:rPr>
        <w:t xml:space="preserve">, </w:t>
      </w:r>
      <w:r w:rsidR="00917EDC" w:rsidRPr="00631CF2">
        <w:rPr>
          <w:rFonts w:ascii="Times New Roman" w:eastAsia="Times New Roman" w:hAnsi="Times New Roman" w:cs="Times New Roman"/>
          <w:color w:val="000000" w:themeColor="text1"/>
          <w:sz w:val="24"/>
          <w:szCs w:val="24"/>
        </w:rPr>
        <w:t>with</w:t>
      </w:r>
      <w:r w:rsidR="00CD021E" w:rsidRPr="00631CF2">
        <w:rPr>
          <w:rFonts w:ascii="Times New Roman" w:eastAsia="Times New Roman" w:hAnsi="Times New Roman" w:cs="Times New Roman"/>
          <w:color w:val="000000" w:themeColor="text1"/>
          <w:sz w:val="24"/>
          <w:szCs w:val="24"/>
        </w:rPr>
        <w:t xml:space="preserve"> </w:t>
      </w:r>
      <w:r w:rsidR="00C56D01" w:rsidRPr="00631CF2">
        <w:rPr>
          <w:rFonts w:ascii="Times New Roman" w:eastAsia="Times New Roman" w:hAnsi="Times New Roman" w:cs="Times New Roman"/>
          <w:i/>
          <w:iCs/>
          <w:color w:val="000000" w:themeColor="text1"/>
          <w:sz w:val="24"/>
          <w:szCs w:val="24"/>
        </w:rPr>
        <w:t xml:space="preserve">L. </w:t>
      </w:r>
      <w:proofErr w:type="spellStart"/>
      <w:r w:rsidR="00C56D01" w:rsidRPr="00631CF2">
        <w:rPr>
          <w:rFonts w:ascii="Times New Roman" w:eastAsia="Times New Roman" w:hAnsi="Times New Roman" w:cs="Times New Roman"/>
          <w:i/>
          <w:iCs/>
          <w:color w:val="000000" w:themeColor="text1"/>
          <w:sz w:val="24"/>
          <w:szCs w:val="24"/>
        </w:rPr>
        <w:t>arundinaceum</w:t>
      </w:r>
      <w:proofErr w:type="spellEnd"/>
      <w:r w:rsidR="00C56D01" w:rsidRPr="00631CF2" w:rsidDel="00C56D01">
        <w:rPr>
          <w:rFonts w:ascii="Times New Roman" w:eastAsia="Times New Roman" w:hAnsi="Times New Roman" w:cs="Times New Roman"/>
          <w:color w:val="000000" w:themeColor="text1"/>
          <w:sz w:val="24"/>
          <w:szCs w:val="24"/>
        </w:rPr>
        <w:t xml:space="preserve"> </w:t>
      </w:r>
      <w:r w:rsidR="00917EDC" w:rsidRPr="00631CF2">
        <w:rPr>
          <w:rFonts w:ascii="Times New Roman" w:eastAsia="Times New Roman" w:hAnsi="Times New Roman" w:cs="Times New Roman"/>
          <w:color w:val="000000" w:themeColor="text1"/>
          <w:sz w:val="24"/>
          <w:szCs w:val="24"/>
        </w:rPr>
        <w:t>predominating in the sward after 2-years of the experiment, even during summer.</w:t>
      </w:r>
    </w:p>
    <w:p w14:paraId="10287E52" w14:textId="4672F252" w:rsidR="00FB6CB4" w:rsidRPr="00631CF2" w:rsidRDefault="00276C73" w:rsidP="007F0193">
      <w:pPr>
        <w:widowControl w:val="0"/>
        <w:spacing w:after="0" w:line="480" w:lineRule="auto"/>
        <w:ind w:firstLine="426"/>
        <w:jc w:val="both"/>
        <w:rPr>
          <w:rFonts w:ascii="Times New Roman" w:hAnsi="Times New Roman" w:cs="Times New Roman"/>
          <w:sz w:val="24"/>
          <w:szCs w:val="24"/>
        </w:rPr>
      </w:pPr>
      <w:r w:rsidRPr="00631CF2">
        <w:rPr>
          <w:rFonts w:ascii="Times New Roman" w:eastAsia="Times New Roman" w:hAnsi="Times New Roman" w:cs="Times New Roman"/>
          <w:color w:val="000000" w:themeColor="text1"/>
          <w:sz w:val="24"/>
          <w:szCs w:val="24"/>
        </w:rPr>
        <w:t xml:space="preserve">Building on this background, </w:t>
      </w:r>
      <w:r w:rsidR="00917EDC" w:rsidRPr="00631CF2">
        <w:rPr>
          <w:rFonts w:ascii="Times New Roman" w:eastAsia="Times New Roman" w:hAnsi="Times New Roman" w:cs="Times New Roman"/>
          <w:color w:val="000000" w:themeColor="text1"/>
          <w:sz w:val="24"/>
          <w:szCs w:val="24"/>
        </w:rPr>
        <w:t>our objective w</w:t>
      </w:r>
      <w:r w:rsidR="00ED2761" w:rsidRPr="00631CF2">
        <w:rPr>
          <w:rFonts w:ascii="Times New Roman" w:eastAsia="Times New Roman" w:hAnsi="Times New Roman" w:cs="Times New Roman"/>
          <w:color w:val="000000" w:themeColor="text1"/>
          <w:sz w:val="24"/>
          <w:szCs w:val="24"/>
        </w:rPr>
        <w:t>as</w:t>
      </w:r>
      <w:r w:rsidR="00917EDC" w:rsidRPr="00631CF2">
        <w:rPr>
          <w:rFonts w:ascii="Times New Roman" w:eastAsia="Times New Roman" w:hAnsi="Times New Roman" w:cs="Times New Roman"/>
          <w:color w:val="000000" w:themeColor="text1"/>
          <w:sz w:val="24"/>
          <w:szCs w:val="24"/>
        </w:rPr>
        <w:t xml:space="preserve"> to identify whether different pre-grazing heights (15 cm and 20 cm) nitrogen fertilized year-round, associated or not with strategic severe spring defoliation</w:t>
      </w:r>
      <w:r w:rsidR="003835A2" w:rsidRPr="00631CF2">
        <w:rPr>
          <w:rFonts w:ascii="Times New Roman" w:eastAsia="Times New Roman" w:hAnsi="Times New Roman" w:cs="Times New Roman"/>
          <w:color w:val="000000" w:themeColor="text1"/>
          <w:sz w:val="24"/>
          <w:szCs w:val="24"/>
        </w:rPr>
        <w:t xml:space="preserve"> (aimed to reduce </w:t>
      </w:r>
      <w:r w:rsidR="00C56D01" w:rsidRPr="00631CF2">
        <w:rPr>
          <w:rFonts w:ascii="Times New Roman" w:eastAsia="Times New Roman" w:hAnsi="Times New Roman" w:cs="Times New Roman"/>
          <w:i/>
          <w:iCs/>
          <w:color w:val="000000" w:themeColor="text1"/>
          <w:sz w:val="24"/>
          <w:szCs w:val="24"/>
        </w:rPr>
        <w:t xml:space="preserve">L. </w:t>
      </w:r>
      <w:proofErr w:type="spellStart"/>
      <w:r w:rsidR="00C56D01" w:rsidRPr="00631CF2">
        <w:rPr>
          <w:rFonts w:ascii="Times New Roman" w:eastAsia="Times New Roman" w:hAnsi="Times New Roman" w:cs="Times New Roman"/>
          <w:i/>
          <w:iCs/>
          <w:color w:val="000000" w:themeColor="text1"/>
          <w:sz w:val="24"/>
          <w:szCs w:val="24"/>
        </w:rPr>
        <w:t>arundinaceum</w:t>
      </w:r>
      <w:proofErr w:type="spellEnd"/>
      <w:r w:rsidR="00C56D01" w:rsidRPr="00631CF2">
        <w:rPr>
          <w:rFonts w:ascii="Times New Roman" w:eastAsia="Times New Roman" w:hAnsi="Times New Roman" w:cs="Times New Roman"/>
          <w:color w:val="000000" w:themeColor="text1"/>
          <w:sz w:val="24"/>
          <w:szCs w:val="24"/>
        </w:rPr>
        <w:t xml:space="preserve"> </w:t>
      </w:r>
      <w:r w:rsidR="003835A2" w:rsidRPr="00631CF2">
        <w:rPr>
          <w:rFonts w:ascii="Times New Roman" w:eastAsia="Times New Roman" w:hAnsi="Times New Roman" w:cs="Times New Roman"/>
          <w:color w:val="000000" w:themeColor="text1"/>
          <w:sz w:val="24"/>
          <w:szCs w:val="24"/>
        </w:rPr>
        <w:t>competition with</w:t>
      </w:r>
      <w:r w:rsidR="00BA4E17" w:rsidRPr="00631CF2">
        <w:rPr>
          <w:rFonts w:ascii="Times New Roman" w:hAnsi="Times New Roman" w:cs="Times New Roman"/>
          <w:i/>
          <w:iCs/>
          <w:color w:val="202020"/>
          <w:sz w:val="24"/>
          <w:szCs w:val="24"/>
          <w:shd w:val="clear" w:color="auto" w:fill="FFFFFF"/>
        </w:rPr>
        <w:t xml:space="preserve"> </w:t>
      </w:r>
      <w:r w:rsidR="00445ACC" w:rsidRPr="00631CF2">
        <w:rPr>
          <w:rFonts w:ascii="Times New Roman" w:hAnsi="Times New Roman" w:cs="Times New Roman"/>
          <w:i/>
          <w:iCs/>
          <w:color w:val="202020"/>
          <w:sz w:val="24"/>
          <w:szCs w:val="24"/>
          <w:shd w:val="clear" w:color="auto" w:fill="FFFFFF"/>
        </w:rPr>
        <w:t>C</w:t>
      </w:r>
      <w:r w:rsidR="00BA4E17" w:rsidRPr="00631CF2">
        <w:rPr>
          <w:rFonts w:ascii="Times New Roman" w:hAnsi="Times New Roman" w:cs="Times New Roman"/>
          <w:i/>
          <w:iCs/>
          <w:color w:val="202020"/>
          <w:sz w:val="24"/>
          <w:szCs w:val="24"/>
          <w:shd w:val="clear" w:color="auto" w:fill="FFFFFF"/>
        </w:rPr>
        <w:t xml:space="preserve">. </w:t>
      </w:r>
      <w:proofErr w:type="spellStart"/>
      <w:r w:rsidR="00BA4E17" w:rsidRPr="00631CF2">
        <w:rPr>
          <w:rFonts w:ascii="Times New Roman" w:hAnsi="Times New Roman" w:cs="Times New Roman"/>
          <w:i/>
          <w:iCs/>
          <w:color w:val="202020"/>
          <w:sz w:val="24"/>
          <w:szCs w:val="24"/>
          <w:shd w:val="clear" w:color="auto" w:fill="FFFFFF"/>
        </w:rPr>
        <w:t>clandestinus</w:t>
      </w:r>
      <w:proofErr w:type="spellEnd"/>
      <w:r w:rsidR="00BA4E17" w:rsidRPr="00631CF2" w:rsidDel="00BA4E17">
        <w:rPr>
          <w:rFonts w:ascii="Times New Roman" w:eastAsia="Times New Roman" w:hAnsi="Times New Roman" w:cs="Times New Roman"/>
          <w:color w:val="000000" w:themeColor="text1"/>
          <w:sz w:val="24"/>
          <w:szCs w:val="24"/>
        </w:rPr>
        <w:t xml:space="preserve"> </w:t>
      </w:r>
      <w:r w:rsidR="003835A2" w:rsidRPr="00631CF2">
        <w:rPr>
          <w:rFonts w:ascii="Times New Roman" w:eastAsia="Times New Roman" w:hAnsi="Times New Roman" w:cs="Times New Roman"/>
          <w:color w:val="000000" w:themeColor="text1"/>
          <w:sz w:val="24"/>
          <w:szCs w:val="24"/>
        </w:rPr>
        <w:t>during summer)</w:t>
      </w:r>
      <w:r w:rsidR="00917EDC" w:rsidRPr="00631CF2">
        <w:rPr>
          <w:rFonts w:ascii="Times New Roman" w:eastAsia="Times New Roman" w:hAnsi="Times New Roman" w:cs="Times New Roman"/>
          <w:color w:val="000000" w:themeColor="text1"/>
          <w:sz w:val="24"/>
          <w:szCs w:val="24"/>
        </w:rPr>
        <w:t>, could maintain both demographic stability in a mixed pasture composed of two dominant perennial grasses (</w:t>
      </w:r>
      <w:r w:rsidR="00524619" w:rsidRPr="00631CF2">
        <w:rPr>
          <w:rFonts w:ascii="Times New Roman" w:eastAsia="Times New Roman" w:hAnsi="Times New Roman" w:cs="Times New Roman"/>
          <w:i/>
          <w:iCs/>
          <w:color w:val="000000" w:themeColor="text1"/>
          <w:sz w:val="24"/>
          <w:szCs w:val="24"/>
        </w:rPr>
        <w:t>Lolium</w:t>
      </w:r>
      <w:r w:rsidR="00917EDC" w:rsidRPr="00631CF2">
        <w:rPr>
          <w:rFonts w:ascii="Times New Roman" w:eastAsia="Times New Roman" w:hAnsi="Times New Roman" w:cs="Times New Roman"/>
          <w:i/>
          <w:iCs/>
          <w:color w:val="000000" w:themeColor="text1"/>
          <w:sz w:val="24"/>
          <w:szCs w:val="24"/>
        </w:rPr>
        <w:t xml:space="preserve"> </w:t>
      </w:r>
      <w:proofErr w:type="spellStart"/>
      <w:r w:rsidR="00917EDC" w:rsidRPr="00631CF2">
        <w:rPr>
          <w:rFonts w:ascii="Times New Roman" w:eastAsia="Times New Roman" w:hAnsi="Times New Roman" w:cs="Times New Roman"/>
          <w:i/>
          <w:iCs/>
          <w:color w:val="000000" w:themeColor="text1"/>
          <w:sz w:val="24"/>
          <w:szCs w:val="24"/>
        </w:rPr>
        <w:t>arundinaceum</w:t>
      </w:r>
      <w:proofErr w:type="spellEnd"/>
      <w:r w:rsidR="00917EDC" w:rsidRPr="00631CF2">
        <w:rPr>
          <w:rFonts w:ascii="Times New Roman" w:eastAsia="Times New Roman" w:hAnsi="Times New Roman" w:cs="Times New Roman"/>
          <w:color w:val="000000" w:themeColor="text1"/>
          <w:sz w:val="24"/>
          <w:szCs w:val="24"/>
        </w:rPr>
        <w:t xml:space="preserve"> and </w:t>
      </w:r>
      <w:r w:rsidR="00445ACC" w:rsidRPr="00631CF2">
        <w:rPr>
          <w:rFonts w:ascii="Times New Roman" w:eastAsia="Times New Roman" w:hAnsi="Times New Roman" w:cs="Times New Roman"/>
          <w:i/>
          <w:iCs/>
          <w:color w:val="000000" w:themeColor="text1"/>
          <w:sz w:val="24"/>
          <w:szCs w:val="24"/>
        </w:rPr>
        <w:t>C</w:t>
      </w:r>
      <w:r w:rsidR="00F43CA2" w:rsidRPr="00631CF2">
        <w:rPr>
          <w:rFonts w:ascii="Times New Roman" w:eastAsia="Times New Roman" w:hAnsi="Times New Roman" w:cs="Times New Roman"/>
          <w:i/>
          <w:iCs/>
          <w:color w:val="000000" w:themeColor="text1"/>
          <w:sz w:val="24"/>
          <w:szCs w:val="24"/>
        </w:rPr>
        <w:t>.</w:t>
      </w:r>
      <w:r w:rsidR="00917EDC" w:rsidRPr="00631CF2">
        <w:rPr>
          <w:rFonts w:ascii="Times New Roman" w:eastAsia="Times New Roman" w:hAnsi="Times New Roman" w:cs="Times New Roman"/>
          <w:i/>
          <w:iCs/>
          <w:color w:val="000000" w:themeColor="text1"/>
          <w:sz w:val="24"/>
          <w:szCs w:val="24"/>
        </w:rPr>
        <w:t xml:space="preserve"> </w:t>
      </w:r>
      <w:proofErr w:type="spellStart"/>
      <w:r w:rsidR="00917EDC" w:rsidRPr="00631CF2">
        <w:rPr>
          <w:rFonts w:ascii="Times New Roman" w:eastAsia="Times New Roman" w:hAnsi="Times New Roman" w:cs="Times New Roman"/>
          <w:i/>
          <w:iCs/>
          <w:color w:val="000000" w:themeColor="text1"/>
          <w:sz w:val="24"/>
          <w:szCs w:val="24"/>
        </w:rPr>
        <w:t>clandestinus</w:t>
      </w:r>
      <w:proofErr w:type="spellEnd"/>
      <w:r w:rsidR="00917EDC" w:rsidRPr="00631CF2">
        <w:rPr>
          <w:rFonts w:ascii="Times New Roman" w:eastAsia="Times New Roman" w:hAnsi="Times New Roman" w:cs="Times New Roman"/>
          <w:color w:val="000000" w:themeColor="text1"/>
          <w:sz w:val="24"/>
          <w:szCs w:val="24"/>
        </w:rPr>
        <w:t>) under rotational grazing</w:t>
      </w:r>
      <w:r w:rsidR="00ED2761" w:rsidRPr="00631CF2">
        <w:rPr>
          <w:rFonts w:ascii="Times New Roman" w:eastAsia="Times New Roman" w:hAnsi="Times New Roman" w:cs="Times New Roman"/>
          <w:color w:val="000000" w:themeColor="text1"/>
          <w:sz w:val="24"/>
          <w:szCs w:val="24"/>
        </w:rPr>
        <w:t>. Additionally</w:t>
      </w:r>
      <w:r w:rsidR="00B5537C" w:rsidRPr="00631CF2">
        <w:rPr>
          <w:rFonts w:ascii="Times New Roman" w:eastAsia="Times New Roman" w:hAnsi="Times New Roman" w:cs="Times New Roman"/>
          <w:color w:val="000000" w:themeColor="text1"/>
          <w:sz w:val="24"/>
          <w:szCs w:val="24"/>
        </w:rPr>
        <w:t>,</w:t>
      </w:r>
      <w:r w:rsidR="00CC4556" w:rsidRPr="00631CF2">
        <w:rPr>
          <w:rFonts w:ascii="Times New Roman" w:eastAsia="Times New Roman" w:hAnsi="Times New Roman" w:cs="Times New Roman"/>
          <w:color w:val="000000" w:themeColor="text1"/>
          <w:sz w:val="24"/>
          <w:szCs w:val="24"/>
        </w:rPr>
        <w:t xml:space="preserve"> </w:t>
      </w:r>
      <w:r w:rsidR="6CECE8AD" w:rsidRPr="00631CF2">
        <w:rPr>
          <w:rFonts w:ascii="Times New Roman" w:eastAsia="Times New Roman" w:hAnsi="Times New Roman" w:cs="Times New Roman"/>
          <w:color w:val="000000" w:themeColor="text1"/>
          <w:sz w:val="24"/>
          <w:szCs w:val="24"/>
        </w:rPr>
        <w:t xml:space="preserve">to </w:t>
      </w:r>
      <w:r w:rsidR="00CC4556" w:rsidRPr="00631CF2">
        <w:rPr>
          <w:rFonts w:ascii="Times New Roman" w:hAnsi="Times New Roman" w:cs="Times New Roman"/>
          <w:color w:val="000000" w:themeColor="text1"/>
          <w:sz w:val="24"/>
          <w:szCs w:val="24"/>
        </w:rPr>
        <w:t xml:space="preserve">explore the </w:t>
      </w:r>
      <w:r w:rsidR="00CC4556" w:rsidRPr="00631CF2">
        <w:rPr>
          <w:rFonts w:ascii="Times New Roman" w:eastAsia="Times New Roman" w:hAnsi="Times New Roman" w:cs="Times New Roman"/>
          <w:color w:val="000000" w:themeColor="text1"/>
          <w:sz w:val="24"/>
          <w:szCs w:val="24"/>
        </w:rPr>
        <w:t>traditional demographic analysis with the application of the self-thinning law</w:t>
      </w:r>
      <w:r w:rsidR="00917EDC" w:rsidRPr="00631CF2">
        <w:rPr>
          <w:rFonts w:ascii="Times New Roman" w:eastAsia="Times New Roman" w:hAnsi="Times New Roman" w:cs="Times New Roman"/>
          <w:color w:val="000000" w:themeColor="text1"/>
          <w:sz w:val="24"/>
          <w:szCs w:val="24"/>
        </w:rPr>
        <w:t xml:space="preserve">. </w:t>
      </w:r>
    </w:p>
    <w:p w14:paraId="426CDFF4" w14:textId="53198B02" w:rsidR="00773033" w:rsidRPr="00631CF2" w:rsidRDefault="00917EDC" w:rsidP="007F0193">
      <w:pPr>
        <w:widowControl w:val="0"/>
        <w:spacing w:after="0" w:line="480" w:lineRule="auto"/>
        <w:ind w:firstLine="426"/>
        <w:jc w:val="both"/>
        <w:rPr>
          <w:rFonts w:ascii="Times New Roman" w:hAnsi="Times New Roman" w:cs="Times New Roman"/>
          <w:sz w:val="24"/>
          <w:szCs w:val="24"/>
        </w:rPr>
      </w:pPr>
      <w:r w:rsidRPr="00631CF2">
        <w:rPr>
          <w:rFonts w:ascii="Times New Roman" w:eastAsia="Times New Roman" w:hAnsi="Times New Roman" w:cs="Times New Roman"/>
          <w:color w:val="000000" w:themeColor="text1"/>
          <w:sz w:val="24"/>
          <w:szCs w:val="24"/>
        </w:rPr>
        <w:t>Three hypothes</w:t>
      </w:r>
      <w:r w:rsidR="669D2E4E" w:rsidRPr="00631CF2">
        <w:rPr>
          <w:rFonts w:ascii="Times New Roman" w:eastAsia="Times New Roman" w:hAnsi="Times New Roman" w:cs="Times New Roman"/>
          <w:color w:val="000000" w:themeColor="text1"/>
          <w:sz w:val="24"/>
          <w:szCs w:val="24"/>
        </w:rPr>
        <w:t>e</w:t>
      </w:r>
      <w:r w:rsidRPr="00631CF2">
        <w:rPr>
          <w:rFonts w:ascii="Times New Roman" w:eastAsia="Times New Roman" w:hAnsi="Times New Roman" w:cs="Times New Roman"/>
          <w:color w:val="000000" w:themeColor="text1"/>
          <w:sz w:val="24"/>
          <w:szCs w:val="24"/>
        </w:rPr>
        <w:t>s w</w:t>
      </w:r>
      <w:r w:rsidR="277D0B4B" w:rsidRPr="00631CF2">
        <w:rPr>
          <w:rFonts w:ascii="Times New Roman" w:eastAsia="Times New Roman" w:hAnsi="Times New Roman" w:cs="Times New Roman"/>
          <w:color w:val="000000" w:themeColor="text1"/>
          <w:sz w:val="24"/>
          <w:szCs w:val="24"/>
        </w:rPr>
        <w:t>ere</w:t>
      </w:r>
      <w:r w:rsidRPr="00631CF2">
        <w:rPr>
          <w:rFonts w:ascii="Times New Roman" w:eastAsia="Times New Roman" w:hAnsi="Times New Roman" w:cs="Times New Roman"/>
          <w:color w:val="000000" w:themeColor="text1"/>
          <w:sz w:val="24"/>
          <w:szCs w:val="24"/>
        </w:rPr>
        <w:t xml:space="preserve"> tested</w:t>
      </w:r>
      <w:r w:rsidR="00717A1F" w:rsidRPr="00631CF2">
        <w:rPr>
          <w:rFonts w:ascii="Times New Roman" w:eastAsia="Times New Roman" w:hAnsi="Times New Roman" w:cs="Times New Roman"/>
          <w:color w:val="000000" w:themeColor="text1"/>
          <w:sz w:val="24"/>
          <w:szCs w:val="24"/>
        </w:rPr>
        <w:t>: 1) different grazing heights alter the demographic patterns (tiller appearance, survival, and mortality) of each grass species (</w:t>
      </w:r>
      <w:r w:rsidR="00717A1F" w:rsidRPr="00631CF2">
        <w:rPr>
          <w:rFonts w:ascii="Times New Roman" w:eastAsia="Times New Roman" w:hAnsi="Times New Roman" w:cs="Times New Roman"/>
          <w:i/>
          <w:iCs/>
          <w:color w:val="000000" w:themeColor="text1"/>
          <w:sz w:val="24"/>
          <w:szCs w:val="24"/>
        </w:rPr>
        <w:t xml:space="preserve">L. </w:t>
      </w:r>
      <w:proofErr w:type="spellStart"/>
      <w:r w:rsidR="00717A1F" w:rsidRPr="00631CF2">
        <w:rPr>
          <w:rFonts w:ascii="Times New Roman" w:eastAsia="Times New Roman" w:hAnsi="Times New Roman" w:cs="Times New Roman"/>
          <w:i/>
          <w:iCs/>
          <w:color w:val="000000" w:themeColor="text1"/>
          <w:sz w:val="24"/>
          <w:szCs w:val="24"/>
        </w:rPr>
        <w:t>arundinaceum</w:t>
      </w:r>
      <w:proofErr w:type="spellEnd"/>
      <w:r w:rsidR="00717A1F" w:rsidRPr="00631CF2">
        <w:rPr>
          <w:rFonts w:ascii="Times New Roman" w:eastAsia="Times New Roman" w:hAnsi="Times New Roman" w:cs="Times New Roman"/>
          <w:i/>
          <w:iCs/>
          <w:color w:val="000000" w:themeColor="text1"/>
          <w:sz w:val="24"/>
          <w:szCs w:val="24"/>
        </w:rPr>
        <w:t xml:space="preserve"> and </w:t>
      </w:r>
      <w:r w:rsidR="00445ACC" w:rsidRPr="00631CF2">
        <w:rPr>
          <w:rFonts w:ascii="Times New Roman" w:eastAsia="Times New Roman" w:hAnsi="Times New Roman" w:cs="Times New Roman"/>
          <w:i/>
          <w:iCs/>
          <w:color w:val="000000" w:themeColor="text1"/>
          <w:sz w:val="24"/>
          <w:szCs w:val="24"/>
        </w:rPr>
        <w:t>C</w:t>
      </w:r>
      <w:r w:rsidR="00717A1F" w:rsidRPr="00631CF2">
        <w:rPr>
          <w:rFonts w:ascii="Times New Roman" w:eastAsia="Times New Roman" w:hAnsi="Times New Roman" w:cs="Times New Roman"/>
          <w:i/>
          <w:iCs/>
          <w:color w:val="000000" w:themeColor="text1"/>
          <w:sz w:val="24"/>
          <w:szCs w:val="24"/>
        </w:rPr>
        <w:t xml:space="preserve">. </w:t>
      </w:r>
      <w:proofErr w:type="spellStart"/>
      <w:r w:rsidR="00717A1F" w:rsidRPr="00631CF2">
        <w:rPr>
          <w:rFonts w:ascii="Times New Roman" w:eastAsia="Times New Roman" w:hAnsi="Times New Roman" w:cs="Times New Roman"/>
          <w:i/>
          <w:iCs/>
          <w:color w:val="000000" w:themeColor="text1"/>
          <w:sz w:val="24"/>
          <w:szCs w:val="24"/>
        </w:rPr>
        <w:t>clandestinus</w:t>
      </w:r>
      <w:proofErr w:type="spellEnd"/>
      <w:r w:rsidR="00717A1F" w:rsidRPr="00631CF2">
        <w:rPr>
          <w:rFonts w:ascii="Times New Roman" w:eastAsia="Times New Roman" w:hAnsi="Times New Roman" w:cs="Times New Roman"/>
          <w:color w:val="000000" w:themeColor="text1"/>
          <w:sz w:val="24"/>
          <w:szCs w:val="24"/>
        </w:rPr>
        <w:t>), but the mixed pasture maintains stability through complementary responses between species; 2) the compensatory relationship between tiller size and density maintains pasture stability regardless of grazing management strategy and 3) a single severe spring defoliation modifies short-term tiller demographics but does not compromise the long-term stability of the mixed pasture due to compensatory mechanisms in tiller population dynamics.</w:t>
      </w:r>
      <w:r w:rsidR="00773033" w:rsidRPr="00631CF2">
        <w:rPr>
          <w:rFonts w:ascii="Times New Roman" w:eastAsia="Times New Roman" w:hAnsi="Times New Roman" w:cs="Times New Roman"/>
          <w:color w:val="000000" w:themeColor="text1"/>
          <w:sz w:val="24"/>
          <w:szCs w:val="24"/>
        </w:rPr>
        <w:t xml:space="preserve"> To test these hypotheses, we combined traditional demographic analysis with the application of the self-thinning law to provide </w:t>
      </w:r>
      <w:r w:rsidR="00773033" w:rsidRPr="00631CF2">
        <w:rPr>
          <w:rFonts w:ascii="Times New Roman" w:eastAsia="Times New Roman" w:hAnsi="Times New Roman" w:cs="Times New Roman"/>
          <w:color w:val="000000" w:themeColor="text1"/>
          <w:sz w:val="24"/>
          <w:szCs w:val="24"/>
        </w:rPr>
        <w:lastRenderedPageBreak/>
        <w:t>a comprehensive understanding of population stability in mixed pastures under varying management intensities.</w:t>
      </w:r>
    </w:p>
    <w:p w14:paraId="34B88887" w14:textId="77777777" w:rsidR="00274BFA" w:rsidRPr="00631CF2" w:rsidRDefault="00274BFA" w:rsidP="007F0193">
      <w:pPr>
        <w:widowControl w:val="0"/>
        <w:spacing w:after="0" w:line="480" w:lineRule="auto"/>
        <w:ind w:firstLine="720"/>
        <w:jc w:val="both"/>
        <w:rPr>
          <w:rFonts w:ascii="Times New Roman" w:hAnsi="Times New Roman" w:cs="Times New Roman"/>
          <w:sz w:val="24"/>
          <w:szCs w:val="24"/>
        </w:rPr>
      </w:pPr>
    </w:p>
    <w:p w14:paraId="1004ED60" w14:textId="3DE541C6" w:rsidR="000F33C5" w:rsidRPr="00631CF2" w:rsidRDefault="7C702255" w:rsidP="007F0193">
      <w:pPr>
        <w:pStyle w:val="Heading1"/>
        <w:keepLines w:val="0"/>
        <w:widowControl w:val="0"/>
        <w:spacing w:before="0" w:line="480" w:lineRule="auto"/>
        <w:jc w:val="both"/>
        <w:rPr>
          <w:rFonts w:eastAsia="Times New Roman" w:cs="Times New Roman"/>
          <w:color w:val="538135" w:themeColor="accent6" w:themeShade="BF"/>
          <w:sz w:val="24"/>
          <w:szCs w:val="24"/>
          <w:lang w:val="en-GB"/>
        </w:rPr>
      </w:pPr>
      <w:r w:rsidRPr="00631CF2">
        <w:rPr>
          <w:rFonts w:eastAsia="Times New Roman" w:cs="Times New Roman"/>
          <w:color w:val="538135" w:themeColor="accent6" w:themeShade="BF"/>
          <w:sz w:val="24"/>
          <w:szCs w:val="24"/>
          <w:lang w:val="en-GB"/>
        </w:rPr>
        <w:t>Materials and methods</w:t>
      </w:r>
    </w:p>
    <w:p w14:paraId="668D6C32" w14:textId="19C2DB03" w:rsidR="000F33C5" w:rsidRPr="00631CF2" w:rsidRDefault="7D2EB9A7" w:rsidP="007F0193">
      <w:pPr>
        <w:pStyle w:val="Heading2"/>
        <w:keepLines w:val="0"/>
        <w:widowControl w:val="0"/>
        <w:spacing w:before="0" w:line="480" w:lineRule="auto"/>
        <w:jc w:val="both"/>
        <w:rPr>
          <w:rFonts w:eastAsia="Times New Roman" w:cs="Times New Roman"/>
          <w:sz w:val="24"/>
          <w:szCs w:val="24"/>
          <w:lang w:val="en-GB" w:eastAsia="en-AU"/>
        </w:rPr>
      </w:pPr>
      <w:r w:rsidRPr="00631CF2">
        <w:rPr>
          <w:rFonts w:eastAsia="Times New Roman" w:cs="Times New Roman"/>
          <w:b w:val="0"/>
          <w:bCs w:val="0"/>
          <w:i/>
          <w:iCs/>
          <w:color w:val="538135" w:themeColor="accent6" w:themeShade="BF"/>
          <w:sz w:val="24"/>
          <w:szCs w:val="24"/>
          <w:lang w:val="en-GB"/>
        </w:rPr>
        <w:t>Stud</w:t>
      </w:r>
      <w:r w:rsidR="00AA1B1D" w:rsidRPr="00631CF2">
        <w:rPr>
          <w:rFonts w:eastAsia="Times New Roman" w:cs="Times New Roman"/>
          <w:b w:val="0"/>
          <w:bCs w:val="0"/>
          <w:i/>
          <w:iCs/>
          <w:color w:val="538135" w:themeColor="accent6" w:themeShade="BF"/>
          <w:sz w:val="24"/>
          <w:szCs w:val="24"/>
          <w:lang w:val="en-GB"/>
        </w:rPr>
        <w:t>y</w:t>
      </w:r>
      <w:r w:rsidRPr="00631CF2">
        <w:rPr>
          <w:rFonts w:eastAsia="Times New Roman" w:cs="Times New Roman"/>
          <w:b w:val="0"/>
          <w:bCs w:val="0"/>
          <w:i/>
          <w:iCs/>
          <w:color w:val="538135" w:themeColor="accent6" w:themeShade="BF"/>
          <w:sz w:val="24"/>
          <w:szCs w:val="24"/>
          <w:lang w:val="en-GB"/>
        </w:rPr>
        <w:t xml:space="preserve"> </w:t>
      </w:r>
      <w:r w:rsidR="00615B33" w:rsidRPr="00631CF2">
        <w:rPr>
          <w:rFonts w:eastAsia="Times New Roman" w:cs="Times New Roman"/>
          <w:b w:val="0"/>
          <w:bCs w:val="0"/>
          <w:i/>
          <w:iCs/>
          <w:color w:val="538135" w:themeColor="accent6" w:themeShade="BF"/>
          <w:sz w:val="24"/>
          <w:szCs w:val="24"/>
          <w:lang w:val="en-GB"/>
        </w:rPr>
        <w:t>s</w:t>
      </w:r>
      <w:r w:rsidRPr="00631CF2">
        <w:rPr>
          <w:rFonts w:eastAsia="Times New Roman" w:cs="Times New Roman"/>
          <w:b w:val="0"/>
          <w:bCs w:val="0"/>
          <w:i/>
          <w:iCs/>
          <w:color w:val="538135" w:themeColor="accent6" w:themeShade="BF"/>
          <w:sz w:val="24"/>
          <w:szCs w:val="24"/>
          <w:lang w:val="en-GB"/>
        </w:rPr>
        <w:t>ite</w:t>
      </w:r>
    </w:p>
    <w:p w14:paraId="28133CB1" w14:textId="01310EB0" w:rsidR="000F33C5" w:rsidRPr="00631CF2" w:rsidRDefault="412175EC" w:rsidP="007F0193">
      <w:pPr>
        <w:pStyle w:val="Heading2"/>
        <w:keepLines w:val="0"/>
        <w:widowControl w:val="0"/>
        <w:spacing w:before="0" w:line="480" w:lineRule="auto"/>
        <w:jc w:val="both"/>
        <w:rPr>
          <w:rFonts w:eastAsia="Times New Roman" w:cs="Times New Roman"/>
          <w:b w:val="0"/>
          <w:bCs w:val="0"/>
          <w:sz w:val="24"/>
          <w:szCs w:val="24"/>
          <w:lang w:val="en-GB" w:eastAsia="en-AU"/>
        </w:rPr>
      </w:pPr>
      <w:r w:rsidRPr="00631CF2">
        <w:rPr>
          <w:rFonts w:eastAsiaTheme="minorEastAsia" w:cs="Times New Roman"/>
          <w:b w:val="0"/>
          <w:bCs w:val="0"/>
          <w:sz w:val="24"/>
          <w:szCs w:val="24"/>
          <w:lang w:val="en-GB" w:eastAsia="en-AU"/>
        </w:rPr>
        <w:t xml:space="preserve">The experiment was conducted </w:t>
      </w:r>
      <w:r w:rsidR="00AA1B1D" w:rsidRPr="00631CF2">
        <w:rPr>
          <w:rFonts w:eastAsiaTheme="minorEastAsia" w:cs="Times New Roman"/>
          <w:b w:val="0"/>
          <w:bCs w:val="0"/>
          <w:sz w:val="24"/>
          <w:szCs w:val="24"/>
          <w:lang w:val="en-GB" w:eastAsia="en-AU"/>
        </w:rPr>
        <w:t xml:space="preserve">from November 2017 to November 2020 </w:t>
      </w:r>
      <w:r w:rsidRPr="00631CF2">
        <w:rPr>
          <w:rFonts w:eastAsiaTheme="minorEastAsia" w:cs="Times New Roman"/>
          <w:b w:val="0"/>
          <w:bCs w:val="0"/>
          <w:sz w:val="24"/>
          <w:szCs w:val="24"/>
          <w:lang w:val="en-GB" w:eastAsia="en-AU"/>
        </w:rPr>
        <w:t xml:space="preserve">at the </w:t>
      </w:r>
      <w:proofErr w:type="spellStart"/>
      <w:r w:rsidRPr="00631CF2">
        <w:rPr>
          <w:rFonts w:eastAsiaTheme="minorEastAsia" w:cs="Times New Roman"/>
          <w:b w:val="0"/>
          <w:bCs w:val="0"/>
          <w:sz w:val="24"/>
          <w:szCs w:val="24"/>
          <w:lang w:val="en-GB" w:eastAsia="en-AU"/>
        </w:rPr>
        <w:t>Center</w:t>
      </w:r>
      <w:proofErr w:type="spellEnd"/>
      <w:r w:rsidRPr="00631CF2">
        <w:rPr>
          <w:rFonts w:eastAsiaTheme="minorEastAsia" w:cs="Times New Roman"/>
          <w:b w:val="0"/>
          <w:bCs w:val="0"/>
          <w:sz w:val="24"/>
          <w:szCs w:val="24"/>
          <w:lang w:val="en-GB" w:eastAsia="en-AU"/>
        </w:rPr>
        <w:t xml:space="preserve"> for Agricultural Sciences</w:t>
      </w:r>
      <w:r w:rsidR="00AA1B1D" w:rsidRPr="00631CF2">
        <w:rPr>
          <w:rFonts w:eastAsiaTheme="minorEastAsia" w:cs="Times New Roman"/>
          <w:b w:val="0"/>
          <w:bCs w:val="0"/>
          <w:sz w:val="24"/>
          <w:szCs w:val="24"/>
          <w:lang w:val="en-GB" w:eastAsia="en-AU"/>
        </w:rPr>
        <w:t>,</w:t>
      </w:r>
      <w:r w:rsidRPr="00631CF2">
        <w:rPr>
          <w:rFonts w:eastAsiaTheme="minorEastAsia" w:cs="Times New Roman"/>
          <w:b w:val="0"/>
          <w:bCs w:val="0"/>
          <w:sz w:val="24"/>
          <w:szCs w:val="24"/>
          <w:lang w:val="en-GB" w:eastAsia="en-AU"/>
        </w:rPr>
        <w:t xml:space="preserve"> Santa Catarina State University (UDESC/CAV)</w:t>
      </w:r>
      <w:r w:rsidR="00AA1B1D" w:rsidRPr="00631CF2">
        <w:rPr>
          <w:rFonts w:eastAsiaTheme="minorEastAsia" w:cs="Times New Roman"/>
          <w:b w:val="0"/>
          <w:bCs w:val="0"/>
          <w:sz w:val="24"/>
          <w:szCs w:val="24"/>
          <w:lang w:val="en-GB" w:eastAsia="en-AU"/>
        </w:rPr>
        <w:t xml:space="preserve"> in</w:t>
      </w:r>
      <w:r w:rsidRPr="00631CF2">
        <w:rPr>
          <w:rFonts w:eastAsiaTheme="minorEastAsia" w:cs="Times New Roman"/>
          <w:b w:val="0"/>
          <w:bCs w:val="0"/>
          <w:sz w:val="24"/>
          <w:szCs w:val="24"/>
          <w:lang w:val="en-GB" w:eastAsia="en-AU"/>
        </w:rPr>
        <w:t xml:space="preserve"> Lages, Santa Catarina, Brazil </w:t>
      </w:r>
      <w:r w:rsidR="00AA1B1D" w:rsidRPr="00631CF2">
        <w:rPr>
          <w:rFonts w:eastAsiaTheme="minorEastAsia" w:cs="Times New Roman"/>
          <w:b w:val="0"/>
          <w:bCs w:val="0"/>
          <w:sz w:val="24"/>
          <w:szCs w:val="24"/>
          <w:lang w:val="en-GB" w:eastAsia="en-AU"/>
        </w:rPr>
        <w:t>(</w:t>
      </w:r>
      <w:r w:rsidRPr="00631CF2">
        <w:rPr>
          <w:rFonts w:eastAsiaTheme="minorEastAsia" w:cs="Times New Roman"/>
          <w:b w:val="0"/>
          <w:bCs w:val="0"/>
          <w:sz w:val="24"/>
          <w:szCs w:val="24"/>
          <w:lang w:val="en-GB" w:eastAsia="en-AU"/>
        </w:rPr>
        <w:t>27°48’58″S</w:t>
      </w:r>
      <w:r w:rsidR="00AA1B1D" w:rsidRPr="00631CF2">
        <w:rPr>
          <w:rFonts w:eastAsiaTheme="minorEastAsia" w:cs="Times New Roman"/>
          <w:b w:val="0"/>
          <w:bCs w:val="0"/>
          <w:sz w:val="24"/>
          <w:szCs w:val="24"/>
          <w:lang w:val="en-GB" w:eastAsia="en-AU"/>
        </w:rPr>
        <w:t>,</w:t>
      </w:r>
      <w:r w:rsidRPr="00631CF2">
        <w:rPr>
          <w:rFonts w:eastAsiaTheme="minorEastAsia" w:cs="Times New Roman"/>
          <w:b w:val="0"/>
          <w:bCs w:val="0"/>
          <w:sz w:val="24"/>
          <w:szCs w:val="24"/>
          <w:lang w:val="en-GB" w:eastAsia="en-AU"/>
        </w:rPr>
        <w:t xml:space="preserve"> 50°19’34″W</w:t>
      </w:r>
      <w:r w:rsidR="00AA1B1D" w:rsidRPr="00631CF2">
        <w:rPr>
          <w:rFonts w:eastAsiaTheme="minorEastAsia" w:cs="Times New Roman"/>
          <w:b w:val="0"/>
          <w:bCs w:val="0"/>
          <w:sz w:val="24"/>
          <w:szCs w:val="24"/>
          <w:lang w:val="en-GB" w:eastAsia="en-AU"/>
        </w:rPr>
        <w:t>; elevation 930 m)</w:t>
      </w:r>
      <w:r w:rsidRPr="00631CF2">
        <w:rPr>
          <w:rFonts w:eastAsiaTheme="minorEastAsia" w:cs="Times New Roman"/>
          <w:b w:val="0"/>
          <w:bCs w:val="0"/>
          <w:sz w:val="24"/>
          <w:szCs w:val="24"/>
          <w:lang w:val="en-GB" w:eastAsia="en-AU"/>
        </w:rPr>
        <w:t xml:space="preserve">. </w:t>
      </w:r>
      <w:r w:rsidR="00AA1B1D" w:rsidRPr="00631CF2">
        <w:rPr>
          <w:rFonts w:eastAsiaTheme="minorEastAsia" w:cs="Times New Roman"/>
          <w:b w:val="0"/>
          <w:bCs w:val="0"/>
          <w:sz w:val="24"/>
          <w:szCs w:val="24"/>
          <w:lang w:val="en-GB" w:eastAsia="en-AU"/>
        </w:rPr>
        <w:t>The site has a humid subtropical climate with oceanic influence (</w:t>
      </w:r>
      <w:proofErr w:type="spellStart"/>
      <w:r w:rsidRPr="00631CF2">
        <w:rPr>
          <w:rFonts w:eastAsiaTheme="minorEastAsia" w:cs="Times New Roman"/>
          <w:b w:val="0"/>
          <w:bCs w:val="0"/>
          <w:sz w:val="24"/>
          <w:szCs w:val="24"/>
          <w:lang w:val="en-GB" w:eastAsia="en-AU"/>
        </w:rPr>
        <w:t>Köppen</w:t>
      </w:r>
      <w:proofErr w:type="spellEnd"/>
      <w:r w:rsidRPr="00631CF2">
        <w:rPr>
          <w:rFonts w:eastAsiaTheme="minorEastAsia" w:cs="Times New Roman"/>
          <w:b w:val="0"/>
          <w:bCs w:val="0"/>
          <w:sz w:val="24"/>
          <w:szCs w:val="24"/>
          <w:lang w:val="en-GB" w:eastAsia="en-AU"/>
        </w:rPr>
        <w:t xml:space="preserve"> classification</w:t>
      </w:r>
      <w:r w:rsidR="00AA1B1D" w:rsidRPr="00631CF2">
        <w:rPr>
          <w:rFonts w:eastAsiaTheme="minorEastAsia" w:cs="Times New Roman"/>
          <w:b w:val="0"/>
          <w:bCs w:val="0"/>
          <w:sz w:val="24"/>
          <w:szCs w:val="24"/>
          <w:lang w:val="en-GB" w:eastAsia="en-AU"/>
        </w:rPr>
        <w:t>)</w:t>
      </w:r>
      <w:r w:rsidRPr="00631CF2">
        <w:rPr>
          <w:rFonts w:eastAsiaTheme="minorEastAsia" w:cs="Times New Roman"/>
          <w:b w:val="0"/>
          <w:bCs w:val="0"/>
          <w:sz w:val="24"/>
          <w:szCs w:val="24"/>
          <w:lang w:val="en-GB" w:eastAsia="en-AU"/>
        </w:rPr>
        <w:t xml:space="preserve">, </w:t>
      </w:r>
      <w:r w:rsidR="00AA1B1D" w:rsidRPr="00631CF2">
        <w:rPr>
          <w:rFonts w:eastAsiaTheme="minorEastAsia" w:cs="Times New Roman"/>
          <w:b w:val="0"/>
          <w:bCs w:val="0"/>
          <w:sz w:val="24"/>
          <w:szCs w:val="24"/>
          <w:lang w:val="en-GB" w:eastAsia="en-AU"/>
        </w:rPr>
        <w:t xml:space="preserve">characterized by </w:t>
      </w:r>
      <w:r w:rsidRPr="00631CF2">
        <w:rPr>
          <w:rFonts w:eastAsiaTheme="minorEastAsia" w:cs="Times New Roman"/>
          <w:b w:val="0"/>
          <w:bCs w:val="0"/>
          <w:sz w:val="24"/>
          <w:szCs w:val="24"/>
          <w:lang w:val="en-GB" w:eastAsia="en-AU"/>
        </w:rPr>
        <w:t xml:space="preserve">cold winters, mild summers, and well-distributed rainfall throughout the year. No water deficits were observed during the experimental period. </w:t>
      </w:r>
      <w:r w:rsidR="00615B33" w:rsidRPr="00631CF2">
        <w:rPr>
          <w:rFonts w:eastAsiaTheme="minorEastAsia" w:cs="Times New Roman"/>
          <w:b w:val="0"/>
          <w:bCs w:val="0"/>
          <w:sz w:val="24"/>
          <w:szCs w:val="24"/>
          <w:lang w:val="en-GB" w:eastAsia="en-AU"/>
        </w:rPr>
        <w:t>Figure</w:t>
      </w:r>
      <w:r w:rsidR="00AA1B1D" w:rsidRPr="00631CF2">
        <w:rPr>
          <w:rFonts w:eastAsiaTheme="minorEastAsia" w:cs="Times New Roman"/>
          <w:b w:val="0"/>
          <w:bCs w:val="0"/>
          <w:sz w:val="24"/>
          <w:szCs w:val="24"/>
          <w:lang w:val="en-GB" w:eastAsia="en-AU"/>
        </w:rPr>
        <w:t xml:space="preserve"> 1 shows monthly </w:t>
      </w:r>
      <w:r w:rsidRPr="00631CF2">
        <w:rPr>
          <w:rFonts w:eastAsiaTheme="minorEastAsia" w:cs="Times New Roman"/>
          <w:b w:val="0"/>
          <w:bCs w:val="0"/>
          <w:sz w:val="24"/>
          <w:szCs w:val="24"/>
          <w:lang w:val="en-GB" w:eastAsia="en-AU"/>
        </w:rPr>
        <w:t xml:space="preserve">precipitation (mm) and </w:t>
      </w:r>
      <w:r w:rsidR="00AA1B1D" w:rsidRPr="00631CF2">
        <w:rPr>
          <w:rFonts w:eastAsiaTheme="minorEastAsia" w:cs="Times New Roman"/>
          <w:b w:val="0"/>
          <w:bCs w:val="0"/>
          <w:sz w:val="24"/>
          <w:szCs w:val="24"/>
          <w:lang w:val="en-GB" w:eastAsia="en-AU"/>
        </w:rPr>
        <w:t xml:space="preserve">mean </w:t>
      </w:r>
      <w:r w:rsidRPr="00631CF2">
        <w:rPr>
          <w:rFonts w:eastAsiaTheme="minorEastAsia" w:cs="Times New Roman"/>
          <w:b w:val="0"/>
          <w:bCs w:val="0"/>
          <w:sz w:val="24"/>
          <w:szCs w:val="24"/>
          <w:lang w:val="en-GB" w:eastAsia="en-AU"/>
        </w:rPr>
        <w:t xml:space="preserve">air temperature (°C) </w:t>
      </w:r>
      <w:r w:rsidR="00AA1B1D" w:rsidRPr="00631CF2">
        <w:rPr>
          <w:rFonts w:eastAsiaTheme="minorEastAsia" w:cs="Times New Roman"/>
          <w:b w:val="0"/>
          <w:bCs w:val="0"/>
          <w:sz w:val="24"/>
          <w:szCs w:val="24"/>
          <w:lang w:val="en-GB" w:eastAsia="en-AU"/>
        </w:rPr>
        <w:t xml:space="preserve">over </w:t>
      </w:r>
      <w:r w:rsidRPr="00631CF2">
        <w:rPr>
          <w:rFonts w:eastAsiaTheme="minorEastAsia" w:cs="Times New Roman"/>
          <w:b w:val="0"/>
          <w:bCs w:val="0"/>
          <w:sz w:val="24"/>
          <w:szCs w:val="24"/>
          <w:lang w:val="en-GB" w:eastAsia="en-AU"/>
        </w:rPr>
        <w:t>the experimental period. </w:t>
      </w:r>
    </w:p>
    <w:p w14:paraId="050C0A5A" w14:textId="6FED6973" w:rsidR="000F33C5" w:rsidRPr="00631CF2" w:rsidRDefault="412175EC" w:rsidP="007F0193">
      <w:pPr>
        <w:pStyle w:val="Bibliography"/>
        <w:widowControl w:val="0"/>
        <w:spacing w:after="0" w:line="480" w:lineRule="auto"/>
        <w:ind w:firstLine="426"/>
        <w:jc w:val="both"/>
        <w:rPr>
          <w:rFonts w:ascii="Times New Roman" w:eastAsia="Times New Roman" w:hAnsi="Times New Roman" w:cs="Times New Roman"/>
          <w:sz w:val="24"/>
          <w:szCs w:val="24"/>
          <w:lang w:eastAsia="en-AU"/>
        </w:rPr>
      </w:pPr>
      <w:r w:rsidRPr="00631CF2">
        <w:rPr>
          <w:rFonts w:ascii="Times New Roman" w:eastAsia="Times New Roman" w:hAnsi="Times New Roman" w:cs="Times New Roman"/>
          <w:sz w:val="24"/>
          <w:szCs w:val="24"/>
          <w:lang w:eastAsia="en-AU"/>
        </w:rPr>
        <w:t>The soil at the experimental site was classified as Typic Hapludox (</w:t>
      </w:r>
      <w:r w:rsidR="0DFF0519" w:rsidRPr="00631CF2">
        <w:rPr>
          <w:rFonts w:ascii="Times New Roman" w:eastAsia="Times New Roman" w:hAnsi="Times New Roman" w:cs="Times New Roman"/>
          <w:sz w:val="24"/>
          <w:szCs w:val="24"/>
          <w:lang w:eastAsia="en-AU"/>
        </w:rPr>
        <w:t>Santos</w:t>
      </w:r>
      <w:r w:rsidRPr="00631CF2">
        <w:rPr>
          <w:rFonts w:ascii="Times New Roman" w:eastAsia="Times New Roman" w:hAnsi="Times New Roman" w:cs="Times New Roman"/>
          <w:sz w:val="24"/>
          <w:szCs w:val="24"/>
          <w:lang w:eastAsia="en-AU"/>
        </w:rPr>
        <w:t>, 20</w:t>
      </w:r>
      <w:r w:rsidR="22B50730" w:rsidRPr="00631CF2">
        <w:rPr>
          <w:rFonts w:ascii="Times New Roman" w:eastAsia="Times New Roman" w:hAnsi="Times New Roman" w:cs="Times New Roman"/>
          <w:sz w:val="24"/>
          <w:szCs w:val="24"/>
          <w:lang w:eastAsia="en-AU"/>
        </w:rPr>
        <w:t>18</w:t>
      </w:r>
      <w:r w:rsidRPr="00631CF2">
        <w:rPr>
          <w:rFonts w:ascii="Times New Roman" w:eastAsia="Times New Roman" w:hAnsi="Times New Roman" w:cs="Times New Roman"/>
          <w:sz w:val="24"/>
          <w:szCs w:val="24"/>
          <w:lang w:eastAsia="en-AU"/>
        </w:rPr>
        <w:t xml:space="preserve">). </w:t>
      </w:r>
      <w:r w:rsidR="00AA1B1D" w:rsidRPr="00631CF2">
        <w:rPr>
          <w:rFonts w:ascii="Times New Roman" w:eastAsia="Times New Roman" w:hAnsi="Times New Roman" w:cs="Times New Roman"/>
          <w:sz w:val="24"/>
          <w:szCs w:val="24"/>
          <w:lang w:eastAsia="en-AU"/>
        </w:rPr>
        <w:t xml:space="preserve">Initial soil </w:t>
      </w:r>
      <w:r w:rsidRPr="00631CF2">
        <w:rPr>
          <w:rFonts w:ascii="Times New Roman" w:eastAsia="Times New Roman" w:hAnsi="Times New Roman" w:cs="Times New Roman"/>
          <w:sz w:val="24"/>
          <w:szCs w:val="24"/>
          <w:lang w:eastAsia="en-AU"/>
        </w:rPr>
        <w:t xml:space="preserve">chemical </w:t>
      </w:r>
      <w:r w:rsidR="00AA1B1D" w:rsidRPr="00631CF2">
        <w:rPr>
          <w:rFonts w:ascii="Times New Roman" w:eastAsia="Times New Roman" w:hAnsi="Times New Roman" w:cs="Times New Roman"/>
          <w:sz w:val="24"/>
          <w:szCs w:val="24"/>
          <w:lang w:eastAsia="en-AU"/>
        </w:rPr>
        <w:t xml:space="preserve">analysis of the 0-20 cm layer showed the following </w:t>
      </w:r>
      <w:r w:rsidRPr="00631CF2">
        <w:rPr>
          <w:rFonts w:ascii="Times New Roman" w:eastAsia="Times New Roman" w:hAnsi="Times New Roman" w:cs="Times New Roman"/>
          <w:sz w:val="24"/>
          <w:szCs w:val="24"/>
          <w:lang w:eastAsia="en-AU"/>
        </w:rPr>
        <w:t>characteristics: pH</w:t>
      </w:r>
      <w:r w:rsidR="00AA1B1D" w:rsidRPr="00631CF2">
        <w:rPr>
          <w:rFonts w:ascii="Times New Roman" w:eastAsia="Times New Roman" w:hAnsi="Times New Roman" w:cs="Times New Roman"/>
          <w:sz w:val="24"/>
          <w:szCs w:val="24"/>
          <w:lang w:eastAsia="en-AU"/>
        </w:rPr>
        <w:t xml:space="preserve"> (SMP) </w:t>
      </w:r>
      <w:r w:rsidRPr="00631CF2">
        <w:rPr>
          <w:rFonts w:ascii="Times New Roman" w:eastAsia="Times New Roman" w:hAnsi="Times New Roman" w:cs="Times New Roman"/>
          <w:sz w:val="24"/>
          <w:szCs w:val="24"/>
          <w:lang w:eastAsia="en-AU"/>
        </w:rPr>
        <w:t>= 5.8; organic matter= 3%; K= 64 mg</w:t>
      </w:r>
      <w:r w:rsidR="677718DB"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dm</w:t>
      </w:r>
      <w:r w:rsidRPr="00631CF2">
        <w:rPr>
          <w:rFonts w:ascii="Times New Roman" w:eastAsia="Times New Roman" w:hAnsi="Times New Roman" w:cs="Times New Roman"/>
          <w:sz w:val="24"/>
          <w:szCs w:val="24"/>
          <w:vertAlign w:val="superscript"/>
          <w:lang w:eastAsia="en-AU"/>
        </w:rPr>
        <w:t>3</w:t>
      </w:r>
      <w:r w:rsidRPr="00631CF2">
        <w:rPr>
          <w:rFonts w:ascii="Times New Roman" w:eastAsia="Times New Roman" w:hAnsi="Times New Roman" w:cs="Times New Roman"/>
          <w:sz w:val="24"/>
          <w:szCs w:val="24"/>
          <w:lang w:eastAsia="en-AU"/>
        </w:rPr>
        <w:t>; P= 6.7 mg</w:t>
      </w:r>
      <w:r w:rsidR="0D4FC933"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dm</w:t>
      </w:r>
      <w:r w:rsidRPr="00631CF2">
        <w:rPr>
          <w:rFonts w:ascii="Times New Roman" w:eastAsia="Times New Roman" w:hAnsi="Times New Roman" w:cs="Times New Roman"/>
          <w:sz w:val="24"/>
          <w:szCs w:val="24"/>
          <w:vertAlign w:val="superscript"/>
          <w:lang w:eastAsia="en-AU"/>
        </w:rPr>
        <w:t>3</w:t>
      </w:r>
      <w:r w:rsidRPr="00631CF2">
        <w:rPr>
          <w:rFonts w:ascii="Times New Roman" w:eastAsia="Times New Roman" w:hAnsi="Times New Roman" w:cs="Times New Roman"/>
          <w:sz w:val="24"/>
          <w:szCs w:val="24"/>
          <w:lang w:eastAsia="en-AU"/>
        </w:rPr>
        <w:t xml:space="preserve">; Ca= 7.6 </w:t>
      </w:r>
      <w:proofErr w:type="spellStart"/>
      <w:r w:rsidRPr="00631CF2">
        <w:rPr>
          <w:rFonts w:ascii="Times New Roman" w:eastAsia="Times New Roman" w:hAnsi="Times New Roman" w:cs="Times New Roman"/>
          <w:sz w:val="24"/>
          <w:szCs w:val="24"/>
          <w:lang w:eastAsia="en-AU"/>
        </w:rPr>
        <w:t>cmolc</w:t>
      </w:r>
      <w:proofErr w:type="spellEnd"/>
      <w:r w:rsidR="686699E5"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dm</w:t>
      </w:r>
      <w:r w:rsidRPr="00631CF2">
        <w:rPr>
          <w:rFonts w:ascii="Times New Roman" w:eastAsia="Times New Roman" w:hAnsi="Times New Roman" w:cs="Times New Roman"/>
          <w:sz w:val="24"/>
          <w:szCs w:val="24"/>
          <w:vertAlign w:val="superscript"/>
          <w:lang w:eastAsia="en-AU"/>
        </w:rPr>
        <w:t>3</w:t>
      </w:r>
      <w:r w:rsidRPr="00631CF2">
        <w:rPr>
          <w:rFonts w:ascii="Times New Roman" w:eastAsia="Times New Roman" w:hAnsi="Times New Roman" w:cs="Times New Roman"/>
          <w:sz w:val="24"/>
          <w:szCs w:val="24"/>
          <w:lang w:eastAsia="en-AU"/>
        </w:rPr>
        <w:t xml:space="preserve">; Mg= 4.5 </w:t>
      </w:r>
      <w:proofErr w:type="spellStart"/>
      <w:r w:rsidRPr="00631CF2">
        <w:rPr>
          <w:rFonts w:ascii="Times New Roman" w:eastAsia="Times New Roman" w:hAnsi="Times New Roman" w:cs="Times New Roman"/>
          <w:sz w:val="24"/>
          <w:szCs w:val="24"/>
          <w:lang w:eastAsia="en-AU"/>
        </w:rPr>
        <w:t>cmolc</w:t>
      </w:r>
      <w:proofErr w:type="spellEnd"/>
      <w:r w:rsidR="6BD1D538"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dm</w:t>
      </w:r>
      <w:r w:rsidRPr="00631CF2">
        <w:rPr>
          <w:rFonts w:ascii="Times New Roman" w:eastAsia="Times New Roman" w:hAnsi="Times New Roman" w:cs="Times New Roman"/>
          <w:sz w:val="24"/>
          <w:szCs w:val="24"/>
          <w:vertAlign w:val="superscript"/>
          <w:lang w:eastAsia="en-AU"/>
        </w:rPr>
        <w:t>3</w:t>
      </w:r>
      <w:r w:rsidRPr="00631CF2">
        <w:rPr>
          <w:rFonts w:ascii="Times New Roman" w:eastAsia="Times New Roman" w:hAnsi="Times New Roman" w:cs="Times New Roman"/>
          <w:sz w:val="24"/>
          <w:szCs w:val="24"/>
          <w:lang w:eastAsia="en-AU"/>
        </w:rPr>
        <w:t xml:space="preserve">; </w:t>
      </w:r>
      <w:proofErr w:type="spellStart"/>
      <w:r w:rsidRPr="00631CF2">
        <w:rPr>
          <w:rFonts w:ascii="Times New Roman" w:eastAsia="Times New Roman" w:hAnsi="Times New Roman" w:cs="Times New Roman"/>
          <w:sz w:val="24"/>
          <w:szCs w:val="24"/>
          <w:lang w:eastAsia="en-AU"/>
        </w:rPr>
        <w:t>Al+H</w:t>
      </w:r>
      <w:proofErr w:type="spellEnd"/>
      <w:r w:rsidRPr="00631CF2">
        <w:rPr>
          <w:rFonts w:ascii="Times New Roman" w:eastAsia="Times New Roman" w:hAnsi="Times New Roman" w:cs="Times New Roman"/>
          <w:sz w:val="24"/>
          <w:szCs w:val="24"/>
          <w:lang w:eastAsia="en-AU"/>
        </w:rPr>
        <w:t xml:space="preserve">= 6.9 </w:t>
      </w:r>
      <w:proofErr w:type="spellStart"/>
      <w:r w:rsidRPr="00631CF2">
        <w:rPr>
          <w:rFonts w:ascii="Times New Roman" w:eastAsia="Times New Roman" w:hAnsi="Times New Roman" w:cs="Times New Roman"/>
          <w:sz w:val="24"/>
          <w:szCs w:val="24"/>
          <w:lang w:eastAsia="en-AU"/>
        </w:rPr>
        <w:t>cmolc</w:t>
      </w:r>
      <w:proofErr w:type="spellEnd"/>
      <w:r w:rsidR="37B28AD8"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dm</w:t>
      </w:r>
      <w:r w:rsidRPr="00631CF2">
        <w:rPr>
          <w:rFonts w:ascii="Times New Roman" w:eastAsia="Times New Roman" w:hAnsi="Times New Roman" w:cs="Times New Roman"/>
          <w:sz w:val="24"/>
          <w:szCs w:val="24"/>
          <w:vertAlign w:val="superscript"/>
          <w:lang w:eastAsia="en-AU"/>
        </w:rPr>
        <w:t>3</w:t>
      </w:r>
      <w:r w:rsidRPr="00631CF2">
        <w:rPr>
          <w:rFonts w:ascii="Times New Roman" w:eastAsia="Times New Roman" w:hAnsi="Times New Roman" w:cs="Times New Roman"/>
          <w:sz w:val="24"/>
          <w:szCs w:val="24"/>
          <w:lang w:eastAsia="en-AU"/>
        </w:rPr>
        <w:t xml:space="preserve">; cation exchange capacity at pH 7.0= 19.2 </w:t>
      </w:r>
      <w:proofErr w:type="spellStart"/>
      <w:r w:rsidRPr="00631CF2">
        <w:rPr>
          <w:rFonts w:ascii="Times New Roman" w:eastAsia="Times New Roman" w:hAnsi="Times New Roman" w:cs="Times New Roman"/>
          <w:sz w:val="24"/>
          <w:szCs w:val="24"/>
          <w:lang w:eastAsia="en-AU"/>
        </w:rPr>
        <w:t>cmolc</w:t>
      </w:r>
      <w:proofErr w:type="spellEnd"/>
      <w:r w:rsidR="2665FE85"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dm</w:t>
      </w:r>
      <w:r w:rsidRPr="00631CF2">
        <w:rPr>
          <w:rFonts w:ascii="Times New Roman" w:eastAsia="Times New Roman" w:hAnsi="Times New Roman" w:cs="Times New Roman"/>
          <w:sz w:val="24"/>
          <w:szCs w:val="24"/>
          <w:vertAlign w:val="superscript"/>
          <w:lang w:eastAsia="en-AU"/>
        </w:rPr>
        <w:t>3</w:t>
      </w:r>
      <w:r w:rsidRPr="00631CF2">
        <w:rPr>
          <w:rFonts w:ascii="Times New Roman" w:eastAsia="Times New Roman" w:hAnsi="Times New Roman" w:cs="Times New Roman"/>
          <w:sz w:val="24"/>
          <w:szCs w:val="24"/>
          <w:lang w:eastAsia="en-AU"/>
        </w:rPr>
        <w:t xml:space="preserve">; base saturation= 64.1%; and clay= 42%. </w:t>
      </w:r>
      <w:r w:rsidR="00AA1B1D" w:rsidRPr="00631CF2">
        <w:rPr>
          <w:rFonts w:ascii="Times New Roman" w:eastAsia="Times New Roman" w:hAnsi="Times New Roman" w:cs="Times New Roman"/>
          <w:sz w:val="24"/>
          <w:szCs w:val="24"/>
          <w:lang w:eastAsia="en-AU"/>
        </w:rPr>
        <w:t>Based on the Fertilization and Liming Manual for Rio Grande do Sul and Santa Catarina States (CQFS-RS/SC, 2004), neither lime application nor K and P fertilization were required.</w:t>
      </w:r>
      <w:r w:rsidRPr="00631CF2">
        <w:rPr>
          <w:rFonts w:ascii="Times New Roman" w:eastAsia="Times New Roman" w:hAnsi="Times New Roman" w:cs="Times New Roman"/>
          <w:sz w:val="24"/>
          <w:szCs w:val="24"/>
          <w:lang w:eastAsia="en-AU"/>
        </w:rPr>
        <w:t xml:space="preserve"> </w:t>
      </w:r>
      <w:r w:rsidR="00AA1B1D" w:rsidRPr="00631CF2">
        <w:rPr>
          <w:rFonts w:ascii="Times New Roman" w:eastAsia="Times New Roman" w:hAnsi="Times New Roman" w:cs="Times New Roman"/>
          <w:sz w:val="24"/>
          <w:szCs w:val="24"/>
          <w:lang w:eastAsia="en-AU"/>
        </w:rPr>
        <w:t>Nitrogen fertilization consisted of 360 kg N/ha annually, applied in six equal doses of 60 kg of N</w:t>
      </w:r>
      <w:r w:rsidR="0037184A" w:rsidRPr="00631CF2">
        <w:rPr>
          <w:rFonts w:ascii="Times New Roman" w:eastAsia="Times New Roman" w:hAnsi="Times New Roman" w:cs="Times New Roman"/>
          <w:sz w:val="24"/>
          <w:szCs w:val="24"/>
          <w:lang w:eastAsia="en-AU"/>
        </w:rPr>
        <w:t>/</w:t>
      </w:r>
      <w:r w:rsidR="00AA1B1D" w:rsidRPr="00631CF2">
        <w:rPr>
          <w:rFonts w:ascii="Times New Roman" w:eastAsia="Times New Roman" w:hAnsi="Times New Roman" w:cs="Times New Roman"/>
          <w:sz w:val="24"/>
          <w:szCs w:val="24"/>
          <w:lang w:eastAsia="en-AU"/>
        </w:rPr>
        <w:t>ha at 60-day intervals throughout the year. The first N application occurred after grazing on November 20, 2017, at the start of the experimental period.</w:t>
      </w:r>
      <w:r w:rsidRPr="00631CF2">
        <w:rPr>
          <w:rFonts w:ascii="Times New Roman" w:eastAsia="Times New Roman" w:hAnsi="Times New Roman" w:cs="Times New Roman"/>
          <w:sz w:val="24"/>
          <w:szCs w:val="24"/>
          <w:lang w:eastAsia="en-AU"/>
        </w:rPr>
        <w:t> </w:t>
      </w:r>
    </w:p>
    <w:p w14:paraId="39F5CD14" w14:textId="707821BF" w:rsidR="000F33C5" w:rsidRPr="00631CF2" w:rsidRDefault="412175EC" w:rsidP="007F0193">
      <w:pPr>
        <w:pStyle w:val="Bibliography"/>
        <w:widowControl w:val="0"/>
        <w:spacing w:after="0" w:line="480" w:lineRule="auto"/>
        <w:ind w:firstLine="426"/>
        <w:jc w:val="both"/>
        <w:rPr>
          <w:rFonts w:ascii="Times New Roman" w:eastAsia="Times New Roman" w:hAnsi="Times New Roman" w:cs="Times New Roman"/>
          <w:sz w:val="24"/>
          <w:szCs w:val="24"/>
          <w:lang w:eastAsia="en-AU"/>
        </w:rPr>
      </w:pPr>
      <w:r w:rsidRPr="00631CF2">
        <w:rPr>
          <w:rFonts w:ascii="Times New Roman" w:eastAsia="Times New Roman" w:hAnsi="Times New Roman" w:cs="Times New Roman"/>
          <w:sz w:val="24"/>
          <w:szCs w:val="24"/>
          <w:lang w:eastAsia="en-AU"/>
        </w:rPr>
        <w:t xml:space="preserve">The experimental area was established in July 2014 by overseeding </w:t>
      </w:r>
      <w:r w:rsidRPr="00631CF2">
        <w:rPr>
          <w:rFonts w:ascii="Times New Roman" w:eastAsia="Times New Roman" w:hAnsi="Times New Roman" w:cs="Times New Roman"/>
          <w:i/>
          <w:iCs/>
          <w:sz w:val="24"/>
          <w:szCs w:val="24"/>
          <w:lang w:eastAsia="en-AU"/>
        </w:rPr>
        <w:t xml:space="preserve">Lolium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i/>
          <w:iCs/>
          <w:sz w:val="24"/>
          <w:szCs w:val="24"/>
          <w:lang w:eastAsia="en-AU"/>
        </w:rPr>
        <w:t xml:space="preserve"> </w:t>
      </w:r>
      <w:proofErr w:type="spellStart"/>
      <w:r w:rsidRPr="00631CF2">
        <w:rPr>
          <w:rFonts w:ascii="Times New Roman" w:eastAsia="Times New Roman" w:hAnsi="Times New Roman" w:cs="Times New Roman"/>
          <w:sz w:val="24"/>
          <w:szCs w:val="24"/>
          <w:lang w:eastAsia="en-AU"/>
        </w:rPr>
        <w:t>Schreb</w:t>
      </w:r>
      <w:proofErr w:type="spellEnd"/>
      <w:r w:rsidRPr="00631CF2">
        <w:rPr>
          <w:rFonts w:ascii="Times New Roman" w:eastAsia="Times New Roman" w:hAnsi="Times New Roman" w:cs="Times New Roman"/>
          <w:sz w:val="24"/>
          <w:szCs w:val="24"/>
          <w:lang w:eastAsia="en-AU"/>
        </w:rPr>
        <w:t xml:space="preserve">. cv. </w:t>
      </w:r>
      <w:proofErr w:type="spellStart"/>
      <w:r w:rsidRPr="00631CF2">
        <w:rPr>
          <w:rFonts w:ascii="Times New Roman" w:eastAsia="Times New Roman" w:hAnsi="Times New Roman" w:cs="Times New Roman"/>
          <w:sz w:val="24"/>
          <w:szCs w:val="24"/>
          <w:lang w:eastAsia="en-AU"/>
        </w:rPr>
        <w:t>Rizomat</w:t>
      </w:r>
      <w:proofErr w:type="spellEnd"/>
      <w:r w:rsidRPr="00631CF2">
        <w:rPr>
          <w:rFonts w:ascii="Times New Roman" w:eastAsia="Times New Roman" w:hAnsi="Times New Roman" w:cs="Times New Roman"/>
          <w:sz w:val="24"/>
          <w:szCs w:val="24"/>
          <w:lang w:eastAsia="en-AU"/>
        </w:rPr>
        <w:t xml:space="preserve"> </w:t>
      </w:r>
      <w:r w:rsidR="00B92B88" w:rsidRPr="00631CF2">
        <w:rPr>
          <w:rFonts w:ascii="Times New Roman" w:eastAsia="Times New Roman" w:hAnsi="Times New Roman" w:cs="Times New Roman"/>
          <w:sz w:val="24"/>
          <w:szCs w:val="24"/>
          <w:lang w:eastAsia="en-AU"/>
        </w:rPr>
        <w:t xml:space="preserve">into an existing </w:t>
      </w:r>
      <w:hyperlink r:id="rId11">
        <w:r w:rsidR="00445ACC" w:rsidRPr="00631CF2">
          <w:rPr>
            <w:rStyle w:val="Hyperlink"/>
            <w:rFonts w:ascii="Times New Roman" w:eastAsia="Times New Roman" w:hAnsi="Times New Roman" w:cs="Times New Roman"/>
            <w:i/>
            <w:iCs/>
            <w:color w:val="auto"/>
            <w:sz w:val="24"/>
            <w:szCs w:val="24"/>
            <w:u w:val="none"/>
          </w:rPr>
          <w:t>Cenchrus</w:t>
        </w:r>
      </w:hyperlink>
      <w:r w:rsidR="00445ACC" w:rsidRPr="00631CF2">
        <w:rPr>
          <w:rFonts w:ascii="Times New Roman" w:eastAsia="Times New Roman" w:hAnsi="Times New Roman" w:cs="Times New Roman"/>
          <w:sz w:val="24"/>
          <w:szCs w:val="24"/>
        </w:rPr>
        <w:t xml:space="preserve"> </w:t>
      </w:r>
      <w:proofErr w:type="spellStart"/>
      <w:r w:rsidRPr="00631CF2">
        <w:rPr>
          <w:rFonts w:ascii="Times New Roman" w:eastAsia="Times New Roman" w:hAnsi="Times New Roman" w:cs="Times New Roman"/>
          <w:i/>
          <w:iCs/>
          <w:sz w:val="24"/>
          <w:szCs w:val="24"/>
          <w:lang w:eastAsia="en-AU"/>
        </w:rPr>
        <w:t>clandestinus</w:t>
      </w:r>
      <w:proofErr w:type="spellEnd"/>
      <w:r w:rsidRPr="00631CF2">
        <w:rPr>
          <w:rFonts w:ascii="Times New Roman" w:eastAsia="Times New Roman" w:hAnsi="Times New Roman" w:cs="Times New Roman"/>
          <w:i/>
          <w:iCs/>
          <w:sz w:val="24"/>
          <w:szCs w:val="24"/>
          <w:lang w:eastAsia="en-AU"/>
        </w:rPr>
        <w:t xml:space="preserve"> </w:t>
      </w:r>
      <w:proofErr w:type="spellStart"/>
      <w:r w:rsidRPr="00631CF2">
        <w:rPr>
          <w:rFonts w:ascii="Times New Roman" w:eastAsia="Times New Roman" w:hAnsi="Times New Roman" w:cs="Times New Roman"/>
          <w:sz w:val="24"/>
          <w:szCs w:val="24"/>
          <w:lang w:eastAsia="en-AU"/>
        </w:rPr>
        <w:t>Hochst</w:t>
      </w:r>
      <w:proofErr w:type="spellEnd"/>
      <w:r w:rsidRPr="00631CF2">
        <w:rPr>
          <w:rFonts w:ascii="Times New Roman" w:eastAsia="Times New Roman" w:hAnsi="Times New Roman" w:cs="Times New Roman"/>
          <w:sz w:val="24"/>
          <w:szCs w:val="24"/>
          <w:lang w:eastAsia="en-AU"/>
        </w:rPr>
        <w:t xml:space="preserve">. ex </w:t>
      </w:r>
      <w:proofErr w:type="spellStart"/>
      <w:r w:rsidRPr="00631CF2">
        <w:rPr>
          <w:rFonts w:ascii="Times New Roman" w:eastAsia="Times New Roman" w:hAnsi="Times New Roman" w:cs="Times New Roman"/>
          <w:sz w:val="24"/>
          <w:szCs w:val="24"/>
          <w:lang w:eastAsia="en-AU"/>
        </w:rPr>
        <w:t>Chiov</w:t>
      </w:r>
      <w:proofErr w:type="spellEnd"/>
      <w:r w:rsidRPr="00631CF2">
        <w:rPr>
          <w:rFonts w:ascii="Times New Roman" w:eastAsia="Times New Roman" w:hAnsi="Times New Roman" w:cs="Times New Roman"/>
          <w:sz w:val="24"/>
          <w:szCs w:val="24"/>
          <w:lang w:eastAsia="en-AU"/>
        </w:rPr>
        <w:t xml:space="preserve"> </w:t>
      </w:r>
      <w:r w:rsidR="00B92B88" w:rsidRPr="00631CF2">
        <w:rPr>
          <w:rFonts w:ascii="Times New Roman" w:eastAsia="Times New Roman" w:hAnsi="Times New Roman" w:cs="Times New Roman"/>
          <w:sz w:val="24"/>
          <w:szCs w:val="24"/>
          <w:lang w:eastAsia="en-AU"/>
        </w:rPr>
        <w:t xml:space="preserve">sward </w:t>
      </w:r>
      <w:r w:rsidRPr="00631CF2">
        <w:rPr>
          <w:rFonts w:ascii="Times New Roman" w:eastAsia="Times New Roman" w:hAnsi="Times New Roman" w:cs="Times New Roman"/>
          <w:sz w:val="24"/>
          <w:szCs w:val="24"/>
          <w:lang w:eastAsia="en-AU"/>
        </w:rPr>
        <w:t xml:space="preserve">established </w:t>
      </w:r>
      <w:r w:rsidR="00B92B88" w:rsidRPr="00631CF2">
        <w:rPr>
          <w:rFonts w:ascii="Times New Roman" w:eastAsia="Times New Roman" w:hAnsi="Times New Roman" w:cs="Times New Roman"/>
          <w:sz w:val="24"/>
          <w:szCs w:val="24"/>
          <w:lang w:eastAsia="en-AU"/>
        </w:rPr>
        <w:t>in the</w:t>
      </w:r>
      <w:r w:rsidRPr="00631CF2">
        <w:rPr>
          <w:rFonts w:ascii="Times New Roman" w:eastAsia="Times New Roman" w:hAnsi="Times New Roman" w:cs="Times New Roman"/>
          <w:sz w:val="24"/>
          <w:szCs w:val="24"/>
          <w:lang w:eastAsia="en-AU"/>
        </w:rPr>
        <w:t xml:space="preserve"> 1990s </w:t>
      </w:r>
      <w:r w:rsidRPr="00631CF2">
        <w:rPr>
          <w:rFonts w:ascii="Times New Roman" w:eastAsia="Times New Roman" w:hAnsi="Times New Roman" w:cs="Times New Roman"/>
          <w:sz w:val="24"/>
          <w:szCs w:val="24"/>
          <w:lang w:eastAsia="en-AU"/>
        </w:rPr>
        <w:fldChar w:fldCharType="begin"/>
      </w:r>
      <w:r w:rsidRPr="00631CF2">
        <w:rPr>
          <w:rFonts w:ascii="Times New Roman" w:eastAsia="Times New Roman" w:hAnsi="Times New Roman" w:cs="Times New Roman"/>
          <w:sz w:val="24"/>
          <w:szCs w:val="24"/>
          <w:lang w:eastAsia="en-AU"/>
        </w:rPr>
        <w:instrText xml:space="preserve"> ADDIN ZOTERO_ITEM CSL_CITATION {"citationID":"eh9clZlJ","properties":{"formattedCitation":"(Bernardon {\\i{}et al.} 2021; Miqueloto {\\i{}et al.} 2020b, 2020a)","plainCitation":"(Bernardon et al. 2021; Miqueloto et al. 2020b, 2020a)","noteIndex":0},"citationItems":[{"id":475,"uris":["http://zotero.org/users/12323737/items/6RZNU2CY"],"itemData":{"id":475,"type":"article-journal","abstract":"Abstract\n            \n              A less‐explored alternative to animal production in the subtropics is a mixture of perennial cool‐ and warm‐season forage grasses. This study aimed to determine a grazing management strategy to enhance forage production and attenuate the seasonality of a mixed pasture composed of kikuyugrass (\n              Pennisetum clandestinum\n              ) and tall fescue (\n              Festuca arundinacea\n              ). Four treatments were implemented in a completely randomized block design using a factorial scheme (2 × 2) with three replicates. The factorial arrangement consisted of two canopy heights (12 and 17 cm) associated with or without a single autumn grazing of 7 cm. Evaluations were conducted over 2 years. Nitrogen fertilization was performed only during the winter and spring seasons. Regardless of grazing height targets (12 or 17 cm), severe defoliation in autumn increased forage accumulation by 10% in mixed pastures composed of kikuyugrass and tall fescue; however, such management strategy should not be recommended because it delayed canopy recovery by 90–120 days, restrained winter grazing, and, paradoxically, increased forage production seasonality. Tall fescue was the dominant species in all treatments in the second year of evaluation, and we hypothesized that the lack of N fertilization during the summer impaired the persistence of kikuyugrass and was the main reason for this dominance effect. Therefore, we suggest evaluating summer N fertilization strategies, which could benefit both species and ensure the persistence of kikuyugrass in the mixture.","container-title":"Grass and Forage Science","DOI":"10.1111/gfs.12549","ISSN":"0142-5242, 1365-2494","issue":"4","journalAbbreviation":"Grass and Forage Science","language":"en","page":"508-521","source":"DOI.org (Crossref)","title":"Herbage accumulation dynamics in mixed pastures composed of kikuyugrass and tall fescue as affected by grazing management","volume":"76","author":[{"family":"Bernardon","given":"Angela"},{"family":"Miqueloto","given":"Tiago"},{"family":"Winter","given":"Fábio Luis"},{"family":"De Medeiros Neto","given":"Cauby"},{"family":"Sbrissia","given":"André Fischer"}],"issued":{"date-parts":[["2021",12]]}}},{"id":463,"uris":["http://zotero.org/users/12323737/items/LS57GSES"],"itemData":{"id":463,"type":"article-journal","abstract":"ABSTRACT\n            \n              The effects of different management strategies on improving growth and modifying the botanical composition of C\n              3\n              and C\n              4\n              perennial grasses grown in a mixed canopy are underexplored. We aimed to evaluate the botanical composition and vegetation dynamics of a mixed canopy containing kikuyugrass (\n              Pennisetum clandestinum\n              Hochst. Ex Chiov) and tall fescue (\n              Festuca arundinacea\n              Schreber cv. Rizomat) subjected to four grazing management strategies over 22 mo. The experimental design was a randomized complete block in a factorial arrangement (two maintenance canopy heights: grazed to 7 cm in the autumn, or uninterrupted and maintained at 12 or 17 cm) with three replicates. The plots were sampled every month throughout the experimental period; the forage mass data were used to determine the botanical composition and leaf area index of the canopy. Although autumn grazing to 7‐cm height promoted an increase in pasture leaf proportion, it did not represent an effective augment in pasture leaf mass in the following winter–spring season. Canopies heights managed at 17 cm presented a greater proportion of tall fescue in herbage mass (81%) compared with those maintained at 12 cm (73%). Severe defoliation in the autumn delayed the regrowth to 12‐ or 17‐cm canopy heights by approximately 90–120 d in both evaluation years. From a farm‐level perspective, this result would restrict the recommendation of this grazing management strategy because this time lapse would demand that the pastures not be grazed for the 25–33% period of the year compared with the pastures that were not grazed in the autumn.","container-title":"Crop Science","DOI":"10.1002/csc2.20005","ISSN":"0011-183X, 1435-0653","issue":"1","journalAbbreviation":"Crop Science","language":"en","page":"499-506","source":"DOI.org (Crossref)","title":"Canopy structure of mixed kikuyugrass–tall fescue pastures in response to grazing management","volume":"60","author":[{"family":"Miqueloto","given":"Tiago"},{"family":"Winter","given":"Fábio Luís"},{"family":"Bernardon","given":"Angela"},{"family":"Cavalcanti","given":"Hactus Souto"},{"family":"De Medeiros Neto","given":"Cauby"},{"family":"Martins","given":"Clóvis David Medeiros"},{"family":"Sbrissia","given":"André Fischer"}],"issued":{"date-parts":[["2020",1]]}}},{"id":495,"uris":["http://zotero.org/users/12323737/items/BAFLXV3D"],"itemData":{"id":495,"type":"article-journal","abstract":"The current work was based on the central hypothesis that grazing management strategies modulate tillering dynamics of mixed canopies composed of kikuyu-grass (C4 perennial grass) and tall fescue (C3 perennial grass). Among the five grazing management conditions evaluated, three (7, 12, and 17 cm) represented the heights up to which the grasses were kept by mimicking a continuous stocking method throughout the experimental period (from May 2016 to October 2017), and the other two consisted of the heights 12 and 17 cm with a single grazing to 7 cm in mid-autumn. Nitrogen fertilization was applied only during winter–spring. The results showed that under severe grazing (7 cm), kikuyu-grass predominated in the area and that tall fescue population predominated in the moderately lenient (12 cm) and lenient (17 cm) grazed pastures, regardless of an occasional autumn grazing to 7 cm. After two years of evaluation, kikuyu-grass tillers were reduced to 6% of the total population in those pastures managed at the heights of 12 and 17 cm. Grazing management strategies modulate species proportions in a mixed canopy composed of kikuyu and tall fescue. Moreover, our data also suggest that it seems unlikely that there is a stable association of tall fescue and kikuyu-grass when no nitrogen fertilization is applied during summer.","container-title":"Agronomy","DOI":"10.3390/agronomy10050684","ISSN":"2073-4395","issue":"5","journalAbbreviation":"Agronomy","language":"en","license":"https://creativecommons.org/licenses/by/4.0/","page":"684","source":"DOI.org (Crossref)","title":"Population Dynamics in Mixed Canopies Composed of Kikuyu-Grass and Tall Fescue","volume":"10","author":[{"family":"Miqueloto","given":"Tiago"},{"family":"Bernardon","given":"Angela"},{"family":"Winter","given":"Fábio Luis"},{"family":"Fischer Sbrissia","given":"André"}],"issued":{"date-parts":[["2020",5,12]]}}}],"schema":"https://github.com/citation-style-language/schema/raw/master/csl-citation.json"} </w:instrText>
      </w:r>
      <w:r w:rsidRPr="00631CF2">
        <w:rPr>
          <w:rFonts w:ascii="Times New Roman" w:eastAsia="Times New Roman" w:hAnsi="Times New Roman" w:cs="Times New Roman"/>
          <w:sz w:val="24"/>
          <w:szCs w:val="24"/>
          <w:lang w:eastAsia="en-AU"/>
        </w:rPr>
        <w:fldChar w:fldCharType="separate"/>
      </w:r>
      <w:r w:rsidR="573FBAD2" w:rsidRPr="00631CF2">
        <w:rPr>
          <w:rFonts w:ascii="Times New Roman" w:hAnsi="Times New Roman" w:cs="Times New Roman"/>
          <w:sz w:val="24"/>
          <w:szCs w:val="24"/>
        </w:rPr>
        <w:t>(</w:t>
      </w:r>
      <w:proofErr w:type="spellStart"/>
      <w:r w:rsidR="56F9AA05" w:rsidRPr="00631CF2">
        <w:rPr>
          <w:rFonts w:ascii="Times New Roman" w:hAnsi="Times New Roman" w:cs="Times New Roman"/>
          <w:sz w:val="24"/>
          <w:szCs w:val="24"/>
        </w:rPr>
        <w:t>Miqueloto</w:t>
      </w:r>
      <w:proofErr w:type="spellEnd"/>
      <w:r w:rsidR="56F9AA05" w:rsidRPr="00631CF2">
        <w:rPr>
          <w:rFonts w:ascii="Times New Roman" w:hAnsi="Times New Roman" w:cs="Times New Roman"/>
          <w:sz w:val="24"/>
          <w:szCs w:val="24"/>
        </w:rPr>
        <w:t xml:space="preserve"> </w:t>
      </w:r>
      <w:r w:rsidR="000C0E26" w:rsidRPr="00631CF2">
        <w:rPr>
          <w:rFonts w:ascii="Times New Roman" w:hAnsi="Times New Roman" w:cs="Times New Roman"/>
          <w:i/>
          <w:iCs/>
          <w:sz w:val="24"/>
          <w:szCs w:val="24"/>
        </w:rPr>
        <w:t>et al.,</w:t>
      </w:r>
      <w:r w:rsidR="56F9AA05" w:rsidRPr="00631CF2">
        <w:rPr>
          <w:rFonts w:ascii="Times New Roman" w:hAnsi="Times New Roman" w:cs="Times New Roman"/>
          <w:sz w:val="24"/>
          <w:szCs w:val="24"/>
        </w:rPr>
        <w:t xml:space="preserve"> 2020</w:t>
      </w:r>
      <w:r w:rsidR="003A4172" w:rsidRPr="00631CF2">
        <w:rPr>
          <w:rFonts w:ascii="Times New Roman" w:hAnsi="Times New Roman" w:cs="Times New Roman"/>
          <w:i/>
          <w:iCs/>
          <w:sz w:val="24"/>
          <w:szCs w:val="24"/>
        </w:rPr>
        <w:t xml:space="preserve">a, </w:t>
      </w:r>
      <w:r w:rsidR="56F9AA05" w:rsidRPr="00631CF2">
        <w:rPr>
          <w:rFonts w:ascii="Times New Roman" w:hAnsi="Times New Roman" w:cs="Times New Roman"/>
          <w:i/>
          <w:iCs/>
          <w:sz w:val="24"/>
          <w:szCs w:val="24"/>
        </w:rPr>
        <w:t>b</w:t>
      </w:r>
      <w:r w:rsidR="1D706CA7" w:rsidRPr="00631CF2">
        <w:rPr>
          <w:rFonts w:ascii="Times New Roman" w:hAnsi="Times New Roman" w:cs="Times New Roman"/>
          <w:sz w:val="24"/>
          <w:szCs w:val="24"/>
        </w:rPr>
        <w:t>;</w:t>
      </w:r>
      <w:r w:rsidR="56F9AA05" w:rsidRPr="00631CF2">
        <w:rPr>
          <w:rFonts w:ascii="Times New Roman" w:hAnsi="Times New Roman" w:cs="Times New Roman"/>
          <w:sz w:val="24"/>
          <w:szCs w:val="24"/>
        </w:rPr>
        <w:t xml:space="preserve"> </w:t>
      </w:r>
      <w:r w:rsidR="573FBAD2" w:rsidRPr="00631CF2">
        <w:rPr>
          <w:rFonts w:ascii="Times New Roman" w:hAnsi="Times New Roman" w:cs="Times New Roman"/>
          <w:sz w:val="24"/>
          <w:szCs w:val="24"/>
        </w:rPr>
        <w:t xml:space="preserve">Bernardon </w:t>
      </w:r>
      <w:r w:rsidR="000C0E26" w:rsidRPr="00631CF2">
        <w:rPr>
          <w:rFonts w:ascii="Times New Roman" w:hAnsi="Times New Roman" w:cs="Times New Roman"/>
          <w:i/>
          <w:iCs/>
          <w:sz w:val="24"/>
          <w:szCs w:val="24"/>
        </w:rPr>
        <w:t>et al.,</w:t>
      </w:r>
      <w:r w:rsidR="573FBAD2" w:rsidRPr="00631CF2">
        <w:rPr>
          <w:rFonts w:ascii="Times New Roman" w:hAnsi="Times New Roman" w:cs="Times New Roman"/>
          <w:sz w:val="24"/>
          <w:szCs w:val="24"/>
        </w:rPr>
        <w:t xml:space="preserve"> 2021</w:t>
      </w:r>
      <w:r w:rsidRPr="00631CF2">
        <w:rPr>
          <w:rFonts w:ascii="Times New Roman" w:eastAsia="Times New Roman" w:hAnsi="Times New Roman" w:cs="Times New Roman"/>
          <w:sz w:val="24"/>
          <w:szCs w:val="24"/>
          <w:lang w:eastAsia="en-AU"/>
        </w:rPr>
        <w:fldChar w:fldCharType="end"/>
      </w:r>
      <w:r w:rsidR="49C481C6"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 xml:space="preserve">. </w:t>
      </w:r>
      <w:r w:rsidR="0067360C" w:rsidRPr="00631CF2">
        <w:rPr>
          <w:rFonts w:ascii="Times New Roman" w:eastAsia="Times New Roman" w:hAnsi="Times New Roman" w:cs="Times New Roman"/>
          <w:i/>
          <w:iCs/>
          <w:color w:val="000000" w:themeColor="text1"/>
          <w:sz w:val="24"/>
          <w:szCs w:val="24"/>
        </w:rPr>
        <w:t xml:space="preserve">L. </w:t>
      </w:r>
      <w:proofErr w:type="spellStart"/>
      <w:r w:rsidR="0067360C" w:rsidRPr="00631CF2">
        <w:rPr>
          <w:rFonts w:ascii="Times New Roman" w:eastAsia="Times New Roman" w:hAnsi="Times New Roman" w:cs="Times New Roman"/>
          <w:i/>
          <w:iCs/>
          <w:color w:val="000000" w:themeColor="text1"/>
          <w:sz w:val="24"/>
          <w:szCs w:val="24"/>
        </w:rPr>
        <w:t>arundinaceum</w:t>
      </w:r>
      <w:proofErr w:type="spellEnd"/>
      <w:r w:rsidR="0067360C" w:rsidRPr="00631CF2">
        <w:rPr>
          <w:rFonts w:ascii="Times New Roman" w:eastAsia="Times New Roman" w:hAnsi="Times New Roman" w:cs="Times New Roman"/>
          <w:sz w:val="24"/>
          <w:szCs w:val="24"/>
          <w:lang w:eastAsia="en-AU"/>
        </w:rPr>
        <w:t xml:space="preserve"> </w:t>
      </w:r>
      <w:r w:rsidRPr="00631CF2">
        <w:rPr>
          <w:rFonts w:ascii="Times New Roman" w:eastAsia="Times New Roman" w:hAnsi="Times New Roman" w:cs="Times New Roman"/>
          <w:sz w:val="24"/>
          <w:szCs w:val="24"/>
          <w:lang w:eastAsia="en-AU"/>
        </w:rPr>
        <w:t xml:space="preserve">was </w:t>
      </w:r>
      <w:r w:rsidR="00B92B88" w:rsidRPr="00631CF2">
        <w:rPr>
          <w:rFonts w:ascii="Times New Roman" w:eastAsia="Times New Roman" w:hAnsi="Times New Roman" w:cs="Times New Roman"/>
          <w:sz w:val="24"/>
          <w:szCs w:val="24"/>
          <w:lang w:eastAsia="en-AU"/>
        </w:rPr>
        <w:t xml:space="preserve">sown </w:t>
      </w:r>
      <w:r w:rsidRPr="00631CF2">
        <w:rPr>
          <w:rFonts w:ascii="Times New Roman" w:eastAsia="Times New Roman" w:hAnsi="Times New Roman" w:cs="Times New Roman"/>
          <w:sz w:val="24"/>
          <w:szCs w:val="24"/>
          <w:lang w:eastAsia="en-AU"/>
        </w:rPr>
        <w:t>at a rate of 20 kg</w:t>
      </w:r>
      <w:r w:rsidR="45E272D2"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 xml:space="preserve">ha of pure viable seed. </w:t>
      </w:r>
    </w:p>
    <w:p w14:paraId="1C837926" w14:textId="77777777" w:rsidR="00B92B88" w:rsidRPr="00631CF2" w:rsidRDefault="00B92B88" w:rsidP="007F0193">
      <w:pPr>
        <w:widowControl w:val="0"/>
        <w:spacing w:after="0" w:line="480" w:lineRule="auto"/>
        <w:jc w:val="both"/>
        <w:rPr>
          <w:rFonts w:ascii="Times New Roman" w:hAnsi="Times New Roman" w:cs="Times New Roman"/>
          <w:lang w:eastAsia="en-AU"/>
        </w:rPr>
      </w:pPr>
    </w:p>
    <w:p w14:paraId="6926E7B4" w14:textId="2D504029" w:rsidR="00B92B88" w:rsidRPr="00631CF2" w:rsidRDefault="00B92B88" w:rsidP="007F0193">
      <w:pPr>
        <w:pStyle w:val="Heading2"/>
        <w:keepLines w:val="0"/>
        <w:widowControl w:val="0"/>
        <w:spacing w:before="0" w:line="480" w:lineRule="auto"/>
        <w:jc w:val="both"/>
        <w:rPr>
          <w:rFonts w:eastAsia="Times New Roman" w:cs="Times New Roman"/>
          <w:color w:val="538135"/>
          <w:sz w:val="24"/>
          <w:szCs w:val="24"/>
          <w:lang w:val="en-GB" w:eastAsia="en-AU"/>
        </w:rPr>
      </w:pPr>
      <w:r w:rsidRPr="00631CF2">
        <w:rPr>
          <w:rFonts w:eastAsia="Times New Roman" w:cs="Times New Roman"/>
          <w:b w:val="0"/>
          <w:bCs w:val="0"/>
          <w:i/>
          <w:iCs/>
          <w:color w:val="538135"/>
          <w:sz w:val="24"/>
          <w:szCs w:val="24"/>
          <w:lang w:val="en-GB"/>
        </w:rPr>
        <w:t xml:space="preserve">Experimental </w:t>
      </w:r>
      <w:r w:rsidR="00615B33" w:rsidRPr="00631CF2">
        <w:rPr>
          <w:rFonts w:eastAsia="Times New Roman" w:cs="Times New Roman"/>
          <w:b w:val="0"/>
          <w:bCs w:val="0"/>
          <w:i/>
          <w:iCs/>
          <w:color w:val="538135"/>
          <w:sz w:val="24"/>
          <w:szCs w:val="24"/>
          <w:lang w:val="en-GB"/>
        </w:rPr>
        <w:t>design and treatments</w:t>
      </w:r>
    </w:p>
    <w:p w14:paraId="1D4291AD" w14:textId="6647ED2C" w:rsidR="000F33C5" w:rsidRPr="00631CF2" w:rsidRDefault="412175EC" w:rsidP="007F0193">
      <w:pPr>
        <w:pStyle w:val="Bibliography"/>
        <w:widowControl w:val="0"/>
        <w:spacing w:after="0" w:line="480" w:lineRule="auto"/>
        <w:jc w:val="both"/>
        <w:rPr>
          <w:rFonts w:ascii="Times New Roman" w:hAnsi="Times New Roman" w:cs="Times New Roman"/>
        </w:rPr>
      </w:pPr>
      <w:r w:rsidRPr="00631CF2">
        <w:rPr>
          <w:rFonts w:ascii="Times New Roman" w:eastAsia="Times New Roman" w:hAnsi="Times New Roman" w:cs="Times New Roman"/>
          <w:sz w:val="24"/>
          <w:szCs w:val="24"/>
          <w:lang w:eastAsia="en-AU"/>
        </w:rPr>
        <w:t xml:space="preserve">The experiment </w:t>
      </w:r>
      <w:r w:rsidR="00B92B88" w:rsidRPr="00631CF2">
        <w:rPr>
          <w:rFonts w:ascii="Times New Roman" w:eastAsia="Times New Roman" w:hAnsi="Times New Roman" w:cs="Times New Roman"/>
          <w:sz w:val="24"/>
          <w:szCs w:val="24"/>
          <w:lang w:eastAsia="en-AU"/>
        </w:rPr>
        <w:t xml:space="preserve">used a randomized complete block design with a 2 x 2 factorial arrangement and three replicates, comprising </w:t>
      </w:r>
      <w:r w:rsidRPr="00631CF2">
        <w:rPr>
          <w:rFonts w:ascii="Times New Roman" w:eastAsia="Times New Roman" w:hAnsi="Times New Roman" w:cs="Times New Roman"/>
          <w:sz w:val="24"/>
          <w:szCs w:val="24"/>
          <w:lang w:eastAsia="en-AU"/>
        </w:rPr>
        <w:t xml:space="preserve">four grazing </w:t>
      </w:r>
      <w:r w:rsidR="00B92B88" w:rsidRPr="00631CF2">
        <w:rPr>
          <w:rFonts w:ascii="Times New Roman" w:eastAsia="Times New Roman" w:hAnsi="Times New Roman" w:cs="Times New Roman"/>
          <w:sz w:val="24"/>
          <w:szCs w:val="24"/>
          <w:lang w:eastAsia="en-AU"/>
        </w:rPr>
        <w:t>treatments</w:t>
      </w:r>
      <w:r w:rsidRPr="00631CF2">
        <w:rPr>
          <w:rFonts w:ascii="Times New Roman" w:eastAsia="Times New Roman" w:hAnsi="Times New Roman" w:cs="Times New Roman"/>
          <w:sz w:val="24"/>
          <w:szCs w:val="24"/>
          <w:lang w:eastAsia="en-AU"/>
        </w:rPr>
        <w:t xml:space="preserve">. Each experimental unit </w:t>
      </w:r>
      <w:r w:rsidR="00B92B88" w:rsidRPr="00631CF2">
        <w:rPr>
          <w:rFonts w:ascii="Times New Roman" w:eastAsia="Times New Roman" w:hAnsi="Times New Roman" w:cs="Times New Roman"/>
          <w:sz w:val="24"/>
          <w:szCs w:val="24"/>
          <w:lang w:eastAsia="en-AU"/>
        </w:rPr>
        <w:t>was</w:t>
      </w:r>
      <w:r w:rsidRPr="00631CF2">
        <w:rPr>
          <w:rFonts w:ascii="Times New Roman" w:eastAsia="Times New Roman" w:hAnsi="Times New Roman" w:cs="Times New Roman"/>
          <w:sz w:val="24"/>
          <w:szCs w:val="24"/>
          <w:lang w:eastAsia="en-AU"/>
        </w:rPr>
        <w:t xml:space="preserve"> 140 m², </w:t>
      </w:r>
      <w:r w:rsidR="00B92B88" w:rsidRPr="00631CF2">
        <w:rPr>
          <w:rFonts w:ascii="Times New Roman" w:eastAsia="Times New Roman" w:hAnsi="Times New Roman" w:cs="Times New Roman"/>
          <w:sz w:val="24"/>
          <w:szCs w:val="24"/>
          <w:lang w:eastAsia="en-AU"/>
        </w:rPr>
        <w:t>tota</w:t>
      </w:r>
      <w:r w:rsidR="007A3085" w:rsidRPr="00631CF2">
        <w:rPr>
          <w:rFonts w:ascii="Times New Roman" w:eastAsia="Times New Roman" w:hAnsi="Times New Roman" w:cs="Times New Roman"/>
          <w:sz w:val="24"/>
          <w:szCs w:val="24"/>
          <w:lang w:eastAsia="en-AU"/>
        </w:rPr>
        <w:t>l</w:t>
      </w:r>
      <w:r w:rsidR="00B92B88" w:rsidRPr="00631CF2">
        <w:rPr>
          <w:rFonts w:ascii="Times New Roman" w:eastAsia="Times New Roman" w:hAnsi="Times New Roman" w:cs="Times New Roman"/>
          <w:sz w:val="24"/>
          <w:szCs w:val="24"/>
          <w:lang w:eastAsia="en-AU"/>
        </w:rPr>
        <w:t>ling</w:t>
      </w:r>
      <w:r w:rsidRPr="00631CF2">
        <w:rPr>
          <w:rFonts w:ascii="Times New Roman" w:eastAsia="Times New Roman" w:hAnsi="Times New Roman" w:cs="Times New Roman"/>
          <w:sz w:val="24"/>
          <w:szCs w:val="24"/>
          <w:lang w:eastAsia="en-AU"/>
        </w:rPr>
        <w:t xml:space="preserve"> 1680 m</w:t>
      </w:r>
      <w:r w:rsidR="00B92B88" w:rsidRPr="00631CF2">
        <w:rPr>
          <w:rFonts w:ascii="Times New Roman" w:eastAsia="Times New Roman" w:hAnsi="Times New Roman" w:cs="Times New Roman"/>
          <w:sz w:val="24"/>
          <w:szCs w:val="24"/>
          <w:vertAlign w:val="superscript"/>
          <w:lang w:eastAsia="en-AU"/>
        </w:rPr>
        <w:t>2</w:t>
      </w:r>
      <w:r w:rsidR="00511C05"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 xml:space="preserve"> The first factor consisted of two pre-</w:t>
      </w:r>
      <w:r w:rsidR="00B92B88" w:rsidRPr="00631CF2">
        <w:rPr>
          <w:rFonts w:ascii="Times New Roman" w:eastAsia="Times New Roman" w:hAnsi="Times New Roman" w:cs="Times New Roman"/>
          <w:sz w:val="24"/>
          <w:szCs w:val="24"/>
          <w:lang w:eastAsia="en-AU"/>
        </w:rPr>
        <w:t xml:space="preserve">grazing </w:t>
      </w:r>
      <w:r w:rsidRPr="00631CF2">
        <w:rPr>
          <w:rFonts w:ascii="Times New Roman" w:eastAsia="Times New Roman" w:hAnsi="Times New Roman" w:cs="Times New Roman"/>
          <w:sz w:val="24"/>
          <w:szCs w:val="24"/>
          <w:lang w:eastAsia="en-AU"/>
        </w:rPr>
        <w:t xml:space="preserve">height </w:t>
      </w:r>
      <w:r w:rsidRPr="00631CF2">
        <w:rPr>
          <w:rFonts w:ascii="Times New Roman" w:eastAsia="Times New Roman" w:hAnsi="Times New Roman" w:cs="Times New Roman"/>
          <w:sz w:val="24"/>
          <w:szCs w:val="24"/>
          <w:lang w:eastAsia="en-AU"/>
        </w:rPr>
        <w:lastRenderedPageBreak/>
        <w:t>managements (</w:t>
      </w:r>
      <w:r w:rsidR="00315F46" w:rsidRPr="00631CF2">
        <w:rPr>
          <w:rFonts w:ascii="Times New Roman" w:eastAsia="Times New Roman" w:hAnsi="Times New Roman" w:cs="Times New Roman"/>
          <w:sz w:val="24"/>
          <w:szCs w:val="24"/>
          <w:lang w:eastAsia="en-AU"/>
        </w:rPr>
        <w:t>height</w:t>
      </w:r>
      <w:r w:rsidR="00E950BE" w:rsidRPr="00631CF2">
        <w:rPr>
          <w:rFonts w:ascii="Times New Roman" w:eastAsia="Times New Roman" w:hAnsi="Times New Roman" w:cs="Times New Roman"/>
          <w:sz w:val="24"/>
          <w:szCs w:val="24"/>
          <w:lang w:eastAsia="en-AU"/>
        </w:rPr>
        <w:t>:</w:t>
      </w:r>
      <w:r w:rsidR="00790D28" w:rsidRPr="00631CF2">
        <w:rPr>
          <w:rFonts w:ascii="Times New Roman" w:eastAsia="Times New Roman" w:hAnsi="Times New Roman" w:cs="Times New Roman"/>
          <w:sz w:val="24"/>
          <w:szCs w:val="24"/>
          <w:lang w:eastAsia="en-AU"/>
        </w:rPr>
        <w:t xml:space="preserve"> </w:t>
      </w:r>
      <w:r w:rsidRPr="00631CF2">
        <w:rPr>
          <w:rFonts w:ascii="Times New Roman" w:eastAsia="Times New Roman" w:hAnsi="Times New Roman" w:cs="Times New Roman"/>
          <w:sz w:val="24"/>
          <w:szCs w:val="24"/>
          <w:lang w:eastAsia="en-AU"/>
        </w:rPr>
        <w:t>15</w:t>
      </w:r>
      <w:r w:rsidR="00511C05" w:rsidRPr="00631CF2">
        <w:rPr>
          <w:rFonts w:ascii="Times New Roman" w:eastAsia="Times New Roman" w:hAnsi="Times New Roman" w:cs="Times New Roman"/>
          <w:sz w:val="24"/>
          <w:szCs w:val="24"/>
          <w:lang w:eastAsia="en-AU"/>
        </w:rPr>
        <w:t xml:space="preserve"> </w:t>
      </w:r>
      <w:r w:rsidRPr="00631CF2">
        <w:rPr>
          <w:rFonts w:ascii="Times New Roman" w:eastAsia="Times New Roman" w:hAnsi="Times New Roman" w:cs="Times New Roman"/>
          <w:sz w:val="24"/>
          <w:szCs w:val="24"/>
          <w:lang w:eastAsia="en-AU"/>
        </w:rPr>
        <w:t>and 20 cm)</w:t>
      </w:r>
      <w:r w:rsidR="00BB3BB7" w:rsidRPr="00631CF2">
        <w:rPr>
          <w:rFonts w:ascii="Times New Roman" w:eastAsia="Times New Roman" w:hAnsi="Times New Roman" w:cs="Times New Roman"/>
          <w:sz w:val="24"/>
          <w:szCs w:val="24"/>
          <w:lang w:eastAsia="en-AU"/>
        </w:rPr>
        <w:t xml:space="preserve">, selected based on previous studies by </w:t>
      </w:r>
      <w:r w:rsidRPr="00631CF2">
        <w:rPr>
          <w:rFonts w:ascii="Times New Roman" w:eastAsia="Times New Roman" w:hAnsi="Times New Roman" w:cs="Times New Roman"/>
          <w:sz w:val="24"/>
          <w:szCs w:val="24"/>
          <w:lang w:eastAsia="en-AU"/>
        </w:rPr>
        <w:fldChar w:fldCharType="begin"/>
      </w:r>
      <w:r w:rsidRPr="00631CF2">
        <w:rPr>
          <w:rFonts w:ascii="Times New Roman" w:eastAsia="Times New Roman" w:hAnsi="Times New Roman" w:cs="Times New Roman"/>
          <w:sz w:val="24"/>
          <w:szCs w:val="24"/>
          <w:lang w:eastAsia="en-AU"/>
        </w:rPr>
        <w:instrText xml:space="preserve"> ADDIN ZOTERO_ITEM CSL_CITATION {"citationID":"tIDDtU7s","properties":{"formattedCitation":"(Miqueloto {\\i{}et al.} 2020b, 2020a)","plainCitation":"(Miqueloto et al. 2020b, 2020a)","noteIndex":0},"citationItems":[{"id":463,"uris":["http://zotero.org/users/12323737/items/LS57GSES"],"itemData":{"id":463,"type":"article-journal","abstract":"ABSTRACT\n            \n              The effects of different management strategies on improving growth and modifying the botanical composition of C\n              3\n              and C\n              4\n              perennial grasses grown in a mixed canopy are underexplored. We aimed to evaluate the botanical composition and vegetation dynamics of a mixed canopy containing kikuyugrass (\n              Pennisetum clandestinum\n              Hochst. Ex Chiov) and tall fescue (\n              Festuca arundinacea\n              Schreber cv. Rizomat) subjected to four grazing management strategies over 22 mo. The experimental design was a randomized complete block in a factorial arrangement (two maintenance canopy heights: grazed to 7 cm in the autumn, or uninterrupted and maintained at 12 or 17 cm) with three replicates. The plots were sampled every month throughout the experimental period; the forage mass data were used to determine the botanical composition and leaf area index of the canopy. Although autumn grazing to 7‐cm height promoted an increase in pasture leaf proportion, it did not represent an effective augment in pasture leaf mass in the following winter–spring season. Canopies heights managed at 17 cm presented a greater proportion of tall fescue in herbage mass (81%) compared with those maintained at 12 cm (73%). Severe defoliation in the autumn delayed the regrowth to 12‐ or 17‐cm canopy heights by approximately 90–120 d in both evaluation years. From a farm‐level perspective, this result would restrict the recommendation of this grazing management strategy because this time lapse would demand that the pastures not be grazed for the 25–33% period of the year compared with the pastures that were not grazed in the autumn.","container-title":"Crop Science","DOI":"10.1002/csc2.20005","ISSN":"0011-183X, 1435-0653","issue":"1","journalAbbreviation":"Crop Science","language":"en","page":"499-506","source":"DOI.org (Crossref)","title":"Canopy structure of mixed kikuyugrass–tall fescue pastures in response to grazing management","volume":"60","author":[{"family":"Miqueloto","given":"Tiago"},{"family":"Winter","given":"Fábio Luís"},{"family":"Bernardon","given":"Angela"},{"family":"Cavalcanti","given":"Hactus Souto"},{"family":"De Medeiros Neto","given":"Cauby"},{"family":"Martins","given":"Clóvis David Medeiros"},{"family":"Sbrissia","given":"André Fischer"}],"issued":{"date-parts":[["2020",1]]}}},{"id":495,"uris":["http://zotero.org/users/12323737/items/BAFLXV3D"],"itemData":{"id":495,"type":"article-journal","abstract":"The current work was based on the central hypothesis that grazing management strategies modulate tillering dynamics of mixed canopies composed of kikuyu-grass (C4 perennial grass) and tall fescue (C3 perennial grass). Among the five grazing management conditions evaluated, three (7, 12, and 17 cm) represented the heights up to which the grasses were kept by mimicking a continuous stocking method throughout the experimental period (from May 2016 to October 2017), and the other two consisted of the heights 12 and 17 cm with a single grazing to 7 cm in mid-autumn. Nitrogen fertilization was applied only during winter–spring. The results showed that under severe grazing (7 cm), kikuyu-grass predominated in the area and that tall fescue population predominated in the moderately lenient (12 cm) and lenient (17 cm) grazed pastures, regardless of an occasional autumn grazing to 7 cm. After two years of evaluation, kikuyu-grass tillers were reduced to 6% of the total population in those pastures managed at the heights of 12 and 17 cm. Grazing management strategies modulate species proportions in a mixed canopy composed of kikuyu and tall fescue. Moreover, our data also suggest that it seems unlikely that there is a stable association of tall fescue and kikuyu-grass when no nitrogen fertilization is applied during summer.","container-title":"Agronomy","DOI":"10.3390/agronomy10050684","ISSN":"2073-4395","issue":"5","journalAbbreviation":"Agronomy","language":"en","license":"https://creativecommons.org/licenses/by/4.0/","page":"684","source":"DOI.org (Crossref)","title":"Population Dynamics in Mixed Canopies Composed of Kikuyu-Grass and Tall Fescue","volume":"10","author":[{"family":"Miqueloto","given":"Tiago"},{"family":"Bernardon","given":"Angela"},{"family":"Winter","given":"Fábio Luis"},{"family":"Fischer Sbrissia","given":"André"}],"issued":{"date-parts":[["2020",5,12]]}}}],"schema":"https://github.com/citation-style-language/schema/raw/master/csl-citation.json"} </w:instrText>
      </w:r>
      <w:r w:rsidRPr="00631CF2">
        <w:rPr>
          <w:rFonts w:ascii="Times New Roman" w:eastAsia="Times New Roman" w:hAnsi="Times New Roman" w:cs="Times New Roman"/>
          <w:sz w:val="24"/>
          <w:szCs w:val="24"/>
          <w:lang w:eastAsia="en-AU"/>
        </w:rPr>
        <w:fldChar w:fldCharType="separate"/>
      </w:r>
      <w:proofErr w:type="spellStart"/>
      <w:r w:rsidR="673CF89E" w:rsidRPr="00631CF2">
        <w:rPr>
          <w:rFonts w:ascii="Times New Roman" w:hAnsi="Times New Roman" w:cs="Times New Roman"/>
          <w:sz w:val="24"/>
          <w:szCs w:val="24"/>
        </w:rPr>
        <w:t>Miqueloto</w:t>
      </w:r>
      <w:proofErr w:type="spellEnd"/>
      <w:r w:rsidR="673CF89E" w:rsidRPr="00631CF2">
        <w:rPr>
          <w:rFonts w:ascii="Times New Roman" w:hAnsi="Times New Roman" w:cs="Times New Roman"/>
          <w:sz w:val="24"/>
          <w:szCs w:val="24"/>
        </w:rPr>
        <w:t xml:space="preserve"> </w:t>
      </w:r>
      <w:r w:rsidR="000C0E26" w:rsidRPr="00631CF2">
        <w:rPr>
          <w:rFonts w:ascii="Times New Roman" w:hAnsi="Times New Roman" w:cs="Times New Roman"/>
          <w:i/>
          <w:iCs/>
          <w:sz w:val="24"/>
          <w:szCs w:val="24"/>
        </w:rPr>
        <w:t>et al.,</w:t>
      </w:r>
      <w:r w:rsidR="673CF89E" w:rsidRPr="00631CF2">
        <w:rPr>
          <w:rFonts w:ascii="Times New Roman" w:hAnsi="Times New Roman" w:cs="Times New Roman"/>
          <w:sz w:val="24"/>
          <w:szCs w:val="24"/>
        </w:rPr>
        <w:t xml:space="preserve"> </w:t>
      </w:r>
      <w:r w:rsidR="2AEB198A" w:rsidRPr="00631CF2">
        <w:rPr>
          <w:rFonts w:ascii="Times New Roman" w:hAnsi="Times New Roman" w:cs="Times New Roman"/>
          <w:sz w:val="24"/>
          <w:szCs w:val="24"/>
        </w:rPr>
        <w:t>(</w:t>
      </w:r>
      <w:r w:rsidR="673CF89E" w:rsidRPr="00631CF2">
        <w:rPr>
          <w:rFonts w:ascii="Times New Roman" w:hAnsi="Times New Roman" w:cs="Times New Roman"/>
          <w:sz w:val="24"/>
          <w:szCs w:val="24"/>
        </w:rPr>
        <w:t>2020</w:t>
      </w:r>
      <w:r w:rsidR="00F24382" w:rsidRPr="00631CF2">
        <w:rPr>
          <w:rFonts w:ascii="Times New Roman" w:hAnsi="Times New Roman" w:cs="Times New Roman"/>
          <w:i/>
          <w:iCs/>
          <w:sz w:val="24"/>
          <w:szCs w:val="24"/>
        </w:rPr>
        <w:t>a</w:t>
      </w:r>
      <w:r w:rsidR="673CF89E" w:rsidRPr="00631CF2">
        <w:rPr>
          <w:rFonts w:ascii="Times New Roman" w:hAnsi="Times New Roman" w:cs="Times New Roman"/>
          <w:i/>
          <w:iCs/>
          <w:sz w:val="24"/>
          <w:szCs w:val="24"/>
        </w:rPr>
        <w:t>,</w:t>
      </w:r>
      <w:r w:rsidR="673CF89E" w:rsidRPr="00631CF2">
        <w:rPr>
          <w:rFonts w:ascii="Times New Roman" w:hAnsi="Times New Roman" w:cs="Times New Roman"/>
          <w:sz w:val="24"/>
          <w:szCs w:val="24"/>
        </w:rPr>
        <w:t xml:space="preserve"> </w:t>
      </w:r>
      <w:r w:rsidRPr="00631CF2">
        <w:rPr>
          <w:rFonts w:ascii="Times New Roman" w:eastAsia="Times New Roman" w:hAnsi="Times New Roman" w:cs="Times New Roman"/>
          <w:sz w:val="24"/>
          <w:szCs w:val="24"/>
          <w:lang w:eastAsia="en-AU"/>
        </w:rPr>
        <w:fldChar w:fldCharType="end"/>
      </w:r>
      <w:r w:rsidR="00F24382" w:rsidRPr="00631CF2">
        <w:rPr>
          <w:rFonts w:ascii="Times New Roman" w:eastAsia="Times New Roman" w:hAnsi="Times New Roman" w:cs="Times New Roman"/>
          <w:i/>
          <w:iCs/>
          <w:sz w:val="24"/>
          <w:szCs w:val="24"/>
          <w:lang w:eastAsia="en-AU"/>
        </w:rPr>
        <w:t>b</w:t>
      </w:r>
      <w:r w:rsidR="058D6C24" w:rsidRPr="00631CF2">
        <w:rPr>
          <w:rFonts w:ascii="Times New Roman" w:eastAsia="Times New Roman" w:hAnsi="Times New Roman" w:cs="Times New Roman"/>
          <w:sz w:val="24"/>
          <w:szCs w:val="24"/>
          <w:lang w:eastAsia="en-AU"/>
        </w:rPr>
        <w:t>) and</w:t>
      </w:r>
      <w:r w:rsidRPr="00631CF2">
        <w:rPr>
          <w:rFonts w:ascii="Times New Roman" w:eastAsia="Times New Roman" w:hAnsi="Times New Roman" w:cs="Times New Roman"/>
          <w:sz w:val="24"/>
          <w:szCs w:val="24"/>
          <w:lang w:eastAsia="en-AU"/>
        </w:rPr>
        <w:t xml:space="preserve"> </w:t>
      </w:r>
      <w:r w:rsidRPr="00631CF2">
        <w:rPr>
          <w:rFonts w:ascii="Times New Roman" w:eastAsia="Times New Roman" w:hAnsi="Times New Roman" w:cs="Times New Roman"/>
          <w:sz w:val="24"/>
          <w:szCs w:val="24"/>
          <w:lang w:eastAsia="en-AU"/>
        </w:rPr>
        <w:fldChar w:fldCharType="begin"/>
      </w:r>
      <w:r w:rsidRPr="00631CF2">
        <w:rPr>
          <w:rFonts w:ascii="Times New Roman" w:eastAsia="Times New Roman" w:hAnsi="Times New Roman" w:cs="Times New Roman"/>
          <w:sz w:val="24"/>
          <w:szCs w:val="24"/>
          <w:lang w:eastAsia="en-AU"/>
        </w:rPr>
        <w:instrText xml:space="preserve"> ADDIN ZOTERO_ITEM CSL_CITATION {"citationID":"qrNHKlXn","properties":{"formattedCitation":"(Bernardon {\\i{}et al.} 2021)","plainCitation":"(Bernardon et al. 2021)","noteIndex":0},"citationItems":[{"id":475,"uris":["http://zotero.org/users/12323737/items/6RZNU2CY"],"itemData":{"id":475,"type":"article-journal","abstract":"Abstract\n            \n              A less‐explored alternative to animal production in the subtropics is a mixture of perennial cool‐ and warm‐season forage grasses. This study aimed to determine a grazing management strategy to enhance forage production and attenuate the seasonality of a mixed pasture composed of kikuyugrass (\n              Pennisetum clandestinum\n              ) and tall fescue (\n              Festuca arundinacea\n              ). Four treatments were implemented in a completely randomized block design using a factorial scheme (2 × 2) with three replicates. The factorial arrangement consisted of two canopy heights (12 and 17 cm) associated with or without a single autumn grazing of 7 cm. Evaluations were conducted over 2 years. Nitrogen fertilization was performed only during the winter and spring seasons. Regardless of grazing height targets (12 or 17 cm), severe defoliation in autumn increased forage accumulation by 10% in mixed pastures composed of kikuyugrass and tall fescue; however, such management strategy should not be recommended because it delayed canopy recovery by 90–120 days, restrained winter grazing, and, paradoxically, increased forage production seasonality. Tall fescue was the dominant species in all treatments in the second year of evaluation, and we hypothesized that the lack of N fertilization during the summer impaired the persistence of kikuyugrass and was the main reason for this dominance effect. Therefore, we suggest evaluating summer N fertilization strategies, which could benefit both species and ensure the persistence of kikuyugrass in the mixture.","container-title":"Grass and Forage Science","DOI":"10.1111/gfs.12549","ISSN":"0142-5242, 1365-2494","issue":"4","journalAbbreviation":"Grass and Forage Science","language":"en","page":"508-521","source":"DOI.org (Crossref)","title":"Herbage accumulation dynamics in mixed pastures composed of kikuyugrass and tall fescue as affected by grazing management","volume":"76","author":[{"family":"Bernardon","given":"Angela"},{"family":"Miqueloto","given":"Tiago"},{"family":"Winter","given":"Fábio Luis"},{"family":"De Medeiros Neto","given":"Cauby"},{"family":"Sbrissia","given":"André Fischer"}],"issued":{"date-parts":[["2021",12]]}}}],"schema":"https://github.com/citation-style-language/schema/raw/master/csl-citation.json"} </w:instrText>
      </w:r>
      <w:r w:rsidRPr="00631CF2">
        <w:rPr>
          <w:rFonts w:ascii="Times New Roman" w:eastAsia="Times New Roman" w:hAnsi="Times New Roman" w:cs="Times New Roman"/>
          <w:sz w:val="24"/>
          <w:szCs w:val="24"/>
          <w:lang w:eastAsia="en-AU"/>
        </w:rPr>
        <w:fldChar w:fldCharType="separate"/>
      </w:r>
      <w:r w:rsidR="22D47C66" w:rsidRPr="00631CF2">
        <w:rPr>
          <w:rFonts w:ascii="Times New Roman" w:hAnsi="Times New Roman" w:cs="Times New Roman"/>
          <w:sz w:val="24"/>
          <w:szCs w:val="24"/>
        </w:rPr>
        <w:t xml:space="preserve">Bernardon </w:t>
      </w:r>
      <w:r w:rsidR="000C0E26" w:rsidRPr="00631CF2">
        <w:rPr>
          <w:rFonts w:ascii="Times New Roman" w:hAnsi="Times New Roman" w:cs="Times New Roman"/>
          <w:i/>
          <w:iCs/>
          <w:sz w:val="24"/>
          <w:szCs w:val="24"/>
        </w:rPr>
        <w:t>et al.,</w:t>
      </w:r>
      <w:r w:rsidR="22D47C66" w:rsidRPr="00631CF2">
        <w:rPr>
          <w:rFonts w:ascii="Times New Roman" w:hAnsi="Times New Roman" w:cs="Times New Roman"/>
          <w:sz w:val="24"/>
          <w:szCs w:val="24"/>
        </w:rPr>
        <w:t xml:space="preserve"> </w:t>
      </w:r>
      <w:r w:rsidR="1EB1D852" w:rsidRPr="00631CF2">
        <w:rPr>
          <w:rFonts w:ascii="Times New Roman" w:hAnsi="Times New Roman" w:cs="Times New Roman"/>
          <w:sz w:val="24"/>
          <w:szCs w:val="24"/>
        </w:rPr>
        <w:t>(</w:t>
      </w:r>
      <w:r w:rsidR="22D47C66" w:rsidRPr="00631CF2">
        <w:rPr>
          <w:rFonts w:ascii="Times New Roman" w:hAnsi="Times New Roman" w:cs="Times New Roman"/>
          <w:sz w:val="24"/>
          <w:szCs w:val="24"/>
        </w:rPr>
        <w:t>2021)</w:t>
      </w:r>
      <w:r w:rsidRPr="00631CF2">
        <w:rPr>
          <w:rFonts w:ascii="Times New Roman" w:eastAsia="Times New Roman" w:hAnsi="Times New Roman" w:cs="Times New Roman"/>
          <w:sz w:val="24"/>
          <w:szCs w:val="24"/>
          <w:lang w:eastAsia="en-AU"/>
        </w:rPr>
        <w:fldChar w:fldCharType="end"/>
      </w:r>
      <w:r w:rsidR="00BB3BB7" w:rsidRPr="00631CF2">
        <w:rPr>
          <w:rFonts w:ascii="Times New Roman" w:eastAsia="Times New Roman" w:hAnsi="Times New Roman" w:cs="Times New Roman"/>
          <w:sz w:val="24"/>
          <w:szCs w:val="24"/>
          <w:lang w:eastAsia="en-AU"/>
        </w:rPr>
        <w:t>.</w:t>
      </w:r>
      <w:r w:rsidRPr="00631CF2">
        <w:rPr>
          <w:rFonts w:ascii="Times New Roman" w:eastAsia="Times New Roman" w:hAnsi="Times New Roman" w:cs="Times New Roman"/>
          <w:sz w:val="24"/>
          <w:szCs w:val="24"/>
          <w:lang w:eastAsia="en-AU"/>
        </w:rPr>
        <w:t xml:space="preserve"> </w:t>
      </w:r>
      <w:r w:rsidR="00BB3BB7" w:rsidRPr="00631CF2">
        <w:rPr>
          <w:rFonts w:ascii="Times New Roman" w:eastAsia="Times New Roman" w:hAnsi="Times New Roman" w:cs="Times New Roman"/>
          <w:sz w:val="24"/>
          <w:szCs w:val="24"/>
          <w:lang w:eastAsia="en-AU"/>
        </w:rPr>
        <w:t xml:space="preserve">These studies demonstrated that under continuous grazing, maintaining canopy heights between 12 and 17 cm modified sward composition without compromising forage production. Post-grazing heights were set at 40% of pre-grazing heights (9 and 12 cm above ground level, respectively), following the principle that canopy height under continuous stocking approximates the average of pre- and post-grazing heights in intermittent stocking systems </w:t>
      </w:r>
      <w:r w:rsidRPr="00631CF2">
        <w:rPr>
          <w:rFonts w:ascii="Times New Roman" w:eastAsia="Times New Roman" w:hAnsi="Times New Roman" w:cs="Times New Roman"/>
          <w:sz w:val="24"/>
          <w:szCs w:val="24"/>
          <w:lang w:eastAsia="en-AU"/>
        </w:rPr>
        <w:t xml:space="preserve">(Parsons </w:t>
      </w:r>
      <w:r w:rsidR="000C0E26" w:rsidRPr="00631CF2">
        <w:rPr>
          <w:rFonts w:ascii="Times New Roman" w:eastAsia="Times New Roman" w:hAnsi="Times New Roman" w:cs="Times New Roman"/>
          <w:i/>
          <w:iCs/>
          <w:sz w:val="24"/>
          <w:szCs w:val="24"/>
          <w:lang w:eastAsia="en-AU"/>
        </w:rPr>
        <w:t>et al.,</w:t>
      </w:r>
      <w:r w:rsidRPr="00631CF2">
        <w:rPr>
          <w:rFonts w:ascii="Times New Roman" w:eastAsia="Times New Roman" w:hAnsi="Times New Roman" w:cs="Times New Roman"/>
          <w:sz w:val="24"/>
          <w:szCs w:val="24"/>
          <w:lang w:eastAsia="en-AU"/>
        </w:rPr>
        <w:t xml:space="preserve"> 1988)</w:t>
      </w:r>
      <w:r w:rsidR="00BB3BB7" w:rsidRPr="00631CF2">
        <w:rPr>
          <w:rFonts w:ascii="Times New Roman" w:eastAsia="Times New Roman" w:hAnsi="Times New Roman" w:cs="Times New Roman"/>
          <w:sz w:val="24"/>
          <w:szCs w:val="24"/>
          <w:lang w:eastAsia="en-AU"/>
        </w:rPr>
        <w:t xml:space="preserve">. </w:t>
      </w:r>
      <w:r w:rsidR="00BB3BB7" w:rsidRPr="00631CF2">
        <w:rPr>
          <w:rStyle w:val="normaltextrun"/>
          <w:rFonts w:ascii="Times New Roman" w:eastAsia="Times New Roman" w:hAnsi="Times New Roman" w:cs="Times New Roman"/>
          <w:sz w:val="24"/>
          <w:szCs w:val="24"/>
        </w:rPr>
        <w:t>This design allowed for functional equivalence between continuous and rotational grazing systems in terms of forage utilization and residual heights.</w:t>
      </w:r>
      <w:r w:rsidR="00145003" w:rsidRPr="00631CF2">
        <w:rPr>
          <w:rFonts w:ascii="Times New Roman" w:eastAsia="Times New Roman" w:hAnsi="Times New Roman" w:cs="Times New Roman"/>
          <w:sz w:val="24"/>
          <w:szCs w:val="24"/>
          <w:lang w:eastAsia="en-AU"/>
        </w:rPr>
        <w:t xml:space="preserve"> The pasture was grazed by Holstein cattle (average weight 460 kg) under intermittent stocking method. </w:t>
      </w:r>
    </w:p>
    <w:p w14:paraId="3420ECDB" w14:textId="1BC4FD73" w:rsidR="000F33C5" w:rsidRPr="00631CF2" w:rsidRDefault="412175EC" w:rsidP="007F0193">
      <w:pPr>
        <w:widowControl w:val="0"/>
        <w:spacing w:after="0" w:line="480" w:lineRule="auto"/>
        <w:ind w:firstLine="426"/>
        <w:jc w:val="both"/>
        <w:rPr>
          <w:rFonts w:ascii="Times New Roman" w:eastAsia="Times New Roman" w:hAnsi="Times New Roman" w:cs="Times New Roman"/>
          <w:sz w:val="24"/>
          <w:szCs w:val="24"/>
          <w:lang w:eastAsia="en-AU"/>
        </w:rPr>
      </w:pPr>
      <w:r w:rsidRPr="00631CF2">
        <w:rPr>
          <w:rFonts w:ascii="Times New Roman" w:eastAsia="Times New Roman" w:hAnsi="Times New Roman" w:cs="Times New Roman"/>
          <w:sz w:val="24"/>
          <w:szCs w:val="24"/>
          <w:lang w:eastAsia="en-AU"/>
        </w:rPr>
        <w:t xml:space="preserve">The second factor was </w:t>
      </w:r>
      <w:r w:rsidR="00BB3BB7" w:rsidRPr="00631CF2">
        <w:rPr>
          <w:rFonts w:ascii="Times New Roman" w:eastAsia="Times New Roman" w:hAnsi="Times New Roman" w:cs="Times New Roman"/>
          <w:sz w:val="24"/>
          <w:szCs w:val="24"/>
          <w:lang w:eastAsia="en-AU"/>
        </w:rPr>
        <w:t>the presence or absence of a Hard Spring Grazing</w:t>
      </w:r>
      <w:r w:rsidRPr="00631CF2">
        <w:rPr>
          <w:rFonts w:ascii="Times New Roman" w:eastAsia="Times New Roman" w:hAnsi="Times New Roman" w:cs="Times New Roman"/>
          <w:sz w:val="24"/>
          <w:szCs w:val="24"/>
          <w:lang w:eastAsia="en-AU"/>
        </w:rPr>
        <w:t xml:space="preserve"> (</w:t>
      </w:r>
      <w:r w:rsidR="00BB3BB7" w:rsidRPr="00631CF2">
        <w:rPr>
          <w:rFonts w:ascii="Times New Roman" w:eastAsia="Times New Roman" w:hAnsi="Times New Roman" w:cs="Times New Roman"/>
          <w:sz w:val="24"/>
          <w:szCs w:val="24"/>
          <w:lang w:eastAsia="en-AU"/>
        </w:rPr>
        <w:t>HSG</w:t>
      </w:r>
      <w:r w:rsidRPr="00631CF2">
        <w:rPr>
          <w:rFonts w:ascii="Times New Roman" w:eastAsia="Times New Roman" w:hAnsi="Times New Roman" w:cs="Times New Roman"/>
          <w:sz w:val="24"/>
          <w:szCs w:val="24"/>
          <w:lang w:eastAsia="en-AU"/>
        </w:rPr>
        <w:t>)</w:t>
      </w:r>
      <w:r w:rsidR="00BB3BB7" w:rsidRPr="00631CF2">
        <w:rPr>
          <w:rFonts w:ascii="Times New Roman" w:eastAsia="Times New Roman" w:hAnsi="Times New Roman" w:cs="Times New Roman"/>
          <w:sz w:val="24"/>
          <w:szCs w:val="24"/>
          <w:lang w:eastAsia="en-AU"/>
        </w:rPr>
        <w:t xml:space="preserve"> treatment which consisted of a single severe defoliation in mid-November</w:t>
      </w:r>
      <w:r w:rsidRPr="00631CF2">
        <w:rPr>
          <w:rFonts w:ascii="Times New Roman" w:eastAsia="Times New Roman" w:hAnsi="Times New Roman" w:cs="Times New Roman"/>
          <w:sz w:val="24"/>
          <w:szCs w:val="24"/>
          <w:lang w:eastAsia="en-AU"/>
        </w:rPr>
        <w:t xml:space="preserve"> </w:t>
      </w:r>
      <w:r w:rsidR="00BB3BB7" w:rsidRPr="00631CF2">
        <w:rPr>
          <w:rFonts w:ascii="Times New Roman" w:eastAsia="Times New Roman" w:hAnsi="Times New Roman" w:cs="Times New Roman"/>
          <w:sz w:val="24"/>
          <w:szCs w:val="24"/>
          <w:lang w:eastAsia="en-AU"/>
        </w:rPr>
        <w:t>(s</w:t>
      </w:r>
      <w:r w:rsidRPr="00631CF2">
        <w:rPr>
          <w:rFonts w:ascii="Times New Roman" w:eastAsia="Times New Roman" w:hAnsi="Times New Roman" w:cs="Times New Roman"/>
          <w:sz w:val="24"/>
          <w:szCs w:val="24"/>
          <w:lang w:eastAsia="en-AU"/>
        </w:rPr>
        <w:t>pring</w:t>
      </w:r>
      <w:r w:rsidR="00BB3BB7" w:rsidRPr="00631CF2">
        <w:rPr>
          <w:rFonts w:ascii="Times New Roman" w:eastAsia="Times New Roman" w:hAnsi="Times New Roman" w:cs="Times New Roman"/>
          <w:sz w:val="24"/>
          <w:szCs w:val="24"/>
          <w:lang w:eastAsia="en-AU"/>
        </w:rPr>
        <w:t>) that</w:t>
      </w:r>
      <w:r w:rsidRPr="00631CF2">
        <w:rPr>
          <w:rFonts w:ascii="Times New Roman" w:eastAsia="Times New Roman" w:hAnsi="Times New Roman" w:cs="Times New Roman"/>
          <w:sz w:val="24"/>
          <w:szCs w:val="24"/>
          <w:lang w:eastAsia="en-AU"/>
        </w:rPr>
        <w:t xml:space="preserve"> reduc</w:t>
      </w:r>
      <w:r w:rsidR="00BB3BB7" w:rsidRPr="00631CF2">
        <w:rPr>
          <w:rFonts w:ascii="Times New Roman" w:eastAsia="Times New Roman" w:hAnsi="Times New Roman" w:cs="Times New Roman"/>
          <w:sz w:val="24"/>
          <w:szCs w:val="24"/>
          <w:lang w:eastAsia="en-AU"/>
        </w:rPr>
        <w:t>ed</w:t>
      </w:r>
      <w:r w:rsidRPr="00631CF2">
        <w:rPr>
          <w:rFonts w:ascii="Times New Roman" w:eastAsia="Times New Roman" w:hAnsi="Times New Roman" w:cs="Times New Roman"/>
          <w:sz w:val="24"/>
          <w:szCs w:val="24"/>
          <w:lang w:eastAsia="en-AU"/>
        </w:rPr>
        <w:t xml:space="preserve"> </w:t>
      </w:r>
      <w:r w:rsidR="00BB3BB7" w:rsidRPr="00631CF2">
        <w:rPr>
          <w:rFonts w:ascii="Times New Roman" w:eastAsia="Times New Roman" w:hAnsi="Times New Roman" w:cs="Times New Roman"/>
          <w:sz w:val="24"/>
          <w:szCs w:val="24"/>
          <w:lang w:eastAsia="en-AU"/>
        </w:rPr>
        <w:t>canopy</w:t>
      </w:r>
      <w:r w:rsidRPr="00631CF2">
        <w:rPr>
          <w:rFonts w:ascii="Times New Roman" w:eastAsia="Times New Roman" w:hAnsi="Times New Roman" w:cs="Times New Roman"/>
          <w:sz w:val="24"/>
          <w:szCs w:val="24"/>
          <w:lang w:eastAsia="en-AU"/>
        </w:rPr>
        <w:t xml:space="preserve"> height </w:t>
      </w:r>
      <w:r w:rsidR="00BB3BB7" w:rsidRPr="00631CF2">
        <w:rPr>
          <w:rFonts w:ascii="Times New Roman" w:eastAsia="Times New Roman" w:hAnsi="Times New Roman" w:cs="Times New Roman"/>
          <w:sz w:val="24"/>
          <w:szCs w:val="24"/>
          <w:lang w:eastAsia="en-AU"/>
        </w:rPr>
        <w:t>to</w:t>
      </w:r>
      <w:r w:rsidRPr="00631CF2">
        <w:rPr>
          <w:rFonts w:ascii="Times New Roman" w:eastAsia="Times New Roman" w:hAnsi="Times New Roman" w:cs="Times New Roman"/>
          <w:sz w:val="24"/>
          <w:szCs w:val="24"/>
          <w:lang w:eastAsia="en-AU"/>
        </w:rPr>
        <w:t xml:space="preserve"> 7 cm. </w:t>
      </w:r>
      <w:r w:rsidR="00023818" w:rsidRPr="00631CF2">
        <w:rPr>
          <w:rFonts w:ascii="Times New Roman" w:eastAsia="Times New Roman" w:hAnsi="Times New Roman" w:cs="Times New Roman"/>
          <w:sz w:val="24"/>
          <w:szCs w:val="24"/>
          <w:lang w:eastAsia="en-AU"/>
        </w:rPr>
        <w:t>T</w:t>
      </w:r>
      <w:r w:rsidR="4DA1339E" w:rsidRPr="00631CF2">
        <w:rPr>
          <w:rFonts w:ascii="Times New Roman" w:eastAsia="Times New Roman" w:hAnsi="Times New Roman" w:cs="Times New Roman"/>
          <w:sz w:val="24"/>
          <w:szCs w:val="24"/>
        </w:rPr>
        <w:t xml:space="preserve">his </w:t>
      </w:r>
      <w:r w:rsidR="00023818" w:rsidRPr="00631CF2">
        <w:rPr>
          <w:rFonts w:ascii="Times New Roman" w:eastAsia="Times New Roman" w:hAnsi="Times New Roman" w:cs="Times New Roman"/>
          <w:sz w:val="24"/>
          <w:szCs w:val="24"/>
        </w:rPr>
        <w:t xml:space="preserve">defoliation strategy was also used during autumn by </w:t>
      </w:r>
      <w:proofErr w:type="spellStart"/>
      <w:r w:rsidR="4DA1339E" w:rsidRPr="00631CF2">
        <w:rPr>
          <w:rFonts w:ascii="Times New Roman" w:eastAsia="Times New Roman" w:hAnsi="Times New Roman" w:cs="Times New Roman"/>
          <w:color w:val="000000" w:themeColor="text1"/>
          <w:sz w:val="24"/>
          <w:szCs w:val="24"/>
        </w:rPr>
        <w:t>Miqueloto</w:t>
      </w:r>
      <w:proofErr w:type="spellEnd"/>
      <w:r w:rsidR="4DA1339E" w:rsidRPr="00631CF2">
        <w:rPr>
          <w:rFonts w:ascii="Times New Roman" w:eastAsia="Times New Roman" w:hAnsi="Times New Roman" w:cs="Times New Roman"/>
          <w:color w:val="000000" w:themeColor="text1"/>
          <w:sz w:val="24"/>
          <w:szCs w:val="24"/>
        </w:rPr>
        <w:t xml:space="preserve"> </w:t>
      </w:r>
      <w:r w:rsidR="000C0E26" w:rsidRPr="00631CF2">
        <w:rPr>
          <w:rFonts w:ascii="Times New Roman" w:eastAsia="Times New Roman" w:hAnsi="Times New Roman" w:cs="Times New Roman"/>
          <w:i/>
          <w:iCs/>
          <w:color w:val="000000" w:themeColor="text1"/>
          <w:sz w:val="24"/>
          <w:szCs w:val="24"/>
        </w:rPr>
        <w:t>et al.</w:t>
      </w:r>
      <w:r w:rsidR="4DA1339E" w:rsidRPr="00631CF2">
        <w:rPr>
          <w:rFonts w:ascii="Times New Roman" w:eastAsia="Times New Roman" w:hAnsi="Times New Roman" w:cs="Times New Roman"/>
          <w:color w:val="000000" w:themeColor="text1"/>
          <w:sz w:val="24"/>
          <w:szCs w:val="24"/>
        </w:rPr>
        <w:t xml:space="preserve"> </w:t>
      </w:r>
      <w:r w:rsidR="23040D06" w:rsidRPr="00631CF2">
        <w:rPr>
          <w:rFonts w:ascii="Times New Roman" w:eastAsia="Times New Roman" w:hAnsi="Times New Roman" w:cs="Times New Roman"/>
          <w:color w:val="000000" w:themeColor="text1"/>
          <w:sz w:val="24"/>
          <w:szCs w:val="24"/>
        </w:rPr>
        <w:t>(</w:t>
      </w:r>
      <w:r w:rsidR="4DA1339E" w:rsidRPr="00631CF2">
        <w:rPr>
          <w:rFonts w:ascii="Times New Roman" w:eastAsia="Times New Roman" w:hAnsi="Times New Roman" w:cs="Times New Roman"/>
          <w:color w:val="000000" w:themeColor="text1"/>
          <w:sz w:val="24"/>
          <w:szCs w:val="24"/>
        </w:rPr>
        <w:t>2020</w:t>
      </w:r>
      <w:r w:rsidR="00F24382" w:rsidRPr="00631CF2">
        <w:rPr>
          <w:rFonts w:ascii="Times New Roman" w:eastAsia="Times New Roman" w:hAnsi="Times New Roman" w:cs="Times New Roman"/>
          <w:i/>
          <w:iCs/>
          <w:color w:val="000000" w:themeColor="text1"/>
          <w:sz w:val="24"/>
          <w:szCs w:val="24"/>
        </w:rPr>
        <w:t>a</w:t>
      </w:r>
      <w:r w:rsidR="4DA1339E" w:rsidRPr="00631CF2">
        <w:rPr>
          <w:rFonts w:ascii="Times New Roman" w:eastAsia="Times New Roman" w:hAnsi="Times New Roman" w:cs="Times New Roman"/>
          <w:i/>
          <w:iCs/>
          <w:color w:val="000000" w:themeColor="text1"/>
          <w:sz w:val="24"/>
          <w:szCs w:val="24"/>
        </w:rPr>
        <w:t>,</w:t>
      </w:r>
      <w:r w:rsidR="003A4172" w:rsidRPr="00631CF2">
        <w:rPr>
          <w:rFonts w:ascii="Times New Roman" w:eastAsia="Times New Roman" w:hAnsi="Times New Roman" w:cs="Times New Roman"/>
          <w:i/>
          <w:iCs/>
          <w:color w:val="000000" w:themeColor="text1"/>
          <w:sz w:val="24"/>
          <w:szCs w:val="24"/>
        </w:rPr>
        <w:t xml:space="preserve"> </w:t>
      </w:r>
      <w:r w:rsidR="00F24382" w:rsidRPr="00631CF2">
        <w:rPr>
          <w:rFonts w:ascii="Times New Roman" w:eastAsia="Times New Roman" w:hAnsi="Times New Roman" w:cs="Times New Roman"/>
          <w:i/>
          <w:iCs/>
          <w:color w:val="000000" w:themeColor="text1"/>
          <w:sz w:val="24"/>
          <w:szCs w:val="24"/>
        </w:rPr>
        <w:t>b</w:t>
      </w:r>
      <w:r w:rsidR="38F7D1B6" w:rsidRPr="00631CF2">
        <w:rPr>
          <w:rFonts w:ascii="Times New Roman" w:eastAsia="Times New Roman" w:hAnsi="Times New Roman" w:cs="Times New Roman"/>
          <w:color w:val="000000" w:themeColor="text1"/>
          <w:sz w:val="24"/>
          <w:szCs w:val="24"/>
        </w:rPr>
        <w:t>) and</w:t>
      </w:r>
      <w:r w:rsidR="4DA1339E" w:rsidRPr="00631CF2">
        <w:rPr>
          <w:rFonts w:ascii="Times New Roman" w:eastAsia="Times New Roman" w:hAnsi="Times New Roman" w:cs="Times New Roman"/>
          <w:color w:val="000000" w:themeColor="text1"/>
          <w:sz w:val="24"/>
          <w:szCs w:val="24"/>
        </w:rPr>
        <w:t xml:space="preserve"> Bernardon </w:t>
      </w:r>
      <w:r w:rsidR="4DA1339E" w:rsidRPr="00631CF2">
        <w:rPr>
          <w:rFonts w:ascii="Times New Roman" w:eastAsia="Times New Roman" w:hAnsi="Times New Roman" w:cs="Times New Roman"/>
          <w:i/>
          <w:iCs/>
          <w:color w:val="000000" w:themeColor="text1"/>
          <w:sz w:val="24"/>
          <w:szCs w:val="24"/>
        </w:rPr>
        <w:t>et al.</w:t>
      </w:r>
      <w:r w:rsidR="4DA1339E" w:rsidRPr="00631CF2">
        <w:rPr>
          <w:rFonts w:ascii="Times New Roman" w:eastAsia="Times New Roman" w:hAnsi="Times New Roman" w:cs="Times New Roman"/>
          <w:color w:val="000000" w:themeColor="text1"/>
          <w:sz w:val="24"/>
          <w:szCs w:val="24"/>
        </w:rPr>
        <w:t xml:space="preserve"> </w:t>
      </w:r>
      <w:r w:rsidR="7BE6EA6A" w:rsidRPr="00631CF2">
        <w:rPr>
          <w:rFonts w:ascii="Times New Roman" w:eastAsia="Times New Roman" w:hAnsi="Times New Roman" w:cs="Times New Roman"/>
          <w:color w:val="000000" w:themeColor="text1"/>
          <w:sz w:val="24"/>
          <w:szCs w:val="24"/>
        </w:rPr>
        <w:t>(</w:t>
      </w:r>
      <w:r w:rsidR="4DA1339E" w:rsidRPr="00631CF2">
        <w:rPr>
          <w:rFonts w:ascii="Times New Roman" w:eastAsia="Times New Roman" w:hAnsi="Times New Roman" w:cs="Times New Roman"/>
          <w:color w:val="000000" w:themeColor="text1"/>
          <w:sz w:val="24"/>
          <w:szCs w:val="24"/>
        </w:rPr>
        <w:t>2021</w:t>
      </w:r>
      <w:r w:rsidR="39EB777E" w:rsidRPr="00631CF2">
        <w:rPr>
          <w:rFonts w:ascii="Times New Roman" w:eastAsia="Times New Roman" w:hAnsi="Times New Roman" w:cs="Times New Roman"/>
          <w:color w:val="000000" w:themeColor="text1"/>
          <w:sz w:val="24"/>
          <w:szCs w:val="24"/>
        </w:rPr>
        <w:t>),</w:t>
      </w:r>
      <w:r w:rsidR="4DA1339E" w:rsidRPr="00631CF2">
        <w:rPr>
          <w:rFonts w:ascii="Times New Roman" w:eastAsia="Times New Roman" w:hAnsi="Times New Roman" w:cs="Times New Roman"/>
          <w:color w:val="000000" w:themeColor="text1"/>
          <w:sz w:val="24"/>
          <w:szCs w:val="24"/>
        </w:rPr>
        <w:t xml:space="preserve"> </w:t>
      </w:r>
      <w:r w:rsidR="00023818" w:rsidRPr="00631CF2">
        <w:rPr>
          <w:rFonts w:ascii="Times New Roman" w:eastAsia="Times New Roman" w:hAnsi="Times New Roman" w:cs="Times New Roman"/>
          <w:color w:val="000000" w:themeColor="text1"/>
          <w:sz w:val="24"/>
          <w:szCs w:val="24"/>
        </w:rPr>
        <w:t>who found that under continuous grazing, severe defoliation did not reduce overall forage production but delayed regrowth by 90-120 days.</w:t>
      </w:r>
      <w:r w:rsidR="3521B91F" w:rsidRPr="00631CF2">
        <w:rPr>
          <w:rFonts w:ascii="Times New Roman" w:eastAsia="Times New Roman" w:hAnsi="Times New Roman" w:cs="Times New Roman"/>
          <w:sz w:val="24"/>
          <w:szCs w:val="24"/>
          <w:lang w:eastAsia="en-AU"/>
        </w:rPr>
        <w:t xml:space="preserve"> </w:t>
      </w:r>
      <w:r w:rsidR="00107CA2" w:rsidRPr="00631CF2">
        <w:rPr>
          <w:rFonts w:ascii="Times New Roman" w:eastAsia="Times New Roman" w:hAnsi="Times New Roman" w:cs="Times New Roman"/>
          <w:sz w:val="24"/>
          <w:szCs w:val="24"/>
          <w:lang w:eastAsia="en-AU"/>
        </w:rPr>
        <w:t xml:space="preserve">Here, we employed this factor to identify whether the removal of </w:t>
      </w:r>
      <w:r w:rsidR="00C56D01" w:rsidRPr="00631CF2">
        <w:rPr>
          <w:rFonts w:ascii="Times New Roman" w:eastAsia="Times New Roman" w:hAnsi="Times New Roman" w:cs="Times New Roman"/>
          <w:i/>
          <w:iCs/>
          <w:color w:val="000000" w:themeColor="text1"/>
          <w:sz w:val="24"/>
          <w:szCs w:val="24"/>
        </w:rPr>
        <w:t xml:space="preserve">L. </w:t>
      </w:r>
      <w:proofErr w:type="spellStart"/>
      <w:r w:rsidR="00C56D01" w:rsidRPr="00631CF2">
        <w:rPr>
          <w:rFonts w:ascii="Times New Roman" w:eastAsia="Times New Roman" w:hAnsi="Times New Roman" w:cs="Times New Roman"/>
          <w:i/>
          <w:iCs/>
          <w:color w:val="000000" w:themeColor="text1"/>
          <w:sz w:val="24"/>
          <w:szCs w:val="24"/>
        </w:rPr>
        <w:t>arundinaceum</w:t>
      </w:r>
      <w:proofErr w:type="spellEnd"/>
      <w:r w:rsidR="00C56D01" w:rsidRPr="00631CF2" w:rsidDel="00C56D01">
        <w:rPr>
          <w:rFonts w:ascii="Times New Roman" w:eastAsia="Times New Roman" w:hAnsi="Times New Roman" w:cs="Times New Roman"/>
          <w:sz w:val="24"/>
          <w:szCs w:val="24"/>
          <w:lang w:eastAsia="en-AU"/>
        </w:rPr>
        <w:t xml:space="preserve"> </w:t>
      </w:r>
      <w:r w:rsidR="00107CA2" w:rsidRPr="00631CF2">
        <w:rPr>
          <w:rFonts w:ascii="Times New Roman" w:eastAsia="Times New Roman" w:hAnsi="Times New Roman" w:cs="Times New Roman"/>
          <w:sz w:val="24"/>
          <w:szCs w:val="24"/>
          <w:lang w:eastAsia="en-AU"/>
        </w:rPr>
        <w:t xml:space="preserve">in the mid-spring would increase </w:t>
      </w:r>
      <w:r w:rsidR="003133C1" w:rsidRPr="00631CF2">
        <w:rPr>
          <w:rFonts w:ascii="Times New Roman" w:hAnsi="Times New Roman" w:cs="Times New Roman"/>
          <w:i/>
          <w:iCs/>
          <w:color w:val="202020"/>
          <w:sz w:val="24"/>
          <w:szCs w:val="24"/>
          <w:shd w:val="clear" w:color="auto" w:fill="FFFFFF"/>
        </w:rPr>
        <w:t>C</w:t>
      </w:r>
      <w:r w:rsidR="00BA4E17" w:rsidRPr="00631CF2">
        <w:rPr>
          <w:rFonts w:ascii="Times New Roman" w:hAnsi="Times New Roman" w:cs="Times New Roman"/>
          <w:i/>
          <w:iCs/>
          <w:color w:val="202020"/>
          <w:sz w:val="24"/>
          <w:szCs w:val="24"/>
          <w:shd w:val="clear" w:color="auto" w:fill="FFFFFF"/>
        </w:rPr>
        <w:t xml:space="preserve">. </w:t>
      </w:r>
      <w:proofErr w:type="spellStart"/>
      <w:r w:rsidR="00BA4E17" w:rsidRPr="00631CF2">
        <w:rPr>
          <w:rFonts w:ascii="Times New Roman" w:hAnsi="Times New Roman" w:cs="Times New Roman"/>
          <w:i/>
          <w:iCs/>
          <w:color w:val="202020"/>
          <w:sz w:val="24"/>
          <w:szCs w:val="24"/>
          <w:shd w:val="clear" w:color="auto" w:fill="FFFFFF"/>
        </w:rPr>
        <w:t>clandestinus</w:t>
      </w:r>
      <w:proofErr w:type="spellEnd"/>
      <w:r w:rsidR="00BA4E17" w:rsidRPr="00631CF2" w:rsidDel="00BA4E17">
        <w:rPr>
          <w:rFonts w:ascii="Times New Roman" w:eastAsia="Times New Roman" w:hAnsi="Times New Roman" w:cs="Times New Roman"/>
          <w:sz w:val="24"/>
          <w:szCs w:val="24"/>
          <w:lang w:eastAsia="en-AU"/>
        </w:rPr>
        <w:t xml:space="preserve"> </w:t>
      </w:r>
      <w:r w:rsidR="00107CA2" w:rsidRPr="00631CF2">
        <w:rPr>
          <w:rFonts w:ascii="Times New Roman" w:eastAsia="Times New Roman" w:hAnsi="Times New Roman" w:cs="Times New Roman"/>
          <w:sz w:val="24"/>
          <w:szCs w:val="24"/>
          <w:lang w:eastAsia="en-AU"/>
        </w:rPr>
        <w:t xml:space="preserve">participation during summer. </w:t>
      </w:r>
      <w:r w:rsidR="00023818" w:rsidRPr="00631CF2">
        <w:rPr>
          <w:rFonts w:ascii="Times New Roman" w:eastAsia="Times New Roman" w:hAnsi="Times New Roman" w:cs="Times New Roman"/>
          <w:sz w:val="24"/>
          <w:szCs w:val="24"/>
          <w:lang w:eastAsia="en-AU"/>
        </w:rPr>
        <w:t xml:space="preserve">Following HSG, pastures were managed again at their assigned pre-grazing heights (15 or 20 cm) with 40% defoliation severity. </w:t>
      </w:r>
      <w:r w:rsidRPr="00631CF2">
        <w:rPr>
          <w:rFonts w:ascii="Times New Roman" w:eastAsia="Times New Roman" w:hAnsi="Times New Roman" w:cs="Times New Roman"/>
          <w:sz w:val="24"/>
          <w:szCs w:val="24"/>
          <w:lang w:eastAsia="en-AU"/>
        </w:rPr>
        <w:t xml:space="preserve">Canopy height was </w:t>
      </w:r>
      <w:r w:rsidR="00023818" w:rsidRPr="00631CF2">
        <w:rPr>
          <w:rFonts w:ascii="Times New Roman" w:eastAsia="Times New Roman" w:hAnsi="Times New Roman" w:cs="Times New Roman"/>
          <w:sz w:val="24"/>
          <w:szCs w:val="24"/>
          <w:lang w:eastAsia="en-AU"/>
        </w:rPr>
        <w:t>monitored</w:t>
      </w:r>
      <w:r w:rsidRPr="00631CF2">
        <w:rPr>
          <w:rFonts w:ascii="Times New Roman" w:eastAsia="Times New Roman" w:hAnsi="Times New Roman" w:cs="Times New Roman"/>
          <w:sz w:val="24"/>
          <w:szCs w:val="24"/>
          <w:lang w:eastAsia="en-AU"/>
        </w:rPr>
        <w:t xml:space="preserve"> using a graduated ruler at 30 </w:t>
      </w:r>
      <w:r w:rsidR="00023818" w:rsidRPr="00631CF2">
        <w:rPr>
          <w:rFonts w:ascii="Times New Roman" w:eastAsia="Times New Roman" w:hAnsi="Times New Roman" w:cs="Times New Roman"/>
          <w:sz w:val="24"/>
          <w:szCs w:val="24"/>
          <w:lang w:eastAsia="en-AU"/>
        </w:rPr>
        <w:t xml:space="preserve">randomly distributed </w:t>
      </w:r>
      <w:r w:rsidRPr="00631CF2">
        <w:rPr>
          <w:rFonts w:ascii="Times New Roman" w:eastAsia="Times New Roman" w:hAnsi="Times New Roman" w:cs="Times New Roman"/>
          <w:sz w:val="24"/>
          <w:szCs w:val="24"/>
          <w:lang w:eastAsia="en-AU"/>
        </w:rPr>
        <w:t xml:space="preserve">points within each experimental unit. </w:t>
      </w:r>
    </w:p>
    <w:p w14:paraId="1C148161" w14:textId="77777777" w:rsidR="00615B33" w:rsidRPr="00631CF2" w:rsidRDefault="00615B33" w:rsidP="007F0193">
      <w:pPr>
        <w:widowControl w:val="0"/>
        <w:spacing w:after="0" w:line="480" w:lineRule="auto"/>
        <w:ind w:firstLine="426"/>
        <w:jc w:val="both"/>
        <w:rPr>
          <w:rFonts w:ascii="Times New Roman" w:eastAsia="Times New Roman" w:hAnsi="Times New Roman" w:cs="Times New Roman"/>
          <w:sz w:val="24"/>
          <w:szCs w:val="24"/>
          <w:lang w:eastAsia="en-AU"/>
        </w:rPr>
      </w:pPr>
    </w:p>
    <w:p w14:paraId="2DA36B31" w14:textId="436A00C4" w:rsidR="001D5374" w:rsidRPr="00631CF2" w:rsidRDefault="001D5374" w:rsidP="007F0193">
      <w:pPr>
        <w:widowControl w:val="0"/>
        <w:spacing w:after="0" w:line="480" w:lineRule="auto"/>
        <w:jc w:val="both"/>
        <w:rPr>
          <w:rFonts w:ascii="Times New Roman" w:eastAsia="Times New Roman" w:hAnsi="Times New Roman" w:cs="Times New Roman"/>
          <w:i/>
          <w:iCs/>
          <w:color w:val="538135" w:themeColor="accent6" w:themeShade="BF"/>
          <w:sz w:val="24"/>
          <w:szCs w:val="24"/>
        </w:rPr>
      </w:pPr>
      <w:r w:rsidRPr="00631CF2">
        <w:rPr>
          <w:rFonts w:ascii="Times New Roman" w:eastAsia="Times New Roman" w:hAnsi="Times New Roman" w:cs="Times New Roman"/>
          <w:i/>
          <w:iCs/>
          <w:color w:val="538135" w:themeColor="accent6" w:themeShade="BF"/>
          <w:sz w:val="24"/>
          <w:szCs w:val="24"/>
        </w:rPr>
        <w:t xml:space="preserve">Tiller </w:t>
      </w:r>
      <w:r w:rsidR="00615B33" w:rsidRPr="00631CF2">
        <w:rPr>
          <w:rFonts w:ascii="Times New Roman" w:eastAsia="Times New Roman" w:hAnsi="Times New Roman" w:cs="Times New Roman"/>
          <w:i/>
          <w:iCs/>
          <w:color w:val="538135" w:themeColor="accent6" w:themeShade="BF"/>
          <w:sz w:val="24"/>
          <w:szCs w:val="24"/>
        </w:rPr>
        <w:t>demographics and morphology</w:t>
      </w:r>
    </w:p>
    <w:p w14:paraId="64AFE51D" w14:textId="075ACB51" w:rsidR="00662EB0" w:rsidRPr="00631CF2" w:rsidRDefault="00662EB0" w:rsidP="007F0193">
      <w:pPr>
        <w:widowControl w:val="0"/>
        <w:spacing w:after="0" w:line="480" w:lineRule="auto"/>
        <w:jc w:val="both"/>
        <w:rPr>
          <w:rFonts w:ascii="Times New Roman" w:eastAsia="Times New Roman" w:hAnsi="Times New Roman" w:cs="Times New Roman"/>
          <w:color w:val="538135" w:themeColor="accent6" w:themeShade="BF"/>
          <w:sz w:val="24"/>
          <w:szCs w:val="24"/>
        </w:rPr>
      </w:pPr>
      <w:r w:rsidRPr="00631CF2">
        <w:rPr>
          <w:rFonts w:ascii="Times New Roman" w:eastAsia="Times New Roman" w:hAnsi="Times New Roman" w:cs="Times New Roman"/>
          <w:color w:val="538135" w:themeColor="accent6" w:themeShade="BF"/>
          <w:sz w:val="24"/>
          <w:szCs w:val="24"/>
        </w:rPr>
        <w:t xml:space="preserve">Tiller </w:t>
      </w:r>
      <w:r w:rsidR="00615B33" w:rsidRPr="00631CF2">
        <w:rPr>
          <w:rFonts w:ascii="Times New Roman" w:eastAsia="Times New Roman" w:hAnsi="Times New Roman" w:cs="Times New Roman"/>
          <w:color w:val="538135" w:themeColor="accent6" w:themeShade="BF"/>
          <w:sz w:val="24"/>
          <w:szCs w:val="24"/>
        </w:rPr>
        <w:t>population density and weight</w:t>
      </w:r>
    </w:p>
    <w:p w14:paraId="706F716F" w14:textId="34D06F64" w:rsidR="00662EB0" w:rsidRPr="00631CF2" w:rsidRDefault="412175EC" w:rsidP="007F0193">
      <w:pPr>
        <w:widowControl w:val="0"/>
        <w:spacing w:after="0" w:line="480" w:lineRule="auto"/>
        <w:jc w:val="both"/>
        <w:rPr>
          <w:rFonts w:ascii="Times New Roman" w:eastAsia="Times New Roman" w:hAnsi="Times New Roman" w:cs="Times New Roman"/>
          <w:sz w:val="24"/>
          <w:szCs w:val="24"/>
          <w:lang w:eastAsia="en-AU"/>
        </w:rPr>
      </w:pPr>
      <w:r w:rsidRPr="00631CF2">
        <w:rPr>
          <w:rFonts w:ascii="Times New Roman" w:hAnsi="Times New Roman" w:cs="Times New Roman"/>
          <w:color w:val="202020"/>
          <w:sz w:val="24"/>
          <w:szCs w:val="24"/>
          <w:shd w:val="clear" w:color="auto" w:fill="FFFFFF"/>
        </w:rPr>
        <w:t xml:space="preserve">Tiller population density (TPD) was measured </w:t>
      </w:r>
      <w:r w:rsidR="00662EB0" w:rsidRPr="00631CF2">
        <w:rPr>
          <w:rFonts w:ascii="Times New Roman" w:hAnsi="Times New Roman" w:cs="Times New Roman"/>
          <w:color w:val="202020"/>
          <w:sz w:val="24"/>
          <w:szCs w:val="24"/>
          <w:shd w:val="clear" w:color="auto" w:fill="FFFFFF"/>
        </w:rPr>
        <w:t xml:space="preserve">using two sampling </w:t>
      </w:r>
      <w:r w:rsidRPr="00631CF2">
        <w:rPr>
          <w:rFonts w:ascii="Times New Roman" w:hAnsi="Times New Roman" w:cs="Times New Roman"/>
          <w:color w:val="202020"/>
          <w:sz w:val="24"/>
          <w:szCs w:val="24"/>
          <w:shd w:val="clear" w:color="auto" w:fill="FFFFFF"/>
        </w:rPr>
        <w:t xml:space="preserve">frames (80 × 30 cm each) </w:t>
      </w:r>
      <w:r w:rsidR="00662EB0" w:rsidRPr="00631CF2">
        <w:rPr>
          <w:rFonts w:ascii="Times New Roman" w:hAnsi="Times New Roman" w:cs="Times New Roman"/>
          <w:color w:val="202020"/>
          <w:sz w:val="24"/>
          <w:szCs w:val="24"/>
          <w:shd w:val="clear" w:color="auto" w:fill="FFFFFF"/>
        </w:rPr>
        <w:t>placed</w:t>
      </w:r>
      <w:r w:rsidRPr="00631CF2">
        <w:rPr>
          <w:rFonts w:ascii="Times New Roman" w:hAnsi="Times New Roman" w:cs="Times New Roman"/>
          <w:color w:val="202020"/>
          <w:sz w:val="24"/>
          <w:szCs w:val="24"/>
          <w:shd w:val="clear" w:color="auto" w:fill="FFFFFF"/>
        </w:rPr>
        <w:t xml:space="preserve"> at representative </w:t>
      </w:r>
      <w:r w:rsidR="00662EB0" w:rsidRPr="00631CF2">
        <w:rPr>
          <w:rFonts w:ascii="Times New Roman" w:hAnsi="Times New Roman" w:cs="Times New Roman"/>
          <w:color w:val="202020"/>
          <w:sz w:val="24"/>
          <w:szCs w:val="24"/>
          <w:shd w:val="clear" w:color="auto" w:fill="FFFFFF"/>
        </w:rPr>
        <w:t>locations within each</w:t>
      </w:r>
      <w:r w:rsidRPr="00631CF2">
        <w:rPr>
          <w:rFonts w:ascii="Times New Roman" w:hAnsi="Times New Roman" w:cs="Times New Roman"/>
          <w:color w:val="202020"/>
          <w:sz w:val="24"/>
          <w:szCs w:val="24"/>
          <w:shd w:val="clear" w:color="auto" w:fill="FFFFFF"/>
        </w:rPr>
        <w:t xml:space="preserve"> experimental unit at the time</w:t>
      </w:r>
      <w:r w:rsidR="00662EB0" w:rsidRPr="00631CF2">
        <w:rPr>
          <w:rFonts w:ascii="Times New Roman" w:hAnsi="Times New Roman" w:cs="Times New Roman"/>
          <w:color w:val="202020"/>
          <w:sz w:val="24"/>
          <w:szCs w:val="24"/>
          <w:shd w:val="clear" w:color="auto" w:fill="FFFFFF"/>
        </w:rPr>
        <w:t xml:space="preserve"> of defoliation</w:t>
      </w:r>
      <w:r w:rsidRPr="00631CF2">
        <w:rPr>
          <w:rFonts w:ascii="Times New Roman" w:hAnsi="Times New Roman" w:cs="Times New Roman"/>
          <w:color w:val="202020"/>
          <w:sz w:val="24"/>
          <w:szCs w:val="24"/>
          <w:shd w:val="clear" w:color="auto" w:fill="FFFFFF"/>
        </w:rPr>
        <w:t xml:space="preserve">. </w:t>
      </w:r>
      <w:r w:rsidR="00662EB0" w:rsidRPr="00631CF2">
        <w:rPr>
          <w:rFonts w:ascii="Times New Roman" w:hAnsi="Times New Roman" w:cs="Times New Roman"/>
          <w:color w:val="202020"/>
          <w:sz w:val="24"/>
          <w:szCs w:val="24"/>
          <w:shd w:val="clear" w:color="auto" w:fill="FFFFFF"/>
        </w:rPr>
        <w:t>All vegetation</w:t>
      </w:r>
      <w:r w:rsidRPr="00631CF2">
        <w:rPr>
          <w:rFonts w:ascii="Times New Roman" w:hAnsi="Times New Roman" w:cs="Times New Roman"/>
          <w:color w:val="202020"/>
          <w:sz w:val="24"/>
          <w:szCs w:val="24"/>
          <w:shd w:val="clear" w:color="auto" w:fill="FFFFFF"/>
        </w:rPr>
        <w:t xml:space="preserve"> inside the frames was </w:t>
      </w:r>
      <w:r w:rsidR="00662EB0" w:rsidRPr="00631CF2">
        <w:rPr>
          <w:rFonts w:ascii="Times New Roman" w:hAnsi="Times New Roman" w:cs="Times New Roman"/>
          <w:color w:val="202020"/>
          <w:sz w:val="24"/>
          <w:szCs w:val="24"/>
          <w:shd w:val="clear" w:color="auto" w:fill="FFFFFF"/>
        </w:rPr>
        <w:t xml:space="preserve">harvested </w:t>
      </w:r>
      <w:r w:rsidRPr="00631CF2">
        <w:rPr>
          <w:rFonts w:ascii="Times New Roman" w:hAnsi="Times New Roman" w:cs="Times New Roman"/>
          <w:color w:val="202020"/>
          <w:sz w:val="24"/>
          <w:szCs w:val="24"/>
          <w:shd w:val="clear" w:color="auto" w:fill="FFFFFF"/>
        </w:rPr>
        <w:t xml:space="preserve">at ground level and taken to the laboratory </w:t>
      </w:r>
      <w:r w:rsidR="00662EB0" w:rsidRPr="00631CF2">
        <w:rPr>
          <w:rFonts w:ascii="Times New Roman" w:hAnsi="Times New Roman" w:cs="Times New Roman"/>
          <w:color w:val="202020"/>
          <w:sz w:val="24"/>
          <w:szCs w:val="24"/>
          <w:shd w:val="clear" w:color="auto" w:fill="FFFFFF"/>
        </w:rPr>
        <w:t>for analysis</w:t>
      </w:r>
      <w:r w:rsidRPr="00631CF2">
        <w:rPr>
          <w:rFonts w:ascii="Times New Roman" w:hAnsi="Times New Roman" w:cs="Times New Roman"/>
          <w:color w:val="202020"/>
          <w:sz w:val="24"/>
          <w:szCs w:val="24"/>
          <w:shd w:val="clear" w:color="auto" w:fill="FFFFFF"/>
        </w:rPr>
        <w:t xml:space="preserve">. </w:t>
      </w:r>
      <w:r w:rsidR="00662EB0" w:rsidRPr="00631CF2">
        <w:rPr>
          <w:rFonts w:ascii="Times New Roman" w:hAnsi="Times New Roman" w:cs="Times New Roman"/>
          <w:color w:val="202020"/>
          <w:sz w:val="24"/>
          <w:szCs w:val="24"/>
          <w:shd w:val="clear" w:color="auto" w:fill="FFFFFF"/>
        </w:rPr>
        <w:t>Samples were separated by species (</w:t>
      </w:r>
      <w:r w:rsidR="00662EB0" w:rsidRPr="00631CF2">
        <w:rPr>
          <w:rFonts w:ascii="Times New Roman" w:hAnsi="Times New Roman" w:cs="Times New Roman"/>
          <w:i/>
          <w:iCs/>
          <w:color w:val="202020"/>
          <w:sz w:val="24"/>
          <w:szCs w:val="24"/>
          <w:shd w:val="clear" w:color="auto" w:fill="FFFFFF"/>
        </w:rPr>
        <w:t xml:space="preserve">L. </w:t>
      </w:r>
      <w:proofErr w:type="spellStart"/>
      <w:r w:rsidR="00662EB0" w:rsidRPr="00631CF2">
        <w:rPr>
          <w:rFonts w:ascii="Times New Roman" w:hAnsi="Times New Roman" w:cs="Times New Roman"/>
          <w:i/>
          <w:iCs/>
          <w:color w:val="202020"/>
          <w:sz w:val="24"/>
          <w:szCs w:val="24"/>
          <w:shd w:val="clear" w:color="auto" w:fill="FFFFFF"/>
        </w:rPr>
        <w:t>arundinaceum</w:t>
      </w:r>
      <w:proofErr w:type="spellEnd"/>
      <w:r w:rsidR="00662EB0" w:rsidRPr="00631CF2">
        <w:rPr>
          <w:rFonts w:ascii="Times New Roman" w:hAnsi="Times New Roman" w:cs="Times New Roman"/>
          <w:color w:val="202020"/>
          <w:sz w:val="24"/>
          <w:szCs w:val="24"/>
          <w:shd w:val="clear" w:color="auto" w:fill="FFFFFF"/>
        </w:rPr>
        <w:t xml:space="preserve"> and </w:t>
      </w:r>
      <w:r w:rsidR="003133C1" w:rsidRPr="00631CF2">
        <w:rPr>
          <w:rFonts w:ascii="Times New Roman" w:hAnsi="Times New Roman" w:cs="Times New Roman"/>
          <w:i/>
          <w:iCs/>
          <w:color w:val="202020"/>
          <w:sz w:val="24"/>
          <w:szCs w:val="24"/>
          <w:shd w:val="clear" w:color="auto" w:fill="FFFFFF"/>
        </w:rPr>
        <w:t>C</w:t>
      </w:r>
      <w:r w:rsidR="00662EB0" w:rsidRPr="00631CF2">
        <w:rPr>
          <w:rFonts w:ascii="Times New Roman" w:hAnsi="Times New Roman" w:cs="Times New Roman"/>
          <w:i/>
          <w:iCs/>
          <w:color w:val="202020"/>
          <w:sz w:val="24"/>
          <w:szCs w:val="24"/>
          <w:shd w:val="clear" w:color="auto" w:fill="FFFFFF"/>
        </w:rPr>
        <w:t xml:space="preserve">. </w:t>
      </w:r>
      <w:proofErr w:type="spellStart"/>
      <w:r w:rsidR="00662EB0" w:rsidRPr="00631CF2">
        <w:rPr>
          <w:rFonts w:ascii="Times New Roman" w:hAnsi="Times New Roman" w:cs="Times New Roman"/>
          <w:i/>
          <w:iCs/>
          <w:color w:val="202020"/>
          <w:sz w:val="24"/>
          <w:szCs w:val="24"/>
          <w:shd w:val="clear" w:color="auto" w:fill="FFFFFF"/>
        </w:rPr>
        <w:t>clandestinus</w:t>
      </w:r>
      <w:proofErr w:type="spellEnd"/>
      <w:r w:rsidR="00662EB0" w:rsidRPr="00631CF2">
        <w:rPr>
          <w:rFonts w:ascii="Times New Roman" w:hAnsi="Times New Roman" w:cs="Times New Roman"/>
          <w:color w:val="202020"/>
          <w:sz w:val="24"/>
          <w:szCs w:val="24"/>
          <w:shd w:val="clear" w:color="auto" w:fill="FFFFFF"/>
        </w:rPr>
        <w:t xml:space="preserve">), and tillers were counted and separated into leaf blades and stems (stem + </w:t>
      </w:r>
      <w:proofErr w:type="spellStart"/>
      <w:r w:rsidR="00662EB0" w:rsidRPr="00631CF2">
        <w:rPr>
          <w:rFonts w:ascii="Times New Roman" w:hAnsi="Times New Roman" w:cs="Times New Roman"/>
          <w:color w:val="202020"/>
          <w:sz w:val="24"/>
          <w:szCs w:val="24"/>
          <w:shd w:val="clear" w:color="auto" w:fill="FFFFFF"/>
        </w:rPr>
        <w:t>pseudostem</w:t>
      </w:r>
      <w:proofErr w:type="spellEnd"/>
      <w:r w:rsidR="00662EB0" w:rsidRPr="00631CF2">
        <w:rPr>
          <w:rFonts w:ascii="Times New Roman" w:hAnsi="Times New Roman" w:cs="Times New Roman"/>
          <w:color w:val="202020"/>
          <w:sz w:val="24"/>
          <w:szCs w:val="24"/>
          <w:shd w:val="clear" w:color="auto" w:fill="FFFFFF"/>
        </w:rPr>
        <w:t>)</w:t>
      </w:r>
      <w:r w:rsidRPr="00631CF2">
        <w:rPr>
          <w:rFonts w:ascii="Times New Roman" w:eastAsia="Times New Roman" w:hAnsi="Times New Roman" w:cs="Times New Roman"/>
          <w:sz w:val="24"/>
          <w:szCs w:val="24"/>
          <w:lang w:eastAsia="en-AU"/>
        </w:rPr>
        <w:t>.</w:t>
      </w:r>
      <w:r w:rsidRPr="00631CF2">
        <w:rPr>
          <w:rFonts w:ascii="Times New Roman" w:hAnsi="Times New Roman" w:cs="Times New Roman"/>
          <w:color w:val="202020"/>
          <w:sz w:val="24"/>
          <w:szCs w:val="24"/>
          <w:shd w:val="clear" w:color="auto" w:fill="FFFFFF"/>
        </w:rPr>
        <w:t xml:space="preserve"> </w:t>
      </w:r>
      <w:r w:rsidR="00662EB0" w:rsidRPr="00631CF2">
        <w:rPr>
          <w:rFonts w:ascii="Times New Roman" w:hAnsi="Times New Roman" w:cs="Times New Roman"/>
          <w:color w:val="202020"/>
          <w:sz w:val="24"/>
          <w:szCs w:val="24"/>
          <w:shd w:val="clear" w:color="auto" w:fill="FFFFFF"/>
        </w:rPr>
        <w:t>Total TPD for the mixed pasture was calculated as the sum of individual species' TPD values</w:t>
      </w:r>
      <w:r w:rsidRPr="00631CF2">
        <w:rPr>
          <w:rFonts w:ascii="Times New Roman" w:hAnsi="Times New Roman" w:cs="Times New Roman"/>
          <w:color w:val="202020"/>
          <w:sz w:val="24"/>
          <w:szCs w:val="24"/>
          <w:shd w:val="clear" w:color="auto" w:fill="FFFFFF"/>
        </w:rPr>
        <w:t xml:space="preserve">. </w:t>
      </w:r>
      <w:r w:rsidRPr="00631CF2">
        <w:rPr>
          <w:rFonts w:ascii="Times New Roman" w:eastAsia="Times New Roman" w:hAnsi="Times New Roman" w:cs="Times New Roman"/>
          <w:sz w:val="24"/>
          <w:szCs w:val="24"/>
          <w:lang w:eastAsia="en-AU"/>
        </w:rPr>
        <w:t xml:space="preserve">The area of all leaves (SLA) per </w:t>
      </w:r>
      <w:r w:rsidR="29555086" w:rsidRPr="00631CF2">
        <w:rPr>
          <w:rFonts w:ascii="Times New Roman" w:eastAsia="Times New Roman" w:hAnsi="Times New Roman" w:cs="Times New Roman"/>
          <w:sz w:val="24"/>
          <w:szCs w:val="24"/>
          <w:lang w:eastAsia="en-AU"/>
        </w:rPr>
        <w:t>species</w:t>
      </w:r>
      <w:r w:rsidRPr="00631CF2">
        <w:rPr>
          <w:rFonts w:ascii="Times New Roman" w:eastAsia="Times New Roman" w:hAnsi="Times New Roman" w:cs="Times New Roman"/>
          <w:sz w:val="24"/>
          <w:szCs w:val="24"/>
          <w:lang w:eastAsia="en-AU"/>
        </w:rPr>
        <w:t xml:space="preserve"> was measured using a leaf area meter (LI-3100C; LICOR, Lincoln, Nebraska, USA). </w:t>
      </w:r>
      <w:r w:rsidR="00662EB0" w:rsidRPr="00631CF2">
        <w:rPr>
          <w:rFonts w:ascii="Times New Roman" w:eastAsia="Times New Roman" w:hAnsi="Times New Roman" w:cs="Times New Roman"/>
          <w:sz w:val="24"/>
          <w:szCs w:val="24"/>
          <w:lang w:eastAsia="en-AU"/>
        </w:rPr>
        <w:t xml:space="preserve">Tillers were then dried in a forced-air oven at 65°C for 72 h and weighed to determine tiller weight (TW). The average tiller weight for the mixed pasture was calculated using the </w:t>
      </w:r>
      <w:r w:rsidR="007A3085" w:rsidRPr="00631CF2">
        <w:rPr>
          <w:rFonts w:ascii="Times New Roman" w:eastAsia="Times New Roman" w:hAnsi="Times New Roman" w:cs="Times New Roman"/>
          <w:sz w:val="24"/>
          <w:szCs w:val="24"/>
          <w:lang w:eastAsia="en-AU"/>
        </w:rPr>
        <w:t>following</w:t>
      </w:r>
      <w:r w:rsidR="00404F15" w:rsidRPr="00631CF2">
        <w:rPr>
          <w:rFonts w:ascii="Times New Roman" w:eastAsia="Times New Roman" w:hAnsi="Times New Roman" w:cs="Times New Roman"/>
          <w:sz w:val="24"/>
          <w:szCs w:val="24"/>
          <w:lang w:eastAsia="en-AU"/>
        </w:rPr>
        <w:t xml:space="preserve"> </w:t>
      </w:r>
      <w:r w:rsidR="00652A75" w:rsidRPr="00631CF2">
        <w:rPr>
          <w:rFonts w:ascii="Times New Roman" w:eastAsia="Times New Roman" w:hAnsi="Times New Roman" w:cs="Times New Roman"/>
          <w:sz w:val="24"/>
          <w:szCs w:val="24"/>
          <w:lang w:eastAsia="en-AU"/>
        </w:rPr>
        <w:t>formula</w:t>
      </w:r>
      <w:r w:rsidR="00662EB0" w:rsidRPr="00631CF2">
        <w:rPr>
          <w:rFonts w:ascii="Times New Roman" w:eastAsia="Times New Roman" w:hAnsi="Times New Roman" w:cs="Times New Roman"/>
          <w:sz w:val="24"/>
          <w:szCs w:val="24"/>
          <w:lang w:eastAsia="en-AU"/>
        </w:rPr>
        <w:t>:</w:t>
      </w:r>
    </w:p>
    <w:p w14:paraId="2B862022" w14:textId="77777777" w:rsidR="007A3085" w:rsidRPr="00631CF2" w:rsidRDefault="007A3085" w:rsidP="007F0193">
      <w:pPr>
        <w:widowControl w:val="0"/>
        <w:spacing w:after="0" w:line="480" w:lineRule="auto"/>
        <w:jc w:val="both"/>
        <w:rPr>
          <w:rFonts w:ascii="Times New Roman" w:eastAsia="Times New Roman" w:hAnsi="Times New Roman" w:cs="Times New Roman"/>
          <w:sz w:val="24"/>
          <w:szCs w:val="24"/>
          <w:lang w:eastAsia="en-AU"/>
        </w:rPr>
      </w:pPr>
    </w:p>
    <w:p w14:paraId="125B6388" w14:textId="2C1E9A86" w:rsidR="000F33C5" w:rsidRPr="00631CF2" w:rsidRDefault="00662EB0" w:rsidP="007F0193">
      <w:pPr>
        <w:widowControl w:val="0"/>
        <w:spacing w:after="0" w:line="480" w:lineRule="auto"/>
        <w:ind w:firstLine="426"/>
        <w:jc w:val="both"/>
        <w:rPr>
          <w:rFonts w:ascii="Times New Roman" w:hAnsi="Times New Roman" w:cs="Times New Roman"/>
          <w:sz w:val="24"/>
          <w:szCs w:val="24"/>
        </w:rPr>
      </w:pPr>
      <w:r w:rsidRPr="00631CF2">
        <w:rPr>
          <w:rFonts w:ascii="Times New Roman" w:eastAsia="Times New Roman" w:hAnsi="Times New Roman" w:cs="Times New Roman"/>
          <w:sz w:val="24"/>
          <w:szCs w:val="24"/>
          <w:lang w:eastAsia="en-AU"/>
        </w:rPr>
        <w:lastRenderedPageBreak/>
        <w:t xml:space="preserve">Mixed pasture TW = </w:t>
      </w:r>
      <w:proofErr w:type="gramStart"/>
      <w:r w:rsidRPr="00631CF2">
        <w:rPr>
          <w:rFonts w:ascii="Times New Roman" w:eastAsia="Times New Roman" w:hAnsi="Times New Roman" w:cs="Times New Roman"/>
          <w:sz w:val="24"/>
          <w:szCs w:val="24"/>
          <w:lang w:eastAsia="en-AU"/>
        </w:rPr>
        <w:t>Σ(</w:t>
      </w:r>
      <w:proofErr w:type="gramEnd"/>
      <w:r w:rsidRPr="00631CF2">
        <w:rPr>
          <w:rFonts w:ascii="Times New Roman" w:eastAsia="Times New Roman" w:hAnsi="Times New Roman" w:cs="Times New Roman"/>
          <w:sz w:val="24"/>
          <w:szCs w:val="24"/>
          <w:lang w:eastAsia="en-AU"/>
        </w:rPr>
        <w:t>TW × TPD per species) / Total TPD</w:t>
      </w:r>
      <w:r w:rsidR="412175EC" w:rsidRPr="00631CF2">
        <w:rPr>
          <w:rFonts w:ascii="Times New Roman" w:hAnsi="Times New Roman" w:cs="Times New Roman"/>
          <w:color w:val="202020"/>
          <w:sz w:val="24"/>
          <w:szCs w:val="24"/>
          <w:shd w:val="clear" w:color="auto" w:fill="FFFFFF"/>
        </w:rPr>
        <w:t xml:space="preserve"> </w:t>
      </w:r>
      <w:r w:rsidR="00D23CCD">
        <w:rPr>
          <w:rFonts w:ascii="Times New Roman" w:hAnsi="Times New Roman" w:cs="Times New Roman"/>
          <w:color w:val="202020"/>
          <w:sz w:val="24"/>
          <w:szCs w:val="24"/>
          <w:shd w:val="clear" w:color="auto" w:fill="FFFFFF"/>
        </w:rPr>
        <w:tab/>
      </w:r>
      <w:r w:rsidR="00D23CCD">
        <w:rPr>
          <w:rFonts w:ascii="Times New Roman" w:hAnsi="Times New Roman" w:cs="Times New Roman"/>
          <w:color w:val="202020"/>
          <w:sz w:val="24"/>
          <w:szCs w:val="24"/>
          <w:shd w:val="clear" w:color="auto" w:fill="FFFFFF"/>
        </w:rPr>
        <w:tab/>
      </w:r>
      <w:r w:rsidR="00D22984">
        <w:rPr>
          <w:rFonts w:ascii="Times New Roman" w:hAnsi="Times New Roman" w:cs="Times New Roman"/>
          <w:color w:val="202020"/>
          <w:sz w:val="24"/>
          <w:szCs w:val="24"/>
          <w:shd w:val="clear" w:color="auto" w:fill="FFFFFF"/>
        </w:rPr>
        <w:t>(1)</w:t>
      </w:r>
    </w:p>
    <w:p w14:paraId="3F417346" w14:textId="77777777" w:rsidR="007A3085" w:rsidRPr="00631CF2" w:rsidRDefault="007A3085" w:rsidP="007A3085">
      <w:pPr>
        <w:widowControl w:val="0"/>
        <w:spacing w:after="0" w:line="480" w:lineRule="auto"/>
        <w:jc w:val="both"/>
        <w:rPr>
          <w:rFonts w:ascii="Times New Roman" w:eastAsia="Times New Roman" w:hAnsi="Times New Roman" w:cs="Times New Roman"/>
          <w:sz w:val="24"/>
          <w:szCs w:val="24"/>
          <w:lang w:eastAsia="en-AU"/>
        </w:rPr>
      </w:pPr>
    </w:p>
    <w:p w14:paraId="5706122D" w14:textId="55447B77" w:rsidR="000F33C5" w:rsidRPr="00631CF2" w:rsidRDefault="00662EB0" w:rsidP="007A3085">
      <w:pPr>
        <w:widowControl w:val="0"/>
        <w:spacing w:after="0" w:line="480" w:lineRule="auto"/>
        <w:jc w:val="both"/>
        <w:rPr>
          <w:rFonts w:ascii="Times New Roman" w:eastAsia="Times New Roman" w:hAnsi="Times New Roman" w:cs="Times New Roman"/>
          <w:i/>
          <w:iCs/>
          <w:sz w:val="24"/>
          <w:szCs w:val="24"/>
          <w:lang w:eastAsia="en-AU"/>
        </w:rPr>
      </w:pPr>
      <w:r w:rsidRPr="00631CF2">
        <w:rPr>
          <w:rFonts w:ascii="Times New Roman" w:eastAsia="Times New Roman" w:hAnsi="Times New Roman" w:cs="Times New Roman"/>
          <w:sz w:val="24"/>
          <w:szCs w:val="24"/>
          <w:lang w:eastAsia="en-AU"/>
        </w:rPr>
        <w:t xml:space="preserve">Leaf area index (LAI) was calculated separately for each species </w:t>
      </w:r>
      <w:r w:rsidR="412175EC" w:rsidRPr="00631CF2">
        <w:rPr>
          <w:rFonts w:ascii="Times New Roman" w:eastAsia="Times New Roman" w:hAnsi="Times New Roman" w:cs="Times New Roman"/>
          <w:sz w:val="24"/>
          <w:szCs w:val="24"/>
          <w:lang w:eastAsia="en-AU"/>
        </w:rPr>
        <w:t xml:space="preserve">by multiplying the leaf mass by the specific leaf area (SLA). The LAI of the mixed pasture was obtained by summing the LAI values of </w:t>
      </w:r>
      <w:r w:rsidR="412175EC" w:rsidRPr="00631CF2">
        <w:rPr>
          <w:rFonts w:ascii="Times New Roman" w:eastAsia="Times New Roman" w:hAnsi="Times New Roman" w:cs="Times New Roman"/>
          <w:i/>
          <w:iCs/>
          <w:sz w:val="24"/>
          <w:szCs w:val="24"/>
          <w:lang w:eastAsia="en-AU"/>
        </w:rPr>
        <w:t xml:space="preserve">L. </w:t>
      </w:r>
      <w:proofErr w:type="spellStart"/>
      <w:r w:rsidR="412175EC" w:rsidRPr="00631CF2">
        <w:rPr>
          <w:rFonts w:ascii="Times New Roman" w:eastAsia="Times New Roman" w:hAnsi="Times New Roman" w:cs="Times New Roman"/>
          <w:i/>
          <w:iCs/>
          <w:sz w:val="24"/>
          <w:szCs w:val="24"/>
          <w:lang w:eastAsia="en-AU"/>
        </w:rPr>
        <w:t>arundinaceum</w:t>
      </w:r>
      <w:proofErr w:type="spellEnd"/>
      <w:r w:rsidR="412175EC" w:rsidRPr="00631CF2">
        <w:rPr>
          <w:rFonts w:ascii="Times New Roman" w:eastAsia="Times New Roman" w:hAnsi="Times New Roman" w:cs="Times New Roman"/>
          <w:i/>
          <w:iCs/>
          <w:sz w:val="24"/>
          <w:szCs w:val="24"/>
          <w:lang w:eastAsia="en-AU"/>
        </w:rPr>
        <w:t xml:space="preserve"> </w:t>
      </w:r>
      <w:r w:rsidR="412175EC" w:rsidRPr="00631CF2">
        <w:rPr>
          <w:rFonts w:ascii="Times New Roman" w:eastAsia="Times New Roman" w:hAnsi="Times New Roman" w:cs="Times New Roman"/>
          <w:sz w:val="24"/>
          <w:szCs w:val="24"/>
          <w:lang w:eastAsia="en-AU"/>
        </w:rPr>
        <w:t xml:space="preserve">and </w:t>
      </w:r>
      <w:r w:rsidR="003133C1" w:rsidRPr="00631CF2">
        <w:rPr>
          <w:rFonts w:ascii="Times New Roman" w:eastAsia="Times New Roman" w:hAnsi="Times New Roman" w:cs="Times New Roman"/>
          <w:i/>
          <w:iCs/>
          <w:sz w:val="24"/>
          <w:szCs w:val="24"/>
          <w:lang w:eastAsia="en-AU"/>
        </w:rPr>
        <w:t>C</w:t>
      </w:r>
      <w:r w:rsidR="412175EC" w:rsidRPr="00631CF2">
        <w:rPr>
          <w:rFonts w:ascii="Times New Roman" w:eastAsia="Times New Roman" w:hAnsi="Times New Roman" w:cs="Times New Roman"/>
          <w:i/>
          <w:iCs/>
          <w:sz w:val="24"/>
          <w:szCs w:val="24"/>
          <w:lang w:eastAsia="en-AU"/>
        </w:rPr>
        <w:t xml:space="preserve">. </w:t>
      </w:r>
      <w:proofErr w:type="spellStart"/>
      <w:r w:rsidR="412175EC" w:rsidRPr="00631CF2">
        <w:rPr>
          <w:rFonts w:ascii="Times New Roman" w:eastAsia="Times New Roman" w:hAnsi="Times New Roman" w:cs="Times New Roman"/>
          <w:i/>
          <w:iCs/>
          <w:sz w:val="24"/>
          <w:szCs w:val="24"/>
          <w:lang w:eastAsia="en-AU"/>
        </w:rPr>
        <w:t>clandestinus</w:t>
      </w:r>
      <w:proofErr w:type="spellEnd"/>
      <w:r w:rsidR="412175EC" w:rsidRPr="00631CF2">
        <w:rPr>
          <w:rFonts w:ascii="Times New Roman" w:eastAsia="Times New Roman" w:hAnsi="Times New Roman" w:cs="Times New Roman"/>
          <w:i/>
          <w:iCs/>
          <w:sz w:val="24"/>
          <w:szCs w:val="24"/>
          <w:lang w:eastAsia="en-AU"/>
        </w:rPr>
        <w:t xml:space="preserve">. </w:t>
      </w:r>
    </w:p>
    <w:p w14:paraId="076D74E0" w14:textId="77777777" w:rsidR="007A3085" w:rsidRPr="00631CF2" w:rsidRDefault="007A3085" w:rsidP="007A3085">
      <w:pPr>
        <w:widowControl w:val="0"/>
        <w:spacing w:after="0" w:line="480" w:lineRule="auto"/>
        <w:jc w:val="both"/>
        <w:rPr>
          <w:rFonts w:ascii="Times New Roman" w:eastAsia="Times New Roman" w:hAnsi="Times New Roman" w:cs="Times New Roman"/>
          <w:i/>
          <w:iCs/>
          <w:sz w:val="24"/>
          <w:szCs w:val="24"/>
          <w:lang w:eastAsia="en-AU"/>
        </w:rPr>
      </w:pPr>
    </w:p>
    <w:p w14:paraId="1EF423EA" w14:textId="77777777" w:rsidR="000F33C5" w:rsidRPr="00631CF2" w:rsidRDefault="412175EC" w:rsidP="007F0193">
      <w:pPr>
        <w:pStyle w:val="Heading2"/>
        <w:keepLines w:val="0"/>
        <w:widowControl w:val="0"/>
        <w:spacing w:before="0" w:line="480" w:lineRule="auto"/>
        <w:jc w:val="both"/>
        <w:rPr>
          <w:rFonts w:eastAsia="Times New Roman" w:cs="Times New Roman"/>
          <w:b w:val="0"/>
          <w:bCs w:val="0"/>
          <w:color w:val="70AD47" w:themeColor="accent6"/>
          <w:sz w:val="24"/>
          <w:szCs w:val="24"/>
          <w:lang w:val="en-GB"/>
        </w:rPr>
      </w:pPr>
      <w:r w:rsidRPr="00631CF2">
        <w:rPr>
          <w:rFonts w:eastAsia="Times New Roman" w:cs="Times New Roman"/>
          <w:b w:val="0"/>
          <w:bCs w:val="0"/>
          <w:color w:val="70AD47" w:themeColor="accent6"/>
          <w:sz w:val="24"/>
          <w:szCs w:val="24"/>
          <w:lang w:val="en-GB"/>
        </w:rPr>
        <w:t>Tiller population dynamics</w:t>
      </w:r>
    </w:p>
    <w:p w14:paraId="17127A23" w14:textId="43ACDC86" w:rsidR="000F33C5" w:rsidRPr="00631CF2" w:rsidRDefault="412175EC" w:rsidP="007F0193">
      <w:pPr>
        <w:widowControl w:val="0"/>
        <w:spacing w:after="0" w:line="480" w:lineRule="auto"/>
        <w:jc w:val="both"/>
        <w:rPr>
          <w:rFonts w:ascii="Times New Roman" w:hAnsi="Times New Roman" w:cs="Times New Roman"/>
          <w:sz w:val="24"/>
          <w:szCs w:val="24"/>
        </w:rPr>
      </w:pPr>
      <w:r w:rsidRPr="00631CF2">
        <w:rPr>
          <w:rFonts w:ascii="Times New Roman" w:hAnsi="Times New Roman" w:cs="Times New Roman"/>
          <w:sz w:val="24"/>
          <w:szCs w:val="24"/>
          <w:shd w:val="clear" w:color="auto" w:fill="FFFFFF"/>
        </w:rPr>
        <w:t xml:space="preserve">The tiller population dynamics </w:t>
      </w:r>
      <w:r w:rsidR="00E80E9F" w:rsidRPr="00631CF2">
        <w:rPr>
          <w:rFonts w:ascii="Times New Roman" w:hAnsi="Times New Roman" w:cs="Times New Roman"/>
          <w:color w:val="202020"/>
          <w:sz w:val="24"/>
          <w:szCs w:val="24"/>
          <w:shd w:val="clear" w:color="auto" w:fill="FFFFFF"/>
        </w:rPr>
        <w:t>were monitored using two fixed PVC rings (20 cm diameter, 0.0314 m² each) placed in representative locations within each experimental unit</w:t>
      </w:r>
      <w:r w:rsidRPr="00631CF2">
        <w:rPr>
          <w:rFonts w:ascii="Times New Roman" w:hAnsi="Times New Roman" w:cs="Times New Roman"/>
          <w:color w:val="202020"/>
          <w:sz w:val="24"/>
          <w:szCs w:val="24"/>
          <w:shd w:val="clear" w:color="auto" w:fill="FFFFFF"/>
        </w:rPr>
        <w:t xml:space="preserve">. </w:t>
      </w:r>
      <w:r w:rsidR="00E80E9F" w:rsidRPr="00631CF2">
        <w:rPr>
          <w:rFonts w:ascii="Times New Roman" w:hAnsi="Times New Roman" w:cs="Times New Roman"/>
          <w:sz w:val="24"/>
          <w:szCs w:val="24"/>
        </w:rPr>
        <w:t>Monthly tiller counts were conducted at 30-day intervals from November 2017 through November 2020</w:t>
      </w:r>
      <w:r w:rsidRPr="00631CF2">
        <w:rPr>
          <w:rFonts w:ascii="Times New Roman" w:hAnsi="Times New Roman" w:cs="Times New Roman"/>
          <w:sz w:val="24"/>
          <w:szCs w:val="24"/>
        </w:rPr>
        <w:t xml:space="preserve">. </w:t>
      </w:r>
      <w:r w:rsidR="00E80E9F" w:rsidRPr="00631CF2">
        <w:rPr>
          <w:rFonts w:ascii="Times New Roman" w:hAnsi="Times New Roman" w:cs="Times New Roman"/>
          <w:sz w:val="24"/>
          <w:szCs w:val="24"/>
        </w:rPr>
        <w:t>At the initial evaluation (November 2017), all existing tillers were marked with species-specific colo</w:t>
      </w:r>
      <w:r w:rsidR="00D23CCD">
        <w:rPr>
          <w:rFonts w:ascii="Times New Roman" w:hAnsi="Times New Roman" w:cs="Times New Roman"/>
          <w:sz w:val="24"/>
          <w:szCs w:val="24"/>
        </w:rPr>
        <w:t>u</w:t>
      </w:r>
      <w:r w:rsidR="00E80E9F" w:rsidRPr="00631CF2">
        <w:rPr>
          <w:rFonts w:ascii="Times New Roman" w:hAnsi="Times New Roman" w:cs="Times New Roman"/>
          <w:sz w:val="24"/>
          <w:szCs w:val="24"/>
        </w:rPr>
        <w:t>red plastic clips and designated as "zero generation".</w:t>
      </w:r>
      <w:r w:rsidRPr="00631CF2">
        <w:rPr>
          <w:rFonts w:ascii="Times New Roman" w:hAnsi="Times New Roman" w:cs="Times New Roman"/>
          <w:sz w:val="24"/>
          <w:szCs w:val="24"/>
        </w:rPr>
        <w:t xml:space="preserve"> </w:t>
      </w:r>
      <w:r w:rsidR="00E80E9F" w:rsidRPr="00631CF2">
        <w:rPr>
          <w:rFonts w:ascii="Times New Roman" w:hAnsi="Times New Roman" w:cs="Times New Roman"/>
          <w:sz w:val="24"/>
          <w:szCs w:val="24"/>
        </w:rPr>
        <w:t>In subsequent monthly evaluations, surviving tillers from previous generations were counted, and newly emerged tillers were marked with different colo</w:t>
      </w:r>
      <w:r w:rsidR="00D23CCD">
        <w:rPr>
          <w:rFonts w:ascii="Times New Roman" w:hAnsi="Times New Roman" w:cs="Times New Roman"/>
          <w:sz w:val="24"/>
          <w:szCs w:val="24"/>
        </w:rPr>
        <w:t>u</w:t>
      </w:r>
      <w:r w:rsidR="00E80E9F" w:rsidRPr="00631CF2">
        <w:rPr>
          <w:rFonts w:ascii="Times New Roman" w:hAnsi="Times New Roman" w:cs="Times New Roman"/>
          <w:sz w:val="24"/>
          <w:szCs w:val="24"/>
        </w:rPr>
        <w:t xml:space="preserve">red clips and classified as the next generation. </w:t>
      </w:r>
      <w:r w:rsidRPr="00631CF2">
        <w:rPr>
          <w:rFonts w:ascii="Times New Roman" w:hAnsi="Times New Roman" w:cs="Times New Roman"/>
          <w:color w:val="202020"/>
          <w:sz w:val="24"/>
          <w:szCs w:val="24"/>
          <w:shd w:val="clear" w:color="auto" w:fill="FFFFFF"/>
        </w:rPr>
        <w:t xml:space="preserve">Simultaneously, the dead tillers of each species and generation were recorded and the clips were removed. </w:t>
      </w:r>
      <w:r w:rsidR="00E80E9F" w:rsidRPr="00631CF2">
        <w:rPr>
          <w:rFonts w:ascii="Times New Roman" w:hAnsi="Times New Roman" w:cs="Times New Roman"/>
          <w:color w:val="202020"/>
          <w:sz w:val="24"/>
          <w:szCs w:val="24"/>
          <w:shd w:val="clear" w:color="auto" w:fill="FFFFFF"/>
        </w:rPr>
        <w:t>Dead tillers (identified by withered, brown/yellow appearance) were recorded and their markers removed. This monitoring continued for three years, encompassing 36 evaluations and 35 tiller generations.</w:t>
      </w:r>
    </w:p>
    <w:p w14:paraId="3AE4580C" w14:textId="6E88B30E" w:rsidR="000F33C5" w:rsidRPr="00631CF2" w:rsidRDefault="412175EC" w:rsidP="007F0193">
      <w:pPr>
        <w:widowControl w:val="0"/>
        <w:spacing w:after="0" w:line="480" w:lineRule="auto"/>
        <w:ind w:firstLine="426"/>
        <w:jc w:val="both"/>
        <w:rPr>
          <w:rFonts w:ascii="Times New Roman" w:hAnsi="Times New Roman" w:cs="Times New Roman"/>
          <w:sz w:val="24"/>
          <w:szCs w:val="24"/>
        </w:rPr>
      </w:pPr>
      <w:bookmarkStart w:id="0" w:name="article1.body1.sec2.sec3.p5"/>
      <w:bookmarkEnd w:id="0"/>
      <w:r w:rsidRPr="00631CF2">
        <w:rPr>
          <w:rFonts w:ascii="Times New Roman" w:hAnsi="Times New Roman" w:cs="Times New Roman"/>
          <w:sz w:val="24"/>
          <w:szCs w:val="24"/>
        </w:rPr>
        <w:t>Subsequently, the</w:t>
      </w:r>
      <w:r w:rsidR="00E80E9F" w:rsidRPr="00631CF2">
        <w:rPr>
          <w:rFonts w:ascii="Times New Roman" w:hAnsi="Times New Roman" w:cs="Times New Roman"/>
          <w:sz w:val="24"/>
          <w:szCs w:val="24"/>
        </w:rPr>
        <w:t xml:space="preserve"> rates of</w:t>
      </w:r>
      <w:r w:rsidRPr="00631CF2">
        <w:rPr>
          <w:rFonts w:ascii="Times New Roman" w:hAnsi="Times New Roman" w:cs="Times New Roman"/>
          <w:sz w:val="24"/>
          <w:szCs w:val="24"/>
        </w:rPr>
        <w:t xml:space="preserve"> tiller appearance (T</w:t>
      </w:r>
      <w:r w:rsidR="00E80E9F" w:rsidRPr="00631CF2">
        <w:rPr>
          <w:rFonts w:ascii="Times New Roman" w:hAnsi="Times New Roman" w:cs="Times New Roman"/>
          <w:sz w:val="24"/>
          <w:szCs w:val="24"/>
        </w:rPr>
        <w:t>AR</w:t>
      </w:r>
      <w:r w:rsidRPr="00631CF2">
        <w:rPr>
          <w:rFonts w:ascii="Times New Roman" w:hAnsi="Times New Roman" w:cs="Times New Roman"/>
          <w:sz w:val="24"/>
          <w:szCs w:val="24"/>
        </w:rPr>
        <w:t>), mortality (TM</w:t>
      </w:r>
      <w:r w:rsidR="00E80E9F" w:rsidRPr="00631CF2">
        <w:rPr>
          <w:rFonts w:ascii="Times New Roman" w:hAnsi="Times New Roman" w:cs="Times New Roman"/>
          <w:sz w:val="24"/>
          <w:szCs w:val="24"/>
        </w:rPr>
        <w:t>R</w:t>
      </w:r>
      <w:r w:rsidRPr="00631CF2">
        <w:rPr>
          <w:rFonts w:ascii="Times New Roman" w:hAnsi="Times New Roman" w:cs="Times New Roman"/>
          <w:sz w:val="24"/>
          <w:szCs w:val="24"/>
        </w:rPr>
        <w:t>) and survival (TS</w:t>
      </w:r>
      <w:r w:rsidR="00E80E9F" w:rsidRPr="00631CF2">
        <w:rPr>
          <w:rFonts w:ascii="Times New Roman" w:hAnsi="Times New Roman" w:cs="Times New Roman"/>
          <w:sz w:val="24"/>
          <w:szCs w:val="24"/>
        </w:rPr>
        <w:t>R</w:t>
      </w:r>
      <w:r w:rsidRPr="00631CF2">
        <w:rPr>
          <w:rFonts w:ascii="Times New Roman" w:hAnsi="Times New Roman" w:cs="Times New Roman"/>
          <w:sz w:val="24"/>
          <w:szCs w:val="24"/>
        </w:rPr>
        <w:t xml:space="preserve">) of </w:t>
      </w:r>
      <w:r w:rsidRPr="00631CF2">
        <w:rPr>
          <w:rFonts w:ascii="Times New Roman" w:hAnsi="Times New Roman" w:cs="Times New Roman"/>
          <w:i/>
          <w:iCs/>
          <w:sz w:val="24"/>
          <w:szCs w:val="24"/>
        </w:rPr>
        <w:t xml:space="preserve">L. </w:t>
      </w:r>
      <w:proofErr w:type="spellStart"/>
      <w:r w:rsidRPr="00631CF2">
        <w:rPr>
          <w:rFonts w:ascii="Times New Roman" w:hAnsi="Times New Roman" w:cs="Times New Roman"/>
          <w:i/>
          <w:iCs/>
          <w:sz w:val="24"/>
          <w:szCs w:val="24"/>
        </w:rPr>
        <w:t>arundinaceum</w:t>
      </w:r>
      <w:proofErr w:type="spellEnd"/>
      <w:r w:rsidRPr="00631CF2">
        <w:rPr>
          <w:rFonts w:ascii="Times New Roman" w:hAnsi="Times New Roman" w:cs="Times New Roman"/>
          <w:sz w:val="24"/>
          <w:szCs w:val="24"/>
        </w:rPr>
        <w:t>,</w:t>
      </w:r>
      <w:r w:rsidRPr="00631CF2">
        <w:rPr>
          <w:rFonts w:ascii="Times New Roman" w:hAnsi="Times New Roman" w:cs="Times New Roman"/>
          <w:i/>
          <w:iCs/>
          <w:sz w:val="24"/>
          <w:szCs w:val="24"/>
        </w:rPr>
        <w:t xml:space="preserve"> </w:t>
      </w:r>
      <w:r w:rsidR="003133C1" w:rsidRPr="00631CF2">
        <w:rPr>
          <w:rFonts w:ascii="Times New Roman" w:hAnsi="Times New Roman" w:cs="Times New Roman"/>
          <w:i/>
          <w:iCs/>
          <w:sz w:val="24"/>
          <w:szCs w:val="24"/>
        </w:rPr>
        <w:t>C</w:t>
      </w:r>
      <w:r w:rsidRPr="00631CF2">
        <w:rPr>
          <w:rFonts w:ascii="Times New Roman" w:hAnsi="Times New Roman" w:cs="Times New Roman"/>
          <w:i/>
          <w:iCs/>
          <w:sz w:val="24"/>
          <w:szCs w:val="24"/>
        </w:rPr>
        <w:t xml:space="preserve">. </w:t>
      </w:r>
      <w:proofErr w:type="spellStart"/>
      <w:r w:rsidRPr="00631CF2">
        <w:rPr>
          <w:rFonts w:ascii="Times New Roman" w:hAnsi="Times New Roman" w:cs="Times New Roman"/>
          <w:i/>
          <w:iCs/>
          <w:sz w:val="24"/>
          <w:szCs w:val="24"/>
        </w:rPr>
        <w:t>clandestinus</w:t>
      </w:r>
      <w:proofErr w:type="spellEnd"/>
      <w:r w:rsidRPr="00631CF2">
        <w:rPr>
          <w:rFonts w:ascii="Times New Roman" w:hAnsi="Times New Roman" w:cs="Times New Roman"/>
          <w:sz w:val="24"/>
          <w:szCs w:val="24"/>
        </w:rPr>
        <w:t xml:space="preserve">, and mixed pasture were estimated. These indices were estimated monthly and grouped by season </w:t>
      </w:r>
      <w:r w:rsidR="6E348884" w:rsidRPr="00631CF2">
        <w:rPr>
          <w:rFonts w:ascii="Times New Roman" w:hAnsi="Times New Roman" w:cs="Times New Roman"/>
          <w:sz w:val="24"/>
          <w:szCs w:val="24"/>
        </w:rPr>
        <w:t>[</w:t>
      </w:r>
      <w:r w:rsidRPr="00631CF2">
        <w:rPr>
          <w:rFonts w:ascii="Times New Roman" w:hAnsi="Times New Roman" w:cs="Times New Roman"/>
          <w:sz w:val="24"/>
          <w:szCs w:val="24"/>
        </w:rPr>
        <w:t>winter, spring, and summer (summer + autumn)</w:t>
      </w:r>
      <w:r w:rsidR="56655A5D" w:rsidRPr="00631CF2">
        <w:rPr>
          <w:rFonts w:ascii="Times New Roman" w:hAnsi="Times New Roman" w:cs="Times New Roman"/>
          <w:sz w:val="24"/>
          <w:szCs w:val="24"/>
        </w:rPr>
        <w:t>]</w:t>
      </w:r>
      <w:r w:rsidRPr="00631CF2">
        <w:rPr>
          <w:rFonts w:ascii="Times New Roman" w:hAnsi="Times New Roman" w:cs="Times New Roman"/>
          <w:sz w:val="24"/>
          <w:szCs w:val="24"/>
        </w:rPr>
        <w:t xml:space="preserve">. The tiller appearance </w:t>
      </w:r>
      <w:r w:rsidR="00E80E9F" w:rsidRPr="00631CF2">
        <w:rPr>
          <w:rFonts w:ascii="Times New Roman" w:hAnsi="Times New Roman" w:cs="Times New Roman"/>
          <w:sz w:val="24"/>
          <w:szCs w:val="24"/>
        </w:rPr>
        <w:t>rate</w:t>
      </w:r>
      <w:r w:rsidRPr="00631CF2">
        <w:rPr>
          <w:rFonts w:ascii="Times New Roman" w:hAnsi="Times New Roman" w:cs="Times New Roman"/>
          <w:sz w:val="24"/>
          <w:szCs w:val="24"/>
        </w:rPr>
        <w:t xml:space="preserve"> was calculated by the relation of tiller emergence in the evaluation and the total tillers </w:t>
      </w:r>
      <w:r w:rsidR="00E80E9F" w:rsidRPr="00631CF2">
        <w:rPr>
          <w:rFonts w:ascii="Times New Roman" w:hAnsi="Times New Roman" w:cs="Times New Roman"/>
          <w:sz w:val="24"/>
          <w:szCs w:val="24"/>
        </w:rPr>
        <w:t xml:space="preserve">existing </w:t>
      </w:r>
      <w:r w:rsidRPr="00631CF2">
        <w:rPr>
          <w:rFonts w:ascii="Times New Roman" w:hAnsi="Times New Roman" w:cs="Times New Roman"/>
          <w:sz w:val="24"/>
          <w:szCs w:val="24"/>
        </w:rPr>
        <w:t xml:space="preserve">in the previous evaluation. The tiller survival </w:t>
      </w:r>
      <w:r w:rsidR="00E80E9F" w:rsidRPr="00631CF2">
        <w:rPr>
          <w:rFonts w:ascii="Times New Roman" w:hAnsi="Times New Roman" w:cs="Times New Roman"/>
          <w:sz w:val="24"/>
          <w:szCs w:val="24"/>
        </w:rPr>
        <w:t>rate</w:t>
      </w:r>
      <w:r w:rsidRPr="00631CF2">
        <w:rPr>
          <w:rFonts w:ascii="Times New Roman" w:hAnsi="Times New Roman" w:cs="Times New Roman"/>
          <w:sz w:val="24"/>
          <w:szCs w:val="24"/>
        </w:rPr>
        <w:t xml:space="preserve"> was obtained from the relationship between the total number of tillers alive (excluding the emerged tillers) and the total tillers in the previous evaluation</w:t>
      </w:r>
      <w:r w:rsidR="00E80E9F" w:rsidRPr="00631CF2">
        <w:rPr>
          <w:rFonts w:ascii="Times New Roman" w:hAnsi="Times New Roman" w:cs="Times New Roman"/>
          <w:sz w:val="24"/>
          <w:szCs w:val="24"/>
        </w:rPr>
        <w:t xml:space="preserve"> and</w:t>
      </w:r>
      <w:r w:rsidRPr="00631CF2">
        <w:rPr>
          <w:rFonts w:ascii="Times New Roman" w:hAnsi="Times New Roman" w:cs="Times New Roman"/>
          <w:sz w:val="24"/>
          <w:szCs w:val="24"/>
        </w:rPr>
        <w:t xml:space="preserve"> </w:t>
      </w:r>
      <w:r w:rsidR="00E80E9F" w:rsidRPr="00631CF2">
        <w:rPr>
          <w:rFonts w:ascii="Times New Roman" w:hAnsi="Times New Roman" w:cs="Times New Roman"/>
          <w:sz w:val="24"/>
          <w:szCs w:val="24"/>
        </w:rPr>
        <w:t>t</w:t>
      </w:r>
      <w:r w:rsidRPr="00631CF2">
        <w:rPr>
          <w:rFonts w:ascii="Times New Roman" w:hAnsi="Times New Roman" w:cs="Times New Roman"/>
          <w:sz w:val="24"/>
          <w:szCs w:val="24"/>
        </w:rPr>
        <w:t xml:space="preserve">he tiller mortality </w:t>
      </w:r>
      <w:r w:rsidR="00E80E9F" w:rsidRPr="00631CF2">
        <w:rPr>
          <w:rFonts w:ascii="Times New Roman" w:hAnsi="Times New Roman" w:cs="Times New Roman"/>
          <w:sz w:val="24"/>
          <w:szCs w:val="24"/>
        </w:rPr>
        <w:t>rate</w:t>
      </w:r>
      <w:r w:rsidRPr="00631CF2">
        <w:rPr>
          <w:rFonts w:ascii="Times New Roman" w:hAnsi="Times New Roman" w:cs="Times New Roman"/>
          <w:sz w:val="24"/>
          <w:szCs w:val="24"/>
        </w:rPr>
        <w:t xml:space="preserve"> was obtained by subtracting the total tiller survival rate from 1. The tiller appearance, mortality, and survival </w:t>
      </w:r>
      <w:r w:rsidR="00E80E9F" w:rsidRPr="00631CF2">
        <w:rPr>
          <w:rFonts w:ascii="Times New Roman" w:hAnsi="Times New Roman" w:cs="Times New Roman"/>
          <w:sz w:val="24"/>
          <w:szCs w:val="24"/>
        </w:rPr>
        <w:t>rates</w:t>
      </w:r>
      <w:r w:rsidRPr="00631CF2">
        <w:rPr>
          <w:rFonts w:ascii="Times New Roman" w:hAnsi="Times New Roman" w:cs="Times New Roman"/>
          <w:sz w:val="24"/>
          <w:szCs w:val="24"/>
        </w:rPr>
        <w:t xml:space="preserve"> were also calculated for the mixture, given the tiller number that appeared, died, and survived from each grass. </w:t>
      </w:r>
    </w:p>
    <w:p w14:paraId="01CECEB3" w14:textId="325A20D9" w:rsidR="00500E1B" w:rsidRDefault="00500E1B"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 xml:space="preserve">The population stability index (SI) was calculated for individual grass species and the mixed pasture to assess tiller population dynamics between successive evaluations. This index was calculated using </w:t>
      </w:r>
      <w:r w:rsidR="00F87EEE" w:rsidRPr="00631CF2">
        <w:rPr>
          <w:rFonts w:ascii="Times New Roman" w:hAnsi="Times New Roman" w:cs="Times New Roman"/>
          <w:sz w:val="24"/>
          <w:szCs w:val="24"/>
        </w:rPr>
        <w:t>e</w:t>
      </w:r>
      <w:r w:rsidRPr="00631CF2">
        <w:rPr>
          <w:rFonts w:ascii="Times New Roman" w:hAnsi="Times New Roman" w:cs="Times New Roman"/>
          <w:sz w:val="24"/>
          <w:szCs w:val="24"/>
        </w:rPr>
        <w:t xml:space="preserve">quation </w:t>
      </w:r>
      <w:r w:rsidR="00D23CCD">
        <w:rPr>
          <w:rFonts w:ascii="Times New Roman" w:hAnsi="Times New Roman" w:cs="Times New Roman"/>
          <w:sz w:val="24"/>
          <w:szCs w:val="24"/>
        </w:rPr>
        <w:t>2</w:t>
      </w:r>
      <w:r w:rsidR="62B3D7DC" w:rsidRPr="00631CF2">
        <w:rPr>
          <w:rFonts w:ascii="Times New Roman" w:hAnsi="Times New Roman" w:cs="Times New Roman"/>
          <w:sz w:val="24"/>
          <w:szCs w:val="24"/>
        </w:rPr>
        <w:t xml:space="preserve"> </w:t>
      </w:r>
      <w:r w:rsidRPr="00631CF2">
        <w:rPr>
          <w:rFonts w:ascii="Times New Roman" w:hAnsi="Times New Roman" w:cs="Times New Roman"/>
          <w:sz w:val="24"/>
          <w:szCs w:val="24"/>
        </w:rPr>
        <w:t>(</w:t>
      </w:r>
      <w:proofErr w:type="spellStart"/>
      <w:r w:rsidRPr="00631CF2">
        <w:rPr>
          <w:rFonts w:ascii="Times New Roman" w:hAnsi="Times New Roman" w:cs="Times New Roman"/>
          <w:sz w:val="24"/>
          <w:szCs w:val="24"/>
        </w:rPr>
        <w:t>Duchini</w:t>
      </w:r>
      <w:proofErr w:type="spellEnd"/>
      <w:r w:rsidRPr="00631CF2">
        <w:rPr>
          <w:rFonts w:ascii="Times New Roman" w:hAnsi="Times New Roman" w:cs="Times New Roman"/>
          <w:sz w:val="24"/>
          <w:szCs w:val="24"/>
        </w:rPr>
        <w:t xml:space="preserve"> </w:t>
      </w:r>
      <w:r w:rsidRPr="00631CF2">
        <w:rPr>
          <w:rFonts w:ascii="Times New Roman" w:hAnsi="Times New Roman" w:cs="Times New Roman"/>
          <w:i/>
          <w:iCs/>
          <w:sz w:val="24"/>
          <w:szCs w:val="24"/>
        </w:rPr>
        <w:t>et al.</w:t>
      </w:r>
      <w:r w:rsidRPr="00631CF2">
        <w:rPr>
          <w:rFonts w:ascii="Times New Roman" w:hAnsi="Times New Roman" w:cs="Times New Roman"/>
          <w:sz w:val="24"/>
          <w:szCs w:val="24"/>
        </w:rPr>
        <w:t>, 2018):</w:t>
      </w:r>
    </w:p>
    <w:p w14:paraId="6C97A738" w14:textId="77777777" w:rsidR="008F0BD8" w:rsidRPr="00631CF2" w:rsidRDefault="008F0BD8" w:rsidP="007F0193">
      <w:pPr>
        <w:widowControl w:val="0"/>
        <w:spacing w:after="0" w:line="480" w:lineRule="auto"/>
        <w:ind w:firstLine="426"/>
        <w:jc w:val="both"/>
        <w:rPr>
          <w:rFonts w:ascii="Times New Roman" w:hAnsi="Times New Roman" w:cs="Times New Roman"/>
          <w:sz w:val="24"/>
          <w:szCs w:val="24"/>
        </w:rPr>
      </w:pPr>
    </w:p>
    <w:p w14:paraId="75DC493E" w14:textId="1831E7B4" w:rsidR="00500E1B" w:rsidRPr="00631CF2" w:rsidRDefault="00500E1B"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SI = Pt₁/Pt₀ = (TAR + TSR)</w:t>
      </w:r>
      <w:r w:rsidR="007108E5" w:rsidRPr="00631CF2">
        <w:rPr>
          <w:rFonts w:ascii="Times New Roman" w:hAnsi="Times New Roman" w:cs="Times New Roman"/>
          <w:sz w:val="24"/>
          <w:szCs w:val="24"/>
        </w:rPr>
        <w:t xml:space="preserve"> </w:t>
      </w:r>
      <w:r w:rsidRPr="00631CF2">
        <w:rPr>
          <w:rFonts w:ascii="Times New Roman" w:hAnsi="Times New Roman" w:cs="Times New Roman"/>
          <w:sz w:val="24"/>
          <w:szCs w:val="24"/>
        </w:rPr>
        <w:t>t₁₋t₀</w:t>
      </w:r>
      <w:r w:rsidR="48D67B33" w:rsidRPr="00631CF2">
        <w:rPr>
          <w:rFonts w:ascii="Times New Roman" w:hAnsi="Times New Roman" w:cs="Times New Roman"/>
          <w:sz w:val="24"/>
          <w:szCs w:val="24"/>
        </w:rPr>
        <w:t xml:space="preserve"> </w:t>
      </w:r>
      <w:r w:rsidR="00404F15" w:rsidRPr="00631CF2">
        <w:rPr>
          <w:rFonts w:ascii="Times New Roman" w:hAnsi="Times New Roman" w:cs="Times New Roman"/>
          <w:sz w:val="24"/>
          <w:szCs w:val="24"/>
        </w:rPr>
        <w:tab/>
      </w:r>
      <w:r w:rsidR="00404F15" w:rsidRPr="00631CF2">
        <w:rPr>
          <w:rFonts w:ascii="Times New Roman" w:hAnsi="Times New Roman" w:cs="Times New Roman"/>
          <w:sz w:val="24"/>
          <w:szCs w:val="24"/>
        </w:rPr>
        <w:tab/>
      </w:r>
      <w:r w:rsidR="008F0BD8">
        <w:rPr>
          <w:rFonts w:ascii="Times New Roman" w:hAnsi="Times New Roman" w:cs="Times New Roman"/>
          <w:sz w:val="24"/>
          <w:szCs w:val="24"/>
        </w:rPr>
        <w:tab/>
      </w:r>
      <w:r w:rsidR="008F0BD8">
        <w:rPr>
          <w:rFonts w:ascii="Times New Roman" w:hAnsi="Times New Roman" w:cs="Times New Roman"/>
          <w:sz w:val="24"/>
          <w:szCs w:val="24"/>
        </w:rPr>
        <w:tab/>
      </w:r>
      <w:r w:rsidR="008F0BD8">
        <w:rPr>
          <w:rFonts w:ascii="Times New Roman" w:hAnsi="Times New Roman" w:cs="Times New Roman"/>
          <w:sz w:val="24"/>
          <w:szCs w:val="24"/>
        </w:rPr>
        <w:tab/>
      </w:r>
      <w:r w:rsidR="008F0BD8">
        <w:rPr>
          <w:rFonts w:ascii="Times New Roman" w:hAnsi="Times New Roman" w:cs="Times New Roman"/>
          <w:sz w:val="24"/>
          <w:szCs w:val="24"/>
        </w:rPr>
        <w:tab/>
        <w:t>(2)</w:t>
      </w:r>
    </w:p>
    <w:p w14:paraId="0B1E8011" w14:textId="77777777" w:rsidR="008F0BD8" w:rsidRDefault="008F0BD8" w:rsidP="008F0BD8">
      <w:pPr>
        <w:widowControl w:val="0"/>
        <w:spacing w:after="0" w:line="480" w:lineRule="auto"/>
        <w:jc w:val="both"/>
        <w:rPr>
          <w:rFonts w:ascii="Times New Roman" w:hAnsi="Times New Roman" w:cs="Times New Roman"/>
          <w:sz w:val="24"/>
          <w:szCs w:val="24"/>
        </w:rPr>
      </w:pPr>
    </w:p>
    <w:p w14:paraId="34D557BA" w14:textId="12CF2E1A" w:rsidR="00500E1B" w:rsidRPr="00631CF2" w:rsidRDefault="008F0BD8" w:rsidP="008F0BD8">
      <w:pPr>
        <w:widowControl w:val="0"/>
        <w:spacing w:after="0" w:line="480" w:lineRule="auto"/>
        <w:jc w:val="both"/>
        <w:rPr>
          <w:rFonts w:ascii="Times New Roman" w:hAnsi="Times New Roman" w:cs="Times New Roman"/>
          <w:sz w:val="24"/>
          <w:szCs w:val="24"/>
        </w:rPr>
      </w:pPr>
      <w:r>
        <w:rPr>
          <w:rFonts w:ascii="Times New Roman" w:hAnsi="Times New Roman" w:cs="Times New Roman"/>
          <w:sz w:val="24"/>
          <w:szCs w:val="24"/>
        </w:rPr>
        <w:t>w</w:t>
      </w:r>
      <w:r w:rsidR="00500E1B" w:rsidRPr="00631CF2">
        <w:rPr>
          <w:rFonts w:ascii="Times New Roman" w:hAnsi="Times New Roman" w:cs="Times New Roman"/>
          <w:sz w:val="24"/>
          <w:szCs w:val="24"/>
        </w:rPr>
        <w:t>here</w:t>
      </w:r>
      <w:r w:rsidR="00824277" w:rsidRPr="00631CF2">
        <w:rPr>
          <w:rFonts w:ascii="Times New Roman" w:hAnsi="Times New Roman" w:cs="Times New Roman"/>
          <w:sz w:val="24"/>
          <w:szCs w:val="24"/>
        </w:rPr>
        <w:t xml:space="preserve"> </w:t>
      </w:r>
      <w:r w:rsidR="00500E1B" w:rsidRPr="00631CF2">
        <w:rPr>
          <w:rFonts w:ascii="Times New Roman" w:hAnsi="Times New Roman" w:cs="Times New Roman"/>
          <w:sz w:val="24"/>
          <w:szCs w:val="24"/>
        </w:rPr>
        <w:t>Pt₁/Pt₀ is the ratio of tiller numbers between current (t₁) and previous (t₀) evaluations</w:t>
      </w:r>
      <w:r w:rsidR="007B57F4" w:rsidRPr="00631CF2">
        <w:rPr>
          <w:rFonts w:ascii="Times New Roman" w:hAnsi="Times New Roman" w:cs="Times New Roman"/>
          <w:sz w:val="24"/>
          <w:szCs w:val="24"/>
        </w:rPr>
        <w:t xml:space="preserve">. </w:t>
      </w:r>
      <w:r w:rsidR="00500E1B" w:rsidRPr="00631CF2">
        <w:rPr>
          <w:rFonts w:ascii="Times New Roman" w:hAnsi="Times New Roman" w:cs="Times New Roman"/>
          <w:sz w:val="24"/>
          <w:szCs w:val="24"/>
        </w:rPr>
        <w:t>TAR is the tiller appearance rate and</w:t>
      </w:r>
      <w:r w:rsidR="007108E5" w:rsidRPr="00631CF2">
        <w:rPr>
          <w:rFonts w:ascii="Times New Roman" w:hAnsi="Times New Roman" w:cs="Times New Roman"/>
          <w:sz w:val="24"/>
          <w:szCs w:val="24"/>
        </w:rPr>
        <w:t xml:space="preserve"> </w:t>
      </w:r>
      <w:r w:rsidR="00500E1B" w:rsidRPr="00631CF2">
        <w:rPr>
          <w:rFonts w:ascii="Times New Roman" w:hAnsi="Times New Roman" w:cs="Times New Roman"/>
          <w:sz w:val="24"/>
          <w:szCs w:val="24"/>
        </w:rPr>
        <w:t>TSR is the tiller survival rate.</w:t>
      </w:r>
    </w:p>
    <w:p w14:paraId="66F54D07" w14:textId="77777777" w:rsidR="00500E1B" w:rsidRPr="00631CF2" w:rsidRDefault="00500E1B"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An SI value of 1 indicates a stable population, while values above 1 indicate population growth and values below 1 indicate population decline (Matthew and Hamilton, 2011).</w:t>
      </w:r>
    </w:p>
    <w:p w14:paraId="67870D2E" w14:textId="60B0847B" w:rsidR="00500E1B" w:rsidRDefault="00500E1B"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Tiller lifespan (TLS) was determined for each grass species and the mixed pasture following Korte (1986)</w:t>
      </w:r>
      <w:r w:rsidR="4ACDBFF9" w:rsidRPr="00631CF2">
        <w:rPr>
          <w:rFonts w:ascii="Times New Roman" w:hAnsi="Times New Roman" w:cs="Times New Roman"/>
          <w:sz w:val="24"/>
          <w:szCs w:val="24"/>
        </w:rPr>
        <w:t xml:space="preserve">, </w:t>
      </w:r>
      <w:r w:rsidR="00652A75" w:rsidRPr="00631CF2">
        <w:rPr>
          <w:rFonts w:ascii="Times New Roman" w:hAnsi="Times New Roman" w:cs="Times New Roman"/>
          <w:sz w:val="24"/>
          <w:szCs w:val="24"/>
        </w:rPr>
        <w:t xml:space="preserve">as shown in </w:t>
      </w:r>
      <w:r w:rsidR="00F87EEE" w:rsidRPr="00631CF2">
        <w:rPr>
          <w:rFonts w:ascii="Times New Roman" w:hAnsi="Times New Roman" w:cs="Times New Roman"/>
          <w:sz w:val="24"/>
          <w:szCs w:val="24"/>
        </w:rPr>
        <w:t>e</w:t>
      </w:r>
      <w:r w:rsidR="4ACDBFF9" w:rsidRPr="00631CF2">
        <w:rPr>
          <w:rFonts w:ascii="Times New Roman" w:hAnsi="Times New Roman" w:cs="Times New Roman"/>
          <w:sz w:val="24"/>
          <w:szCs w:val="24"/>
        </w:rPr>
        <w:t xml:space="preserve">quation </w:t>
      </w:r>
      <w:r w:rsidR="008F0BD8">
        <w:rPr>
          <w:rFonts w:ascii="Times New Roman" w:hAnsi="Times New Roman" w:cs="Times New Roman"/>
          <w:sz w:val="24"/>
          <w:szCs w:val="24"/>
        </w:rPr>
        <w:t>3</w:t>
      </w:r>
      <w:r w:rsidRPr="00631CF2">
        <w:rPr>
          <w:rFonts w:ascii="Times New Roman" w:hAnsi="Times New Roman" w:cs="Times New Roman"/>
          <w:sz w:val="24"/>
          <w:szCs w:val="24"/>
        </w:rPr>
        <w:t>:</w:t>
      </w:r>
    </w:p>
    <w:p w14:paraId="195D3C13" w14:textId="77777777" w:rsidR="008F0BD8" w:rsidRPr="00631CF2" w:rsidRDefault="008F0BD8" w:rsidP="007F0193">
      <w:pPr>
        <w:widowControl w:val="0"/>
        <w:spacing w:after="0" w:line="480" w:lineRule="auto"/>
        <w:ind w:firstLine="426"/>
        <w:jc w:val="both"/>
        <w:rPr>
          <w:rFonts w:ascii="Times New Roman" w:hAnsi="Times New Roman" w:cs="Times New Roman"/>
          <w:sz w:val="24"/>
          <w:szCs w:val="24"/>
        </w:rPr>
      </w:pPr>
    </w:p>
    <w:p w14:paraId="4311803E" w14:textId="2F68BE66" w:rsidR="00500E1B" w:rsidRPr="00631CF2" w:rsidRDefault="00500E1B"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 xml:space="preserve">TLS = t₁/₂ = </w:t>
      </w:r>
      <w:proofErr w:type="gramStart"/>
      <w:r w:rsidRPr="00631CF2">
        <w:rPr>
          <w:rFonts w:ascii="Times New Roman" w:hAnsi="Times New Roman" w:cs="Times New Roman"/>
          <w:sz w:val="24"/>
          <w:szCs w:val="24"/>
        </w:rPr>
        <w:t>ln(</w:t>
      </w:r>
      <w:proofErr w:type="gramEnd"/>
      <w:r w:rsidRPr="00631CF2">
        <w:rPr>
          <w:rFonts w:ascii="Times New Roman" w:hAnsi="Times New Roman" w:cs="Times New Roman"/>
          <w:sz w:val="24"/>
          <w:szCs w:val="24"/>
        </w:rPr>
        <w:t>2)/b</w:t>
      </w:r>
      <w:r w:rsidR="3F5DA6A4" w:rsidRPr="00631CF2">
        <w:rPr>
          <w:rFonts w:ascii="Times New Roman" w:hAnsi="Times New Roman" w:cs="Times New Roman"/>
          <w:sz w:val="24"/>
          <w:szCs w:val="24"/>
        </w:rPr>
        <w:t xml:space="preserve"> </w:t>
      </w:r>
      <w:r w:rsidR="00404F15" w:rsidRPr="00631CF2">
        <w:rPr>
          <w:rFonts w:ascii="Times New Roman" w:hAnsi="Times New Roman" w:cs="Times New Roman"/>
          <w:sz w:val="24"/>
          <w:szCs w:val="24"/>
        </w:rPr>
        <w:tab/>
      </w:r>
      <w:r w:rsidR="008F0BD8">
        <w:rPr>
          <w:rFonts w:ascii="Times New Roman" w:hAnsi="Times New Roman" w:cs="Times New Roman"/>
          <w:sz w:val="24"/>
          <w:szCs w:val="24"/>
        </w:rPr>
        <w:tab/>
      </w:r>
      <w:r w:rsidR="008F0BD8">
        <w:rPr>
          <w:rFonts w:ascii="Times New Roman" w:hAnsi="Times New Roman" w:cs="Times New Roman"/>
          <w:sz w:val="24"/>
          <w:szCs w:val="24"/>
        </w:rPr>
        <w:tab/>
      </w:r>
      <w:r w:rsidR="008F0BD8">
        <w:rPr>
          <w:rFonts w:ascii="Times New Roman" w:hAnsi="Times New Roman" w:cs="Times New Roman"/>
          <w:sz w:val="24"/>
          <w:szCs w:val="24"/>
        </w:rPr>
        <w:tab/>
      </w:r>
      <w:r w:rsidR="008F0BD8">
        <w:rPr>
          <w:rFonts w:ascii="Times New Roman" w:hAnsi="Times New Roman" w:cs="Times New Roman"/>
          <w:sz w:val="24"/>
          <w:szCs w:val="24"/>
        </w:rPr>
        <w:tab/>
      </w:r>
      <w:r w:rsidR="008F0BD8">
        <w:rPr>
          <w:rFonts w:ascii="Times New Roman" w:hAnsi="Times New Roman" w:cs="Times New Roman"/>
          <w:sz w:val="24"/>
          <w:szCs w:val="24"/>
        </w:rPr>
        <w:tab/>
      </w:r>
      <w:r w:rsidR="008F0BD8">
        <w:rPr>
          <w:rFonts w:ascii="Times New Roman" w:hAnsi="Times New Roman" w:cs="Times New Roman"/>
          <w:sz w:val="24"/>
          <w:szCs w:val="24"/>
        </w:rPr>
        <w:tab/>
        <w:t>(3)</w:t>
      </w:r>
    </w:p>
    <w:p w14:paraId="74C8A819" w14:textId="77777777" w:rsidR="008F0BD8" w:rsidRDefault="008F0BD8" w:rsidP="008F0BD8">
      <w:pPr>
        <w:widowControl w:val="0"/>
        <w:spacing w:after="0" w:line="480" w:lineRule="auto"/>
        <w:jc w:val="both"/>
        <w:rPr>
          <w:rFonts w:ascii="Times New Roman" w:hAnsi="Times New Roman" w:cs="Times New Roman"/>
          <w:sz w:val="24"/>
          <w:szCs w:val="24"/>
        </w:rPr>
      </w:pPr>
    </w:p>
    <w:p w14:paraId="5479EFBF" w14:textId="323C110B" w:rsidR="000F33C5" w:rsidRDefault="008F0BD8" w:rsidP="008F0BD8">
      <w:pPr>
        <w:widowControl w:val="0"/>
        <w:spacing w:after="0" w:line="480" w:lineRule="auto"/>
        <w:jc w:val="both"/>
        <w:rPr>
          <w:rFonts w:ascii="Times New Roman" w:hAnsi="Times New Roman" w:cs="Times New Roman"/>
          <w:sz w:val="24"/>
          <w:szCs w:val="24"/>
        </w:rPr>
      </w:pPr>
      <w:r>
        <w:rPr>
          <w:rFonts w:ascii="Times New Roman" w:hAnsi="Times New Roman" w:cs="Times New Roman"/>
          <w:sz w:val="24"/>
          <w:szCs w:val="24"/>
        </w:rPr>
        <w:t>w</w:t>
      </w:r>
      <w:r w:rsidR="00500E1B" w:rsidRPr="00631CF2">
        <w:rPr>
          <w:rFonts w:ascii="Times New Roman" w:hAnsi="Times New Roman" w:cs="Times New Roman"/>
          <w:sz w:val="24"/>
          <w:szCs w:val="24"/>
        </w:rPr>
        <w:t>here</w:t>
      </w:r>
      <w:r>
        <w:rPr>
          <w:rFonts w:ascii="Times New Roman" w:hAnsi="Times New Roman" w:cs="Times New Roman"/>
          <w:sz w:val="24"/>
          <w:szCs w:val="24"/>
        </w:rPr>
        <w:t xml:space="preserve"> </w:t>
      </w:r>
      <w:r w:rsidR="00500E1B" w:rsidRPr="00631CF2">
        <w:rPr>
          <w:rFonts w:ascii="Times New Roman" w:hAnsi="Times New Roman" w:cs="Times New Roman"/>
          <w:sz w:val="24"/>
          <w:szCs w:val="24"/>
        </w:rPr>
        <w:t>t₁/₂ is the tiller half-life in days</w:t>
      </w:r>
      <w:r w:rsidR="00181AD4" w:rsidRPr="00631CF2">
        <w:rPr>
          <w:rFonts w:ascii="Times New Roman" w:hAnsi="Times New Roman" w:cs="Times New Roman"/>
          <w:sz w:val="24"/>
          <w:szCs w:val="24"/>
        </w:rPr>
        <w:t xml:space="preserve">, </w:t>
      </w:r>
      <w:r w:rsidR="00500E1B" w:rsidRPr="00631CF2">
        <w:rPr>
          <w:rFonts w:ascii="Times New Roman" w:hAnsi="Times New Roman" w:cs="Times New Roman"/>
          <w:sz w:val="24"/>
          <w:szCs w:val="24"/>
        </w:rPr>
        <w:t>b is the regression coefficient from the exponential decay of surviving tillers over time</w:t>
      </w:r>
      <w:r w:rsidR="0084624E" w:rsidRPr="00631CF2">
        <w:rPr>
          <w:rFonts w:ascii="Times New Roman" w:hAnsi="Times New Roman" w:cs="Times New Roman"/>
          <w:sz w:val="24"/>
          <w:szCs w:val="24"/>
        </w:rPr>
        <w:t>.</w:t>
      </w:r>
    </w:p>
    <w:p w14:paraId="1335BA39" w14:textId="77777777" w:rsidR="008F0BD8" w:rsidRPr="00631CF2" w:rsidRDefault="008F0BD8" w:rsidP="007F0193">
      <w:pPr>
        <w:widowControl w:val="0"/>
        <w:spacing w:after="0" w:line="480" w:lineRule="auto"/>
        <w:ind w:firstLine="426"/>
        <w:jc w:val="both"/>
        <w:rPr>
          <w:rFonts w:ascii="Times New Roman" w:eastAsiaTheme="majorEastAsia" w:hAnsi="Times New Roman" w:cs="Times New Roman"/>
          <w:i/>
          <w:iCs/>
          <w:color w:val="538135" w:themeColor="accent6" w:themeShade="BF"/>
          <w:sz w:val="24"/>
          <w:szCs w:val="24"/>
        </w:rPr>
      </w:pPr>
    </w:p>
    <w:p w14:paraId="446EE50C" w14:textId="2BE5D6D8" w:rsidR="000F33C5" w:rsidRPr="00631CF2" w:rsidRDefault="412175EC" w:rsidP="007F0193">
      <w:pPr>
        <w:widowControl w:val="0"/>
        <w:spacing w:after="0" w:line="480" w:lineRule="auto"/>
        <w:jc w:val="both"/>
        <w:rPr>
          <w:rFonts w:ascii="Times New Roman" w:hAnsi="Times New Roman" w:cs="Times New Roman"/>
          <w:sz w:val="24"/>
          <w:szCs w:val="24"/>
        </w:rPr>
      </w:pPr>
      <w:r w:rsidRPr="00631CF2">
        <w:rPr>
          <w:rFonts w:ascii="Times New Roman" w:eastAsiaTheme="majorEastAsia" w:hAnsi="Times New Roman" w:cs="Times New Roman"/>
          <w:i/>
          <w:iCs/>
          <w:color w:val="538135" w:themeColor="accent6" w:themeShade="BF"/>
          <w:sz w:val="24"/>
          <w:szCs w:val="24"/>
        </w:rPr>
        <w:t>Statistical analysis</w:t>
      </w:r>
      <w:r w:rsidRPr="00631CF2">
        <w:rPr>
          <w:rFonts w:ascii="Times New Roman" w:hAnsi="Times New Roman" w:cs="Times New Roman"/>
        </w:rPr>
        <w:t> </w:t>
      </w:r>
    </w:p>
    <w:p w14:paraId="06E8660B" w14:textId="77777777" w:rsidR="00FE61E7" w:rsidRPr="00631CF2" w:rsidRDefault="000F33C5" w:rsidP="007F0193">
      <w:pPr>
        <w:widowControl w:val="0"/>
        <w:spacing w:after="0" w:line="480" w:lineRule="auto"/>
        <w:jc w:val="both"/>
        <w:rPr>
          <w:rFonts w:ascii="Times New Roman" w:hAnsi="Times New Roman" w:cs="Times New Roman"/>
          <w:sz w:val="24"/>
          <w:szCs w:val="24"/>
        </w:rPr>
      </w:pPr>
      <w:r w:rsidRPr="00631CF2">
        <w:rPr>
          <w:rFonts w:ascii="Times New Roman" w:hAnsi="Times New Roman" w:cs="Times New Roman"/>
          <w:sz w:val="24"/>
          <w:szCs w:val="24"/>
        </w:rPr>
        <w:t xml:space="preserve">The data for each grass species were grouped according to the season. The summer and autumn seasons were grouped together and extended after the SHG until the first frost (May, July, and June in 2018, 2019, and 2020, respectively). Winter was defined as the first frost to mid-September, and spring from mid-September to the next HSG (November). After grouping the data, the tiller population dynamics and demographic measurements were </w:t>
      </w:r>
      <w:r w:rsidR="006B0726" w:rsidRPr="00631CF2">
        <w:rPr>
          <w:rFonts w:ascii="Times New Roman" w:hAnsi="Times New Roman" w:cs="Times New Roman"/>
          <w:sz w:val="24"/>
          <w:szCs w:val="24"/>
        </w:rPr>
        <w:t>analysed</w:t>
      </w:r>
      <w:r w:rsidRPr="00631CF2">
        <w:rPr>
          <w:rFonts w:ascii="Times New Roman" w:hAnsi="Times New Roman" w:cs="Times New Roman"/>
          <w:sz w:val="24"/>
          <w:szCs w:val="24"/>
        </w:rPr>
        <w:t xml:space="preserve"> by analysis of variance (ANOVA) using the linear model procedure (</w:t>
      </w:r>
      <w:r w:rsidR="00C55C4A" w:rsidRPr="00631CF2">
        <w:rPr>
          <w:rFonts w:ascii="Times New Roman" w:hAnsi="Times New Roman" w:cs="Times New Roman"/>
          <w:i/>
          <w:iCs/>
          <w:sz w:val="24"/>
          <w:szCs w:val="24"/>
        </w:rPr>
        <w:t xml:space="preserve">P </w:t>
      </w:r>
      <w:r w:rsidRPr="00631CF2">
        <w:rPr>
          <w:rFonts w:ascii="Times New Roman" w:hAnsi="Times New Roman" w:cs="Times New Roman"/>
          <w:sz w:val="24"/>
          <w:szCs w:val="24"/>
        </w:rPr>
        <w:t xml:space="preserve">&lt;0.05) of the INFOSTAT statistical package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{"citationID":"ZUhfQaF9","properties":{"formattedCitation":"(Infostat 2020 n.d.)","plainCitation":"(Infostat 2020 n.d.)","noteIndex":0},"citationItems":[{"id":141,"uris":["http://zotero.org/users/12323737/items/R5USFM44"],"itemData":{"id":141,"type":"software","abstract":"Stadistic program","collection-title":"Di Rienzo J.A., Casanoves F., Balzarini M.G., Gonzalez L., Tablada M., Robledo C.W.","title":"Centro de Transferencia InfoStat, FCA, Universidad Nacional de Córdoba, Argentina","URL":"http://www.infostat.com.ar","version":"2020","author":[{"family":"Infostat 2020","given":""}]}}],"schema":"https://github.com/citation-style-language/schema/raw/master/csl-citation.json"} </w:instrText>
      </w:r>
      <w:r w:rsidRPr="00631CF2">
        <w:rPr>
          <w:rFonts w:ascii="Times New Roman" w:hAnsi="Times New Roman" w:cs="Times New Roman"/>
          <w:sz w:val="24"/>
          <w:szCs w:val="24"/>
        </w:rPr>
        <w:fldChar w:fldCharType="separate"/>
      </w:r>
      <w:r w:rsidR="00F5162B" w:rsidRPr="00631CF2">
        <w:rPr>
          <w:rFonts w:ascii="Times New Roman" w:hAnsi="Times New Roman" w:cs="Times New Roman"/>
          <w:sz w:val="24"/>
          <w:szCs w:val="24"/>
        </w:rPr>
        <w:t>(</w:t>
      </w:r>
      <w:proofErr w:type="spellStart"/>
      <w:r w:rsidR="00F5162B" w:rsidRPr="00631CF2">
        <w:rPr>
          <w:rFonts w:ascii="Times New Roman" w:hAnsi="Times New Roman" w:cs="Times New Roman"/>
          <w:sz w:val="24"/>
          <w:szCs w:val="24"/>
        </w:rPr>
        <w:t>Infostat</w:t>
      </w:r>
      <w:proofErr w:type="spellEnd"/>
      <w:r w:rsidR="00F5162B" w:rsidRPr="00631CF2">
        <w:rPr>
          <w:rFonts w:ascii="Times New Roman" w:hAnsi="Times New Roman" w:cs="Times New Roman"/>
          <w:sz w:val="24"/>
          <w:szCs w:val="24"/>
        </w:rPr>
        <w:t xml:space="preserve"> 2020 n.d.)</w:t>
      </w:r>
      <w:r w:rsidRPr="00631CF2">
        <w:rPr>
          <w:rFonts w:ascii="Times New Roman" w:hAnsi="Times New Roman" w:cs="Times New Roman"/>
          <w:sz w:val="24"/>
          <w:szCs w:val="24"/>
        </w:rPr>
        <w:fldChar w:fldCharType="end"/>
      </w:r>
      <w:r w:rsidRPr="00631CF2">
        <w:rPr>
          <w:rFonts w:ascii="Times New Roman" w:hAnsi="Times New Roman" w:cs="Times New Roman"/>
          <w:sz w:val="24"/>
          <w:szCs w:val="24"/>
        </w:rPr>
        <w:t xml:space="preserve">. The statistical model </w:t>
      </w:r>
      <w:r w:rsidR="00FE61E7" w:rsidRPr="00631CF2">
        <w:rPr>
          <w:rFonts w:ascii="Times New Roman" w:hAnsi="Times New Roman" w:cs="Times New Roman"/>
          <w:sz w:val="24"/>
          <w:szCs w:val="24"/>
        </w:rPr>
        <w:t>used was:</w:t>
      </w:r>
    </w:p>
    <w:p w14:paraId="1B6467D2" w14:textId="77777777" w:rsidR="00FE61E7" w:rsidRPr="00631CF2" w:rsidRDefault="00FE61E7" w:rsidP="007F0193">
      <w:pPr>
        <w:widowControl w:val="0"/>
        <w:spacing w:after="0" w:line="480" w:lineRule="auto"/>
        <w:jc w:val="both"/>
        <w:rPr>
          <w:rFonts w:ascii="Times New Roman" w:hAnsi="Times New Roman" w:cs="Times New Roman"/>
          <w:sz w:val="24"/>
          <w:szCs w:val="24"/>
        </w:rPr>
      </w:pPr>
    </w:p>
    <w:p w14:paraId="498782A5" w14:textId="03CE5825" w:rsidR="00FE61E7" w:rsidRPr="00631CF2" w:rsidRDefault="000F33C5" w:rsidP="007F0193">
      <w:pPr>
        <w:widowControl w:val="0"/>
        <w:spacing w:after="0" w:line="480" w:lineRule="auto"/>
        <w:jc w:val="both"/>
        <w:rPr>
          <w:rFonts w:ascii="Times New Roman" w:hAnsi="Times New Roman" w:cs="Times New Roman"/>
          <w:sz w:val="24"/>
          <w:szCs w:val="24"/>
        </w:rPr>
      </w:pPr>
      <w:r w:rsidRPr="00631CF2">
        <w:rPr>
          <w:rFonts w:ascii="Times New Roman" w:hAnsi="Times New Roman" w:cs="Times New Roman"/>
          <w:sz w:val="24"/>
          <w:szCs w:val="24"/>
        </w:rPr>
        <w:t>Y</w:t>
      </w:r>
      <w:r w:rsidRPr="00631CF2">
        <w:rPr>
          <w:rFonts w:ascii="Times New Roman" w:hAnsi="Times New Roman" w:cs="Times New Roman"/>
          <w:sz w:val="24"/>
          <w:szCs w:val="24"/>
          <w:vertAlign w:val="subscript"/>
        </w:rPr>
        <w:t>[</w:t>
      </w:r>
      <w:proofErr w:type="spellStart"/>
      <w:r w:rsidRPr="00631CF2">
        <w:rPr>
          <w:rFonts w:ascii="Times New Roman" w:hAnsi="Times New Roman" w:cs="Times New Roman"/>
          <w:sz w:val="24"/>
          <w:szCs w:val="24"/>
          <w:vertAlign w:val="subscript"/>
        </w:rPr>
        <w:t>ilj</w:t>
      </w:r>
      <w:proofErr w:type="spellEnd"/>
      <w:r w:rsidRPr="00631CF2">
        <w:rPr>
          <w:rFonts w:ascii="Times New Roman" w:hAnsi="Times New Roman" w:cs="Times New Roman"/>
          <w:sz w:val="24"/>
          <w:szCs w:val="24"/>
          <w:vertAlign w:val="subscript"/>
        </w:rPr>
        <w:t>]</w:t>
      </w:r>
      <w:r w:rsidRPr="00631CF2">
        <w:rPr>
          <w:rFonts w:ascii="Times New Roman" w:hAnsi="Times New Roman" w:cs="Times New Roman"/>
          <w:sz w:val="24"/>
          <w:szCs w:val="24"/>
        </w:rPr>
        <w:t>= µ +α</w:t>
      </w:r>
      <w:r w:rsidRPr="00631CF2">
        <w:rPr>
          <w:rFonts w:ascii="Times New Roman" w:hAnsi="Times New Roman" w:cs="Times New Roman"/>
          <w:sz w:val="24"/>
          <w:szCs w:val="24"/>
          <w:vertAlign w:val="subscript"/>
        </w:rPr>
        <w:t>[i]</w:t>
      </w:r>
      <w:r w:rsidRPr="00631CF2">
        <w:rPr>
          <w:rFonts w:ascii="Times New Roman" w:hAnsi="Times New Roman" w:cs="Times New Roman"/>
          <w:sz w:val="24"/>
          <w:szCs w:val="24"/>
        </w:rPr>
        <w:t xml:space="preserve"> + β</w:t>
      </w:r>
      <w:r w:rsidRPr="00631CF2">
        <w:rPr>
          <w:rFonts w:ascii="Times New Roman" w:hAnsi="Times New Roman" w:cs="Times New Roman"/>
          <w:sz w:val="24"/>
          <w:szCs w:val="24"/>
          <w:vertAlign w:val="subscript"/>
        </w:rPr>
        <w:t>[l]</w:t>
      </w:r>
      <w:r w:rsidRPr="00631CF2">
        <w:rPr>
          <w:rFonts w:ascii="Times New Roman" w:hAnsi="Times New Roman" w:cs="Times New Roman"/>
          <w:sz w:val="24"/>
          <w:szCs w:val="24"/>
        </w:rPr>
        <w:t xml:space="preserve"> + δ</w:t>
      </w:r>
      <w:r w:rsidRPr="00631CF2">
        <w:rPr>
          <w:rFonts w:ascii="Times New Roman" w:hAnsi="Times New Roman" w:cs="Times New Roman"/>
          <w:sz w:val="24"/>
          <w:szCs w:val="24"/>
          <w:vertAlign w:val="subscript"/>
        </w:rPr>
        <w:t xml:space="preserve">[il] </w:t>
      </w:r>
      <w:r w:rsidRPr="00631CF2">
        <w:rPr>
          <w:rFonts w:ascii="Times New Roman" w:hAnsi="Times New Roman" w:cs="Times New Roman"/>
          <w:sz w:val="24"/>
          <w:szCs w:val="24"/>
        </w:rPr>
        <w:t xml:space="preserve">+ </w:t>
      </w:r>
      <w:r w:rsidR="00404F15" w:rsidRPr="00631CF2">
        <w:rPr>
          <w:rFonts w:ascii="Times New Roman" w:hAnsi="Times New Roman" w:cs="Times New Roman"/>
          <w:sz w:val="24"/>
          <w:szCs w:val="24"/>
        </w:rPr>
        <w:t>ε</w:t>
      </w:r>
      <w:r w:rsidRPr="00631CF2">
        <w:rPr>
          <w:rFonts w:ascii="Times New Roman" w:hAnsi="Times New Roman" w:cs="Times New Roman"/>
          <w:sz w:val="24"/>
          <w:szCs w:val="24"/>
          <w:vertAlign w:val="subscript"/>
        </w:rPr>
        <w:t>[</w:t>
      </w:r>
      <w:proofErr w:type="spellStart"/>
      <w:r w:rsidRPr="00631CF2">
        <w:rPr>
          <w:rFonts w:ascii="Times New Roman" w:hAnsi="Times New Roman" w:cs="Times New Roman"/>
          <w:sz w:val="24"/>
          <w:szCs w:val="24"/>
          <w:vertAlign w:val="subscript"/>
        </w:rPr>
        <w:t>ilj</w:t>
      </w:r>
      <w:proofErr w:type="spellEnd"/>
      <w:r w:rsidRPr="00631CF2">
        <w:rPr>
          <w:rFonts w:ascii="Times New Roman" w:hAnsi="Times New Roman" w:cs="Times New Roman"/>
          <w:sz w:val="24"/>
          <w:szCs w:val="24"/>
          <w:vertAlign w:val="subscript"/>
        </w:rPr>
        <w:t>]</w:t>
      </w:r>
      <w:r w:rsidR="00893295" w:rsidRPr="00631CF2">
        <w:rPr>
          <w:rFonts w:ascii="Times New Roman" w:hAnsi="Times New Roman" w:cs="Times New Roman"/>
          <w:sz w:val="24"/>
          <w:szCs w:val="24"/>
        </w:rPr>
        <w:tab/>
      </w:r>
      <w:r w:rsidR="00631CF2">
        <w:rPr>
          <w:rFonts w:ascii="Times New Roman" w:hAnsi="Times New Roman" w:cs="Times New Roman"/>
          <w:sz w:val="24"/>
          <w:szCs w:val="24"/>
        </w:rPr>
        <w:tab/>
      </w:r>
      <w:r w:rsidR="00631CF2">
        <w:rPr>
          <w:rFonts w:ascii="Times New Roman" w:hAnsi="Times New Roman" w:cs="Times New Roman"/>
          <w:sz w:val="24"/>
          <w:szCs w:val="24"/>
        </w:rPr>
        <w:tab/>
      </w:r>
      <w:r w:rsidR="00631CF2">
        <w:rPr>
          <w:rFonts w:ascii="Times New Roman" w:hAnsi="Times New Roman" w:cs="Times New Roman"/>
          <w:sz w:val="24"/>
          <w:szCs w:val="24"/>
        </w:rPr>
        <w:tab/>
      </w:r>
      <w:r w:rsidR="00631CF2">
        <w:rPr>
          <w:rFonts w:ascii="Times New Roman" w:hAnsi="Times New Roman" w:cs="Times New Roman"/>
          <w:sz w:val="24"/>
          <w:szCs w:val="24"/>
        </w:rPr>
        <w:tab/>
      </w:r>
      <w:r w:rsidR="00631CF2">
        <w:rPr>
          <w:rFonts w:ascii="Times New Roman" w:hAnsi="Times New Roman" w:cs="Times New Roman"/>
          <w:sz w:val="24"/>
          <w:szCs w:val="24"/>
        </w:rPr>
        <w:tab/>
      </w:r>
      <w:r w:rsidR="008F0BD8">
        <w:rPr>
          <w:rFonts w:ascii="Times New Roman" w:hAnsi="Times New Roman" w:cs="Times New Roman"/>
          <w:sz w:val="24"/>
          <w:szCs w:val="24"/>
        </w:rPr>
        <w:t>(4)</w:t>
      </w:r>
    </w:p>
    <w:p w14:paraId="4D6A1CCA" w14:textId="77777777" w:rsidR="00FE61E7" w:rsidRPr="00631CF2" w:rsidRDefault="00FE61E7" w:rsidP="007F0193">
      <w:pPr>
        <w:widowControl w:val="0"/>
        <w:spacing w:after="0" w:line="480" w:lineRule="auto"/>
        <w:jc w:val="both"/>
        <w:rPr>
          <w:rFonts w:ascii="Times New Roman" w:hAnsi="Times New Roman" w:cs="Times New Roman"/>
          <w:sz w:val="24"/>
          <w:szCs w:val="24"/>
        </w:rPr>
      </w:pPr>
    </w:p>
    <w:p w14:paraId="6D55DFAA" w14:textId="0A6B3202" w:rsidR="000F33C5" w:rsidRPr="00631CF2" w:rsidRDefault="000F33C5" w:rsidP="007F0193">
      <w:pPr>
        <w:widowControl w:val="0"/>
        <w:spacing w:after="0" w:line="480" w:lineRule="auto"/>
        <w:jc w:val="both"/>
        <w:rPr>
          <w:rFonts w:ascii="Times New Roman" w:hAnsi="Times New Roman" w:cs="Times New Roman"/>
          <w:sz w:val="24"/>
          <w:szCs w:val="24"/>
        </w:rPr>
      </w:pPr>
      <w:r w:rsidRPr="00631CF2">
        <w:rPr>
          <w:rFonts w:ascii="Times New Roman" w:hAnsi="Times New Roman" w:cs="Times New Roman"/>
          <w:sz w:val="24"/>
          <w:szCs w:val="24"/>
        </w:rPr>
        <w:t>where, Y</w:t>
      </w:r>
      <w:r w:rsidRPr="00631CF2">
        <w:rPr>
          <w:rFonts w:ascii="Times New Roman" w:hAnsi="Times New Roman" w:cs="Times New Roman"/>
          <w:sz w:val="24"/>
          <w:szCs w:val="24"/>
          <w:vertAlign w:val="subscript"/>
        </w:rPr>
        <w:t>[</w:t>
      </w:r>
      <w:proofErr w:type="spellStart"/>
      <w:r w:rsidRPr="00631CF2">
        <w:rPr>
          <w:rFonts w:ascii="Times New Roman" w:hAnsi="Times New Roman" w:cs="Times New Roman"/>
          <w:sz w:val="24"/>
          <w:szCs w:val="24"/>
          <w:vertAlign w:val="subscript"/>
        </w:rPr>
        <w:t>ilj</w:t>
      </w:r>
      <w:proofErr w:type="spellEnd"/>
      <w:r w:rsidRPr="00631CF2">
        <w:rPr>
          <w:rFonts w:ascii="Times New Roman" w:hAnsi="Times New Roman" w:cs="Times New Roman"/>
          <w:sz w:val="24"/>
          <w:szCs w:val="24"/>
          <w:vertAlign w:val="subscript"/>
        </w:rPr>
        <w:t>]</w:t>
      </w:r>
      <w:r w:rsidRPr="00631CF2">
        <w:rPr>
          <w:rFonts w:ascii="Times New Roman" w:hAnsi="Times New Roman" w:cs="Times New Roman"/>
          <w:sz w:val="24"/>
          <w:szCs w:val="24"/>
        </w:rPr>
        <w:t>= random variable corresponding to j-</w:t>
      </w:r>
      <w:proofErr w:type="spellStart"/>
      <w:r w:rsidRPr="00631CF2">
        <w:rPr>
          <w:rFonts w:ascii="Times New Roman" w:hAnsi="Times New Roman" w:cs="Times New Roman"/>
          <w:sz w:val="24"/>
          <w:szCs w:val="24"/>
        </w:rPr>
        <w:t>th</w:t>
      </w:r>
      <w:proofErr w:type="spellEnd"/>
      <w:r w:rsidRPr="00631CF2">
        <w:rPr>
          <w:rFonts w:ascii="Times New Roman" w:hAnsi="Times New Roman" w:cs="Times New Roman"/>
          <w:sz w:val="24"/>
          <w:szCs w:val="24"/>
        </w:rPr>
        <w:t xml:space="preserve"> observation of the i-</w:t>
      </w:r>
      <w:proofErr w:type="spellStart"/>
      <w:r w:rsidRPr="00631CF2">
        <w:rPr>
          <w:rFonts w:ascii="Times New Roman" w:hAnsi="Times New Roman" w:cs="Times New Roman"/>
          <w:sz w:val="24"/>
          <w:szCs w:val="24"/>
        </w:rPr>
        <w:t>th</w:t>
      </w:r>
      <w:proofErr w:type="spellEnd"/>
      <w:r w:rsidRPr="00631CF2">
        <w:rPr>
          <w:rFonts w:ascii="Times New Roman" w:hAnsi="Times New Roman" w:cs="Times New Roman"/>
          <w:sz w:val="24"/>
          <w:szCs w:val="24"/>
        </w:rPr>
        <w:t xml:space="preserve"> treatment and l-</w:t>
      </w:r>
      <w:proofErr w:type="spellStart"/>
      <w:r w:rsidRPr="00631CF2">
        <w:rPr>
          <w:rFonts w:ascii="Times New Roman" w:hAnsi="Times New Roman" w:cs="Times New Roman"/>
          <w:sz w:val="24"/>
          <w:szCs w:val="24"/>
        </w:rPr>
        <w:t>th</w:t>
      </w:r>
      <w:proofErr w:type="spellEnd"/>
      <w:r w:rsidRPr="00631CF2">
        <w:rPr>
          <w:rFonts w:ascii="Times New Roman" w:hAnsi="Times New Roman" w:cs="Times New Roman"/>
          <w:sz w:val="24"/>
          <w:szCs w:val="24"/>
        </w:rPr>
        <w:t xml:space="preserve"> treatment; µ= constant effect or global average; α</w:t>
      </w:r>
      <w:r w:rsidRPr="00631CF2">
        <w:rPr>
          <w:rFonts w:ascii="Times New Roman" w:hAnsi="Times New Roman" w:cs="Times New Roman"/>
          <w:sz w:val="24"/>
          <w:szCs w:val="24"/>
          <w:vertAlign w:val="subscript"/>
        </w:rPr>
        <w:t>[i]</w:t>
      </w:r>
      <w:r w:rsidRPr="00631CF2">
        <w:rPr>
          <w:rFonts w:ascii="Times New Roman" w:hAnsi="Times New Roman" w:cs="Times New Roman"/>
          <w:sz w:val="24"/>
          <w:szCs w:val="24"/>
        </w:rPr>
        <w:t>= effect of treatment i-</w:t>
      </w:r>
      <w:proofErr w:type="spellStart"/>
      <w:r w:rsidRPr="00631CF2">
        <w:rPr>
          <w:rFonts w:ascii="Times New Roman" w:hAnsi="Times New Roman" w:cs="Times New Roman"/>
          <w:sz w:val="24"/>
          <w:szCs w:val="24"/>
        </w:rPr>
        <w:t>th</w:t>
      </w:r>
      <w:proofErr w:type="spellEnd"/>
      <w:r w:rsidRPr="00631CF2">
        <w:rPr>
          <w:rFonts w:ascii="Times New Roman" w:hAnsi="Times New Roman" w:cs="Times New Roman"/>
          <w:sz w:val="24"/>
          <w:szCs w:val="24"/>
        </w:rPr>
        <w:t xml:space="preserve"> treatment; β</w:t>
      </w:r>
      <w:r w:rsidRPr="00631CF2">
        <w:rPr>
          <w:rFonts w:ascii="Times New Roman" w:hAnsi="Times New Roman" w:cs="Times New Roman"/>
          <w:sz w:val="24"/>
          <w:szCs w:val="24"/>
          <w:vertAlign w:val="subscript"/>
        </w:rPr>
        <w:t>[l]</w:t>
      </w:r>
      <w:r w:rsidRPr="00631CF2">
        <w:rPr>
          <w:rFonts w:ascii="Times New Roman" w:hAnsi="Times New Roman" w:cs="Times New Roman"/>
          <w:sz w:val="24"/>
          <w:szCs w:val="24"/>
        </w:rPr>
        <w:t xml:space="preserve"> = effect of treatment l-</w:t>
      </w:r>
      <w:proofErr w:type="spellStart"/>
      <w:r w:rsidRPr="00631CF2">
        <w:rPr>
          <w:rFonts w:ascii="Times New Roman" w:hAnsi="Times New Roman" w:cs="Times New Roman"/>
          <w:sz w:val="24"/>
          <w:szCs w:val="24"/>
        </w:rPr>
        <w:t>th</w:t>
      </w:r>
      <w:proofErr w:type="spellEnd"/>
      <w:r w:rsidRPr="00631CF2">
        <w:rPr>
          <w:rFonts w:ascii="Times New Roman" w:hAnsi="Times New Roman" w:cs="Times New Roman"/>
          <w:sz w:val="24"/>
          <w:szCs w:val="24"/>
        </w:rPr>
        <w:t xml:space="preserve"> treatment; δ</w:t>
      </w:r>
      <w:r w:rsidRPr="00631CF2">
        <w:rPr>
          <w:rFonts w:ascii="Times New Roman" w:hAnsi="Times New Roman" w:cs="Times New Roman"/>
          <w:sz w:val="24"/>
          <w:szCs w:val="24"/>
          <w:vertAlign w:val="subscript"/>
        </w:rPr>
        <w:t>[il]</w:t>
      </w:r>
      <w:r w:rsidRPr="00631CF2">
        <w:rPr>
          <w:rFonts w:ascii="Times New Roman" w:hAnsi="Times New Roman" w:cs="Times New Roman"/>
          <w:sz w:val="24"/>
          <w:szCs w:val="24"/>
        </w:rPr>
        <w:t>= effect of interaction between treatments i-</w:t>
      </w:r>
      <w:proofErr w:type="spellStart"/>
      <w:r w:rsidRPr="00631CF2">
        <w:rPr>
          <w:rFonts w:ascii="Times New Roman" w:hAnsi="Times New Roman" w:cs="Times New Roman"/>
          <w:sz w:val="24"/>
          <w:szCs w:val="24"/>
        </w:rPr>
        <w:t>th</w:t>
      </w:r>
      <w:proofErr w:type="spellEnd"/>
      <w:r w:rsidRPr="00631CF2">
        <w:rPr>
          <w:rFonts w:ascii="Times New Roman" w:hAnsi="Times New Roman" w:cs="Times New Roman"/>
          <w:sz w:val="24"/>
          <w:szCs w:val="24"/>
        </w:rPr>
        <w:t xml:space="preserve"> and l-</w:t>
      </w:r>
      <w:proofErr w:type="spellStart"/>
      <w:r w:rsidRPr="00631CF2">
        <w:rPr>
          <w:rFonts w:ascii="Times New Roman" w:hAnsi="Times New Roman" w:cs="Times New Roman"/>
          <w:sz w:val="24"/>
          <w:szCs w:val="24"/>
        </w:rPr>
        <w:t>th</w:t>
      </w:r>
      <w:proofErr w:type="spellEnd"/>
      <w:r w:rsidRPr="00631CF2">
        <w:rPr>
          <w:rFonts w:ascii="Times New Roman" w:hAnsi="Times New Roman" w:cs="Times New Roman"/>
          <w:sz w:val="24"/>
          <w:szCs w:val="24"/>
        </w:rPr>
        <w:t xml:space="preserve">; </w:t>
      </w:r>
      <w:r w:rsidR="00404F15" w:rsidRPr="00631CF2">
        <w:rPr>
          <w:rFonts w:ascii="Times New Roman" w:hAnsi="Times New Roman" w:cs="Times New Roman"/>
          <w:sz w:val="24"/>
          <w:szCs w:val="24"/>
        </w:rPr>
        <w:t>ε</w:t>
      </w:r>
      <w:r w:rsidR="00404F15" w:rsidRPr="00631CF2">
        <w:rPr>
          <w:rFonts w:ascii="Times New Roman" w:hAnsi="Times New Roman" w:cs="Times New Roman"/>
          <w:sz w:val="24"/>
          <w:szCs w:val="24"/>
          <w:vertAlign w:val="subscript"/>
        </w:rPr>
        <w:t xml:space="preserve"> </w:t>
      </w:r>
      <w:r w:rsidRPr="00631CF2">
        <w:rPr>
          <w:rFonts w:ascii="Times New Roman" w:hAnsi="Times New Roman" w:cs="Times New Roman"/>
          <w:sz w:val="24"/>
          <w:szCs w:val="24"/>
          <w:vertAlign w:val="subscript"/>
        </w:rPr>
        <w:t>[</w:t>
      </w:r>
      <w:proofErr w:type="spellStart"/>
      <w:r w:rsidRPr="00631CF2">
        <w:rPr>
          <w:rFonts w:ascii="Times New Roman" w:hAnsi="Times New Roman" w:cs="Times New Roman"/>
          <w:sz w:val="24"/>
          <w:szCs w:val="24"/>
          <w:vertAlign w:val="subscript"/>
        </w:rPr>
        <w:t>ilj</w:t>
      </w:r>
      <w:proofErr w:type="spellEnd"/>
      <w:r w:rsidRPr="00631CF2">
        <w:rPr>
          <w:rFonts w:ascii="Times New Roman" w:hAnsi="Times New Roman" w:cs="Times New Roman"/>
          <w:sz w:val="24"/>
          <w:szCs w:val="24"/>
          <w:vertAlign w:val="subscript"/>
        </w:rPr>
        <w:t>]</w:t>
      </w:r>
      <w:r w:rsidRPr="00631CF2">
        <w:rPr>
          <w:rFonts w:ascii="Times New Roman" w:hAnsi="Times New Roman" w:cs="Times New Roman"/>
          <w:sz w:val="24"/>
          <w:szCs w:val="24"/>
        </w:rPr>
        <w:t xml:space="preserve"> = error term. The fixed effects considered were management height (α</w:t>
      </w:r>
      <w:r w:rsidRPr="00631CF2">
        <w:rPr>
          <w:rFonts w:ascii="Times New Roman" w:hAnsi="Times New Roman" w:cs="Times New Roman"/>
          <w:sz w:val="24"/>
          <w:szCs w:val="24"/>
          <w:vertAlign w:val="subscript"/>
        </w:rPr>
        <w:t>[i]</w:t>
      </w:r>
      <w:r w:rsidRPr="00631CF2">
        <w:rPr>
          <w:rFonts w:ascii="Times New Roman" w:hAnsi="Times New Roman" w:cs="Times New Roman"/>
          <w:sz w:val="24"/>
          <w:szCs w:val="24"/>
        </w:rPr>
        <w:t>) and SHG (β</w:t>
      </w:r>
      <w:r w:rsidRPr="00631CF2">
        <w:rPr>
          <w:rFonts w:ascii="Times New Roman" w:hAnsi="Times New Roman" w:cs="Times New Roman"/>
          <w:sz w:val="24"/>
          <w:szCs w:val="24"/>
          <w:vertAlign w:val="subscript"/>
        </w:rPr>
        <w:t>[l]</w:t>
      </w:r>
      <w:r w:rsidRPr="00631CF2">
        <w:rPr>
          <w:rFonts w:ascii="Times New Roman" w:hAnsi="Times New Roman" w:cs="Times New Roman"/>
          <w:sz w:val="24"/>
          <w:szCs w:val="24"/>
        </w:rPr>
        <w:t>), and their interactions (δ</w:t>
      </w:r>
      <w:r w:rsidRPr="00631CF2">
        <w:rPr>
          <w:rFonts w:ascii="Times New Roman" w:hAnsi="Times New Roman" w:cs="Times New Roman"/>
          <w:sz w:val="24"/>
          <w:szCs w:val="24"/>
          <w:vertAlign w:val="subscript"/>
        </w:rPr>
        <w:t>[il]</w:t>
      </w:r>
      <w:r w:rsidRPr="00631CF2">
        <w:rPr>
          <w:rFonts w:ascii="Times New Roman" w:hAnsi="Times New Roman" w:cs="Times New Roman"/>
          <w:sz w:val="24"/>
          <w:szCs w:val="24"/>
        </w:rPr>
        <w:t xml:space="preserve">), the year was considered as </w:t>
      </w:r>
      <w:r w:rsidR="001F56C5" w:rsidRPr="00631CF2">
        <w:rPr>
          <w:rFonts w:ascii="Times New Roman" w:hAnsi="Times New Roman" w:cs="Times New Roman"/>
          <w:sz w:val="24"/>
          <w:szCs w:val="24"/>
        </w:rPr>
        <w:t>random</w:t>
      </w:r>
      <w:r w:rsidRPr="00631CF2">
        <w:rPr>
          <w:rFonts w:ascii="Times New Roman" w:hAnsi="Times New Roman" w:cs="Times New Roman"/>
          <w:sz w:val="24"/>
          <w:szCs w:val="24"/>
        </w:rPr>
        <w:t xml:space="preserve"> effect. Before conducting the analysis, the assumption of normality </w:t>
      </w:r>
      <w:r w:rsidR="001F56C5" w:rsidRPr="00631CF2">
        <w:rPr>
          <w:rFonts w:ascii="Times New Roman" w:hAnsi="Times New Roman" w:cs="Times New Roman"/>
          <w:sz w:val="24"/>
          <w:szCs w:val="24"/>
        </w:rPr>
        <w:t>was</w:t>
      </w:r>
      <w:r w:rsidRPr="00631CF2">
        <w:rPr>
          <w:rFonts w:ascii="Times New Roman" w:hAnsi="Times New Roman" w:cs="Times New Roman"/>
          <w:sz w:val="24"/>
          <w:szCs w:val="24"/>
        </w:rPr>
        <w:t xml:space="preserve"> verified. If the assumptions were not met, that is, if there was evidence of a pattern or association in our data, a nonparametric randomized approach was used. </w:t>
      </w:r>
    </w:p>
    <w:p w14:paraId="7841A59A" w14:textId="77777777" w:rsidR="00893295" w:rsidRPr="00631CF2" w:rsidRDefault="00B30EA5"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lastRenderedPageBreak/>
        <w:t>In addition, l</w:t>
      </w:r>
      <w:r w:rsidR="00737856" w:rsidRPr="00631CF2">
        <w:rPr>
          <w:rFonts w:ascii="Times New Roman" w:hAnsi="Times New Roman" w:cs="Times New Roman"/>
          <w:sz w:val="24"/>
          <w:szCs w:val="24"/>
        </w:rPr>
        <w:t xml:space="preserve">inear regression analysis was conducted using PAST statistical package (Hammer </w:t>
      </w:r>
      <w:r w:rsidR="00737856" w:rsidRPr="00631CF2">
        <w:rPr>
          <w:rFonts w:ascii="Times New Roman" w:hAnsi="Times New Roman" w:cs="Times New Roman"/>
          <w:i/>
          <w:iCs/>
          <w:sz w:val="24"/>
          <w:szCs w:val="24"/>
        </w:rPr>
        <w:t>et al.,</w:t>
      </w:r>
      <w:r w:rsidR="00737856" w:rsidRPr="00631CF2">
        <w:rPr>
          <w:rFonts w:ascii="Times New Roman" w:hAnsi="Times New Roman" w:cs="Times New Roman"/>
          <w:sz w:val="24"/>
          <w:szCs w:val="24"/>
        </w:rPr>
        <w:t xml:space="preserve"> 2021) to explore the relationships between tiller demography measurements per treatment</w:t>
      </w:r>
      <w:r w:rsidR="00893295" w:rsidRPr="00631CF2">
        <w:rPr>
          <w:rFonts w:ascii="Times New Roman" w:hAnsi="Times New Roman" w:cs="Times New Roman"/>
          <w:sz w:val="24"/>
          <w:szCs w:val="24"/>
        </w:rPr>
        <w:t>:</w:t>
      </w:r>
    </w:p>
    <w:p w14:paraId="79B6CA5B" w14:textId="77777777" w:rsidR="00893295" w:rsidRPr="00631CF2" w:rsidRDefault="00893295" w:rsidP="007F0193">
      <w:pPr>
        <w:widowControl w:val="0"/>
        <w:spacing w:after="0" w:line="480" w:lineRule="auto"/>
        <w:ind w:firstLine="426"/>
        <w:jc w:val="both"/>
        <w:rPr>
          <w:rFonts w:ascii="Times New Roman" w:hAnsi="Times New Roman" w:cs="Times New Roman"/>
          <w:sz w:val="24"/>
          <w:szCs w:val="24"/>
        </w:rPr>
      </w:pPr>
    </w:p>
    <w:p w14:paraId="2C2BDBA0" w14:textId="078ECB2F" w:rsidR="009D044B" w:rsidRPr="00631CF2" w:rsidRDefault="00737856"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Y</w:t>
      </w:r>
      <w:r w:rsidRPr="00631CF2">
        <w:rPr>
          <w:rFonts w:ascii="Times New Roman" w:hAnsi="Times New Roman" w:cs="Times New Roman"/>
          <w:sz w:val="24"/>
          <w:szCs w:val="24"/>
          <w:vertAlign w:val="subscript"/>
        </w:rPr>
        <w:t>[i]</w:t>
      </w:r>
      <w:r w:rsidRPr="00631CF2">
        <w:rPr>
          <w:rFonts w:ascii="Times New Roman" w:hAnsi="Times New Roman" w:cs="Times New Roman"/>
          <w:sz w:val="24"/>
          <w:szCs w:val="24"/>
        </w:rPr>
        <w:t>=β0+β1X</w:t>
      </w:r>
      <w:r w:rsidRPr="00631CF2">
        <w:rPr>
          <w:rFonts w:ascii="Times New Roman" w:hAnsi="Times New Roman" w:cs="Times New Roman"/>
          <w:sz w:val="24"/>
          <w:szCs w:val="24"/>
          <w:vertAlign w:val="subscript"/>
        </w:rPr>
        <w:t>[i]</w:t>
      </w:r>
      <w:r w:rsidRPr="00631CF2">
        <w:rPr>
          <w:rFonts w:ascii="Times New Roman" w:hAnsi="Times New Roman" w:cs="Times New Roman"/>
          <w:sz w:val="24"/>
          <w:szCs w:val="24"/>
        </w:rPr>
        <w:t>+</w:t>
      </w:r>
      <w:r w:rsidR="00404F15" w:rsidRPr="00631CF2">
        <w:rPr>
          <w:rFonts w:ascii="Times New Roman" w:hAnsi="Times New Roman" w:cs="Times New Roman"/>
          <w:sz w:val="24"/>
          <w:szCs w:val="24"/>
        </w:rPr>
        <w:t xml:space="preserve"> ε</w:t>
      </w:r>
      <w:r w:rsidRPr="00631CF2">
        <w:rPr>
          <w:rFonts w:ascii="Times New Roman" w:hAnsi="Times New Roman" w:cs="Times New Roman"/>
          <w:sz w:val="24"/>
          <w:szCs w:val="24"/>
          <w:vertAlign w:val="subscript"/>
        </w:rPr>
        <w:t>[i]</w:t>
      </w:r>
      <w:r w:rsidR="009D044B" w:rsidRPr="00631CF2">
        <w:rPr>
          <w:rFonts w:ascii="Times New Roman" w:hAnsi="Times New Roman" w:cs="Times New Roman"/>
          <w:sz w:val="24"/>
          <w:szCs w:val="24"/>
        </w:rPr>
        <w:tab/>
      </w:r>
      <w:r w:rsidR="00631CF2" w:rsidRPr="00631CF2">
        <w:rPr>
          <w:rFonts w:ascii="Times New Roman" w:hAnsi="Times New Roman" w:cs="Times New Roman"/>
          <w:sz w:val="24"/>
          <w:szCs w:val="24"/>
        </w:rPr>
        <w:tab/>
      </w:r>
      <w:r w:rsidR="00631CF2" w:rsidRPr="00631CF2">
        <w:rPr>
          <w:rFonts w:ascii="Times New Roman" w:hAnsi="Times New Roman" w:cs="Times New Roman"/>
          <w:sz w:val="24"/>
          <w:szCs w:val="24"/>
        </w:rPr>
        <w:tab/>
      </w:r>
      <w:r w:rsidR="00631CF2" w:rsidRPr="00631CF2">
        <w:rPr>
          <w:rFonts w:ascii="Times New Roman" w:hAnsi="Times New Roman" w:cs="Times New Roman"/>
          <w:sz w:val="24"/>
          <w:szCs w:val="24"/>
        </w:rPr>
        <w:tab/>
      </w:r>
      <w:r w:rsidR="00631CF2" w:rsidRPr="00631CF2">
        <w:rPr>
          <w:rFonts w:ascii="Times New Roman" w:hAnsi="Times New Roman" w:cs="Times New Roman"/>
          <w:sz w:val="24"/>
          <w:szCs w:val="24"/>
        </w:rPr>
        <w:tab/>
      </w:r>
      <w:r w:rsidR="00631CF2" w:rsidRPr="00631CF2">
        <w:rPr>
          <w:rFonts w:ascii="Times New Roman" w:hAnsi="Times New Roman" w:cs="Times New Roman"/>
          <w:sz w:val="24"/>
          <w:szCs w:val="24"/>
        </w:rPr>
        <w:tab/>
      </w:r>
      <w:r w:rsidR="00631CF2" w:rsidRPr="00631CF2">
        <w:rPr>
          <w:rFonts w:ascii="Times New Roman" w:hAnsi="Times New Roman" w:cs="Times New Roman"/>
          <w:sz w:val="24"/>
          <w:szCs w:val="24"/>
        </w:rPr>
        <w:tab/>
        <w:t>(5)</w:t>
      </w:r>
    </w:p>
    <w:p w14:paraId="3E0F375C" w14:textId="77777777" w:rsidR="009D044B" w:rsidRPr="00631CF2" w:rsidRDefault="009D044B" w:rsidP="007F0193">
      <w:pPr>
        <w:widowControl w:val="0"/>
        <w:spacing w:after="0" w:line="480" w:lineRule="auto"/>
        <w:jc w:val="both"/>
        <w:rPr>
          <w:rFonts w:ascii="Times New Roman" w:hAnsi="Times New Roman" w:cs="Times New Roman"/>
          <w:sz w:val="24"/>
          <w:szCs w:val="24"/>
        </w:rPr>
      </w:pPr>
    </w:p>
    <w:p w14:paraId="343BF4F2" w14:textId="5A988CE2" w:rsidR="00737856" w:rsidRPr="00631CF2" w:rsidRDefault="00737856" w:rsidP="007F0193">
      <w:pPr>
        <w:widowControl w:val="0"/>
        <w:spacing w:after="0" w:line="480" w:lineRule="auto"/>
        <w:jc w:val="both"/>
        <w:rPr>
          <w:rFonts w:ascii="Times New Roman" w:hAnsi="Times New Roman" w:cs="Times New Roman"/>
          <w:sz w:val="24"/>
          <w:szCs w:val="24"/>
        </w:rPr>
      </w:pPr>
      <w:r w:rsidRPr="00631CF2">
        <w:rPr>
          <w:rFonts w:ascii="Times New Roman" w:hAnsi="Times New Roman" w:cs="Times New Roman"/>
          <w:sz w:val="24"/>
          <w:szCs w:val="24"/>
        </w:rPr>
        <w:t>where Y</w:t>
      </w:r>
      <w:r w:rsidRPr="00631CF2">
        <w:rPr>
          <w:rFonts w:ascii="Times New Roman" w:hAnsi="Times New Roman" w:cs="Times New Roman"/>
          <w:sz w:val="24"/>
          <w:szCs w:val="24"/>
          <w:vertAlign w:val="subscript"/>
        </w:rPr>
        <w:t>[i]</w:t>
      </w:r>
      <w:r w:rsidRPr="00631CF2">
        <w:rPr>
          <w:rFonts w:ascii="Times New Roman" w:hAnsi="Times New Roman" w:cs="Times New Roman"/>
          <w:sz w:val="24"/>
          <w:szCs w:val="24"/>
        </w:rPr>
        <w:t>= variable response (tiller weigh); β0= intercept of the linear regression, β1X</w:t>
      </w:r>
      <w:r w:rsidRPr="00631CF2">
        <w:rPr>
          <w:rFonts w:ascii="Times New Roman" w:hAnsi="Times New Roman" w:cs="Times New Roman"/>
          <w:sz w:val="24"/>
          <w:szCs w:val="24"/>
          <w:vertAlign w:val="subscript"/>
        </w:rPr>
        <w:t>[i]</w:t>
      </w:r>
      <w:r w:rsidRPr="00631CF2">
        <w:rPr>
          <w:rFonts w:ascii="Times New Roman" w:hAnsi="Times New Roman" w:cs="Times New Roman"/>
          <w:sz w:val="24"/>
          <w:szCs w:val="24"/>
        </w:rPr>
        <w:t xml:space="preserve">= slope of change in variable (tiller density); and </w:t>
      </w:r>
      <w:r w:rsidR="00404F15" w:rsidRPr="00631CF2">
        <w:rPr>
          <w:rFonts w:ascii="Times New Roman" w:hAnsi="Times New Roman" w:cs="Times New Roman"/>
          <w:sz w:val="24"/>
          <w:szCs w:val="24"/>
        </w:rPr>
        <w:t>ε</w:t>
      </w:r>
      <w:r w:rsidRPr="00631CF2">
        <w:rPr>
          <w:rFonts w:ascii="Times New Roman" w:hAnsi="Times New Roman" w:cs="Times New Roman"/>
          <w:sz w:val="24"/>
          <w:szCs w:val="24"/>
          <w:vertAlign w:val="subscript"/>
        </w:rPr>
        <w:t>[i]</w:t>
      </w:r>
      <w:r w:rsidRPr="00631CF2">
        <w:rPr>
          <w:rFonts w:ascii="Times New Roman" w:hAnsi="Times New Roman" w:cs="Times New Roman"/>
          <w:sz w:val="24"/>
          <w:szCs w:val="24"/>
        </w:rPr>
        <w:t xml:space="preserve"> =error term. Because sample error occurred in both axes, the regression analyses between the TPD and tiller weight were performed using reduced major axis (RMA) method for estimating the slope of lines (La Barbera, 1989). We performed an analysis of variance (ANOVA) for the statistical difference between slopes, with a significance level of </w:t>
      </w:r>
      <w:r w:rsidRPr="00631CF2">
        <w:rPr>
          <w:rFonts w:ascii="Times New Roman" w:hAnsi="Times New Roman" w:cs="Times New Roman"/>
          <w:i/>
          <w:iCs/>
          <w:sz w:val="24"/>
          <w:szCs w:val="24"/>
        </w:rPr>
        <w:t xml:space="preserve">P </w:t>
      </w:r>
      <w:r w:rsidRPr="00631CF2">
        <w:rPr>
          <w:rFonts w:ascii="Times New Roman" w:hAnsi="Times New Roman" w:cs="Times New Roman"/>
          <w:sz w:val="24"/>
          <w:szCs w:val="24"/>
        </w:rPr>
        <w:t xml:space="preserve">&lt;0.05. In addition, the mean value for the distance between the theoretical line of slope -3/2 (on a log-log scale) and the linear regression for each treatment per season was calculated using trigonometry. Subsequently, an analysis of variance (ANOVA) for the statistical difference between each distance was calculated and post-hoc Fisher’s least significant difference (LSD) test was used. The significance level was set at </w:t>
      </w:r>
      <w:r w:rsidRPr="00631CF2">
        <w:rPr>
          <w:rFonts w:ascii="Times New Roman" w:hAnsi="Times New Roman" w:cs="Times New Roman"/>
          <w:i/>
          <w:iCs/>
          <w:sz w:val="24"/>
          <w:szCs w:val="24"/>
        </w:rPr>
        <w:t xml:space="preserve">P </w:t>
      </w:r>
      <w:r w:rsidRPr="00631CF2">
        <w:rPr>
          <w:rFonts w:ascii="Times New Roman" w:hAnsi="Times New Roman" w:cs="Times New Roman"/>
          <w:sz w:val="24"/>
          <w:szCs w:val="24"/>
        </w:rPr>
        <w:t>&lt;0.05.</w:t>
      </w:r>
    </w:p>
    <w:p w14:paraId="0AE94C52" w14:textId="7655C586" w:rsidR="69315EEE" w:rsidRPr="00631CF2" w:rsidRDefault="69315EEE" w:rsidP="007F0193">
      <w:pPr>
        <w:widowControl w:val="0"/>
        <w:spacing w:after="0" w:line="480" w:lineRule="auto"/>
        <w:jc w:val="both"/>
        <w:rPr>
          <w:rFonts w:ascii="Times New Roman" w:hAnsi="Times New Roman" w:cs="Times New Roman"/>
          <w:sz w:val="24"/>
          <w:szCs w:val="24"/>
        </w:rPr>
      </w:pPr>
    </w:p>
    <w:p w14:paraId="70BBD855" w14:textId="177B9B70" w:rsidR="412175EC" w:rsidRPr="00631CF2" w:rsidRDefault="412175EC" w:rsidP="007F0193">
      <w:pPr>
        <w:pStyle w:val="Heading1"/>
        <w:keepLines w:val="0"/>
        <w:widowControl w:val="0"/>
        <w:spacing w:before="0" w:line="480" w:lineRule="auto"/>
        <w:jc w:val="both"/>
        <w:rPr>
          <w:rFonts w:eastAsia="Times New Roman" w:cs="Times New Roman"/>
          <w:color w:val="538135" w:themeColor="accent6" w:themeShade="BF"/>
          <w:sz w:val="24"/>
          <w:szCs w:val="24"/>
          <w:lang w:val="en-GB"/>
        </w:rPr>
      </w:pPr>
      <w:r w:rsidRPr="00631CF2">
        <w:rPr>
          <w:rFonts w:cs="Times New Roman"/>
          <w:color w:val="538135" w:themeColor="accent6" w:themeShade="BF"/>
          <w:sz w:val="24"/>
          <w:szCs w:val="24"/>
          <w:lang w:val="en-GB"/>
        </w:rPr>
        <w:t>Results</w:t>
      </w:r>
      <w:r w:rsidR="3E2EC206" w:rsidRPr="00631CF2">
        <w:rPr>
          <w:rFonts w:cs="Times New Roman"/>
          <w:color w:val="538135" w:themeColor="accent6" w:themeShade="BF"/>
          <w:sz w:val="24"/>
          <w:szCs w:val="24"/>
          <w:lang w:val="en-GB"/>
        </w:rPr>
        <w:t xml:space="preserve"> </w:t>
      </w:r>
    </w:p>
    <w:p w14:paraId="40B58E61" w14:textId="3AC0590D" w:rsidR="000F33C5" w:rsidRPr="00631CF2" w:rsidRDefault="412175EC" w:rsidP="007F0193">
      <w:pPr>
        <w:pStyle w:val="Heading2"/>
        <w:keepLines w:val="0"/>
        <w:widowControl w:val="0"/>
        <w:spacing w:before="0" w:line="480" w:lineRule="auto"/>
        <w:jc w:val="both"/>
        <w:rPr>
          <w:rFonts w:eastAsia="Times New Roman" w:cs="Times New Roman"/>
          <w:b w:val="0"/>
          <w:bCs w:val="0"/>
          <w:i/>
          <w:iCs/>
          <w:color w:val="538135" w:themeColor="accent6" w:themeShade="BF"/>
          <w:sz w:val="24"/>
          <w:szCs w:val="24"/>
          <w:lang w:val="en-GB"/>
        </w:rPr>
      </w:pPr>
      <w:r w:rsidRPr="00631CF2">
        <w:rPr>
          <w:rFonts w:eastAsia="Times New Roman" w:cs="Times New Roman"/>
          <w:b w:val="0"/>
          <w:bCs w:val="0"/>
          <w:i/>
          <w:iCs/>
          <w:color w:val="538135" w:themeColor="accent6" w:themeShade="BF"/>
          <w:sz w:val="24"/>
          <w:szCs w:val="24"/>
          <w:lang w:val="en-GB"/>
        </w:rPr>
        <w:t xml:space="preserve">Demographic traits of </w:t>
      </w:r>
      <w:r w:rsidRPr="00631CF2">
        <w:rPr>
          <w:rFonts w:eastAsia="Times New Roman" w:cs="Times New Roman"/>
          <w:b w:val="0"/>
          <w:bCs w:val="0"/>
          <w:color w:val="538135" w:themeColor="accent6" w:themeShade="BF"/>
          <w:sz w:val="24"/>
          <w:szCs w:val="24"/>
          <w:lang w:val="en-GB"/>
        </w:rPr>
        <w:t xml:space="preserve">L. </w:t>
      </w:r>
      <w:proofErr w:type="spellStart"/>
      <w:r w:rsidRPr="00631CF2">
        <w:rPr>
          <w:rFonts w:eastAsia="Times New Roman" w:cs="Times New Roman"/>
          <w:b w:val="0"/>
          <w:bCs w:val="0"/>
          <w:color w:val="538135" w:themeColor="accent6" w:themeShade="BF"/>
          <w:sz w:val="24"/>
          <w:szCs w:val="24"/>
          <w:lang w:val="en-GB"/>
        </w:rPr>
        <w:t>arundinaceum</w:t>
      </w:r>
      <w:proofErr w:type="spellEnd"/>
      <w:r w:rsidRPr="00631CF2">
        <w:rPr>
          <w:rFonts w:eastAsia="Times New Roman" w:cs="Times New Roman"/>
          <w:b w:val="0"/>
          <w:bCs w:val="0"/>
          <w:i/>
          <w:iCs/>
          <w:color w:val="538135" w:themeColor="accent6" w:themeShade="BF"/>
          <w:sz w:val="24"/>
          <w:szCs w:val="24"/>
          <w:lang w:val="en-GB"/>
        </w:rPr>
        <w:t xml:space="preserve"> and </w:t>
      </w:r>
      <w:r w:rsidR="001D400C" w:rsidRPr="00631CF2">
        <w:rPr>
          <w:rFonts w:eastAsia="Times New Roman" w:cs="Times New Roman"/>
          <w:b w:val="0"/>
          <w:bCs w:val="0"/>
          <w:color w:val="538135" w:themeColor="accent6" w:themeShade="BF"/>
          <w:sz w:val="24"/>
          <w:szCs w:val="24"/>
          <w:lang w:val="en-GB"/>
        </w:rPr>
        <w:t>C</w:t>
      </w:r>
      <w:r w:rsidRPr="00631CF2">
        <w:rPr>
          <w:rFonts w:eastAsia="Times New Roman" w:cs="Times New Roman"/>
          <w:b w:val="0"/>
          <w:bCs w:val="0"/>
          <w:color w:val="538135" w:themeColor="accent6" w:themeShade="BF"/>
          <w:sz w:val="24"/>
          <w:szCs w:val="24"/>
          <w:lang w:val="en-GB"/>
        </w:rPr>
        <w:t xml:space="preserve">. </w:t>
      </w:r>
      <w:proofErr w:type="spellStart"/>
      <w:r w:rsidRPr="00631CF2">
        <w:rPr>
          <w:rFonts w:eastAsia="Times New Roman" w:cs="Times New Roman"/>
          <w:b w:val="0"/>
          <w:bCs w:val="0"/>
          <w:color w:val="538135" w:themeColor="accent6" w:themeShade="BF"/>
          <w:sz w:val="24"/>
          <w:szCs w:val="24"/>
          <w:lang w:val="en-GB"/>
        </w:rPr>
        <w:t>clandestinus</w:t>
      </w:r>
      <w:proofErr w:type="spellEnd"/>
      <w:r w:rsidRPr="00631CF2">
        <w:rPr>
          <w:rFonts w:eastAsia="Times New Roman" w:cs="Times New Roman"/>
          <w:b w:val="0"/>
          <w:bCs w:val="0"/>
          <w:i/>
          <w:iCs/>
          <w:color w:val="538135" w:themeColor="accent6" w:themeShade="BF"/>
          <w:sz w:val="24"/>
          <w:szCs w:val="24"/>
          <w:lang w:val="en-GB"/>
        </w:rPr>
        <w:t xml:space="preserve"> </w:t>
      </w:r>
    </w:p>
    <w:p w14:paraId="5CC12B0E" w14:textId="22359652" w:rsidR="000E7621" w:rsidRPr="00631CF2" w:rsidRDefault="000E7621" w:rsidP="007F0193">
      <w:pPr>
        <w:widowControl w:val="0"/>
        <w:spacing w:after="0" w:line="480" w:lineRule="auto"/>
        <w:jc w:val="both"/>
        <w:rPr>
          <w:rFonts w:ascii="Times New Roman" w:eastAsia="Times New Roman" w:hAnsi="Times New Roman" w:cs="Times New Roman"/>
          <w:sz w:val="24"/>
          <w:szCs w:val="24"/>
          <w:lang w:eastAsia="en-AU"/>
        </w:rPr>
      </w:pPr>
      <w:r w:rsidRPr="00631CF2">
        <w:rPr>
          <w:rFonts w:ascii="Times New Roman" w:eastAsia="Times New Roman" w:hAnsi="Times New Roman" w:cs="Times New Roman"/>
          <w:sz w:val="24"/>
          <w:szCs w:val="24"/>
          <w:lang w:eastAsia="en-AU"/>
        </w:rPr>
        <w:t xml:space="preserve">Grazing height and Hard Spring Grazing (HSG) treatments </w:t>
      </w:r>
      <w:r w:rsidR="7A24C9C8" w:rsidRPr="00631CF2">
        <w:rPr>
          <w:rFonts w:ascii="Times New Roman" w:eastAsia="Times New Roman" w:hAnsi="Times New Roman" w:cs="Times New Roman"/>
          <w:sz w:val="24"/>
          <w:szCs w:val="24"/>
          <w:lang w:eastAsia="en-AU"/>
        </w:rPr>
        <w:t xml:space="preserve">affected </w:t>
      </w:r>
      <w:r w:rsidRPr="00631CF2">
        <w:rPr>
          <w:rFonts w:ascii="Times New Roman" w:eastAsia="Times New Roman" w:hAnsi="Times New Roman" w:cs="Times New Roman"/>
          <w:sz w:val="24"/>
          <w:szCs w:val="24"/>
          <w:lang w:eastAsia="en-AU"/>
        </w:rPr>
        <w:t>the demographic traits of both grass species across seasons</w:t>
      </w:r>
      <w:r w:rsidR="08B6DE2E" w:rsidRPr="00631CF2">
        <w:rPr>
          <w:rFonts w:ascii="Times New Roman" w:eastAsia="Times New Roman" w:hAnsi="Times New Roman" w:cs="Times New Roman"/>
          <w:sz w:val="24"/>
          <w:szCs w:val="24"/>
          <w:lang w:eastAsia="en-AU"/>
        </w:rPr>
        <w:t xml:space="preserve"> differently</w:t>
      </w:r>
      <w:r w:rsidRPr="00631CF2">
        <w:rPr>
          <w:rFonts w:ascii="Times New Roman" w:eastAsia="Times New Roman" w:hAnsi="Times New Roman" w:cs="Times New Roman"/>
          <w:sz w:val="24"/>
          <w:szCs w:val="24"/>
          <w:lang w:eastAsia="en-AU"/>
        </w:rPr>
        <w:t xml:space="preserve"> (Table 1). In summer, </w:t>
      </w:r>
      <w:r w:rsidR="001D400C" w:rsidRPr="00631CF2">
        <w:rPr>
          <w:rFonts w:ascii="Times New Roman" w:eastAsia="Times New Roman" w:hAnsi="Times New Roman" w:cs="Times New Roman"/>
          <w:i/>
          <w:iCs/>
          <w:sz w:val="24"/>
          <w:szCs w:val="24"/>
          <w:lang w:eastAsia="en-AU"/>
        </w:rPr>
        <w:t>C</w:t>
      </w:r>
      <w:r w:rsidRPr="00631CF2">
        <w:rPr>
          <w:rFonts w:ascii="Times New Roman" w:eastAsia="Times New Roman" w:hAnsi="Times New Roman" w:cs="Times New Roman"/>
          <w:i/>
          <w:iCs/>
          <w:sz w:val="24"/>
          <w:szCs w:val="24"/>
          <w:lang w:eastAsia="en-AU"/>
        </w:rPr>
        <w:t xml:space="preserve">. </w:t>
      </w:r>
      <w:proofErr w:type="spellStart"/>
      <w:r w:rsidRPr="00631CF2">
        <w:rPr>
          <w:rFonts w:ascii="Times New Roman" w:eastAsia="Times New Roman" w:hAnsi="Times New Roman" w:cs="Times New Roman"/>
          <w:i/>
          <w:iCs/>
          <w:sz w:val="24"/>
          <w:szCs w:val="24"/>
          <w:lang w:eastAsia="en-AU"/>
        </w:rPr>
        <w:t>clandestinus</w:t>
      </w:r>
      <w:proofErr w:type="spellEnd"/>
      <w:r w:rsidRPr="00631CF2">
        <w:rPr>
          <w:rFonts w:ascii="Times New Roman" w:eastAsia="Times New Roman" w:hAnsi="Times New Roman" w:cs="Times New Roman"/>
          <w:sz w:val="24"/>
          <w:szCs w:val="24"/>
          <w:lang w:eastAsia="en-AU"/>
        </w:rPr>
        <w:t xml:space="preserve"> showed significant responses to grazing height, with the 15 cm treatment resulting in 26% higher tiller population density (TPD) but 25% lower tiller weight (TW) compared to the 20 cm treatment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lang w:eastAsia="en-AU"/>
        </w:rPr>
        <w:t>0.0</w:t>
      </w:r>
      <w:r w:rsidR="00332335" w:rsidRPr="00631CF2">
        <w:rPr>
          <w:rFonts w:ascii="Times New Roman" w:eastAsia="Times New Roman" w:hAnsi="Times New Roman" w:cs="Times New Roman"/>
          <w:sz w:val="24"/>
          <w:szCs w:val="24"/>
          <w:lang w:eastAsia="en-AU"/>
        </w:rPr>
        <w:t>5</w:t>
      </w:r>
      <w:r w:rsidRPr="00631CF2">
        <w:rPr>
          <w:rFonts w:ascii="Times New Roman" w:eastAsia="Times New Roman" w:hAnsi="Times New Roman" w:cs="Times New Roman"/>
          <w:sz w:val="24"/>
          <w:szCs w:val="24"/>
          <w:lang w:eastAsia="en-AU"/>
        </w:rPr>
        <w:t xml:space="preserve">). For </w:t>
      </w:r>
      <w:r w:rsidRPr="00631CF2">
        <w:rPr>
          <w:rFonts w:ascii="Times New Roman" w:eastAsia="Times New Roman" w:hAnsi="Times New Roman" w:cs="Times New Roman"/>
          <w:i/>
          <w:iCs/>
          <w:sz w:val="24"/>
          <w:szCs w:val="24"/>
          <w:lang w:eastAsia="en-AU"/>
        </w:rPr>
        <w:t xml:space="preserve">L.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sz w:val="24"/>
          <w:szCs w:val="24"/>
          <w:lang w:eastAsia="en-AU"/>
        </w:rPr>
        <w:t>, TW decreased by 36% under 15 cm management compared to 20 cm (P &lt;0.05), while HSG reduced TPD by approximately 20%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lang w:eastAsia="en-AU"/>
        </w:rPr>
        <w:t>0.0</w:t>
      </w:r>
      <w:r w:rsidR="007210FD" w:rsidRPr="00631CF2">
        <w:rPr>
          <w:rFonts w:ascii="Times New Roman" w:eastAsia="Times New Roman" w:hAnsi="Times New Roman" w:cs="Times New Roman"/>
          <w:sz w:val="24"/>
          <w:szCs w:val="24"/>
          <w:lang w:eastAsia="en-AU"/>
        </w:rPr>
        <w:t>5</w:t>
      </w:r>
      <w:r w:rsidRPr="00631CF2">
        <w:rPr>
          <w:rFonts w:ascii="Times New Roman" w:eastAsia="Times New Roman" w:hAnsi="Times New Roman" w:cs="Times New Roman"/>
          <w:sz w:val="24"/>
          <w:szCs w:val="24"/>
          <w:lang w:eastAsia="en-AU"/>
        </w:rPr>
        <w:t xml:space="preserve">). Neither species showed significant differences in tiller emergence (ET) between treatments. However, </w:t>
      </w:r>
      <w:r w:rsidRPr="00631CF2">
        <w:rPr>
          <w:rFonts w:ascii="Times New Roman" w:eastAsia="Times New Roman" w:hAnsi="Times New Roman" w:cs="Times New Roman"/>
          <w:i/>
          <w:iCs/>
          <w:sz w:val="24"/>
          <w:szCs w:val="24"/>
          <w:lang w:eastAsia="en-AU"/>
        </w:rPr>
        <w:t xml:space="preserve">L.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sz w:val="24"/>
          <w:szCs w:val="24"/>
          <w:lang w:eastAsia="en-AU"/>
        </w:rPr>
        <w:t xml:space="preserve"> exhibited a significant height × HSG interaction for tiller lifespan (TLS), with the shortest lifespans observed under 15 cm management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lang w:eastAsia="en-AU"/>
        </w:rPr>
        <w:t>0.05).</w:t>
      </w:r>
    </w:p>
    <w:p w14:paraId="799DA3AE" w14:textId="3EE9208B" w:rsidR="000E7621" w:rsidRPr="00631CF2" w:rsidRDefault="000E7621" w:rsidP="007F0193">
      <w:pPr>
        <w:widowControl w:val="0"/>
        <w:spacing w:after="0" w:line="480" w:lineRule="auto"/>
        <w:ind w:firstLine="426"/>
        <w:jc w:val="both"/>
        <w:rPr>
          <w:rFonts w:ascii="Times New Roman" w:eastAsia="Times New Roman" w:hAnsi="Times New Roman" w:cs="Times New Roman"/>
          <w:sz w:val="24"/>
          <w:szCs w:val="24"/>
          <w:lang w:eastAsia="en-AU"/>
        </w:rPr>
      </w:pPr>
      <w:r w:rsidRPr="00631CF2">
        <w:rPr>
          <w:rFonts w:ascii="Times New Roman" w:eastAsia="Times New Roman" w:hAnsi="Times New Roman" w:cs="Times New Roman"/>
          <w:sz w:val="24"/>
          <w:szCs w:val="24"/>
          <w:lang w:eastAsia="en-AU"/>
        </w:rPr>
        <w:lastRenderedPageBreak/>
        <w:t xml:space="preserve">Winter season dynamics were dominated by </w:t>
      </w:r>
      <w:r w:rsidRPr="00631CF2">
        <w:rPr>
          <w:rFonts w:ascii="Times New Roman" w:eastAsia="Times New Roman" w:hAnsi="Times New Roman" w:cs="Times New Roman"/>
          <w:i/>
          <w:iCs/>
          <w:sz w:val="24"/>
          <w:szCs w:val="24"/>
          <w:lang w:eastAsia="en-AU"/>
        </w:rPr>
        <w:t xml:space="preserve">L.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sz w:val="24"/>
          <w:szCs w:val="24"/>
          <w:lang w:eastAsia="en-AU"/>
        </w:rPr>
        <w:t xml:space="preserve">, as </w:t>
      </w:r>
      <w:r w:rsidR="001D400C" w:rsidRPr="00631CF2">
        <w:rPr>
          <w:rFonts w:ascii="Times New Roman" w:eastAsia="Times New Roman" w:hAnsi="Times New Roman" w:cs="Times New Roman"/>
          <w:i/>
          <w:iCs/>
          <w:sz w:val="24"/>
          <w:szCs w:val="24"/>
          <w:lang w:eastAsia="en-AU"/>
        </w:rPr>
        <w:t>C</w:t>
      </w:r>
      <w:r w:rsidRPr="00631CF2">
        <w:rPr>
          <w:rFonts w:ascii="Times New Roman" w:eastAsia="Times New Roman" w:hAnsi="Times New Roman" w:cs="Times New Roman"/>
          <w:i/>
          <w:iCs/>
          <w:sz w:val="24"/>
          <w:szCs w:val="24"/>
          <w:lang w:eastAsia="en-AU"/>
        </w:rPr>
        <w:t xml:space="preserve">. </w:t>
      </w:r>
      <w:proofErr w:type="spellStart"/>
      <w:r w:rsidRPr="00631CF2">
        <w:rPr>
          <w:rFonts w:ascii="Times New Roman" w:eastAsia="Times New Roman" w:hAnsi="Times New Roman" w:cs="Times New Roman"/>
          <w:i/>
          <w:iCs/>
          <w:sz w:val="24"/>
          <w:szCs w:val="24"/>
          <w:lang w:eastAsia="en-AU"/>
        </w:rPr>
        <w:t>clandestinus</w:t>
      </w:r>
      <w:proofErr w:type="spellEnd"/>
      <w:r w:rsidRPr="00631CF2">
        <w:rPr>
          <w:rFonts w:ascii="Times New Roman" w:eastAsia="Times New Roman" w:hAnsi="Times New Roman" w:cs="Times New Roman"/>
          <w:sz w:val="24"/>
          <w:szCs w:val="24"/>
          <w:lang w:eastAsia="en-AU"/>
        </w:rPr>
        <w:t xml:space="preserve"> showed minimal growth during this period. The combination of 15 cm height management and HSG significantly increased </w:t>
      </w:r>
      <w:r w:rsidRPr="00631CF2">
        <w:rPr>
          <w:rFonts w:ascii="Times New Roman" w:eastAsia="Times New Roman" w:hAnsi="Times New Roman" w:cs="Times New Roman"/>
          <w:i/>
          <w:iCs/>
          <w:sz w:val="24"/>
          <w:szCs w:val="24"/>
          <w:lang w:eastAsia="en-AU"/>
        </w:rPr>
        <w:t xml:space="preserve">L.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sz w:val="24"/>
          <w:szCs w:val="24"/>
          <w:lang w:eastAsia="en-AU"/>
        </w:rPr>
        <w:t xml:space="preserve"> TPD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lang w:eastAsia="en-AU"/>
        </w:rPr>
        <w:t>0.05). Additionally, TW was 37.5% higher under 20 cm management compared to 15 cm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lang w:eastAsia="en-AU"/>
        </w:rPr>
        <w:t>0.0</w:t>
      </w:r>
      <w:r w:rsidR="00580172" w:rsidRPr="00631CF2">
        <w:rPr>
          <w:rFonts w:ascii="Times New Roman" w:eastAsia="Times New Roman" w:hAnsi="Times New Roman" w:cs="Times New Roman"/>
          <w:sz w:val="24"/>
          <w:szCs w:val="24"/>
          <w:lang w:eastAsia="en-AU"/>
        </w:rPr>
        <w:t>0</w:t>
      </w:r>
      <w:r w:rsidRPr="00631CF2">
        <w:rPr>
          <w:rFonts w:ascii="Times New Roman" w:eastAsia="Times New Roman" w:hAnsi="Times New Roman" w:cs="Times New Roman"/>
          <w:sz w:val="24"/>
          <w:szCs w:val="24"/>
          <w:lang w:eastAsia="en-AU"/>
        </w:rPr>
        <w:t>1), regardless of HSG treatment.</w:t>
      </w:r>
    </w:p>
    <w:p w14:paraId="58E32495" w14:textId="2D5D3964" w:rsidR="69315EEE" w:rsidRDefault="000E7621" w:rsidP="007F0193">
      <w:pPr>
        <w:widowControl w:val="0"/>
        <w:spacing w:after="0" w:line="480" w:lineRule="auto"/>
        <w:ind w:firstLine="426"/>
        <w:jc w:val="both"/>
        <w:rPr>
          <w:rFonts w:ascii="Times New Roman" w:eastAsia="Times New Roman" w:hAnsi="Times New Roman" w:cs="Times New Roman"/>
          <w:sz w:val="24"/>
          <w:szCs w:val="24"/>
          <w:lang w:eastAsia="en-AU"/>
        </w:rPr>
      </w:pPr>
      <w:r w:rsidRPr="00631CF2">
        <w:rPr>
          <w:rFonts w:ascii="Times New Roman" w:eastAsia="Times New Roman" w:hAnsi="Times New Roman" w:cs="Times New Roman"/>
          <w:sz w:val="24"/>
          <w:szCs w:val="24"/>
          <w:lang w:eastAsia="en-AU"/>
        </w:rPr>
        <w:t xml:space="preserve">In spring, both species showed strong responses to management treatments. For </w:t>
      </w:r>
      <w:r w:rsidR="001D400C" w:rsidRPr="00631CF2">
        <w:rPr>
          <w:rFonts w:ascii="Times New Roman" w:eastAsia="Times New Roman" w:hAnsi="Times New Roman" w:cs="Times New Roman"/>
          <w:i/>
          <w:iCs/>
          <w:sz w:val="24"/>
          <w:szCs w:val="24"/>
          <w:lang w:eastAsia="en-AU"/>
        </w:rPr>
        <w:t>C</w:t>
      </w:r>
      <w:r w:rsidRPr="00631CF2">
        <w:rPr>
          <w:rFonts w:ascii="Times New Roman" w:eastAsia="Times New Roman" w:hAnsi="Times New Roman" w:cs="Times New Roman"/>
          <w:i/>
          <w:iCs/>
          <w:sz w:val="24"/>
          <w:szCs w:val="24"/>
          <w:lang w:eastAsia="en-AU"/>
        </w:rPr>
        <w:t xml:space="preserve">. </w:t>
      </w:r>
      <w:proofErr w:type="spellStart"/>
      <w:r w:rsidRPr="00631CF2">
        <w:rPr>
          <w:rFonts w:ascii="Times New Roman" w:eastAsia="Times New Roman" w:hAnsi="Times New Roman" w:cs="Times New Roman"/>
          <w:i/>
          <w:iCs/>
          <w:sz w:val="24"/>
          <w:szCs w:val="24"/>
          <w:lang w:eastAsia="en-AU"/>
        </w:rPr>
        <w:t>clandestinus</w:t>
      </w:r>
      <w:proofErr w:type="spellEnd"/>
      <w:r w:rsidRPr="00631CF2">
        <w:rPr>
          <w:rFonts w:ascii="Times New Roman" w:eastAsia="Times New Roman" w:hAnsi="Times New Roman" w:cs="Times New Roman"/>
          <w:sz w:val="24"/>
          <w:szCs w:val="24"/>
          <w:lang w:eastAsia="en-AU"/>
        </w:rPr>
        <w:t>, taller management with HSG led to a 35% reduction in TPD but a 45% increase in TW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lang w:eastAsia="en-AU"/>
        </w:rPr>
        <w:t>0.0</w:t>
      </w:r>
      <w:r w:rsidR="001934B8" w:rsidRPr="00631CF2">
        <w:rPr>
          <w:rFonts w:ascii="Times New Roman" w:eastAsia="Times New Roman" w:hAnsi="Times New Roman" w:cs="Times New Roman"/>
          <w:sz w:val="24"/>
          <w:szCs w:val="24"/>
          <w:lang w:eastAsia="en-AU"/>
        </w:rPr>
        <w:t>0</w:t>
      </w:r>
      <w:r w:rsidRPr="00631CF2">
        <w:rPr>
          <w:rFonts w:ascii="Times New Roman" w:eastAsia="Times New Roman" w:hAnsi="Times New Roman" w:cs="Times New Roman"/>
          <w:sz w:val="24"/>
          <w:szCs w:val="24"/>
          <w:lang w:eastAsia="en-AU"/>
        </w:rPr>
        <w:t xml:space="preserve">1). </w:t>
      </w:r>
      <w:r w:rsidRPr="00631CF2">
        <w:rPr>
          <w:rFonts w:ascii="Times New Roman" w:eastAsia="Times New Roman" w:hAnsi="Times New Roman" w:cs="Times New Roman"/>
          <w:i/>
          <w:iCs/>
          <w:sz w:val="24"/>
          <w:szCs w:val="24"/>
          <w:lang w:eastAsia="en-AU"/>
        </w:rPr>
        <w:t xml:space="preserve">L.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sz w:val="24"/>
          <w:szCs w:val="24"/>
          <w:lang w:eastAsia="en-AU"/>
        </w:rPr>
        <w:t xml:space="preserve"> showed a more modest response, with only TW increasing by 27% under taller management (</w:t>
      </w:r>
      <w:r w:rsidRPr="00631CF2">
        <w:rPr>
          <w:rFonts w:ascii="Times New Roman" w:eastAsia="Times New Roman" w:hAnsi="Times New Roman" w:cs="Times New Roman"/>
          <w:i/>
          <w:iCs/>
          <w:sz w:val="24"/>
          <w:szCs w:val="24"/>
          <w:lang w:eastAsia="en-AU"/>
        </w:rPr>
        <w:t xml:space="preserve">P </w:t>
      </w:r>
      <w:r w:rsidRPr="00631CF2">
        <w:rPr>
          <w:rFonts w:ascii="Times New Roman" w:eastAsia="Times New Roman" w:hAnsi="Times New Roman" w:cs="Times New Roman"/>
          <w:sz w:val="24"/>
          <w:szCs w:val="24"/>
          <w:lang w:eastAsia="en-AU"/>
        </w:rPr>
        <w:t>&lt;0.0</w:t>
      </w:r>
      <w:r w:rsidR="007065A8" w:rsidRPr="00631CF2">
        <w:rPr>
          <w:rFonts w:ascii="Times New Roman" w:eastAsia="Times New Roman" w:hAnsi="Times New Roman" w:cs="Times New Roman"/>
          <w:sz w:val="24"/>
          <w:szCs w:val="24"/>
          <w:lang w:eastAsia="en-AU"/>
        </w:rPr>
        <w:t>5</w:t>
      </w:r>
      <w:r w:rsidRPr="00631CF2">
        <w:rPr>
          <w:rFonts w:ascii="Times New Roman" w:eastAsia="Times New Roman" w:hAnsi="Times New Roman" w:cs="Times New Roman"/>
          <w:sz w:val="24"/>
          <w:szCs w:val="24"/>
          <w:lang w:eastAsia="en-AU"/>
        </w:rPr>
        <w:t xml:space="preserve">). HSG reduced TLS in </w:t>
      </w:r>
      <w:r w:rsidRPr="00631CF2">
        <w:rPr>
          <w:rFonts w:ascii="Times New Roman" w:eastAsia="Times New Roman" w:hAnsi="Times New Roman" w:cs="Times New Roman"/>
          <w:i/>
          <w:iCs/>
          <w:sz w:val="24"/>
          <w:szCs w:val="24"/>
          <w:lang w:eastAsia="en-AU"/>
        </w:rPr>
        <w:t xml:space="preserve">L.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sz w:val="24"/>
          <w:szCs w:val="24"/>
          <w:lang w:eastAsia="en-AU"/>
        </w:rPr>
        <w:t xml:space="preserve">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lang w:eastAsia="en-AU"/>
        </w:rPr>
        <w:t>0.05). Both species exhibited significant height × HSG interactions for ET, with maximum tiller emergence observed under 15 cm management.</w:t>
      </w:r>
    </w:p>
    <w:p w14:paraId="75246BC7" w14:textId="77777777" w:rsidR="00631CF2" w:rsidRPr="00631CF2" w:rsidRDefault="00631CF2" w:rsidP="007F0193">
      <w:pPr>
        <w:widowControl w:val="0"/>
        <w:spacing w:after="0" w:line="480" w:lineRule="auto"/>
        <w:ind w:firstLine="426"/>
        <w:jc w:val="both"/>
        <w:rPr>
          <w:rFonts w:ascii="Times New Roman" w:hAnsi="Times New Roman" w:cs="Times New Roman"/>
          <w:sz w:val="24"/>
          <w:szCs w:val="24"/>
        </w:rPr>
      </w:pPr>
    </w:p>
    <w:p w14:paraId="268C9586" w14:textId="62F93347" w:rsidR="002C6F71" w:rsidRPr="00D22984" w:rsidRDefault="002C6F71" w:rsidP="007F0193">
      <w:pPr>
        <w:widowControl w:val="0"/>
        <w:spacing w:after="0" w:line="480" w:lineRule="auto"/>
        <w:jc w:val="both"/>
        <w:rPr>
          <w:rFonts w:ascii="Times New Roman" w:eastAsia="Times New Roman" w:hAnsi="Times New Roman" w:cs="Times New Roman"/>
          <w:i/>
          <w:iCs/>
          <w:color w:val="538135"/>
          <w:sz w:val="24"/>
          <w:szCs w:val="24"/>
        </w:rPr>
      </w:pPr>
      <w:r w:rsidRPr="00D22984">
        <w:rPr>
          <w:rFonts w:ascii="Times New Roman" w:eastAsia="Times New Roman" w:hAnsi="Times New Roman" w:cs="Times New Roman"/>
          <w:i/>
          <w:iCs/>
          <w:color w:val="538135"/>
          <w:sz w:val="24"/>
          <w:szCs w:val="24"/>
        </w:rPr>
        <w:t xml:space="preserve">Tiller </w:t>
      </w:r>
      <w:r w:rsidR="00631CF2" w:rsidRPr="00D22984">
        <w:rPr>
          <w:rFonts w:ascii="Times New Roman" w:eastAsia="Times New Roman" w:hAnsi="Times New Roman" w:cs="Times New Roman"/>
          <w:i/>
          <w:iCs/>
          <w:color w:val="538135"/>
          <w:sz w:val="24"/>
          <w:szCs w:val="24"/>
        </w:rPr>
        <w:t>population dynamics in mixed pastures</w:t>
      </w:r>
    </w:p>
    <w:p w14:paraId="7A50ECAC" w14:textId="2D3FEFBF" w:rsidR="002C6F71" w:rsidRPr="00D22984" w:rsidRDefault="002C6F71" w:rsidP="007F0193">
      <w:pPr>
        <w:widowControl w:val="0"/>
        <w:spacing w:after="0" w:line="480" w:lineRule="auto"/>
        <w:jc w:val="both"/>
        <w:rPr>
          <w:rFonts w:ascii="Times New Roman" w:eastAsia="Times New Roman" w:hAnsi="Times New Roman" w:cs="Times New Roman"/>
          <w:color w:val="538135"/>
          <w:sz w:val="24"/>
          <w:szCs w:val="24"/>
        </w:rPr>
      </w:pPr>
      <w:r w:rsidRPr="00D22984">
        <w:rPr>
          <w:rFonts w:ascii="Times New Roman" w:eastAsia="Times New Roman" w:hAnsi="Times New Roman" w:cs="Times New Roman"/>
          <w:color w:val="538135"/>
          <w:sz w:val="24"/>
          <w:szCs w:val="24"/>
        </w:rPr>
        <w:t xml:space="preserve">Tiller </w:t>
      </w:r>
      <w:r w:rsidR="00D22984" w:rsidRPr="00D22984">
        <w:rPr>
          <w:rFonts w:ascii="Times New Roman" w:eastAsia="Times New Roman" w:hAnsi="Times New Roman" w:cs="Times New Roman"/>
          <w:color w:val="538135"/>
          <w:sz w:val="24"/>
          <w:szCs w:val="24"/>
        </w:rPr>
        <w:t>appearance patterns</w:t>
      </w:r>
    </w:p>
    <w:p w14:paraId="0D948F21" w14:textId="1BF206DF" w:rsidR="002C6F71" w:rsidRPr="00631CF2" w:rsidRDefault="002C6F71" w:rsidP="007F0193">
      <w:pPr>
        <w:widowControl w:val="0"/>
        <w:spacing w:after="0" w:line="480" w:lineRule="auto"/>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t>The tiller appearance rate (TAR) of the mixed pasture showed significant differences between grazing heights throughout the year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rPr>
        <w:t>0.001). Under 20 cm management, TAR in summer was significantly lower (0.68 ± 0.07) compared to both winter (1.33 ± 0.11) and spring (1.20 ± 0.12). Similar seasonal patterns were observed under 15 cm management, with summer showing lower TAR (0.79 ± 0.08) than winter (1.22 ± 0.13) and spring (0.98 ± 0.15) (</w:t>
      </w:r>
      <w:r w:rsidR="00615B33" w:rsidRPr="00631CF2">
        <w:rPr>
          <w:rFonts w:ascii="Times New Roman" w:eastAsia="Times New Roman" w:hAnsi="Times New Roman" w:cs="Times New Roman"/>
          <w:sz w:val="24"/>
          <w:szCs w:val="24"/>
        </w:rPr>
        <w:t>Figures</w:t>
      </w:r>
      <w:r w:rsidRPr="00631CF2">
        <w:rPr>
          <w:rFonts w:ascii="Times New Roman" w:eastAsia="Times New Roman" w:hAnsi="Times New Roman" w:cs="Times New Roman"/>
          <w:sz w:val="24"/>
          <w:szCs w:val="24"/>
        </w:rPr>
        <w:t>. 2</w:t>
      </w:r>
      <w:r w:rsidR="007802E7" w:rsidRPr="00631CF2">
        <w:rPr>
          <w:rFonts w:ascii="Times New Roman" w:eastAsia="Times New Roman" w:hAnsi="Times New Roman" w:cs="Times New Roman"/>
          <w:sz w:val="24"/>
          <w:szCs w:val="24"/>
        </w:rPr>
        <w:t>A-B</w:t>
      </w:r>
      <w:r w:rsidRPr="00631CF2">
        <w:rPr>
          <w:rFonts w:ascii="Times New Roman" w:eastAsia="Times New Roman" w:hAnsi="Times New Roman" w:cs="Times New Roman"/>
          <w:sz w:val="24"/>
          <w:szCs w:val="24"/>
        </w:rPr>
        <w:t>).</w:t>
      </w:r>
    </w:p>
    <w:p w14:paraId="17439638" w14:textId="705B3FF4" w:rsidR="002C6F71" w:rsidRDefault="002C6F71" w:rsidP="007F0193">
      <w:pPr>
        <w:widowControl w:val="0"/>
        <w:spacing w:after="0" w:line="480" w:lineRule="auto"/>
        <w:ind w:firstLine="426"/>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t xml:space="preserve">Species-specific responses were also observed, with distinct seasonal patterns in </w:t>
      </w:r>
      <w:r w:rsidR="00C5180A" w:rsidRPr="00631CF2">
        <w:rPr>
          <w:rFonts w:ascii="Times New Roman" w:eastAsia="Times New Roman" w:hAnsi="Times New Roman" w:cs="Times New Roman"/>
          <w:sz w:val="24"/>
          <w:szCs w:val="24"/>
        </w:rPr>
        <w:t>TAR</w:t>
      </w:r>
      <w:r w:rsidRPr="00631CF2">
        <w:rPr>
          <w:rFonts w:ascii="Times New Roman" w:eastAsia="Times New Roman" w:hAnsi="Times New Roman" w:cs="Times New Roman"/>
          <w:sz w:val="24"/>
          <w:szCs w:val="24"/>
        </w:rPr>
        <w:t xml:space="preserve">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rPr>
        <w:t>0.05)</w:t>
      </w:r>
      <w:r w:rsidR="000D56B9" w:rsidRPr="00631CF2">
        <w:rPr>
          <w:rFonts w:ascii="Times New Roman" w:eastAsia="Times New Roman" w:hAnsi="Times New Roman" w:cs="Times New Roman"/>
          <w:sz w:val="24"/>
          <w:szCs w:val="24"/>
        </w:rPr>
        <w:t>,</w:t>
      </w:r>
      <w:r w:rsidRPr="00631CF2">
        <w:rPr>
          <w:rFonts w:ascii="Times New Roman" w:eastAsia="Times New Roman" w:hAnsi="Times New Roman" w:cs="Times New Roman"/>
          <w:sz w:val="24"/>
          <w:szCs w:val="24"/>
        </w:rPr>
        <w:t xml:space="preserve"> </w:t>
      </w:r>
      <w:r w:rsidRPr="00631CF2">
        <w:rPr>
          <w:rFonts w:ascii="Times New Roman" w:eastAsia="Times New Roman" w:hAnsi="Times New Roman" w:cs="Times New Roman"/>
          <w:i/>
          <w:iCs/>
          <w:sz w:val="24"/>
          <w:szCs w:val="24"/>
        </w:rPr>
        <w:t xml:space="preserve">L. </w:t>
      </w:r>
      <w:proofErr w:type="spellStart"/>
      <w:r w:rsidRPr="00631CF2">
        <w:rPr>
          <w:rFonts w:ascii="Times New Roman" w:eastAsia="Times New Roman" w:hAnsi="Times New Roman" w:cs="Times New Roman"/>
          <w:i/>
          <w:iCs/>
          <w:sz w:val="24"/>
          <w:szCs w:val="24"/>
        </w:rPr>
        <w:t>arundinaceum</w:t>
      </w:r>
      <w:proofErr w:type="spellEnd"/>
      <w:r w:rsidRPr="00631CF2">
        <w:rPr>
          <w:rFonts w:ascii="Times New Roman" w:eastAsia="Times New Roman" w:hAnsi="Times New Roman" w:cs="Times New Roman"/>
          <w:sz w:val="24"/>
          <w:szCs w:val="24"/>
        </w:rPr>
        <w:t xml:space="preserve"> exhibited </w:t>
      </w:r>
      <w:r w:rsidR="00C5180A" w:rsidRPr="00631CF2">
        <w:rPr>
          <w:rFonts w:ascii="Times New Roman" w:eastAsia="Times New Roman" w:hAnsi="Times New Roman" w:cs="Times New Roman"/>
          <w:sz w:val="24"/>
          <w:szCs w:val="24"/>
        </w:rPr>
        <w:t xml:space="preserve">TAR </w:t>
      </w:r>
      <w:r w:rsidRPr="00631CF2">
        <w:rPr>
          <w:rFonts w:ascii="Times New Roman" w:eastAsia="Times New Roman" w:hAnsi="Times New Roman" w:cs="Times New Roman"/>
          <w:sz w:val="24"/>
          <w:szCs w:val="24"/>
        </w:rPr>
        <w:t xml:space="preserve">peak during winter, while </w:t>
      </w:r>
      <w:r w:rsidR="00716F0E" w:rsidRPr="00631CF2">
        <w:rPr>
          <w:rFonts w:ascii="Times New Roman" w:eastAsia="Times New Roman" w:hAnsi="Times New Roman" w:cs="Times New Roman"/>
          <w:i/>
          <w:iCs/>
          <w:sz w:val="24"/>
          <w:szCs w:val="24"/>
        </w:rPr>
        <w:t>C</w:t>
      </w:r>
      <w:r w:rsidRPr="00631CF2">
        <w:rPr>
          <w:rFonts w:ascii="Times New Roman" w:eastAsia="Times New Roman" w:hAnsi="Times New Roman" w:cs="Times New Roman"/>
          <w:i/>
          <w:iCs/>
          <w:sz w:val="24"/>
          <w:szCs w:val="24"/>
        </w:rPr>
        <w:t xml:space="preserve">. </w:t>
      </w:r>
      <w:proofErr w:type="spellStart"/>
      <w:r w:rsidRPr="00631CF2">
        <w:rPr>
          <w:rFonts w:ascii="Times New Roman" w:eastAsia="Times New Roman" w:hAnsi="Times New Roman" w:cs="Times New Roman"/>
          <w:i/>
          <w:iCs/>
          <w:sz w:val="24"/>
          <w:szCs w:val="24"/>
        </w:rPr>
        <w:t>clandestinus</w:t>
      </w:r>
      <w:proofErr w:type="spellEnd"/>
      <w:r w:rsidRPr="00631CF2">
        <w:rPr>
          <w:rFonts w:ascii="Times New Roman" w:eastAsia="Times New Roman" w:hAnsi="Times New Roman" w:cs="Times New Roman"/>
          <w:sz w:val="24"/>
          <w:szCs w:val="24"/>
        </w:rPr>
        <w:t xml:space="preserve"> showed maximum </w:t>
      </w:r>
      <w:r w:rsidR="00C5180A" w:rsidRPr="00631CF2">
        <w:rPr>
          <w:rFonts w:ascii="Times New Roman" w:eastAsia="Times New Roman" w:hAnsi="Times New Roman" w:cs="Times New Roman"/>
          <w:sz w:val="24"/>
          <w:szCs w:val="24"/>
        </w:rPr>
        <w:t>TAR</w:t>
      </w:r>
      <w:r w:rsidRPr="00631CF2">
        <w:rPr>
          <w:rFonts w:ascii="Times New Roman" w:eastAsia="Times New Roman" w:hAnsi="Times New Roman" w:cs="Times New Roman"/>
          <w:sz w:val="24"/>
          <w:szCs w:val="24"/>
        </w:rPr>
        <w:t xml:space="preserve"> in spring. For </w:t>
      </w:r>
      <w:r w:rsidR="00716F0E" w:rsidRPr="00631CF2">
        <w:rPr>
          <w:rFonts w:ascii="Times New Roman" w:eastAsia="Times New Roman" w:hAnsi="Times New Roman" w:cs="Times New Roman"/>
          <w:i/>
          <w:iCs/>
          <w:sz w:val="24"/>
          <w:szCs w:val="24"/>
        </w:rPr>
        <w:t>C</w:t>
      </w:r>
      <w:r w:rsidRPr="00631CF2">
        <w:rPr>
          <w:rFonts w:ascii="Times New Roman" w:eastAsia="Times New Roman" w:hAnsi="Times New Roman" w:cs="Times New Roman"/>
          <w:i/>
          <w:iCs/>
          <w:sz w:val="24"/>
          <w:szCs w:val="24"/>
        </w:rPr>
        <w:t xml:space="preserve">. </w:t>
      </w:r>
      <w:proofErr w:type="spellStart"/>
      <w:r w:rsidRPr="00631CF2">
        <w:rPr>
          <w:rFonts w:ascii="Times New Roman" w:eastAsia="Times New Roman" w:hAnsi="Times New Roman" w:cs="Times New Roman"/>
          <w:i/>
          <w:iCs/>
          <w:sz w:val="24"/>
          <w:szCs w:val="24"/>
        </w:rPr>
        <w:t>clandestinus</w:t>
      </w:r>
      <w:proofErr w:type="spellEnd"/>
      <w:r w:rsidRPr="00631CF2">
        <w:rPr>
          <w:rFonts w:ascii="Times New Roman" w:eastAsia="Times New Roman" w:hAnsi="Times New Roman" w:cs="Times New Roman"/>
          <w:sz w:val="24"/>
          <w:szCs w:val="24"/>
        </w:rPr>
        <w:t xml:space="preserve">, both 15 cm and 20 cm HSG treatments resulted in significantly higher </w:t>
      </w:r>
      <w:r w:rsidR="00C5180A" w:rsidRPr="00631CF2">
        <w:rPr>
          <w:rFonts w:ascii="Times New Roman" w:eastAsia="Times New Roman" w:hAnsi="Times New Roman" w:cs="Times New Roman"/>
          <w:sz w:val="24"/>
          <w:szCs w:val="24"/>
        </w:rPr>
        <w:t>TAR</w:t>
      </w:r>
      <w:r w:rsidRPr="00631CF2">
        <w:rPr>
          <w:rFonts w:ascii="Times New Roman" w:eastAsia="Times New Roman" w:hAnsi="Times New Roman" w:cs="Times New Roman"/>
          <w:sz w:val="24"/>
          <w:szCs w:val="24"/>
        </w:rPr>
        <w:t xml:space="preserve"> compared to other treatments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r w:rsidRPr="00631CF2">
        <w:rPr>
          <w:rFonts w:ascii="Times New Roman" w:eastAsia="Times New Roman" w:hAnsi="Times New Roman" w:cs="Times New Roman"/>
          <w:sz w:val="24"/>
          <w:szCs w:val="24"/>
        </w:rPr>
        <w:t xml:space="preserve">0.05; </w:t>
      </w:r>
      <w:r w:rsidR="006315E3" w:rsidRPr="00631CF2">
        <w:rPr>
          <w:rFonts w:ascii="Times New Roman" w:eastAsia="Times New Roman" w:hAnsi="Times New Roman" w:cs="Times New Roman"/>
          <w:sz w:val="24"/>
          <w:szCs w:val="24"/>
        </w:rPr>
        <w:t>s</w:t>
      </w:r>
      <w:r w:rsidRPr="00631CF2">
        <w:rPr>
          <w:rFonts w:ascii="Times New Roman" w:eastAsia="Times New Roman" w:hAnsi="Times New Roman" w:cs="Times New Roman"/>
          <w:sz w:val="24"/>
          <w:szCs w:val="24"/>
        </w:rPr>
        <w:t xml:space="preserve">upplementary </w:t>
      </w:r>
      <w:r w:rsidR="00615B33" w:rsidRPr="00631CF2">
        <w:rPr>
          <w:rFonts w:ascii="Times New Roman" w:eastAsia="Times New Roman" w:hAnsi="Times New Roman" w:cs="Times New Roman"/>
          <w:sz w:val="24"/>
          <w:szCs w:val="24"/>
        </w:rPr>
        <w:t>Figures</w:t>
      </w:r>
      <w:r w:rsidRPr="00631CF2">
        <w:rPr>
          <w:rFonts w:ascii="Times New Roman" w:eastAsia="Times New Roman" w:hAnsi="Times New Roman" w:cs="Times New Roman"/>
          <w:sz w:val="24"/>
          <w:szCs w:val="24"/>
        </w:rPr>
        <w:t xml:space="preserve">. </w:t>
      </w:r>
      <w:r w:rsidR="00230456" w:rsidRPr="00631CF2">
        <w:rPr>
          <w:rFonts w:ascii="Times New Roman" w:eastAsia="Times New Roman" w:hAnsi="Times New Roman" w:cs="Times New Roman"/>
          <w:sz w:val="24"/>
          <w:szCs w:val="24"/>
        </w:rPr>
        <w:t>1</w:t>
      </w:r>
      <w:r w:rsidRPr="00631CF2">
        <w:rPr>
          <w:rFonts w:ascii="Times New Roman" w:eastAsia="Times New Roman" w:hAnsi="Times New Roman" w:cs="Times New Roman"/>
          <w:sz w:val="24"/>
          <w:szCs w:val="24"/>
        </w:rPr>
        <w:t>A-D).</w:t>
      </w:r>
    </w:p>
    <w:p w14:paraId="13116CAA" w14:textId="77777777" w:rsidR="00D22984" w:rsidRPr="00631CF2" w:rsidRDefault="00D22984" w:rsidP="007F0193">
      <w:pPr>
        <w:widowControl w:val="0"/>
        <w:spacing w:after="0" w:line="480" w:lineRule="auto"/>
        <w:ind w:firstLine="426"/>
        <w:jc w:val="both"/>
        <w:rPr>
          <w:rFonts w:ascii="Times New Roman" w:eastAsia="Times New Roman" w:hAnsi="Times New Roman" w:cs="Times New Roman"/>
          <w:sz w:val="24"/>
          <w:szCs w:val="24"/>
        </w:rPr>
      </w:pPr>
    </w:p>
    <w:p w14:paraId="16E6A2C9" w14:textId="2F4AB240" w:rsidR="002C6F71" w:rsidRPr="00D22984" w:rsidRDefault="002C6F71" w:rsidP="007F0193">
      <w:pPr>
        <w:widowControl w:val="0"/>
        <w:spacing w:after="0" w:line="480" w:lineRule="auto"/>
        <w:jc w:val="both"/>
        <w:rPr>
          <w:rFonts w:ascii="Times New Roman" w:eastAsia="Times New Roman" w:hAnsi="Times New Roman" w:cs="Times New Roman"/>
          <w:color w:val="538135"/>
          <w:sz w:val="24"/>
          <w:szCs w:val="24"/>
        </w:rPr>
      </w:pPr>
      <w:r w:rsidRPr="00D22984">
        <w:rPr>
          <w:rFonts w:ascii="Times New Roman" w:eastAsia="Times New Roman" w:hAnsi="Times New Roman" w:cs="Times New Roman"/>
          <w:color w:val="538135"/>
          <w:sz w:val="24"/>
          <w:szCs w:val="24"/>
        </w:rPr>
        <w:t xml:space="preserve">Tiller </w:t>
      </w:r>
      <w:r w:rsidR="00D22984" w:rsidRPr="00D22984">
        <w:rPr>
          <w:rFonts w:ascii="Times New Roman" w:eastAsia="Times New Roman" w:hAnsi="Times New Roman" w:cs="Times New Roman"/>
          <w:color w:val="538135"/>
          <w:sz w:val="24"/>
          <w:szCs w:val="24"/>
        </w:rPr>
        <w:t>mortality dynamics</w:t>
      </w:r>
    </w:p>
    <w:p w14:paraId="28FFB497" w14:textId="6CB90298" w:rsidR="002C6F71" w:rsidRPr="00631CF2" w:rsidRDefault="002C6F71" w:rsidP="007F0193">
      <w:pPr>
        <w:widowControl w:val="0"/>
        <w:spacing w:after="0" w:line="480" w:lineRule="auto"/>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t xml:space="preserve">Tiller mortality </w:t>
      </w:r>
      <w:r w:rsidR="00C5180A" w:rsidRPr="00631CF2">
        <w:rPr>
          <w:rFonts w:ascii="Times New Roman" w:eastAsia="Times New Roman" w:hAnsi="Times New Roman" w:cs="Times New Roman"/>
          <w:sz w:val="24"/>
          <w:szCs w:val="24"/>
        </w:rPr>
        <w:t>rate</w:t>
      </w:r>
      <w:r w:rsidRPr="00631CF2">
        <w:rPr>
          <w:rFonts w:ascii="Times New Roman" w:eastAsia="Times New Roman" w:hAnsi="Times New Roman" w:cs="Times New Roman"/>
          <w:sz w:val="24"/>
          <w:szCs w:val="24"/>
        </w:rPr>
        <w:t xml:space="preserve"> (TM</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varied significantly with grazing height across seasons (</w:t>
      </w:r>
      <w:r w:rsidR="00C40741" w:rsidRPr="00631CF2">
        <w:rPr>
          <w:rFonts w:ascii="Times New Roman" w:hAnsi="Times New Roman" w:cs="Times New Roman"/>
          <w:i/>
          <w:iCs/>
          <w:sz w:val="24"/>
          <w:szCs w:val="24"/>
        </w:rPr>
        <w:t xml:space="preserve">P </w:t>
      </w:r>
      <w:r w:rsidR="00C40741" w:rsidRPr="00631CF2">
        <w:rPr>
          <w:rFonts w:ascii="Times New Roman" w:hAnsi="Times New Roman" w:cs="Times New Roman"/>
          <w:sz w:val="24"/>
          <w:szCs w:val="24"/>
        </w:rPr>
        <w:t>&lt;</w:t>
      </w:r>
      <w:proofErr w:type="gramStart"/>
      <w:r w:rsidRPr="00631CF2">
        <w:rPr>
          <w:rFonts w:ascii="Times New Roman" w:eastAsia="Times New Roman" w:hAnsi="Times New Roman" w:cs="Times New Roman"/>
          <w:sz w:val="24"/>
          <w:szCs w:val="24"/>
        </w:rPr>
        <w:t>0.0</w:t>
      </w:r>
      <w:r w:rsidR="00C5180A" w:rsidRPr="00631CF2">
        <w:rPr>
          <w:rFonts w:ascii="Times New Roman" w:eastAsia="Times New Roman" w:hAnsi="Times New Roman" w:cs="Times New Roman"/>
          <w:sz w:val="24"/>
          <w:szCs w:val="24"/>
        </w:rPr>
        <w:t>5</w:t>
      </w:r>
      <w:r w:rsidRPr="00631CF2">
        <w:rPr>
          <w:rFonts w:ascii="Times New Roman" w:eastAsia="Times New Roman" w:hAnsi="Times New Roman" w:cs="Times New Roman"/>
          <w:sz w:val="24"/>
          <w:szCs w:val="24"/>
        </w:rPr>
        <w:t>;</w:t>
      </w:r>
      <w:proofErr w:type="gramEnd"/>
      <w:r w:rsidRPr="00631CF2">
        <w:rPr>
          <w:rFonts w:ascii="Times New Roman" w:eastAsia="Times New Roman" w:hAnsi="Times New Roman" w:cs="Times New Roman"/>
          <w:sz w:val="24"/>
          <w:szCs w:val="24"/>
        </w:rPr>
        <w:t xml:space="preserve"> </w:t>
      </w:r>
      <w:r w:rsidR="00615B33" w:rsidRPr="00631CF2">
        <w:rPr>
          <w:rFonts w:ascii="Times New Roman" w:eastAsia="Times New Roman" w:hAnsi="Times New Roman" w:cs="Times New Roman"/>
          <w:sz w:val="24"/>
          <w:szCs w:val="24"/>
        </w:rPr>
        <w:t>Figures</w:t>
      </w:r>
      <w:r w:rsidR="007802E7" w:rsidRPr="00631CF2">
        <w:rPr>
          <w:rFonts w:ascii="Times New Roman" w:eastAsia="Times New Roman" w:hAnsi="Times New Roman" w:cs="Times New Roman"/>
          <w:sz w:val="24"/>
          <w:szCs w:val="24"/>
        </w:rPr>
        <w:t>. 2A-B</w:t>
      </w:r>
      <w:r w:rsidRPr="00631CF2">
        <w:rPr>
          <w:rFonts w:ascii="Times New Roman" w:eastAsia="Times New Roman" w:hAnsi="Times New Roman" w:cs="Times New Roman"/>
          <w:sz w:val="24"/>
          <w:szCs w:val="24"/>
        </w:rPr>
        <w:t>). Under 15 cm management, TM</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was higher in summer (0.54 ± 0.05</w:t>
      </w:r>
      <w:proofErr w:type="gramStart"/>
      <w:r w:rsidRPr="00631CF2">
        <w:rPr>
          <w:rFonts w:ascii="Times New Roman" w:eastAsia="Times New Roman" w:hAnsi="Times New Roman" w:cs="Times New Roman"/>
          <w:sz w:val="24"/>
          <w:szCs w:val="24"/>
        </w:rPr>
        <w:t>)</w:t>
      </w:r>
      <w:proofErr w:type="gramEnd"/>
      <w:r w:rsidR="00BB76FE" w:rsidRPr="00631CF2">
        <w:rPr>
          <w:rFonts w:ascii="Times New Roman" w:eastAsia="Times New Roman" w:hAnsi="Times New Roman" w:cs="Times New Roman"/>
          <w:sz w:val="24"/>
          <w:szCs w:val="24"/>
        </w:rPr>
        <w:t xml:space="preserve"> </w:t>
      </w:r>
      <w:r w:rsidRPr="00631CF2">
        <w:rPr>
          <w:rFonts w:ascii="Times New Roman" w:eastAsia="Times New Roman" w:hAnsi="Times New Roman" w:cs="Times New Roman"/>
          <w:sz w:val="24"/>
          <w:szCs w:val="24"/>
        </w:rPr>
        <w:t>and spring (0.56 ± 0.03) compared to winter (0.69 ± 0.05). At 20 cm, a significant season × HSG interaction was observed, with highest TM</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in winter (with HSG: 0.67 ± 0.06; without HSG: 0.83 ± 0.06), intermediate values in spring (with HSG: 0.62 ± 0.07; without HSG: 0.57 ± 0.07), and lowest TM</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in summer without HSG (0.51 ± 0.04).</w:t>
      </w:r>
    </w:p>
    <w:p w14:paraId="74BFC7D7" w14:textId="363AF6D0" w:rsidR="002C6F71" w:rsidRDefault="002C6F71" w:rsidP="007F0193">
      <w:pPr>
        <w:widowControl w:val="0"/>
        <w:spacing w:after="0" w:line="480" w:lineRule="auto"/>
        <w:ind w:firstLine="426"/>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lastRenderedPageBreak/>
        <w:t xml:space="preserve">Species-specific mortality patterns varied by treatment and season. </w:t>
      </w:r>
      <w:r w:rsidRPr="00631CF2">
        <w:rPr>
          <w:rFonts w:ascii="Times New Roman" w:eastAsia="Times New Roman" w:hAnsi="Times New Roman" w:cs="Times New Roman"/>
          <w:i/>
          <w:iCs/>
          <w:sz w:val="24"/>
          <w:szCs w:val="24"/>
        </w:rPr>
        <w:t xml:space="preserve">L. </w:t>
      </w:r>
      <w:proofErr w:type="spellStart"/>
      <w:r w:rsidRPr="00631CF2">
        <w:rPr>
          <w:rFonts w:ascii="Times New Roman" w:eastAsia="Times New Roman" w:hAnsi="Times New Roman" w:cs="Times New Roman"/>
          <w:i/>
          <w:iCs/>
          <w:sz w:val="24"/>
          <w:szCs w:val="24"/>
        </w:rPr>
        <w:t>arundinaceum</w:t>
      </w:r>
      <w:proofErr w:type="spellEnd"/>
      <w:r w:rsidRPr="00631CF2">
        <w:rPr>
          <w:rFonts w:ascii="Times New Roman" w:eastAsia="Times New Roman" w:hAnsi="Times New Roman" w:cs="Times New Roman"/>
          <w:sz w:val="24"/>
          <w:szCs w:val="24"/>
        </w:rPr>
        <w:t xml:space="preserve"> showed </w:t>
      </w:r>
      <w:r w:rsidR="001D0275" w:rsidRPr="00631CF2">
        <w:rPr>
          <w:rFonts w:ascii="Times New Roman" w:eastAsia="Times New Roman" w:hAnsi="Times New Roman" w:cs="Times New Roman"/>
          <w:sz w:val="24"/>
          <w:szCs w:val="24"/>
        </w:rPr>
        <w:t>the lowest</w:t>
      </w:r>
      <w:r w:rsidRPr="00631CF2">
        <w:rPr>
          <w:rFonts w:ascii="Times New Roman" w:eastAsia="Times New Roman" w:hAnsi="Times New Roman" w:cs="Times New Roman"/>
          <w:sz w:val="24"/>
          <w:szCs w:val="24"/>
        </w:rPr>
        <w:t xml:space="preserve"> mortality in winter across all treatments, though under 20 cm management, summer and winter TM</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were similar. Under 15 cm management, TM</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remained consistent across seasons. In contrast, </w:t>
      </w:r>
      <w:r w:rsidR="00716F0E" w:rsidRPr="00631CF2">
        <w:rPr>
          <w:rFonts w:ascii="Times New Roman" w:eastAsia="Times New Roman" w:hAnsi="Times New Roman" w:cs="Times New Roman"/>
          <w:i/>
          <w:iCs/>
          <w:sz w:val="24"/>
          <w:szCs w:val="24"/>
        </w:rPr>
        <w:t>C</w:t>
      </w:r>
      <w:r w:rsidRPr="00631CF2">
        <w:rPr>
          <w:rFonts w:ascii="Times New Roman" w:eastAsia="Times New Roman" w:hAnsi="Times New Roman" w:cs="Times New Roman"/>
          <w:i/>
          <w:iCs/>
          <w:sz w:val="24"/>
          <w:szCs w:val="24"/>
        </w:rPr>
        <w:t xml:space="preserve">. </w:t>
      </w:r>
      <w:proofErr w:type="spellStart"/>
      <w:r w:rsidRPr="00631CF2">
        <w:rPr>
          <w:rFonts w:ascii="Times New Roman" w:eastAsia="Times New Roman" w:hAnsi="Times New Roman" w:cs="Times New Roman"/>
          <w:i/>
          <w:iCs/>
          <w:sz w:val="24"/>
          <w:szCs w:val="24"/>
        </w:rPr>
        <w:t>clandestinus</w:t>
      </w:r>
      <w:proofErr w:type="spellEnd"/>
      <w:r w:rsidRPr="00631CF2">
        <w:rPr>
          <w:rFonts w:ascii="Times New Roman" w:eastAsia="Times New Roman" w:hAnsi="Times New Roman" w:cs="Times New Roman"/>
          <w:sz w:val="24"/>
          <w:szCs w:val="24"/>
        </w:rPr>
        <w:t xml:space="preserve"> consistently showed </w:t>
      </w:r>
      <w:r w:rsidR="00407548" w:rsidRPr="00631CF2">
        <w:rPr>
          <w:rFonts w:ascii="Times New Roman" w:eastAsia="Times New Roman" w:hAnsi="Times New Roman" w:cs="Times New Roman"/>
          <w:sz w:val="24"/>
          <w:szCs w:val="24"/>
        </w:rPr>
        <w:t>the highest</w:t>
      </w:r>
      <w:r w:rsidRPr="00631CF2">
        <w:rPr>
          <w:rFonts w:ascii="Times New Roman" w:eastAsia="Times New Roman" w:hAnsi="Times New Roman" w:cs="Times New Roman"/>
          <w:sz w:val="24"/>
          <w:szCs w:val="24"/>
        </w:rPr>
        <w:t xml:space="preserve"> TMI in winter and lowest in summer across all treatments (</w:t>
      </w:r>
      <w:r w:rsidR="006315E3" w:rsidRPr="00631CF2">
        <w:rPr>
          <w:rFonts w:ascii="Times New Roman" w:eastAsia="Times New Roman" w:hAnsi="Times New Roman" w:cs="Times New Roman"/>
          <w:sz w:val="24"/>
          <w:szCs w:val="24"/>
        </w:rPr>
        <w:t>s</w:t>
      </w:r>
      <w:r w:rsidRPr="00631CF2">
        <w:rPr>
          <w:rFonts w:ascii="Times New Roman" w:eastAsia="Times New Roman" w:hAnsi="Times New Roman" w:cs="Times New Roman"/>
          <w:sz w:val="24"/>
          <w:szCs w:val="24"/>
        </w:rPr>
        <w:t xml:space="preserve">upplementary </w:t>
      </w:r>
      <w:r w:rsidR="00615B33" w:rsidRPr="00631CF2">
        <w:rPr>
          <w:rFonts w:ascii="Times New Roman" w:eastAsia="Times New Roman" w:hAnsi="Times New Roman" w:cs="Times New Roman"/>
          <w:sz w:val="24"/>
          <w:szCs w:val="24"/>
        </w:rPr>
        <w:t>Figures</w:t>
      </w:r>
      <w:r w:rsidRPr="00631CF2">
        <w:rPr>
          <w:rFonts w:ascii="Times New Roman" w:eastAsia="Times New Roman" w:hAnsi="Times New Roman" w:cs="Times New Roman"/>
          <w:sz w:val="24"/>
          <w:szCs w:val="24"/>
        </w:rPr>
        <w:t xml:space="preserve">. </w:t>
      </w:r>
      <w:r w:rsidR="00230456" w:rsidRPr="00631CF2">
        <w:rPr>
          <w:rFonts w:ascii="Times New Roman" w:eastAsia="Times New Roman" w:hAnsi="Times New Roman" w:cs="Times New Roman"/>
          <w:sz w:val="24"/>
          <w:szCs w:val="24"/>
        </w:rPr>
        <w:t>1</w:t>
      </w:r>
      <w:r w:rsidRPr="00631CF2">
        <w:rPr>
          <w:rFonts w:ascii="Times New Roman" w:eastAsia="Times New Roman" w:hAnsi="Times New Roman" w:cs="Times New Roman"/>
          <w:sz w:val="24"/>
          <w:szCs w:val="24"/>
        </w:rPr>
        <w:t>A-D).</w:t>
      </w:r>
    </w:p>
    <w:p w14:paraId="6492F662" w14:textId="77777777" w:rsidR="00D22984" w:rsidRPr="00631CF2" w:rsidRDefault="00D22984" w:rsidP="007F0193">
      <w:pPr>
        <w:widowControl w:val="0"/>
        <w:spacing w:after="0" w:line="480" w:lineRule="auto"/>
        <w:ind w:firstLine="426"/>
        <w:jc w:val="both"/>
        <w:rPr>
          <w:rFonts w:ascii="Times New Roman" w:eastAsia="Times New Roman" w:hAnsi="Times New Roman" w:cs="Times New Roman"/>
          <w:sz w:val="24"/>
          <w:szCs w:val="24"/>
        </w:rPr>
      </w:pPr>
    </w:p>
    <w:p w14:paraId="7C626BC7" w14:textId="6E66D318" w:rsidR="002C6F71" w:rsidRPr="00D22984" w:rsidRDefault="002C6F71" w:rsidP="007F0193">
      <w:pPr>
        <w:widowControl w:val="0"/>
        <w:spacing w:after="0" w:line="480" w:lineRule="auto"/>
        <w:jc w:val="both"/>
        <w:rPr>
          <w:rFonts w:ascii="Times New Roman" w:eastAsia="Times New Roman" w:hAnsi="Times New Roman" w:cs="Times New Roman"/>
          <w:color w:val="538135"/>
          <w:sz w:val="24"/>
          <w:szCs w:val="24"/>
        </w:rPr>
      </w:pPr>
      <w:r w:rsidRPr="00D22984">
        <w:rPr>
          <w:rFonts w:ascii="Times New Roman" w:eastAsia="Times New Roman" w:hAnsi="Times New Roman" w:cs="Times New Roman"/>
          <w:color w:val="538135"/>
          <w:sz w:val="24"/>
          <w:szCs w:val="24"/>
        </w:rPr>
        <w:t xml:space="preserve">Survival </w:t>
      </w:r>
      <w:r w:rsidR="00D22984" w:rsidRPr="00D22984">
        <w:rPr>
          <w:rFonts w:ascii="Times New Roman" w:eastAsia="Times New Roman" w:hAnsi="Times New Roman" w:cs="Times New Roman"/>
          <w:color w:val="538135"/>
          <w:sz w:val="24"/>
          <w:szCs w:val="24"/>
        </w:rPr>
        <w:t>patterns</w:t>
      </w:r>
    </w:p>
    <w:p w14:paraId="757ABD7B" w14:textId="547F5C70" w:rsidR="000F33C5" w:rsidRDefault="002C6F71" w:rsidP="007F0193">
      <w:pPr>
        <w:widowControl w:val="0"/>
        <w:spacing w:after="0" w:line="480" w:lineRule="auto"/>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t xml:space="preserve">The tiller survival </w:t>
      </w:r>
      <w:r w:rsidR="00C5180A" w:rsidRPr="00631CF2">
        <w:rPr>
          <w:rFonts w:ascii="Times New Roman" w:eastAsia="Times New Roman" w:hAnsi="Times New Roman" w:cs="Times New Roman"/>
          <w:sz w:val="24"/>
          <w:szCs w:val="24"/>
        </w:rPr>
        <w:t>rate</w:t>
      </w:r>
      <w:r w:rsidRPr="00631CF2">
        <w:rPr>
          <w:rFonts w:ascii="Times New Roman" w:eastAsia="Times New Roman" w:hAnsi="Times New Roman" w:cs="Times New Roman"/>
          <w:sz w:val="24"/>
          <w:szCs w:val="24"/>
        </w:rPr>
        <w:t xml:space="preserve"> (TS</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of the mixed pasture showed significant seasonal variation (</w:t>
      </w:r>
      <w:r w:rsidRPr="00631CF2">
        <w:rPr>
          <w:rFonts w:ascii="Times New Roman" w:eastAsia="Times New Roman" w:hAnsi="Times New Roman" w:cs="Times New Roman"/>
          <w:i/>
          <w:iCs/>
          <w:sz w:val="24"/>
          <w:szCs w:val="24"/>
        </w:rPr>
        <w:t>P &lt;</w:t>
      </w:r>
      <w:r w:rsidRPr="00631CF2">
        <w:rPr>
          <w:rFonts w:ascii="Times New Roman" w:eastAsia="Times New Roman" w:hAnsi="Times New Roman" w:cs="Times New Roman"/>
          <w:sz w:val="24"/>
          <w:szCs w:val="24"/>
        </w:rPr>
        <w:t>0.001), with lower values in winter (1.27 ± 0.06) compared to summer (1.42 ± 0.05) and spring (1.40 ± 0.06). Individual species showed distinct TS</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responses to management treatments (</w:t>
      </w:r>
      <w:r w:rsidRPr="00631CF2">
        <w:rPr>
          <w:rFonts w:ascii="Times New Roman" w:eastAsia="Times New Roman" w:hAnsi="Times New Roman" w:cs="Times New Roman"/>
          <w:i/>
          <w:iCs/>
          <w:sz w:val="24"/>
          <w:szCs w:val="24"/>
        </w:rPr>
        <w:t>P &lt;</w:t>
      </w:r>
      <w:r w:rsidRPr="00631CF2">
        <w:rPr>
          <w:rFonts w:ascii="Times New Roman" w:eastAsia="Times New Roman" w:hAnsi="Times New Roman" w:cs="Times New Roman"/>
          <w:sz w:val="24"/>
          <w:szCs w:val="24"/>
        </w:rPr>
        <w:t xml:space="preserve">0.05). During summer, </w:t>
      </w:r>
      <w:r w:rsidR="00716F0E" w:rsidRPr="00631CF2">
        <w:rPr>
          <w:rFonts w:ascii="Times New Roman" w:eastAsia="Times New Roman" w:hAnsi="Times New Roman" w:cs="Times New Roman"/>
          <w:i/>
          <w:iCs/>
          <w:sz w:val="24"/>
          <w:szCs w:val="24"/>
        </w:rPr>
        <w:t>C</w:t>
      </w:r>
      <w:r w:rsidRPr="00631CF2">
        <w:rPr>
          <w:rFonts w:ascii="Times New Roman" w:eastAsia="Times New Roman" w:hAnsi="Times New Roman" w:cs="Times New Roman"/>
          <w:i/>
          <w:iCs/>
          <w:sz w:val="24"/>
          <w:szCs w:val="24"/>
        </w:rPr>
        <w:t xml:space="preserve">. </w:t>
      </w:r>
      <w:proofErr w:type="spellStart"/>
      <w:r w:rsidRPr="00631CF2">
        <w:rPr>
          <w:rFonts w:ascii="Times New Roman" w:eastAsia="Times New Roman" w:hAnsi="Times New Roman" w:cs="Times New Roman"/>
          <w:i/>
          <w:iCs/>
          <w:sz w:val="24"/>
          <w:szCs w:val="24"/>
        </w:rPr>
        <w:t>clandestinus</w:t>
      </w:r>
      <w:proofErr w:type="spellEnd"/>
      <w:r w:rsidRPr="00631CF2">
        <w:rPr>
          <w:rFonts w:ascii="Times New Roman" w:eastAsia="Times New Roman" w:hAnsi="Times New Roman" w:cs="Times New Roman"/>
          <w:sz w:val="24"/>
          <w:szCs w:val="24"/>
        </w:rPr>
        <w:t xml:space="preserve"> achieved highest TS</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under 15 cm HSG treatment, while </w:t>
      </w:r>
      <w:r w:rsidRPr="00631CF2">
        <w:rPr>
          <w:rFonts w:ascii="Times New Roman" w:eastAsia="Times New Roman" w:hAnsi="Times New Roman" w:cs="Times New Roman"/>
          <w:i/>
          <w:iCs/>
          <w:sz w:val="24"/>
          <w:szCs w:val="24"/>
        </w:rPr>
        <w:t xml:space="preserve">L. </w:t>
      </w:r>
      <w:proofErr w:type="spellStart"/>
      <w:r w:rsidRPr="00631CF2">
        <w:rPr>
          <w:rFonts w:ascii="Times New Roman" w:eastAsia="Times New Roman" w:hAnsi="Times New Roman" w:cs="Times New Roman"/>
          <w:i/>
          <w:iCs/>
          <w:sz w:val="24"/>
          <w:szCs w:val="24"/>
        </w:rPr>
        <w:t>arundinaceum</w:t>
      </w:r>
      <w:proofErr w:type="spellEnd"/>
      <w:r w:rsidRPr="00631CF2">
        <w:rPr>
          <w:rFonts w:ascii="Times New Roman" w:eastAsia="Times New Roman" w:hAnsi="Times New Roman" w:cs="Times New Roman"/>
          <w:sz w:val="24"/>
          <w:szCs w:val="24"/>
        </w:rPr>
        <w:t xml:space="preserve"> showed maximum TS</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under 20 cm management. Both species maintained similar TS</w:t>
      </w:r>
      <w:r w:rsidR="00C5180A" w:rsidRPr="00631CF2">
        <w:rPr>
          <w:rFonts w:ascii="Times New Roman" w:eastAsia="Times New Roman" w:hAnsi="Times New Roman" w:cs="Times New Roman"/>
          <w:sz w:val="24"/>
          <w:szCs w:val="24"/>
        </w:rPr>
        <w:t>R</w:t>
      </w:r>
      <w:r w:rsidRPr="00631CF2">
        <w:rPr>
          <w:rFonts w:ascii="Times New Roman" w:eastAsia="Times New Roman" w:hAnsi="Times New Roman" w:cs="Times New Roman"/>
          <w:sz w:val="24"/>
          <w:szCs w:val="24"/>
        </w:rPr>
        <w:t xml:space="preserve"> values across treatments during winter and spring.</w:t>
      </w:r>
    </w:p>
    <w:p w14:paraId="3CCD14E2" w14:textId="77777777" w:rsidR="00D22984" w:rsidRPr="00631CF2" w:rsidRDefault="00D22984" w:rsidP="007F0193">
      <w:pPr>
        <w:widowControl w:val="0"/>
        <w:spacing w:after="0" w:line="480" w:lineRule="auto"/>
        <w:jc w:val="both"/>
        <w:rPr>
          <w:rFonts w:ascii="Times New Roman" w:hAnsi="Times New Roman" w:cs="Times New Roman"/>
          <w:sz w:val="24"/>
          <w:szCs w:val="24"/>
        </w:rPr>
      </w:pPr>
    </w:p>
    <w:p w14:paraId="4A165EA7" w14:textId="58B1D78B" w:rsidR="000F33C5" w:rsidRPr="00D22984" w:rsidRDefault="412175EC" w:rsidP="007F0193">
      <w:pPr>
        <w:pStyle w:val="Heading2"/>
        <w:keepLines w:val="0"/>
        <w:widowControl w:val="0"/>
        <w:spacing w:before="0" w:line="480" w:lineRule="auto"/>
        <w:jc w:val="both"/>
        <w:rPr>
          <w:rFonts w:eastAsia="Times New Roman" w:cs="Times New Roman"/>
          <w:b w:val="0"/>
          <w:bCs w:val="0"/>
          <w:i/>
          <w:iCs/>
          <w:color w:val="538135"/>
          <w:sz w:val="24"/>
          <w:szCs w:val="24"/>
          <w:lang w:val="en-GB"/>
        </w:rPr>
      </w:pPr>
      <w:r w:rsidRPr="00D22984">
        <w:rPr>
          <w:rFonts w:eastAsia="Times New Roman" w:cs="Times New Roman"/>
          <w:b w:val="0"/>
          <w:bCs w:val="0"/>
          <w:i/>
          <w:iCs/>
          <w:color w:val="538135"/>
          <w:sz w:val="24"/>
          <w:szCs w:val="24"/>
          <w:lang w:val="en-GB"/>
        </w:rPr>
        <w:t xml:space="preserve">Demographic stability </w:t>
      </w:r>
    </w:p>
    <w:p w14:paraId="7C3AF05B" w14:textId="43E33BC8" w:rsidR="69315EEE" w:rsidRPr="00631CF2" w:rsidRDefault="00C5180A" w:rsidP="007F0193">
      <w:pPr>
        <w:pStyle w:val="Heading2"/>
        <w:keepLines w:val="0"/>
        <w:widowControl w:val="0"/>
        <w:spacing w:before="0" w:line="480" w:lineRule="auto"/>
        <w:jc w:val="both"/>
        <w:rPr>
          <w:rFonts w:eastAsiaTheme="minorEastAsia" w:cs="Times New Roman"/>
          <w:b w:val="0"/>
          <w:bCs w:val="0"/>
          <w:sz w:val="24"/>
          <w:szCs w:val="24"/>
          <w:lang w:val="en-GB"/>
        </w:rPr>
      </w:pPr>
      <w:r w:rsidRPr="00631CF2">
        <w:rPr>
          <w:rFonts w:eastAsiaTheme="minorEastAsia" w:cs="Times New Roman"/>
          <w:b w:val="0"/>
          <w:bCs w:val="0"/>
          <w:sz w:val="24"/>
          <w:szCs w:val="24"/>
          <w:lang w:val="en-GB"/>
        </w:rPr>
        <w:t>The mixed pasture maintained consistent stability index (SI) values across both grazing heights and seasons, with an overall mean of 0.956 ± 0.02 (</w:t>
      </w:r>
      <w:r w:rsidR="03D1EC38" w:rsidRPr="00631CF2">
        <w:rPr>
          <w:rFonts w:eastAsiaTheme="minorEastAsia" w:cs="Times New Roman"/>
          <w:b w:val="0"/>
          <w:bCs w:val="0"/>
          <w:sz w:val="24"/>
          <w:szCs w:val="24"/>
          <w:lang w:val="en-GB"/>
        </w:rPr>
        <w:t>Table</w:t>
      </w:r>
      <w:r w:rsidRPr="00631CF2">
        <w:rPr>
          <w:rFonts w:eastAsiaTheme="minorEastAsia" w:cs="Times New Roman"/>
          <w:b w:val="0"/>
          <w:bCs w:val="0"/>
          <w:sz w:val="24"/>
          <w:szCs w:val="24"/>
          <w:lang w:val="en-GB"/>
        </w:rPr>
        <w:t xml:space="preserve"> </w:t>
      </w:r>
      <w:r w:rsidR="622DDFFA" w:rsidRPr="00631CF2">
        <w:rPr>
          <w:rFonts w:eastAsiaTheme="minorEastAsia" w:cs="Times New Roman"/>
          <w:b w:val="0"/>
          <w:bCs w:val="0"/>
          <w:sz w:val="24"/>
          <w:szCs w:val="24"/>
          <w:lang w:val="en-GB"/>
        </w:rPr>
        <w:t>2</w:t>
      </w:r>
      <w:r w:rsidRPr="00631CF2">
        <w:rPr>
          <w:rFonts w:eastAsiaTheme="minorEastAsia" w:cs="Times New Roman"/>
          <w:b w:val="0"/>
          <w:bCs w:val="0"/>
          <w:sz w:val="24"/>
          <w:szCs w:val="24"/>
          <w:lang w:val="en-GB"/>
        </w:rPr>
        <w:t>). While individual treatment effects on SI were non-significant, the two grass species showed distinct seasonal stability patterns (</w:t>
      </w:r>
      <w:r w:rsidRPr="00631CF2">
        <w:rPr>
          <w:rFonts w:eastAsiaTheme="minorEastAsia" w:cs="Times New Roman"/>
          <w:b w:val="0"/>
          <w:bCs w:val="0"/>
          <w:i/>
          <w:iCs/>
          <w:sz w:val="24"/>
          <w:szCs w:val="24"/>
          <w:lang w:val="en-GB"/>
        </w:rPr>
        <w:t>P &lt;</w:t>
      </w:r>
      <w:r w:rsidRPr="00631CF2">
        <w:rPr>
          <w:rFonts w:eastAsiaTheme="minorEastAsia" w:cs="Times New Roman"/>
          <w:b w:val="0"/>
          <w:bCs w:val="0"/>
          <w:sz w:val="24"/>
          <w:szCs w:val="24"/>
          <w:lang w:val="en-GB"/>
        </w:rPr>
        <w:t xml:space="preserve">0.05). During winter, </w:t>
      </w:r>
      <w:r w:rsidRPr="00631CF2">
        <w:rPr>
          <w:rFonts w:eastAsiaTheme="minorEastAsia" w:cs="Times New Roman"/>
          <w:b w:val="0"/>
          <w:bCs w:val="0"/>
          <w:i/>
          <w:iCs/>
          <w:sz w:val="24"/>
          <w:szCs w:val="24"/>
          <w:lang w:val="en-GB"/>
        </w:rPr>
        <w:t xml:space="preserve">L. </w:t>
      </w:r>
      <w:proofErr w:type="spellStart"/>
      <w:r w:rsidRPr="00631CF2">
        <w:rPr>
          <w:rFonts w:eastAsiaTheme="minorEastAsia" w:cs="Times New Roman"/>
          <w:b w:val="0"/>
          <w:bCs w:val="0"/>
          <w:i/>
          <w:iCs/>
          <w:sz w:val="24"/>
          <w:szCs w:val="24"/>
          <w:lang w:val="en-GB"/>
        </w:rPr>
        <w:t>arundinaceum</w:t>
      </w:r>
      <w:proofErr w:type="spellEnd"/>
      <w:r w:rsidRPr="00631CF2">
        <w:rPr>
          <w:rFonts w:eastAsiaTheme="minorEastAsia" w:cs="Times New Roman"/>
          <w:b w:val="0"/>
          <w:bCs w:val="0"/>
          <w:sz w:val="24"/>
          <w:szCs w:val="24"/>
          <w:lang w:val="en-GB"/>
        </w:rPr>
        <w:t xml:space="preserve"> exhibited higher stability (SI = 1.40 ± 0.038) compared to </w:t>
      </w:r>
      <w:r w:rsidR="00716F0E" w:rsidRPr="00631CF2">
        <w:rPr>
          <w:rFonts w:eastAsiaTheme="minorEastAsia" w:cs="Times New Roman"/>
          <w:b w:val="0"/>
          <w:bCs w:val="0"/>
          <w:i/>
          <w:iCs/>
          <w:sz w:val="24"/>
          <w:szCs w:val="24"/>
          <w:lang w:val="en-GB"/>
        </w:rPr>
        <w:t>C</w:t>
      </w:r>
      <w:r w:rsidRPr="00631CF2">
        <w:rPr>
          <w:rFonts w:eastAsiaTheme="minorEastAsia" w:cs="Times New Roman"/>
          <w:b w:val="0"/>
          <w:bCs w:val="0"/>
          <w:i/>
          <w:iCs/>
          <w:sz w:val="24"/>
          <w:szCs w:val="24"/>
          <w:lang w:val="en-GB"/>
        </w:rPr>
        <w:t xml:space="preserve">. </w:t>
      </w:r>
      <w:proofErr w:type="spellStart"/>
      <w:r w:rsidRPr="00631CF2">
        <w:rPr>
          <w:rFonts w:eastAsiaTheme="minorEastAsia" w:cs="Times New Roman"/>
          <w:b w:val="0"/>
          <w:bCs w:val="0"/>
          <w:i/>
          <w:iCs/>
          <w:sz w:val="24"/>
          <w:szCs w:val="24"/>
          <w:lang w:val="en-GB"/>
        </w:rPr>
        <w:t>clandestinus</w:t>
      </w:r>
      <w:proofErr w:type="spellEnd"/>
      <w:r w:rsidRPr="00631CF2">
        <w:rPr>
          <w:rFonts w:eastAsiaTheme="minorEastAsia" w:cs="Times New Roman"/>
          <w:b w:val="0"/>
          <w:bCs w:val="0"/>
          <w:sz w:val="24"/>
          <w:szCs w:val="24"/>
          <w:lang w:val="en-GB"/>
        </w:rPr>
        <w:t xml:space="preserve"> (SI = 0.61 ± 0.04; </w:t>
      </w:r>
      <w:r w:rsidRPr="00631CF2">
        <w:rPr>
          <w:rFonts w:eastAsiaTheme="minorEastAsia" w:cs="Times New Roman"/>
          <w:b w:val="0"/>
          <w:bCs w:val="0"/>
          <w:i/>
          <w:iCs/>
          <w:sz w:val="24"/>
          <w:szCs w:val="24"/>
          <w:lang w:val="en-GB"/>
        </w:rPr>
        <w:t>P &lt;</w:t>
      </w:r>
      <w:r w:rsidRPr="00631CF2">
        <w:rPr>
          <w:rFonts w:eastAsiaTheme="minorEastAsia" w:cs="Times New Roman"/>
          <w:b w:val="0"/>
          <w:bCs w:val="0"/>
          <w:sz w:val="24"/>
          <w:szCs w:val="24"/>
          <w:lang w:val="en-GB"/>
        </w:rPr>
        <w:t xml:space="preserve">0.05). This pattern reversed in spring, with </w:t>
      </w:r>
      <w:r w:rsidR="00716F0E" w:rsidRPr="00631CF2">
        <w:rPr>
          <w:rFonts w:eastAsiaTheme="minorEastAsia" w:cs="Times New Roman"/>
          <w:b w:val="0"/>
          <w:bCs w:val="0"/>
          <w:i/>
          <w:iCs/>
          <w:sz w:val="24"/>
          <w:szCs w:val="24"/>
          <w:lang w:val="en-GB"/>
        </w:rPr>
        <w:t>C</w:t>
      </w:r>
      <w:r w:rsidRPr="00631CF2">
        <w:rPr>
          <w:rFonts w:eastAsiaTheme="minorEastAsia" w:cs="Times New Roman"/>
          <w:b w:val="0"/>
          <w:bCs w:val="0"/>
          <w:i/>
          <w:iCs/>
          <w:sz w:val="24"/>
          <w:szCs w:val="24"/>
          <w:lang w:val="en-GB"/>
        </w:rPr>
        <w:t xml:space="preserve">. </w:t>
      </w:r>
      <w:proofErr w:type="spellStart"/>
      <w:r w:rsidRPr="00631CF2">
        <w:rPr>
          <w:rFonts w:eastAsiaTheme="minorEastAsia" w:cs="Times New Roman"/>
          <w:b w:val="0"/>
          <w:bCs w:val="0"/>
          <w:i/>
          <w:iCs/>
          <w:sz w:val="24"/>
          <w:szCs w:val="24"/>
          <w:lang w:val="en-GB"/>
        </w:rPr>
        <w:t>clandestinus</w:t>
      </w:r>
      <w:proofErr w:type="spellEnd"/>
      <w:r w:rsidRPr="00631CF2">
        <w:rPr>
          <w:rFonts w:eastAsiaTheme="minorEastAsia" w:cs="Times New Roman"/>
          <w:b w:val="0"/>
          <w:bCs w:val="0"/>
          <w:sz w:val="24"/>
          <w:szCs w:val="24"/>
          <w:lang w:val="en-GB"/>
        </w:rPr>
        <w:t xml:space="preserve"> showing greater stability (SI = 1.22 ± 0.05) than </w:t>
      </w:r>
      <w:r w:rsidRPr="00631CF2">
        <w:rPr>
          <w:rFonts w:eastAsiaTheme="minorEastAsia" w:cs="Times New Roman"/>
          <w:b w:val="0"/>
          <w:bCs w:val="0"/>
          <w:i/>
          <w:iCs/>
          <w:sz w:val="24"/>
          <w:szCs w:val="24"/>
          <w:lang w:val="en-GB"/>
        </w:rPr>
        <w:t xml:space="preserve">L. </w:t>
      </w:r>
      <w:proofErr w:type="spellStart"/>
      <w:r w:rsidRPr="00631CF2">
        <w:rPr>
          <w:rFonts w:eastAsiaTheme="minorEastAsia" w:cs="Times New Roman"/>
          <w:b w:val="0"/>
          <w:bCs w:val="0"/>
          <w:i/>
          <w:iCs/>
          <w:sz w:val="24"/>
          <w:szCs w:val="24"/>
          <w:lang w:val="en-GB"/>
        </w:rPr>
        <w:t>arundinaceum</w:t>
      </w:r>
      <w:proofErr w:type="spellEnd"/>
      <w:r w:rsidRPr="00631CF2">
        <w:rPr>
          <w:rFonts w:eastAsiaTheme="minorEastAsia" w:cs="Times New Roman"/>
          <w:b w:val="0"/>
          <w:bCs w:val="0"/>
          <w:sz w:val="24"/>
          <w:szCs w:val="24"/>
          <w:lang w:val="en-GB"/>
        </w:rPr>
        <w:t xml:space="preserve"> (SI = 0.77 ± 0.04; </w:t>
      </w:r>
      <w:r w:rsidRPr="00631CF2">
        <w:rPr>
          <w:rFonts w:eastAsiaTheme="minorEastAsia" w:cs="Times New Roman"/>
          <w:b w:val="0"/>
          <w:bCs w:val="0"/>
          <w:i/>
          <w:iCs/>
          <w:sz w:val="24"/>
          <w:szCs w:val="24"/>
          <w:lang w:val="en-GB"/>
        </w:rPr>
        <w:t xml:space="preserve">P </w:t>
      </w:r>
      <w:r w:rsidRPr="00631CF2">
        <w:rPr>
          <w:rFonts w:eastAsiaTheme="minorEastAsia" w:cs="Times New Roman"/>
          <w:b w:val="0"/>
          <w:bCs w:val="0"/>
          <w:sz w:val="24"/>
          <w:szCs w:val="24"/>
          <w:lang w:val="en-GB"/>
        </w:rPr>
        <w:t xml:space="preserve">&lt;0.05). Summer stability patterns varied by treatment: under 20 cm management (with or without HSG), both species maintained similar SI values, while under 15 cm management, </w:t>
      </w:r>
      <w:r w:rsidR="00716F0E" w:rsidRPr="00631CF2">
        <w:rPr>
          <w:rFonts w:eastAsiaTheme="minorEastAsia" w:cs="Times New Roman"/>
          <w:b w:val="0"/>
          <w:bCs w:val="0"/>
          <w:i/>
          <w:iCs/>
          <w:sz w:val="24"/>
          <w:szCs w:val="24"/>
          <w:lang w:val="en-GB"/>
        </w:rPr>
        <w:t>C</w:t>
      </w:r>
      <w:r w:rsidRPr="00631CF2">
        <w:rPr>
          <w:rFonts w:eastAsiaTheme="minorEastAsia" w:cs="Times New Roman"/>
          <w:b w:val="0"/>
          <w:bCs w:val="0"/>
          <w:i/>
          <w:iCs/>
          <w:sz w:val="24"/>
          <w:szCs w:val="24"/>
          <w:lang w:val="en-GB"/>
        </w:rPr>
        <w:t xml:space="preserve">. </w:t>
      </w:r>
      <w:proofErr w:type="spellStart"/>
      <w:r w:rsidRPr="00631CF2">
        <w:rPr>
          <w:rFonts w:eastAsiaTheme="minorEastAsia" w:cs="Times New Roman"/>
          <w:b w:val="0"/>
          <w:bCs w:val="0"/>
          <w:i/>
          <w:iCs/>
          <w:sz w:val="24"/>
          <w:szCs w:val="24"/>
          <w:lang w:val="en-GB"/>
        </w:rPr>
        <w:t>clandestinus</w:t>
      </w:r>
      <w:proofErr w:type="spellEnd"/>
      <w:r w:rsidRPr="00631CF2">
        <w:rPr>
          <w:rFonts w:eastAsiaTheme="minorEastAsia" w:cs="Times New Roman"/>
          <w:b w:val="0"/>
          <w:bCs w:val="0"/>
          <w:sz w:val="24"/>
          <w:szCs w:val="24"/>
          <w:lang w:val="en-GB"/>
        </w:rPr>
        <w:t xml:space="preserve"> demonstrated higher stability (with HSG: 1.07 ± 0.04; without HSG: 0.95 ± 0.04) compared to </w:t>
      </w:r>
      <w:r w:rsidRPr="00631CF2">
        <w:rPr>
          <w:rFonts w:eastAsiaTheme="minorEastAsia" w:cs="Times New Roman"/>
          <w:b w:val="0"/>
          <w:bCs w:val="0"/>
          <w:i/>
          <w:iCs/>
          <w:sz w:val="24"/>
          <w:szCs w:val="24"/>
          <w:lang w:val="en-GB"/>
        </w:rPr>
        <w:t xml:space="preserve">L. </w:t>
      </w:r>
      <w:proofErr w:type="spellStart"/>
      <w:r w:rsidRPr="00631CF2">
        <w:rPr>
          <w:rFonts w:eastAsiaTheme="minorEastAsia" w:cs="Times New Roman"/>
          <w:b w:val="0"/>
          <w:bCs w:val="0"/>
          <w:i/>
          <w:iCs/>
          <w:sz w:val="24"/>
          <w:szCs w:val="24"/>
          <w:lang w:val="en-GB"/>
        </w:rPr>
        <w:t>arundinaceum</w:t>
      </w:r>
      <w:proofErr w:type="spellEnd"/>
      <w:r w:rsidRPr="00631CF2">
        <w:rPr>
          <w:rFonts w:eastAsiaTheme="minorEastAsia" w:cs="Times New Roman"/>
          <w:b w:val="0"/>
          <w:bCs w:val="0"/>
          <w:sz w:val="24"/>
          <w:szCs w:val="24"/>
          <w:lang w:val="en-GB"/>
        </w:rPr>
        <w:t xml:space="preserve"> (with HSG: 0.87 ± 0.03; without HSG: 0.83 ± 0.03; </w:t>
      </w:r>
      <w:r w:rsidRPr="00631CF2">
        <w:rPr>
          <w:rFonts w:eastAsiaTheme="minorEastAsia" w:cs="Times New Roman"/>
          <w:b w:val="0"/>
          <w:bCs w:val="0"/>
          <w:i/>
          <w:iCs/>
          <w:sz w:val="24"/>
          <w:szCs w:val="24"/>
          <w:lang w:val="en-GB"/>
        </w:rPr>
        <w:t xml:space="preserve">P </w:t>
      </w:r>
      <w:r w:rsidRPr="00631CF2">
        <w:rPr>
          <w:rFonts w:eastAsiaTheme="minorEastAsia" w:cs="Times New Roman"/>
          <w:b w:val="0"/>
          <w:bCs w:val="0"/>
          <w:sz w:val="24"/>
          <w:szCs w:val="24"/>
          <w:lang w:val="en-GB"/>
        </w:rPr>
        <w:t>&lt;0.05).</w:t>
      </w:r>
    </w:p>
    <w:p w14:paraId="173C50D5" w14:textId="77777777" w:rsidR="00C5180A" w:rsidRPr="00631CF2" w:rsidRDefault="00C5180A" w:rsidP="007F0193">
      <w:pPr>
        <w:widowControl w:val="0"/>
        <w:spacing w:after="0" w:line="480" w:lineRule="auto"/>
        <w:jc w:val="both"/>
        <w:rPr>
          <w:rFonts w:ascii="Times New Roman" w:hAnsi="Times New Roman" w:cs="Times New Roman"/>
        </w:rPr>
      </w:pPr>
    </w:p>
    <w:p w14:paraId="0C9C69EA" w14:textId="77777777" w:rsidR="00942997" w:rsidRPr="00D22984" w:rsidRDefault="00C5180A" w:rsidP="007F0193">
      <w:pPr>
        <w:pStyle w:val="Heading2"/>
        <w:keepLines w:val="0"/>
        <w:widowControl w:val="0"/>
        <w:spacing w:before="0" w:line="480" w:lineRule="auto"/>
        <w:jc w:val="both"/>
        <w:rPr>
          <w:rFonts w:eastAsia="Times New Roman" w:cs="Times New Roman"/>
          <w:b w:val="0"/>
          <w:bCs w:val="0"/>
          <w:i/>
          <w:iCs/>
          <w:color w:val="538135"/>
          <w:sz w:val="24"/>
          <w:szCs w:val="24"/>
          <w:lang w:val="en-GB"/>
        </w:rPr>
      </w:pPr>
      <w:r w:rsidRPr="00D22984">
        <w:rPr>
          <w:rFonts w:eastAsia="Times New Roman" w:cs="Times New Roman"/>
          <w:b w:val="0"/>
          <w:bCs w:val="0"/>
          <w:i/>
          <w:iCs/>
          <w:color w:val="538135"/>
          <w:sz w:val="24"/>
          <w:szCs w:val="24"/>
          <w:lang w:val="en-GB"/>
        </w:rPr>
        <w:t>T</w:t>
      </w:r>
      <w:r w:rsidR="412175EC" w:rsidRPr="00D22984">
        <w:rPr>
          <w:rFonts w:eastAsia="Times New Roman" w:cs="Times New Roman"/>
          <w:b w:val="0"/>
          <w:bCs w:val="0"/>
          <w:i/>
          <w:iCs/>
          <w:color w:val="538135"/>
          <w:sz w:val="24"/>
          <w:szCs w:val="24"/>
          <w:lang w:val="en-GB"/>
        </w:rPr>
        <w:t>iller</w:t>
      </w:r>
      <w:r w:rsidRPr="00D22984">
        <w:rPr>
          <w:rFonts w:eastAsia="Times New Roman" w:cs="Times New Roman"/>
          <w:b w:val="0"/>
          <w:bCs w:val="0"/>
          <w:i/>
          <w:iCs/>
          <w:color w:val="538135"/>
          <w:sz w:val="24"/>
          <w:szCs w:val="24"/>
          <w:lang w:val="en-GB"/>
        </w:rPr>
        <w:t xml:space="preserve"> size-density relationships</w:t>
      </w:r>
    </w:p>
    <w:p w14:paraId="5B6FF9E3" w14:textId="1D47DB61" w:rsidR="00C5180A" w:rsidRPr="00631CF2" w:rsidRDefault="00C5180A" w:rsidP="007F0193">
      <w:pPr>
        <w:widowControl w:val="0"/>
        <w:spacing w:after="0" w:line="480" w:lineRule="auto"/>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t>Tiller population density (TPD) showed significant variation across treatments and seasons (</w:t>
      </w:r>
      <w:r w:rsidRPr="00631CF2">
        <w:rPr>
          <w:rFonts w:ascii="Times New Roman" w:eastAsia="Times New Roman" w:hAnsi="Times New Roman" w:cs="Times New Roman"/>
          <w:i/>
          <w:iCs/>
          <w:sz w:val="24"/>
          <w:szCs w:val="24"/>
        </w:rPr>
        <w:t>P &lt;</w:t>
      </w:r>
      <w:r w:rsidRPr="00631CF2">
        <w:rPr>
          <w:rFonts w:ascii="Times New Roman" w:eastAsia="Times New Roman" w:hAnsi="Times New Roman" w:cs="Times New Roman"/>
          <w:sz w:val="24"/>
          <w:szCs w:val="24"/>
        </w:rPr>
        <w:t>0.0</w:t>
      </w:r>
      <w:r w:rsidR="00C47F82" w:rsidRPr="00631CF2">
        <w:rPr>
          <w:rFonts w:ascii="Times New Roman" w:eastAsia="Times New Roman" w:hAnsi="Times New Roman" w:cs="Times New Roman"/>
          <w:sz w:val="24"/>
          <w:szCs w:val="24"/>
        </w:rPr>
        <w:t>5</w:t>
      </w:r>
      <w:r w:rsidRPr="00631CF2">
        <w:rPr>
          <w:rFonts w:ascii="Times New Roman" w:eastAsia="Times New Roman" w:hAnsi="Times New Roman" w:cs="Times New Roman"/>
          <w:sz w:val="24"/>
          <w:szCs w:val="24"/>
        </w:rPr>
        <w:t xml:space="preserve">). The 15 cm treatment during summer </w:t>
      </w:r>
      <w:r w:rsidR="00C47F82" w:rsidRPr="00631CF2">
        <w:rPr>
          <w:rFonts w:ascii="Times New Roman" w:eastAsia="Times New Roman" w:hAnsi="Times New Roman" w:cs="Times New Roman"/>
          <w:sz w:val="24"/>
          <w:szCs w:val="24"/>
        </w:rPr>
        <w:t>presented</w:t>
      </w:r>
      <w:r w:rsidRPr="00631CF2">
        <w:rPr>
          <w:rFonts w:ascii="Times New Roman" w:eastAsia="Times New Roman" w:hAnsi="Times New Roman" w:cs="Times New Roman"/>
          <w:sz w:val="24"/>
          <w:szCs w:val="24"/>
        </w:rPr>
        <w:t xml:space="preserve"> the highest TPD (3632 ± 409 tillers m⁻²). Tiller weight (TW) also varied significantly with treatment and season. </w:t>
      </w:r>
      <w:r w:rsidRPr="00631CF2">
        <w:rPr>
          <w:rFonts w:ascii="Times New Roman" w:eastAsia="Times New Roman" w:hAnsi="Times New Roman" w:cs="Times New Roman"/>
          <w:sz w:val="24"/>
          <w:szCs w:val="24"/>
        </w:rPr>
        <w:lastRenderedPageBreak/>
        <w:t xml:space="preserve">The 20 cm management resulted in higher TW (0.072 ± 0.009 g) compared to 15 cm (0.040 ± 0.009 g; </w:t>
      </w:r>
      <w:r w:rsidRPr="00631CF2">
        <w:rPr>
          <w:rFonts w:ascii="Times New Roman" w:eastAsia="Times New Roman" w:hAnsi="Times New Roman" w:cs="Times New Roman"/>
          <w:i/>
          <w:iCs/>
          <w:sz w:val="24"/>
          <w:szCs w:val="24"/>
        </w:rPr>
        <w:t>P &lt;</w:t>
      </w:r>
      <w:r w:rsidRPr="00631CF2">
        <w:rPr>
          <w:rFonts w:ascii="Times New Roman" w:eastAsia="Times New Roman" w:hAnsi="Times New Roman" w:cs="Times New Roman"/>
          <w:sz w:val="24"/>
          <w:szCs w:val="24"/>
        </w:rPr>
        <w:t xml:space="preserve">0.001). Hard spring grazing increased TW (with HSG: 0.060 ± 0.009 g; without HSG: 0.050 ± 0.009 g; </w:t>
      </w:r>
      <w:r w:rsidRPr="00631CF2">
        <w:rPr>
          <w:rFonts w:ascii="Times New Roman" w:eastAsia="Times New Roman" w:hAnsi="Times New Roman" w:cs="Times New Roman"/>
          <w:i/>
          <w:iCs/>
          <w:sz w:val="24"/>
          <w:szCs w:val="24"/>
        </w:rPr>
        <w:t>P &lt;</w:t>
      </w:r>
      <w:r w:rsidRPr="00631CF2">
        <w:rPr>
          <w:rFonts w:ascii="Times New Roman" w:eastAsia="Times New Roman" w:hAnsi="Times New Roman" w:cs="Times New Roman"/>
          <w:sz w:val="24"/>
          <w:szCs w:val="24"/>
        </w:rPr>
        <w:t>0.0</w:t>
      </w:r>
      <w:r w:rsidR="1EA082F6" w:rsidRPr="00631CF2">
        <w:rPr>
          <w:rFonts w:ascii="Times New Roman" w:eastAsia="Times New Roman" w:hAnsi="Times New Roman" w:cs="Times New Roman"/>
          <w:sz w:val="24"/>
          <w:szCs w:val="24"/>
        </w:rPr>
        <w:t>5</w:t>
      </w:r>
      <w:r w:rsidRPr="00631CF2">
        <w:rPr>
          <w:rFonts w:ascii="Times New Roman" w:eastAsia="Times New Roman" w:hAnsi="Times New Roman" w:cs="Times New Roman"/>
          <w:sz w:val="24"/>
          <w:szCs w:val="24"/>
        </w:rPr>
        <w:t xml:space="preserve">). Seasonal effects were also observed, with highest TW in winter (0.078 ± 0.010 g), followed by spring (0.060 ± 0.010 g) and summer (0.036 ± 0.009 g; </w:t>
      </w:r>
      <w:r w:rsidRPr="00631CF2">
        <w:rPr>
          <w:rFonts w:ascii="Times New Roman" w:eastAsia="Times New Roman" w:hAnsi="Times New Roman" w:cs="Times New Roman"/>
          <w:i/>
          <w:iCs/>
          <w:sz w:val="24"/>
          <w:szCs w:val="24"/>
        </w:rPr>
        <w:t>P &lt;</w:t>
      </w:r>
      <w:r w:rsidRPr="00631CF2">
        <w:rPr>
          <w:rFonts w:ascii="Times New Roman" w:eastAsia="Times New Roman" w:hAnsi="Times New Roman" w:cs="Times New Roman"/>
          <w:sz w:val="24"/>
          <w:szCs w:val="24"/>
        </w:rPr>
        <w:t>0.001).</w:t>
      </w:r>
    </w:p>
    <w:p w14:paraId="7AD180F7" w14:textId="5E25B73D" w:rsidR="009516D4" w:rsidRPr="00631CF2" w:rsidRDefault="00C5180A" w:rsidP="007F0193">
      <w:pPr>
        <w:widowControl w:val="0"/>
        <w:spacing w:after="0" w:line="480" w:lineRule="auto"/>
        <w:ind w:firstLine="426"/>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t>Despite these treatment effects</w:t>
      </w:r>
      <w:r w:rsidR="00DB5E24" w:rsidRPr="00631CF2">
        <w:rPr>
          <w:rFonts w:ascii="Times New Roman" w:eastAsia="Times New Roman" w:hAnsi="Times New Roman" w:cs="Times New Roman"/>
          <w:sz w:val="24"/>
          <w:szCs w:val="24"/>
        </w:rPr>
        <w:t xml:space="preserve"> </w:t>
      </w:r>
      <w:r w:rsidR="5CCCD2D9" w:rsidRPr="00631CF2">
        <w:rPr>
          <w:rFonts w:ascii="Times New Roman" w:eastAsia="Times New Roman" w:hAnsi="Times New Roman" w:cs="Times New Roman"/>
          <w:sz w:val="24"/>
          <w:szCs w:val="24"/>
        </w:rPr>
        <w:t xml:space="preserve">for </w:t>
      </w:r>
      <w:r w:rsidR="00DB5E24" w:rsidRPr="00631CF2">
        <w:rPr>
          <w:rFonts w:ascii="Times New Roman" w:eastAsia="Times New Roman" w:hAnsi="Times New Roman" w:cs="Times New Roman"/>
          <w:sz w:val="24"/>
          <w:szCs w:val="24"/>
        </w:rPr>
        <w:t>both traits</w:t>
      </w:r>
      <w:r w:rsidRPr="00631CF2">
        <w:rPr>
          <w:rFonts w:ascii="Times New Roman" w:eastAsia="Times New Roman" w:hAnsi="Times New Roman" w:cs="Times New Roman"/>
          <w:sz w:val="24"/>
          <w:szCs w:val="24"/>
        </w:rPr>
        <w:t>, all management</w:t>
      </w:r>
      <w:r w:rsidR="0030095E" w:rsidRPr="00631CF2">
        <w:rPr>
          <w:rFonts w:ascii="Times New Roman" w:eastAsia="Times New Roman" w:hAnsi="Times New Roman" w:cs="Times New Roman"/>
          <w:sz w:val="24"/>
          <w:szCs w:val="24"/>
        </w:rPr>
        <w:t>s</w:t>
      </w:r>
      <w:r w:rsidRPr="00631CF2">
        <w:rPr>
          <w:rFonts w:ascii="Times New Roman" w:eastAsia="Times New Roman" w:hAnsi="Times New Roman" w:cs="Times New Roman"/>
          <w:sz w:val="24"/>
          <w:szCs w:val="24"/>
        </w:rPr>
        <w:t xml:space="preserve"> exhibited similar compensatory relationships between TW and TPD when </w:t>
      </w:r>
      <w:proofErr w:type="spellStart"/>
      <w:r w:rsidRPr="00631CF2">
        <w:rPr>
          <w:rFonts w:ascii="Times New Roman" w:eastAsia="Times New Roman" w:hAnsi="Times New Roman" w:cs="Times New Roman"/>
          <w:sz w:val="24"/>
          <w:szCs w:val="24"/>
        </w:rPr>
        <w:t>analyzed</w:t>
      </w:r>
      <w:proofErr w:type="spellEnd"/>
      <w:r w:rsidRPr="00631CF2">
        <w:rPr>
          <w:rFonts w:ascii="Times New Roman" w:eastAsia="Times New Roman" w:hAnsi="Times New Roman" w:cs="Times New Roman"/>
          <w:sz w:val="24"/>
          <w:szCs w:val="24"/>
        </w:rPr>
        <w:t xml:space="preserve"> on a log₁₀ scale</w:t>
      </w:r>
      <w:r w:rsidR="007F3A16" w:rsidRPr="00631CF2">
        <w:rPr>
          <w:rFonts w:ascii="Times New Roman" w:eastAsia="Times New Roman" w:hAnsi="Times New Roman" w:cs="Times New Roman"/>
          <w:sz w:val="24"/>
          <w:szCs w:val="24"/>
        </w:rPr>
        <w:t xml:space="preserve"> (</w:t>
      </w:r>
      <w:r w:rsidR="00615B33" w:rsidRPr="00631CF2">
        <w:rPr>
          <w:rFonts w:ascii="Times New Roman" w:eastAsia="Times New Roman" w:hAnsi="Times New Roman" w:cs="Times New Roman"/>
          <w:sz w:val="24"/>
          <w:szCs w:val="24"/>
        </w:rPr>
        <w:t>Figure</w:t>
      </w:r>
      <w:r w:rsidR="009516D4" w:rsidRPr="00631CF2">
        <w:rPr>
          <w:rFonts w:ascii="Times New Roman" w:eastAsia="Times New Roman" w:hAnsi="Times New Roman" w:cs="Times New Roman"/>
          <w:sz w:val="24"/>
          <w:szCs w:val="24"/>
        </w:rPr>
        <w:t xml:space="preserve"> </w:t>
      </w:r>
      <w:r w:rsidR="6742468A" w:rsidRPr="00631CF2">
        <w:rPr>
          <w:rFonts w:ascii="Times New Roman" w:eastAsia="Times New Roman" w:hAnsi="Times New Roman" w:cs="Times New Roman"/>
          <w:sz w:val="24"/>
          <w:szCs w:val="24"/>
        </w:rPr>
        <w:t>3</w:t>
      </w:r>
      <w:r w:rsidR="007F3A16" w:rsidRPr="00631CF2">
        <w:rPr>
          <w:rFonts w:ascii="Times New Roman" w:eastAsia="Times New Roman" w:hAnsi="Times New Roman" w:cs="Times New Roman"/>
          <w:sz w:val="24"/>
          <w:szCs w:val="24"/>
        </w:rPr>
        <w:t>)</w:t>
      </w:r>
      <w:r w:rsidR="00704E15" w:rsidRPr="00631CF2">
        <w:rPr>
          <w:rFonts w:ascii="Times New Roman" w:eastAsia="Times New Roman" w:hAnsi="Times New Roman" w:cs="Times New Roman"/>
          <w:sz w:val="24"/>
          <w:szCs w:val="24"/>
        </w:rPr>
        <w:t>.</w:t>
      </w:r>
      <w:r w:rsidRPr="00631CF2">
        <w:rPr>
          <w:rFonts w:ascii="Times New Roman" w:eastAsia="Times New Roman" w:hAnsi="Times New Roman" w:cs="Times New Roman"/>
          <w:sz w:val="24"/>
          <w:szCs w:val="24"/>
        </w:rPr>
        <w:t xml:space="preserve"> </w:t>
      </w:r>
      <w:r w:rsidR="00EC34A9" w:rsidRPr="00631CF2">
        <w:rPr>
          <w:rFonts w:ascii="Times New Roman" w:eastAsia="Times New Roman" w:hAnsi="Times New Roman" w:cs="Times New Roman"/>
          <w:sz w:val="24"/>
          <w:szCs w:val="24"/>
        </w:rPr>
        <w:t>The r</w:t>
      </w:r>
      <w:r w:rsidR="00EC34A9" w:rsidRPr="00631CF2">
        <w:rPr>
          <w:rStyle w:val="normaltextrun"/>
          <w:rFonts w:ascii="Times New Roman" w:hAnsi="Times New Roman" w:cs="Times New Roman"/>
          <w:color w:val="000000"/>
          <w:sz w:val="24"/>
          <w:szCs w:val="24"/>
          <w:shd w:val="clear" w:color="auto" w:fill="FFFFFF"/>
        </w:rPr>
        <w:t xml:space="preserve">egression parameters for </w:t>
      </w:r>
      <w:r w:rsidR="00CA329A" w:rsidRPr="00631CF2">
        <w:rPr>
          <w:rStyle w:val="normaltextrun"/>
          <w:rFonts w:ascii="Times New Roman" w:hAnsi="Times New Roman" w:cs="Times New Roman"/>
          <w:color w:val="000000"/>
          <w:sz w:val="24"/>
          <w:szCs w:val="24"/>
          <w:shd w:val="clear" w:color="auto" w:fill="FFFFFF"/>
        </w:rPr>
        <w:t xml:space="preserve">each </w:t>
      </w:r>
      <w:r w:rsidR="00EC34A9" w:rsidRPr="00631CF2">
        <w:rPr>
          <w:rFonts w:ascii="Times New Roman" w:eastAsia="Times New Roman" w:hAnsi="Times New Roman" w:cs="Times New Roman"/>
          <w:sz w:val="24"/>
          <w:szCs w:val="24"/>
        </w:rPr>
        <w:t>relationships between TW and TPD</w:t>
      </w:r>
      <w:r w:rsidR="00FE6914" w:rsidRPr="00631CF2">
        <w:rPr>
          <w:rFonts w:ascii="Times New Roman" w:eastAsia="Times New Roman" w:hAnsi="Times New Roman" w:cs="Times New Roman"/>
          <w:sz w:val="24"/>
          <w:szCs w:val="24"/>
        </w:rPr>
        <w:t>,</w:t>
      </w:r>
      <w:r w:rsidR="00EC34A9" w:rsidRPr="00631CF2">
        <w:rPr>
          <w:rFonts w:ascii="Times New Roman" w:eastAsia="Times New Roman" w:hAnsi="Times New Roman" w:cs="Times New Roman"/>
          <w:sz w:val="24"/>
          <w:szCs w:val="24"/>
        </w:rPr>
        <w:t xml:space="preserve"> </w:t>
      </w:r>
      <w:proofErr w:type="spellStart"/>
      <w:r w:rsidR="00EC34A9" w:rsidRPr="00631CF2">
        <w:rPr>
          <w:rFonts w:ascii="Times New Roman" w:eastAsia="Times New Roman" w:hAnsi="Times New Roman" w:cs="Times New Roman"/>
          <w:sz w:val="24"/>
          <w:szCs w:val="24"/>
        </w:rPr>
        <w:t>analyzed</w:t>
      </w:r>
      <w:proofErr w:type="spellEnd"/>
      <w:r w:rsidR="00EC34A9" w:rsidRPr="00631CF2">
        <w:rPr>
          <w:rFonts w:ascii="Times New Roman" w:eastAsia="Times New Roman" w:hAnsi="Times New Roman" w:cs="Times New Roman"/>
          <w:sz w:val="24"/>
          <w:szCs w:val="24"/>
        </w:rPr>
        <w:t xml:space="preserve"> </w:t>
      </w:r>
      <w:r w:rsidR="00FE6914" w:rsidRPr="00631CF2">
        <w:rPr>
          <w:rFonts w:ascii="Times New Roman" w:eastAsia="Times New Roman" w:hAnsi="Times New Roman" w:cs="Times New Roman"/>
          <w:sz w:val="24"/>
          <w:szCs w:val="24"/>
        </w:rPr>
        <w:t xml:space="preserve">separately </w:t>
      </w:r>
      <w:r w:rsidR="00EC34A9" w:rsidRPr="00631CF2">
        <w:rPr>
          <w:rFonts w:ascii="Times New Roman" w:eastAsia="Times New Roman" w:hAnsi="Times New Roman" w:cs="Times New Roman"/>
          <w:sz w:val="24"/>
          <w:szCs w:val="24"/>
        </w:rPr>
        <w:t>on a log₁₀ scale</w:t>
      </w:r>
      <w:r w:rsidR="00EC34A9" w:rsidRPr="00631CF2">
        <w:rPr>
          <w:rStyle w:val="normaltextrun"/>
          <w:rFonts w:ascii="Times New Roman" w:hAnsi="Times New Roman" w:cs="Times New Roman"/>
          <w:color w:val="000000"/>
          <w:sz w:val="24"/>
          <w:szCs w:val="24"/>
          <w:shd w:val="clear" w:color="auto" w:fill="FFFFFF"/>
        </w:rPr>
        <w:t xml:space="preserve"> </w:t>
      </w:r>
      <w:r w:rsidR="00EC34A9" w:rsidRPr="00631CF2">
        <w:rPr>
          <w:rStyle w:val="normaltextrun"/>
          <w:rFonts w:ascii="Times New Roman" w:hAnsi="Times New Roman" w:cs="Times New Roman"/>
          <w:color w:val="000000"/>
          <w:sz w:val="24"/>
          <w:szCs w:val="24"/>
          <w:u w:val="single"/>
          <w:shd w:val="clear" w:color="auto" w:fill="FFFFFF"/>
        </w:rPr>
        <w:t>were</w:t>
      </w:r>
      <w:r w:rsidR="00EC34A9" w:rsidRPr="00631CF2">
        <w:rPr>
          <w:rStyle w:val="normaltextrun"/>
          <w:rFonts w:ascii="Times New Roman" w:hAnsi="Times New Roman" w:cs="Times New Roman"/>
          <w:color w:val="000000"/>
          <w:sz w:val="24"/>
          <w:szCs w:val="24"/>
          <w:shd w:val="clear" w:color="auto" w:fill="FFFFFF"/>
        </w:rPr>
        <w:t>: 15 cm, y=3.15-1.32x,</w:t>
      </w:r>
      <w:r w:rsidR="008E366C" w:rsidRPr="00631CF2">
        <w:rPr>
          <w:rStyle w:val="normaltextrun"/>
          <w:rFonts w:ascii="Times New Roman" w:hAnsi="Times New Roman" w:cs="Times New Roman"/>
          <w:color w:val="000000"/>
          <w:sz w:val="24"/>
          <w:szCs w:val="24"/>
          <w:shd w:val="clear" w:color="auto" w:fill="FFFFFF"/>
        </w:rPr>
        <w:t xml:space="preserve"> R²=0.51, </w:t>
      </w:r>
      <w:r w:rsidR="00EC34A9" w:rsidRPr="00631CF2">
        <w:rPr>
          <w:rStyle w:val="normaltextrun"/>
          <w:rFonts w:ascii="Times New Roman" w:hAnsi="Times New Roman" w:cs="Times New Roman"/>
          <w:i/>
          <w:iCs/>
          <w:color w:val="000000"/>
          <w:sz w:val="24"/>
          <w:szCs w:val="24"/>
          <w:shd w:val="clear" w:color="auto" w:fill="FFFFFF"/>
        </w:rPr>
        <w:t>P &lt;</w:t>
      </w:r>
      <w:r w:rsidR="00EC34A9" w:rsidRPr="00631CF2">
        <w:rPr>
          <w:rStyle w:val="normaltextrun"/>
          <w:rFonts w:ascii="Times New Roman" w:hAnsi="Times New Roman" w:cs="Times New Roman"/>
          <w:color w:val="000000"/>
          <w:sz w:val="24"/>
          <w:szCs w:val="24"/>
          <w:shd w:val="clear" w:color="auto" w:fill="FFFFFF"/>
        </w:rPr>
        <w:t>0.001; 15 cm HSG, y=1.00-0.73x,</w:t>
      </w:r>
      <w:r w:rsidR="007D69E5" w:rsidRPr="00631CF2">
        <w:rPr>
          <w:rStyle w:val="normaltextrun"/>
          <w:rFonts w:ascii="Times New Roman" w:hAnsi="Times New Roman" w:cs="Times New Roman"/>
          <w:color w:val="000000"/>
          <w:sz w:val="24"/>
          <w:szCs w:val="24"/>
          <w:shd w:val="clear" w:color="auto" w:fill="FFFFFF"/>
        </w:rPr>
        <w:t xml:space="preserve"> R²=0.18,</w:t>
      </w:r>
      <w:r w:rsidR="00EC34A9" w:rsidRPr="00631CF2">
        <w:rPr>
          <w:rStyle w:val="normaltextrun"/>
          <w:rFonts w:ascii="Times New Roman" w:hAnsi="Times New Roman" w:cs="Times New Roman"/>
          <w:color w:val="000000"/>
          <w:sz w:val="24"/>
          <w:szCs w:val="24"/>
          <w:shd w:val="clear" w:color="auto" w:fill="FFFFFF"/>
        </w:rPr>
        <w:t xml:space="preserve"> </w:t>
      </w:r>
      <w:r w:rsidR="00EC34A9" w:rsidRPr="00631CF2">
        <w:rPr>
          <w:rStyle w:val="normaltextrun"/>
          <w:rFonts w:ascii="Times New Roman" w:hAnsi="Times New Roman" w:cs="Times New Roman"/>
          <w:i/>
          <w:iCs/>
          <w:color w:val="000000"/>
          <w:sz w:val="24"/>
          <w:szCs w:val="24"/>
          <w:shd w:val="clear" w:color="auto" w:fill="FFFFFF"/>
        </w:rPr>
        <w:t>P &lt;</w:t>
      </w:r>
      <w:r w:rsidR="00EC34A9" w:rsidRPr="00631CF2">
        <w:rPr>
          <w:rStyle w:val="normaltextrun"/>
          <w:rFonts w:ascii="Times New Roman" w:hAnsi="Times New Roman" w:cs="Times New Roman"/>
          <w:color w:val="000000"/>
          <w:sz w:val="24"/>
          <w:szCs w:val="24"/>
          <w:shd w:val="clear" w:color="auto" w:fill="FFFFFF"/>
        </w:rPr>
        <w:t>0.00</w:t>
      </w:r>
      <w:r w:rsidR="7815211D" w:rsidRPr="00631CF2">
        <w:rPr>
          <w:rStyle w:val="normaltextrun"/>
          <w:rFonts w:ascii="Times New Roman" w:hAnsi="Times New Roman" w:cs="Times New Roman"/>
          <w:color w:val="000000"/>
          <w:sz w:val="24"/>
          <w:szCs w:val="24"/>
          <w:shd w:val="clear" w:color="auto" w:fill="FFFFFF"/>
        </w:rPr>
        <w:t>1</w:t>
      </w:r>
      <w:r w:rsidR="00EC34A9" w:rsidRPr="00631CF2">
        <w:rPr>
          <w:rStyle w:val="normaltextrun"/>
          <w:rFonts w:ascii="Times New Roman" w:hAnsi="Times New Roman" w:cs="Times New Roman"/>
          <w:color w:val="000000"/>
          <w:sz w:val="24"/>
          <w:szCs w:val="24"/>
          <w:shd w:val="clear" w:color="auto" w:fill="FFFFFF"/>
        </w:rPr>
        <w:t xml:space="preserve">; 20 cm, y=3.36-1.35x, </w:t>
      </w:r>
      <w:r w:rsidR="007D69E5" w:rsidRPr="00631CF2">
        <w:rPr>
          <w:rStyle w:val="normaltextrun"/>
          <w:rFonts w:ascii="Times New Roman" w:hAnsi="Times New Roman" w:cs="Times New Roman"/>
          <w:color w:val="000000"/>
          <w:sz w:val="24"/>
          <w:szCs w:val="24"/>
          <w:shd w:val="clear" w:color="auto" w:fill="FFFFFF"/>
        </w:rPr>
        <w:t xml:space="preserve">R²=0.44, </w:t>
      </w:r>
      <w:r w:rsidR="00EC34A9" w:rsidRPr="00631CF2">
        <w:rPr>
          <w:rStyle w:val="normaltextrun"/>
          <w:rFonts w:ascii="Times New Roman" w:hAnsi="Times New Roman" w:cs="Times New Roman"/>
          <w:i/>
          <w:iCs/>
          <w:color w:val="000000"/>
          <w:sz w:val="24"/>
          <w:szCs w:val="24"/>
          <w:shd w:val="clear" w:color="auto" w:fill="FFFFFF"/>
        </w:rPr>
        <w:t>P &lt;</w:t>
      </w:r>
      <w:r w:rsidR="00EC34A9" w:rsidRPr="00631CF2">
        <w:rPr>
          <w:rStyle w:val="normaltextrun"/>
          <w:rFonts w:ascii="Times New Roman" w:hAnsi="Times New Roman" w:cs="Times New Roman"/>
          <w:color w:val="000000"/>
          <w:sz w:val="24"/>
          <w:szCs w:val="24"/>
          <w:shd w:val="clear" w:color="auto" w:fill="FFFFFF"/>
        </w:rPr>
        <w:t>0.001; 20 cm HSG, y=3.33-1.38x,</w:t>
      </w:r>
      <w:r w:rsidR="007D69E5" w:rsidRPr="00631CF2">
        <w:rPr>
          <w:rStyle w:val="normaltextrun"/>
          <w:rFonts w:ascii="Times New Roman" w:hAnsi="Times New Roman" w:cs="Times New Roman"/>
          <w:color w:val="000000"/>
          <w:sz w:val="24"/>
          <w:szCs w:val="24"/>
          <w:shd w:val="clear" w:color="auto" w:fill="FFFFFF"/>
        </w:rPr>
        <w:t xml:space="preserve"> R²=0.38,</w:t>
      </w:r>
      <w:r w:rsidR="00EC34A9" w:rsidRPr="00631CF2">
        <w:rPr>
          <w:rStyle w:val="normaltextrun"/>
          <w:rFonts w:ascii="Times New Roman" w:hAnsi="Times New Roman" w:cs="Times New Roman"/>
          <w:color w:val="000000"/>
          <w:sz w:val="24"/>
          <w:szCs w:val="24"/>
          <w:shd w:val="clear" w:color="auto" w:fill="FFFFFF"/>
        </w:rPr>
        <w:t xml:space="preserve"> </w:t>
      </w:r>
      <w:r w:rsidR="00EC34A9" w:rsidRPr="00631CF2">
        <w:rPr>
          <w:rStyle w:val="normaltextrun"/>
          <w:rFonts w:ascii="Times New Roman" w:hAnsi="Times New Roman" w:cs="Times New Roman"/>
          <w:i/>
          <w:iCs/>
          <w:color w:val="000000"/>
          <w:sz w:val="24"/>
          <w:szCs w:val="24"/>
          <w:shd w:val="clear" w:color="auto" w:fill="FFFFFF"/>
        </w:rPr>
        <w:t>P &lt;</w:t>
      </w:r>
      <w:r w:rsidR="00EC34A9" w:rsidRPr="00631CF2">
        <w:rPr>
          <w:rStyle w:val="normaltextrun"/>
          <w:rFonts w:ascii="Times New Roman" w:hAnsi="Times New Roman" w:cs="Times New Roman"/>
          <w:color w:val="000000"/>
          <w:sz w:val="24"/>
          <w:szCs w:val="24"/>
          <w:shd w:val="clear" w:color="auto" w:fill="FFFFFF"/>
        </w:rPr>
        <w:t>0.001</w:t>
      </w:r>
      <w:r w:rsidRPr="00631CF2">
        <w:rPr>
          <w:rFonts w:ascii="Times New Roman" w:eastAsia="Times New Roman" w:hAnsi="Times New Roman" w:cs="Times New Roman"/>
          <w:sz w:val="24"/>
          <w:szCs w:val="24"/>
        </w:rPr>
        <w:t>. The slopes of these relationships did not differ significantly</w:t>
      </w:r>
      <w:r w:rsidR="00EC45E6" w:rsidRPr="00631CF2">
        <w:rPr>
          <w:rFonts w:ascii="Times New Roman" w:eastAsia="Times New Roman" w:hAnsi="Times New Roman" w:cs="Times New Roman"/>
          <w:sz w:val="24"/>
          <w:szCs w:val="24"/>
        </w:rPr>
        <w:t>, and their deviations from the theoretical -3/2 self-thinning line remained similar throughout the year</w:t>
      </w:r>
      <w:r w:rsidR="000230C4" w:rsidRPr="00631CF2">
        <w:rPr>
          <w:rFonts w:ascii="Times New Roman" w:eastAsia="Times New Roman" w:hAnsi="Times New Roman" w:cs="Times New Roman"/>
          <w:sz w:val="24"/>
          <w:szCs w:val="24"/>
        </w:rPr>
        <w:t>s</w:t>
      </w:r>
      <w:r w:rsidR="00EC45E6" w:rsidRPr="00631CF2">
        <w:rPr>
          <w:rFonts w:ascii="Times New Roman" w:eastAsia="Times New Roman" w:hAnsi="Times New Roman" w:cs="Times New Roman"/>
          <w:sz w:val="24"/>
          <w:szCs w:val="24"/>
        </w:rPr>
        <w:t xml:space="preserve"> (Table </w:t>
      </w:r>
      <w:r w:rsidR="06CE0C29" w:rsidRPr="00631CF2">
        <w:rPr>
          <w:rFonts w:ascii="Times New Roman" w:eastAsia="Times New Roman" w:hAnsi="Times New Roman" w:cs="Times New Roman"/>
          <w:sz w:val="24"/>
          <w:szCs w:val="24"/>
        </w:rPr>
        <w:t>3</w:t>
      </w:r>
      <w:r w:rsidR="00EC45E6" w:rsidRPr="00631CF2">
        <w:rPr>
          <w:rFonts w:ascii="Times New Roman" w:eastAsia="Times New Roman" w:hAnsi="Times New Roman" w:cs="Times New Roman"/>
          <w:sz w:val="24"/>
          <w:szCs w:val="24"/>
        </w:rPr>
        <w:t xml:space="preserve">). </w:t>
      </w:r>
    </w:p>
    <w:p w14:paraId="378129A3" w14:textId="32DAA6AA" w:rsidR="00E90D9C" w:rsidRPr="00631CF2" w:rsidRDefault="00AD394D" w:rsidP="00D22984">
      <w:pPr>
        <w:widowControl w:val="0"/>
        <w:spacing w:after="0" w:line="480" w:lineRule="auto"/>
        <w:ind w:firstLine="426"/>
        <w:rPr>
          <w:rStyle w:val="eop"/>
          <w:rFonts w:ascii="Times New Roman" w:hAnsi="Times New Roman" w:cs="Times New Roman"/>
          <w:color w:val="000000"/>
          <w:sz w:val="24"/>
          <w:szCs w:val="24"/>
          <w:shd w:val="clear" w:color="auto" w:fill="FFFFFF"/>
        </w:rPr>
      </w:pPr>
      <w:r w:rsidRPr="00631CF2">
        <w:rPr>
          <w:rFonts w:ascii="Times New Roman" w:eastAsia="Times New Roman" w:hAnsi="Times New Roman" w:cs="Times New Roman"/>
          <w:sz w:val="24"/>
          <w:szCs w:val="24"/>
        </w:rPr>
        <w:t>For a simple visualization of</w:t>
      </w:r>
      <w:r w:rsidR="0085602A" w:rsidRPr="00631CF2">
        <w:rPr>
          <w:rFonts w:ascii="Times New Roman" w:eastAsia="Times New Roman" w:hAnsi="Times New Roman" w:cs="Times New Roman"/>
          <w:sz w:val="24"/>
          <w:szCs w:val="24"/>
        </w:rPr>
        <w:t xml:space="preserve"> all</w:t>
      </w:r>
      <w:r w:rsidR="009B40D5" w:rsidRPr="00631CF2">
        <w:rPr>
          <w:rFonts w:ascii="Times New Roman" w:eastAsia="Times New Roman" w:hAnsi="Times New Roman" w:cs="Times New Roman"/>
          <w:sz w:val="24"/>
          <w:szCs w:val="24"/>
        </w:rPr>
        <w:t xml:space="preserve"> </w:t>
      </w:r>
      <w:r w:rsidR="00226C0A" w:rsidRPr="00631CF2">
        <w:rPr>
          <w:rFonts w:ascii="Times New Roman" w:eastAsia="Times New Roman" w:hAnsi="Times New Roman" w:cs="Times New Roman"/>
          <w:sz w:val="24"/>
          <w:szCs w:val="24"/>
        </w:rPr>
        <w:t>management</w:t>
      </w:r>
      <w:r w:rsidRPr="00631CF2">
        <w:rPr>
          <w:rFonts w:ascii="Times New Roman" w:eastAsia="Times New Roman" w:hAnsi="Times New Roman" w:cs="Times New Roman"/>
          <w:sz w:val="24"/>
          <w:szCs w:val="24"/>
        </w:rPr>
        <w:t xml:space="preserve"> </w:t>
      </w:r>
      <w:r w:rsidR="00646BEC" w:rsidRPr="00631CF2">
        <w:rPr>
          <w:rFonts w:ascii="Times New Roman" w:eastAsia="Times New Roman" w:hAnsi="Times New Roman" w:cs="Times New Roman"/>
          <w:sz w:val="24"/>
          <w:szCs w:val="24"/>
        </w:rPr>
        <w:t>regressions</w:t>
      </w:r>
      <w:r w:rsidR="00CD3108" w:rsidRPr="00631CF2">
        <w:rPr>
          <w:rFonts w:ascii="Times New Roman" w:eastAsia="Times New Roman" w:hAnsi="Times New Roman" w:cs="Times New Roman"/>
          <w:sz w:val="24"/>
          <w:szCs w:val="24"/>
        </w:rPr>
        <w:t xml:space="preserve">, </w:t>
      </w:r>
      <w:r w:rsidR="00615B33" w:rsidRPr="00631CF2">
        <w:rPr>
          <w:rFonts w:ascii="Times New Roman" w:eastAsia="Times New Roman" w:hAnsi="Times New Roman" w:cs="Times New Roman"/>
          <w:sz w:val="24"/>
          <w:szCs w:val="24"/>
        </w:rPr>
        <w:t>Figure</w:t>
      </w:r>
      <w:r w:rsidR="00EF538E" w:rsidRPr="00631CF2">
        <w:rPr>
          <w:rFonts w:ascii="Times New Roman" w:eastAsia="Times New Roman" w:hAnsi="Times New Roman" w:cs="Times New Roman"/>
          <w:sz w:val="24"/>
          <w:szCs w:val="24"/>
        </w:rPr>
        <w:t xml:space="preserve"> </w:t>
      </w:r>
      <w:r w:rsidR="68DF9CDE" w:rsidRPr="00631CF2">
        <w:rPr>
          <w:rFonts w:ascii="Times New Roman" w:eastAsia="Times New Roman" w:hAnsi="Times New Roman" w:cs="Times New Roman"/>
          <w:sz w:val="24"/>
          <w:szCs w:val="24"/>
        </w:rPr>
        <w:t>3</w:t>
      </w:r>
      <w:r w:rsidR="00EF538E" w:rsidRPr="00631CF2">
        <w:rPr>
          <w:rFonts w:ascii="Times New Roman" w:eastAsia="Times New Roman" w:hAnsi="Times New Roman" w:cs="Times New Roman"/>
          <w:sz w:val="24"/>
          <w:szCs w:val="24"/>
        </w:rPr>
        <w:t xml:space="preserve"> show</w:t>
      </w:r>
      <w:r w:rsidR="00AE20EF" w:rsidRPr="00631CF2">
        <w:rPr>
          <w:rFonts w:ascii="Times New Roman" w:eastAsia="Times New Roman" w:hAnsi="Times New Roman" w:cs="Times New Roman"/>
          <w:sz w:val="24"/>
          <w:szCs w:val="24"/>
        </w:rPr>
        <w:t xml:space="preserve">s </w:t>
      </w:r>
      <w:r w:rsidR="00EF538E" w:rsidRPr="00631CF2">
        <w:rPr>
          <w:rFonts w:ascii="Times New Roman" w:eastAsia="Times New Roman" w:hAnsi="Times New Roman" w:cs="Times New Roman"/>
          <w:sz w:val="24"/>
          <w:szCs w:val="24"/>
        </w:rPr>
        <w:t>th</w:t>
      </w:r>
      <w:r w:rsidR="00704E15" w:rsidRPr="00631CF2">
        <w:rPr>
          <w:rFonts w:ascii="Times New Roman" w:eastAsia="Times New Roman" w:hAnsi="Times New Roman" w:cs="Times New Roman"/>
          <w:sz w:val="24"/>
          <w:szCs w:val="24"/>
        </w:rPr>
        <w:t>e</w:t>
      </w:r>
      <w:r w:rsidR="00EF538E" w:rsidRPr="00631CF2">
        <w:rPr>
          <w:rFonts w:ascii="Times New Roman" w:eastAsia="Times New Roman" w:hAnsi="Times New Roman" w:cs="Times New Roman"/>
          <w:sz w:val="24"/>
          <w:szCs w:val="24"/>
        </w:rPr>
        <w:t xml:space="preserve"> </w:t>
      </w:r>
      <w:r w:rsidR="00394FBB" w:rsidRPr="00631CF2">
        <w:rPr>
          <w:rFonts w:ascii="Times New Roman" w:eastAsia="Times New Roman" w:hAnsi="Times New Roman" w:cs="Times New Roman"/>
          <w:sz w:val="24"/>
          <w:szCs w:val="24"/>
        </w:rPr>
        <w:t>regression</w:t>
      </w:r>
      <w:r w:rsidR="00C46218" w:rsidRPr="00631CF2">
        <w:rPr>
          <w:rFonts w:ascii="Times New Roman" w:eastAsia="Times New Roman" w:hAnsi="Times New Roman" w:cs="Times New Roman"/>
          <w:sz w:val="24"/>
          <w:szCs w:val="24"/>
        </w:rPr>
        <w:t xml:space="preserve"> for</w:t>
      </w:r>
      <w:r w:rsidR="00FB43EF" w:rsidRPr="00631CF2">
        <w:rPr>
          <w:rFonts w:ascii="Times New Roman" w:eastAsia="Times New Roman" w:hAnsi="Times New Roman" w:cs="Times New Roman"/>
          <w:sz w:val="24"/>
          <w:szCs w:val="24"/>
        </w:rPr>
        <w:t xml:space="preserve"> </w:t>
      </w:r>
      <w:r w:rsidR="00394FBB" w:rsidRPr="00631CF2">
        <w:rPr>
          <w:rFonts w:ascii="Times New Roman" w:eastAsia="Times New Roman" w:hAnsi="Times New Roman" w:cs="Times New Roman"/>
          <w:sz w:val="24"/>
          <w:szCs w:val="24"/>
        </w:rPr>
        <w:t xml:space="preserve">the </w:t>
      </w:r>
      <w:r w:rsidR="00646BEC" w:rsidRPr="00631CF2">
        <w:rPr>
          <w:rFonts w:ascii="Times New Roman" w:eastAsia="Times New Roman" w:hAnsi="Times New Roman" w:cs="Times New Roman"/>
          <w:sz w:val="24"/>
          <w:szCs w:val="24"/>
        </w:rPr>
        <w:t>15 cm</w:t>
      </w:r>
      <w:r w:rsidR="00C46218" w:rsidRPr="00631CF2">
        <w:rPr>
          <w:rFonts w:ascii="Times New Roman" w:eastAsia="Times New Roman" w:hAnsi="Times New Roman" w:cs="Times New Roman"/>
          <w:sz w:val="24"/>
          <w:szCs w:val="24"/>
        </w:rPr>
        <w:t xml:space="preserve"> group</w:t>
      </w:r>
      <w:r w:rsidR="00FB43EF" w:rsidRPr="00631CF2">
        <w:rPr>
          <w:rFonts w:ascii="Times New Roman" w:eastAsia="Times New Roman" w:hAnsi="Times New Roman" w:cs="Times New Roman"/>
          <w:sz w:val="24"/>
          <w:szCs w:val="24"/>
        </w:rPr>
        <w:t xml:space="preserve"> (</w:t>
      </w:r>
      <w:r w:rsidR="00EE6751" w:rsidRPr="00631CF2">
        <w:rPr>
          <w:rFonts w:ascii="Times New Roman" w:eastAsia="Times New Roman" w:hAnsi="Times New Roman" w:cs="Times New Roman"/>
          <w:sz w:val="24"/>
          <w:szCs w:val="24"/>
        </w:rPr>
        <w:t xml:space="preserve">which </w:t>
      </w:r>
      <w:r w:rsidR="00C46218" w:rsidRPr="00631CF2">
        <w:rPr>
          <w:rFonts w:ascii="Times New Roman" w:eastAsia="Times New Roman" w:hAnsi="Times New Roman" w:cs="Times New Roman"/>
          <w:sz w:val="24"/>
          <w:szCs w:val="24"/>
        </w:rPr>
        <w:t xml:space="preserve">included </w:t>
      </w:r>
      <w:r w:rsidR="00EE6751" w:rsidRPr="00631CF2">
        <w:rPr>
          <w:rFonts w:ascii="Times New Roman" w:eastAsia="Times New Roman" w:hAnsi="Times New Roman" w:cs="Times New Roman"/>
          <w:sz w:val="24"/>
          <w:szCs w:val="24"/>
        </w:rPr>
        <w:t xml:space="preserve">both </w:t>
      </w:r>
      <w:r w:rsidR="00394FBB" w:rsidRPr="00631CF2">
        <w:rPr>
          <w:rFonts w:ascii="Times New Roman" w:eastAsia="Times New Roman" w:hAnsi="Times New Roman" w:cs="Times New Roman"/>
          <w:sz w:val="24"/>
          <w:szCs w:val="24"/>
        </w:rPr>
        <w:t xml:space="preserve">treatments </w:t>
      </w:r>
      <w:r w:rsidR="00EE6751" w:rsidRPr="00631CF2">
        <w:rPr>
          <w:rFonts w:ascii="Times New Roman" w:eastAsia="Times New Roman" w:hAnsi="Times New Roman" w:cs="Times New Roman"/>
          <w:sz w:val="24"/>
          <w:szCs w:val="24"/>
        </w:rPr>
        <w:t xml:space="preserve">15 cm and 15 cm </w:t>
      </w:r>
      <w:r w:rsidR="00704E15" w:rsidRPr="00631CF2">
        <w:rPr>
          <w:rFonts w:ascii="Times New Roman" w:eastAsia="Times New Roman" w:hAnsi="Times New Roman" w:cs="Times New Roman"/>
          <w:sz w:val="24"/>
          <w:szCs w:val="24"/>
        </w:rPr>
        <w:t>HSG</w:t>
      </w:r>
      <w:r w:rsidR="00FB43EF" w:rsidRPr="00631CF2">
        <w:rPr>
          <w:rFonts w:ascii="Times New Roman" w:eastAsia="Times New Roman" w:hAnsi="Times New Roman" w:cs="Times New Roman"/>
          <w:sz w:val="24"/>
          <w:szCs w:val="24"/>
        </w:rPr>
        <w:t>)</w:t>
      </w:r>
      <w:r w:rsidR="00704E15" w:rsidRPr="00631CF2">
        <w:rPr>
          <w:rFonts w:ascii="Times New Roman" w:eastAsia="Times New Roman" w:hAnsi="Times New Roman" w:cs="Times New Roman"/>
          <w:sz w:val="24"/>
          <w:szCs w:val="24"/>
        </w:rPr>
        <w:t xml:space="preserve">, </w:t>
      </w:r>
      <w:r w:rsidR="00394FBB" w:rsidRPr="00631CF2">
        <w:rPr>
          <w:rFonts w:ascii="Times New Roman" w:eastAsia="Times New Roman" w:hAnsi="Times New Roman" w:cs="Times New Roman"/>
          <w:sz w:val="24"/>
          <w:szCs w:val="24"/>
        </w:rPr>
        <w:t xml:space="preserve">the </w:t>
      </w:r>
      <w:r w:rsidR="00704E15" w:rsidRPr="00631CF2">
        <w:rPr>
          <w:rFonts w:ascii="Times New Roman" w:eastAsia="Times New Roman" w:hAnsi="Times New Roman" w:cs="Times New Roman"/>
          <w:sz w:val="24"/>
          <w:szCs w:val="24"/>
        </w:rPr>
        <w:t>20 cm</w:t>
      </w:r>
      <w:r w:rsidR="00394FBB" w:rsidRPr="00631CF2">
        <w:rPr>
          <w:rFonts w:ascii="Times New Roman" w:eastAsia="Times New Roman" w:hAnsi="Times New Roman" w:cs="Times New Roman"/>
          <w:sz w:val="24"/>
          <w:szCs w:val="24"/>
        </w:rPr>
        <w:t xml:space="preserve"> </w:t>
      </w:r>
      <w:r w:rsidR="00C46218" w:rsidRPr="00631CF2">
        <w:rPr>
          <w:rFonts w:ascii="Times New Roman" w:eastAsia="Times New Roman" w:hAnsi="Times New Roman" w:cs="Times New Roman"/>
          <w:sz w:val="24"/>
          <w:szCs w:val="24"/>
        </w:rPr>
        <w:t>gr</w:t>
      </w:r>
      <w:r w:rsidR="0059775B" w:rsidRPr="00631CF2">
        <w:rPr>
          <w:rFonts w:ascii="Times New Roman" w:eastAsia="Times New Roman" w:hAnsi="Times New Roman" w:cs="Times New Roman"/>
          <w:sz w:val="24"/>
          <w:szCs w:val="24"/>
        </w:rPr>
        <w:t>oup</w:t>
      </w:r>
      <w:r w:rsidR="00704E15" w:rsidRPr="00631CF2">
        <w:rPr>
          <w:rFonts w:ascii="Times New Roman" w:eastAsia="Times New Roman" w:hAnsi="Times New Roman" w:cs="Times New Roman"/>
          <w:sz w:val="24"/>
          <w:szCs w:val="24"/>
        </w:rPr>
        <w:t xml:space="preserve"> (</w:t>
      </w:r>
      <w:r w:rsidR="003C4DF9" w:rsidRPr="00631CF2">
        <w:rPr>
          <w:rFonts w:ascii="Times New Roman" w:eastAsia="Times New Roman" w:hAnsi="Times New Roman" w:cs="Times New Roman"/>
          <w:sz w:val="24"/>
          <w:szCs w:val="24"/>
        </w:rPr>
        <w:t>which inclu</w:t>
      </w:r>
      <w:r w:rsidR="00424D40" w:rsidRPr="00631CF2">
        <w:rPr>
          <w:rFonts w:ascii="Times New Roman" w:eastAsia="Times New Roman" w:hAnsi="Times New Roman" w:cs="Times New Roman"/>
          <w:sz w:val="24"/>
          <w:szCs w:val="24"/>
        </w:rPr>
        <w:t xml:space="preserve">ded both: </w:t>
      </w:r>
      <w:r w:rsidR="00704E15" w:rsidRPr="00631CF2">
        <w:rPr>
          <w:rFonts w:ascii="Times New Roman" w:eastAsia="Times New Roman" w:hAnsi="Times New Roman" w:cs="Times New Roman"/>
          <w:sz w:val="24"/>
          <w:szCs w:val="24"/>
        </w:rPr>
        <w:t xml:space="preserve">20 cm </w:t>
      </w:r>
      <w:r w:rsidR="0059775B" w:rsidRPr="00631CF2">
        <w:rPr>
          <w:rFonts w:ascii="Times New Roman" w:eastAsia="Times New Roman" w:hAnsi="Times New Roman" w:cs="Times New Roman"/>
          <w:sz w:val="24"/>
          <w:szCs w:val="24"/>
        </w:rPr>
        <w:t>and</w:t>
      </w:r>
      <w:r w:rsidR="00704E15" w:rsidRPr="00631CF2">
        <w:rPr>
          <w:rFonts w:ascii="Times New Roman" w:eastAsia="Times New Roman" w:hAnsi="Times New Roman" w:cs="Times New Roman"/>
          <w:sz w:val="24"/>
          <w:szCs w:val="24"/>
        </w:rPr>
        <w:t xml:space="preserve"> 20 cm HSG)</w:t>
      </w:r>
      <w:r w:rsidR="00FB43EF" w:rsidRPr="00631CF2">
        <w:rPr>
          <w:rFonts w:ascii="Times New Roman" w:eastAsia="Times New Roman" w:hAnsi="Times New Roman" w:cs="Times New Roman"/>
          <w:sz w:val="24"/>
          <w:szCs w:val="24"/>
        </w:rPr>
        <w:t xml:space="preserve"> and </w:t>
      </w:r>
      <w:r w:rsidR="009D19A6" w:rsidRPr="00631CF2">
        <w:rPr>
          <w:rFonts w:ascii="Times New Roman" w:eastAsia="Times New Roman" w:hAnsi="Times New Roman" w:cs="Times New Roman"/>
          <w:sz w:val="24"/>
          <w:szCs w:val="24"/>
        </w:rPr>
        <w:t xml:space="preserve">an </w:t>
      </w:r>
      <w:r w:rsidR="00FE7B7D" w:rsidRPr="00631CF2">
        <w:rPr>
          <w:rFonts w:ascii="Times New Roman" w:eastAsia="Times New Roman" w:hAnsi="Times New Roman" w:cs="Times New Roman"/>
          <w:sz w:val="24"/>
          <w:szCs w:val="24"/>
        </w:rPr>
        <w:t xml:space="preserve">arbitrary </w:t>
      </w:r>
      <w:r w:rsidR="009D19A6" w:rsidRPr="00631CF2">
        <w:rPr>
          <w:rFonts w:ascii="Times New Roman" w:eastAsia="Times New Roman" w:hAnsi="Times New Roman" w:cs="Times New Roman"/>
          <w:sz w:val="24"/>
          <w:szCs w:val="24"/>
        </w:rPr>
        <w:t>-3/2 self-thinning line</w:t>
      </w:r>
      <w:r w:rsidR="00FB43EF" w:rsidRPr="00631CF2">
        <w:rPr>
          <w:rFonts w:ascii="Times New Roman" w:eastAsia="Times New Roman" w:hAnsi="Times New Roman" w:cs="Times New Roman"/>
          <w:sz w:val="24"/>
          <w:szCs w:val="24"/>
        </w:rPr>
        <w:t>.</w:t>
      </w:r>
      <w:r w:rsidR="00774474" w:rsidRPr="00631CF2">
        <w:rPr>
          <w:rFonts w:ascii="Times New Roman" w:eastAsia="Times New Roman" w:hAnsi="Times New Roman" w:cs="Times New Roman"/>
          <w:sz w:val="24"/>
          <w:szCs w:val="24"/>
        </w:rPr>
        <w:t xml:space="preserve"> The r</w:t>
      </w:r>
      <w:r w:rsidR="00774474" w:rsidRPr="00631CF2">
        <w:rPr>
          <w:rStyle w:val="normaltextrun"/>
          <w:rFonts w:ascii="Times New Roman" w:hAnsi="Times New Roman" w:cs="Times New Roman"/>
          <w:color w:val="000000"/>
          <w:sz w:val="24"/>
          <w:szCs w:val="24"/>
          <w:shd w:val="clear" w:color="auto" w:fill="FFFFFF"/>
        </w:rPr>
        <w:t xml:space="preserve">egression parameters for each </w:t>
      </w:r>
      <w:r w:rsidR="00E90D9C" w:rsidRPr="00631CF2">
        <w:rPr>
          <w:rFonts w:ascii="Times New Roman" w:eastAsia="Times New Roman" w:hAnsi="Times New Roman" w:cs="Times New Roman"/>
          <w:sz w:val="24"/>
          <w:szCs w:val="24"/>
        </w:rPr>
        <w:t>relationship</w:t>
      </w:r>
      <w:r w:rsidR="00774474" w:rsidRPr="00631CF2">
        <w:rPr>
          <w:rFonts w:ascii="Times New Roman" w:eastAsia="Times New Roman" w:hAnsi="Times New Roman" w:cs="Times New Roman"/>
          <w:sz w:val="24"/>
          <w:szCs w:val="24"/>
        </w:rPr>
        <w:t xml:space="preserve"> between TW and TPD, analy</w:t>
      </w:r>
      <w:r w:rsidR="00D22984">
        <w:rPr>
          <w:rFonts w:ascii="Times New Roman" w:eastAsia="Times New Roman" w:hAnsi="Times New Roman" w:cs="Times New Roman"/>
          <w:sz w:val="24"/>
          <w:szCs w:val="24"/>
        </w:rPr>
        <w:t>s</w:t>
      </w:r>
      <w:r w:rsidR="00774474" w:rsidRPr="00631CF2">
        <w:rPr>
          <w:rFonts w:ascii="Times New Roman" w:eastAsia="Times New Roman" w:hAnsi="Times New Roman" w:cs="Times New Roman"/>
          <w:sz w:val="24"/>
          <w:szCs w:val="24"/>
        </w:rPr>
        <w:t>ed separately on a log₁₀ scale,</w:t>
      </w:r>
      <w:r w:rsidR="00774474" w:rsidRPr="00631CF2">
        <w:rPr>
          <w:rStyle w:val="normaltextrun"/>
          <w:rFonts w:ascii="Times New Roman" w:hAnsi="Times New Roman" w:cs="Times New Roman"/>
          <w:color w:val="000000"/>
          <w:sz w:val="24"/>
          <w:szCs w:val="24"/>
          <w:shd w:val="clear" w:color="auto" w:fill="FFFFFF"/>
        </w:rPr>
        <w:t xml:space="preserve"> were:</w:t>
      </w:r>
      <w:r w:rsidR="00E90D9C" w:rsidRPr="00631CF2">
        <w:rPr>
          <w:rStyle w:val="normaltextrun"/>
          <w:rFonts w:ascii="Times New Roman" w:hAnsi="Times New Roman" w:cs="Times New Roman"/>
          <w:color w:val="000000"/>
          <w:sz w:val="24"/>
          <w:szCs w:val="24"/>
          <w:shd w:val="clear" w:color="auto" w:fill="FFFFFF"/>
        </w:rPr>
        <w:t xml:space="preserve"> 15 cm, y=6.15-2.2x, </w:t>
      </w:r>
      <w:r w:rsidR="00E90D9C" w:rsidRPr="00631CF2">
        <w:rPr>
          <w:rStyle w:val="normaltextrun"/>
          <w:rFonts w:ascii="Times New Roman" w:hAnsi="Times New Roman" w:cs="Times New Roman"/>
          <w:i/>
          <w:iCs/>
          <w:color w:val="000000"/>
          <w:sz w:val="24"/>
          <w:szCs w:val="24"/>
          <w:shd w:val="clear" w:color="auto" w:fill="FFFFFF"/>
        </w:rPr>
        <w:t>R²</w:t>
      </w:r>
      <w:r w:rsidR="00E90D9C" w:rsidRPr="00631CF2">
        <w:rPr>
          <w:rStyle w:val="normaltextrun"/>
          <w:rFonts w:ascii="Times New Roman" w:hAnsi="Times New Roman" w:cs="Times New Roman"/>
          <w:color w:val="000000"/>
          <w:sz w:val="24"/>
          <w:szCs w:val="24"/>
          <w:shd w:val="clear" w:color="auto" w:fill="FFFFFF"/>
        </w:rPr>
        <w:t xml:space="preserve">=0.38, </w:t>
      </w:r>
      <w:r w:rsidR="009F7E61" w:rsidRPr="00631CF2">
        <w:rPr>
          <w:rStyle w:val="normaltextrun"/>
          <w:rFonts w:ascii="Times New Roman" w:hAnsi="Times New Roman" w:cs="Times New Roman"/>
          <w:i/>
          <w:iCs/>
          <w:color w:val="000000"/>
          <w:sz w:val="24"/>
          <w:szCs w:val="24"/>
          <w:shd w:val="clear" w:color="auto" w:fill="FFFFFF"/>
        </w:rPr>
        <w:t>P</w:t>
      </w:r>
      <w:r w:rsidR="009F7E61" w:rsidRPr="00631CF2">
        <w:rPr>
          <w:rStyle w:val="normaltextrun"/>
          <w:rFonts w:ascii="Times New Roman" w:hAnsi="Times New Roman" w:cs="Times New Roman"/>
          <w:color w:val="000000"/>
          <w:sz w:val="24"/>
          <w:szCs w:val="24"/>
          <w:shd w:val="clear" w:color="auto" w:fill="FFFFFF"/>
        </w:rPr>
        <w:t xml:space="preserve"> </w:t>
      </w:r>
      <w:r w:rsidR="00E90D9C" w:rsidRPr="00631CF2">
        <w:rPr>
          <w:rStyle w:val="normaltextrun"/>
          <w:rFonts w:ascii="Times New Roman" w:hAnsi="Times New Roman" w:cs="Times New Roman"/>
          <w:color w:val="000000"/>
          <w:sz w:val="24"/>
          <w:szCs w:val="24"/>
          <w:shd w:val="clear" w:color="auto" w:fill="FFFFFF"/>
        </w:rPr>
        <w:t>&lt;</w:t>
      </w:r>
      <w:r w:rsidR="009F7E61" w:rsidRPr="00631CF2">
        <w:rPr>
          <w:rStyle w:val="normaltextrun"/>
          <w:rFonts w:ascii="Times New Roman" w:hAnsi="Times New Roman" w:cs="Times New Roman"/>
          <w:color w:val="000000"/>
          <w:sz w:val="24"/>
          <w:szCs w:val="24"/>
          <w:shd w:val="clear" w:color="auto" w:fill="FFFFFF"/>
        </w:rPr>
        <w:t xml:space="preserve"> </w:t>
      </w:r>
      <w:r w:rsidR="00E90D9C" w:rsidRPr="00631CF2">
        <w:rPr>
          <w:rStyle w:val="normaltextrun"/>
          <w:rFonts w:ascii="Times New Roman" w:hAnsi="Times New Roman" w:cs="Times New Roman"/>
          <w:color w:val="000000"/>
          <w:sz w:val="24"/>
          <w:szCs w:val="24"/>
          <w:shd w:val="clear" w:color="auto" w:fill="FFFFFF"/>
        </w:rPr>
        <w:t xml:space="preserve">0.001; 20 cm, y=4.79-1.82x, </w:t>
      </w:r>
      <w:r w:rsidR="00E90D9C" w:rsidRPr="00631CF2">
        <w:rPr>
          <w:rStyle w:val="normaltextrun"/>
          <w:rFonts w:ascii="Times New Roman" w:hAnsi="Times New Roman" w:cs="Times New Roman"/>
          <w:i/>
          <w:iCs/>
          <w:color w:val="000000"/>
          <w:sz w:val="24"/>
          <w:szCs w:val="24"/>
          <w:shd w:val="clear" w:color="auto" w:fill="FFFFFF"/>
        </w:rPr>
        <w:t>R²</w:t>
      </w:r>
      <w:r w:rsidR="00E90D9C" w:rsidRPr="00631CF2">
        <w:rPr>
          <w:rStyle w:val="normaltextrun"/>
          <w:rFonts w:ascii="Times New Roman" w:hAnsi="Times New Roman" w:cs="Times New Roman"/>
          <w:color w:val="000000"/>
          <w:sz w:val="24"/>
          <w:szCs w:val="24"/>
          <w:shd w:val="clear" w:color="auto" w:fill="FFFFFF"/>
        </w:rPr>
        <w:t xml:space="preserve">=0.28, </w:t>
      </w:r>
      <w:r w:rsidR="009F7E61" w:rsidRPr="00631CF2">
        <w:rPr>
          <w:rStyle w:val="normaltextrun"/>
          <w:rFonts w:ascii="Times New Roman" w:hAnsi="Times New Roman" w:cs="Times New Roman"/>
          <w:i/>
          <w:iCs/>
          <w:color w:val="000000"/>
          <w:sz w:val="24"/>
          <w:szCs w:val="24"/>
          <w:shd w:val="clear" w:color="auto" w:fill="FFFFFF"/>
        </w:rPr>
        <w:t xml:space="preserve">P </w:t>
      </w:r>
      <w:r w:rsidR="00E90D9C" w:rsidRPr="00631CF2">
        <w:rPr>
          <w:rStyle w:val="normaltextrun"/>
          <w:rFonts w:ascii="Times New Roman" w:hAnsi="Times New Roman" w:cs="Times New Roman"/>
          <w:color w:val="000000"/>
          <w:sz w:val="24"/>
          <w:szCs w:val="24"/>
          <w:shd w:val="clear" w:color="auto" w:fill="FFFFFF"/>
        </w:rPr>
        <w:t>&lt;0.001.</w:t>
      </w:r>
      <w:r w:rsidR="00E90D9C" w:rsidRPr="00631CF2">
        <w:rPr>
          <w:rStyle w:val="eop"/>
          <w:rFonts w:ascii="Times New Roman" w:hAnsi="Times New Roman" w:cs="Times New Roman"/>
          <w:color w:val="000000"/>
          <w:sz w:val="24"/>
          <w:szCs w:val="24"/>
          <w:shd w:val="clear" w:color="auto" w:fill="FFFFFF"/>
        </w:rPr>
        <w:t> </w:t>
      </w:r>
    </w:p>
    <w:p w14:paraId="4CA56A82" w14:textId="77B931AB" w:rsidR="00B37B80" w:rsidRPr="00631CF2" w:rsidRDefault="00C5180A" w:rsidP="007F0193">
      <w:pPr>
        <w:widowControl w:val="0"/>
        <w:spacing w:after="0" w:line="480" w:lineRule="auto"/>
        <w:ind w:firstLine="426"/>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t xml:space="preserve">This size-density compensation influenced canopy structure, with 20 cm management maintaining higher leaf area index (LAI = 2.9) compared to 15 cm management (LAI = 2.5; </w:t>
      </w:r>
      <w:r w:rsidRPr="00631CF2">
        <w:rPr>
          <w:rFonts w:ascii="Times New Roman" w:eastAsia="Times New Roman" w:hAnsi="Times New Roman" w:cs="Times New Roman"/>
          <w:i/>
          <w:iCs/>
          <w:sz w:val="24"/>
          <w:szCs w:val="24"/>
        </w:rPr>
        <w:t xml:space="preserve">P </w:t>
      </w:r>
      <w:r w:rsidR="00C47F82" w:rsidRPr="00631CF2">
        <w:rPr>
          <w:rFonts w:ascii="Times New Roman" w:eastAsia="Times New Roman" w:hAnsi="Times New Roman" w:cs="Times New Roman"/>
          <w:i/>
          <w:iCs/>
          <w:sz w:val="24"/>
          <w:szCs w:val="24"/>
        </w:rPr>
        <w:t>&lt;</w:t>
      </w:r>
      <w:r w:rsidRPr="00631CF2">
        <w:rPr>
          <w:rFonts w:ascii="Times New Roman" w:eastAsia="Times New Roman" w:hAnsi="Times New Roman" w:cs="Times New Roman"/>
          <w:sz w:val="24"/>
          <w:szCs w:val="24"/>
        </w:rPr>
        <w:t>0.0</w:t>
      </w:r>
      <w:r w:rsidR="00C47F82" w:rsidRPr="00631CF2">
        <w:rPr>
          <w:rFonts w:ascii="Times New Roman" w:eastAsia="Times New Roman" w:hAnsi="Times New Roman" w:cs="Times New Roman"/>
          <w:sz w:val="24"/>
          <w:szCs w:val="24"/>
        </w:rPr>
        <w:t>5</w:t>
      </w:r>
      <w:r w:rsidRPr="00631CF2">
        <w:rPr>
          <w:rFonts w:ascii="Times New Roman" w:eastAsia="Times New Roman" w:hAnsi="Times New Roman" w:cs="Times New Roman"/>
          <w:sz w:val="24"/>
          <w:szCs w:val="24"/>
        </w:rPr>
        <w:t>). However, LAI remained stable across seasons within each treatment (15 cm; 15 cm HSG; 20 cm; 20 cm HSG).</w:t>
      </w:r>
      <w:r w:rsidR="412175EC" w:rsidRPr="00631CF2">
        <w:rPr>
          <w:rFonts w:ascii="Times New Roman" w:eastAsia="Times New Roman" w:hAnsi="Times New Roman" w:cs="Times New Roman"/>
          <w:sz w:val="24"/>
          <w:szCs w:val="24"/>
        </w:rPr>
        <w:t xml:space="preserve">  </w:t>
      </w:r>
    </w:p>
    <w:p w14:paraId="1435EE09" w14:textId="77777777" w:rsidR="00D73B6C" w:rsidRPr="00631CF2" w:rsidRDefault="00D73B6C" w:rsidP="007F0193">
      <w:pPr>
        <w:widowControl w:val="0"/>
        <w:spacing w:after="0" w:line="480" w:lineRule="auto"/>
        <w:jc w:val="both"/>
        <w:rPr>
          <w:rFonts w:ascii="Times New Roman" w:hAnsi="Times New Roman" w:cs="Times New Roman"/>
          <w:sz w:val="24"/>
          <w:szCs w:val="24"/>
        </w:rPr>
      </w:pPr>
    </w:p>
    <w:p w14:paraId="7435925B" w14:textId="083BD78A" w:rsidR="000F33C5" w:rsidRPr="00631CF2" w:rsidRDefault="412175EC" w:rsidP="007F0193">
      <w:pPr>
        <w:pStyle w:val="Heading1"/>
        <w:keepLines w:val="0"/>
        <w:widowControl w:val="0"/>
        <w:spacing w:before="0" w:line="480" w:lineRule="auto"/>
        <w:jc w:val="both"/>
        <w:rPr>
          <w:rFonts w:eastAsia="Times New Roman" w:cs="Times New Roman"/>
          <w:color w:val="538135" w:themeColor="accent6" w:themeShade="BF"/>
          <w:sz w:val="24"/>
          <w:szCs w:val="24"/>
          <w:lang w:val="en-GB"/>
        </w:rPr>
      </w:pPr>
      <w:r w:rsidRPr="00631CF2">
        <w:rPr>
          <w:rFonts w:eastAsia="Times New Roman" w:cs="Times New Roman"/>
          <w:color w:val="538135" w:themeColor="accent6" w:themeShade="BF"/>
          <w:sz w:val="24"/>
          <w:szCs w:val="24"/>
          <w:lang w:val="en-GB"/>
        </w:rPr>
        <w:t>Discussion</w:t>
      </w:r>
    </w:p>
    <w:p w14:paraId="463CAC5D" w14:textId="303DA5C0" w:rsidR="000F33C5" w:rsidRDefault="00C47F82" w:rsidP="007F0193">
      <w:pPr>
        <w:widowControl w:val="0"/>
        <w:spacing w:after="0" w:line="480" w:lineRule="auto"/>
        <w:jc w:val="both"/>
        <w:rPr>
          <w:rFonts w:ascii="Times New Roman" w:eastAsia="Times New Roman" w:hAnsi="Times New Roman" w:cs="Times New Roman"/>
          <w:sz w:val="24"/>
          <w:szCs w:val="24"/>
          <w:lang w:eastAsia="en-AU"/>
        </w:rPr>
      </w:pPr>
      <w:r w:rsidRPr="00631CF2">
        <w:rPr>
          <w:rFonts w:ascii="Times New Roman" w:eastAsia="Times New Roman" w:hAnsi="Times New Roman" w:cs="Times New Roman"/>
          <w:sz w:val="24"/>
          <w:szCs w:val="24"/>
          <w:lang w:eastAsia="en-AU"/>
        </w:rPr>
        <w:t xml:space="preserve">The complementary growth patterns of </w:t>
      </w:r>
      <w:r w:rsidRPr="00631CF2">
        <w:rPr>
          <w:rFonts w:ascii="Times New Roman" w:eastAsia="Times New Roman" w:hAnsi="Times New Roman" w:cs="Times New Roman"/>
          <w:i/>
          <w:iCs/>
          <w:sz w:val="24"/>
          <w:szCs w:val="24"/>
          <w:lang w:eastAsia="en-AU"/>
        </w:rPr>
        <w:t xml:space="preserve">L.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sz w:val="24"/>
          <w:szCs w:val="24"/>
          <w:lang w:eastAsia="en-AU"/>
        </w:rPr>
        <w:t xml:space="preserve"> and </w:t>
      </w:r>
      <w:r w:rsidR="00716F0E" w:rsidRPr="00631CF2">
        <w:rPr>
          <w:rFonts w:ascii="Times New Roman" w:eastAsia="Times New Roman" w:hAnsi="Times New Roman" w:cs="Times New Roman"/>
          <w:i/>
          <w:iCs/>
          <w:sz w:val="24"/>
          <w:szCs w:val="24"/>
          <w:lang w:eastAsia="en-AU"/>
        </w:rPr>
        <w:t>C</w:t>
      </w:r>
      <w:r w:rsidRPr="00631CF2">
        <w:rPr>
          <w:rFonts w:ascii="Times New Roman" w:eastAsia="Times New Roman" w:hAnsi="Times New Roman" w:cs="Times New Roman"/>
          <w:i/>
          <w:iCs/>
          <w:sz w:val="24"/>
          <w:szCs w:val="24"/>
          <w:lang w:eastAsia="en-AU"/>
        </w:rPr>
        <w:t xml:space="preserve">. </w:t>
      </w:r>
      <w:proofErr w:type="spellStart"/>
      <w:r w:rsidRPr="00631CF2">
        <w:rPr>
          <w:rFonts w:ascii="Times New Roman" w:eastAsia="Times New Roman" w:hAnsi="Times New Roman" w:cs="Times New Roman"/>
          <w:i/>
          <w:iCs/>
          <w:sz w:val="24"/>
          <w:szCs w:val="24"/>
          <w:lang w:eastAsia="en-AU"/>
        </w:rPr>
        <w:t>clandestinus</w:t>
      </w:r>
      <w:proofErr w:type="spellEnd"/>
      <w:r w:rsidRPr="00631CF2">
        <w:rPr>
          <w:rFonts w:ascii="Times New Roman" w:eastAsia="Times New Roman" w:hAnsi="Times New Roman" w:cs="Times New Roman"/>
          <w:sz w:val="24"/>
          <w:szCs w:val="24"/>
          <w:lang w:eastAsia="en-AU"/>
        </w:rPr>
        <w:t xml:space="preserve"> in mixed pastures have been well documented in subtropical climates, with </w:t>
      </w:r>
      <w:r w:rsidRPr="00631CF2">
        <w:rPr>
          <w:rFonts w:ascii="Times New Roman" w:eastAsia="Times New Roman" w:hAnsi="Times New Roman" w:cs="Times New Roman"/>
          <w:i/>
          <w:iCs/>
          <w:sz w:val="24"/>
          <w:szCs w:val="24"/>
          <w:lang w:eastAsia="en-AU"/>
        </w:rPr>
        <w:t xml:space="preserve">L. </w:t>
      </w:r>
      <w:proofErr w:type="spellStart"/>
      <w:r w:rsidRPr="00631CF2">
        <w:rPr>
          <w:rFonts w:ascii="Times New Roman" w:eastAsia="Times New Roman" w:hAnsi="Times New Roman" w:cs="Times New Roman"/>
          <w:i/>
          <w:iCs/>
          <w:sz w:val="24"/>
          <w:szCs w:val="24"/>
          <w:lang w:eastAsia="en-AU"/>
        </w:rPr>
        <w:t>arundinaceum</w:t>
      </w:r>
      <w:proofErr w:type="spellEnd"/>
      <w:r w:rsidRPr="00631CF2">
        <w:rPr>
          <w:rFonts w:ascii="Times New Roman" w:eastAsia="Times New Roman" w:hAnsi="Times New Roman" w:cs="Times New Roman"/>
          <w:sz w:val="24"/>
          <w:szCs w:val="24"/>
          <w:lang w:eastAsia="en-AU"/>
        </w:rPr>
        <w:t xml:space="preserve"> dominating winter and spring production while </w:t>
      </w:r>
      <w:r w:rsidR="00716F0E" w:rsidRPr="00631CF2">
        <w:rPr>
          <w:rFonts w:ascii="Times New Roman" w:eastAsia="Times New Roman" w:hAnsi="Times New Roman" w:cs="Times New Roman"/>
          <w:i/>
          <w:iCs/>
          <w:sz w:val="24"/>
          <w:szCs w:val="24"/>
          <w:lang w:eastAsia="en-AU"/>
        </w:rPr>
        <w:t>C</w:t>
      </w:r>
      <w:r w:rsidRPr="00631CF2">
        <w:rPr>
          <w:rFonts w:ascii="Times New Roman" w:eastAsia="Times New Roman" w:hAnsi="Times New Roman" w:cs="Times New Roman"/>
          <w:i/>
          <w:iCs/>
          <w:sz w:val="24"/>
          <w:szCs w:val="24"/>
          <w:lang w:eastAsia="en-AU"/>
        </w:rPr>
        <w:t xml:space="preserve">. </w:t>
      </w:r>
      <w:proofErr w:type="spellStart"/>
      <w:r w:rsidRPr="00631CF2">
        <w:rPr>
          <w:rFonts w:ascii="Times New Roman" w:eastAsia="Times New Roman" w:hAnsi="Times New Roman" w:cs="Times New Roman"/>
          <w:i/>
          <w:iCs/>
          <w:sz w:val="24"/>
          <w:szCs w:val="24"/>
          <w:lang w:eastAsia="en-AU"/>
        </w:rPr>
        <w:t>clandestinus</w:t>
      </w:r>
      <w:proofErr w:type="spellEnd"/>
      <w:r w:rsidRPr="00631CF2">
        <w:rPr>
          <w:rFonts w:ascii="Times New Roman" w:eastAsia="Times New Roman" w:hAnsi="Times New Roman" w:cs="Times New Roman"/>
          <w:sz w:val="24"/>
          <w:szCs w:val="24"/>
          <w:lang w:eastAsia="en-AU"/>
        </w:rPr>
        <w:t xml:space="preserve"> peaks during summer and autumn</w:t>
      </w:r>
      <w:r w:rsidR="412175EC" w:rsidRPr="00631CF2">
        <w:rPr>
          <w:rFonts w:ascii="Times New Roman" w:eastAsia="Times New Roman" w:hAnsi="Times New Roman" w:cs="Times New Roman"/>
          <w:sz w:val="24"/>
          <w:szCs w:val="24"/>
          <w:lang w:eastAsia="en-AU"/>
        </w:rPr>
        <w:t xml:space="preserve"> </w:t>
      </w:r>
      <w:r w:rsidRPr="00631CF2">
        <w:rPr>
          <w:rFonts w:ascii="Times New Roman" w:eastAsia="Times New Roman" w:hAnsi="Times New Roman" w:cs="Times New Roman"/>
          <w:sz w:val="24"/>
          <w:szCs w:val="24"/>
          <w:lang w:eastAsia="en-AU"/>
        </w:rPr>
        <w:fldChar w:fldCharType="begin"/>
      </w:r>
      <w:r w:rsidRPr="00631CF2">
        <w:rPr>
          <w:rFonts w:ascii="Times New Roman" w:eastAsia="Times New Roman" w:hAnsi="Times New Roman" w:cs="Times New Roman"/>
          <w:sz w:val="24"/>
          <w:szCs w:val="24"/>
          <w:lang w:eastAsia="en-AU"/>
        </w:rPr>
        <w:instrText xml:space="preserve"> ADDIN ZOTERO_ITEM CSL_CITATION {"citationID":"li0MeqfU","properties":{"formattedCitation":"(Bernardon {\\i{}et al.} 2021)","plainCitation":"(Bernardon et al. 2021)","noteIndex":0},"citationItems":[{"id":475,"uris":["http://zotero.org/users/12323737/items/6RZNU2CY"],"itemData":{"id":475,"type":"article-journal","abstract":"Abstract\n            \n              A less‐explored alternative to animal production in the subtropics is a mixture of perennial cool‐ and warm‐season forage grasses. This study aimed to determine a grazing management strategy to enhance forage production and attenuate the seasonality of a mixed pasture composed of kikuyugrass (\n              Pennisetum clandestinum\n              ) and tall fescue (\n              Festuca arundinacea\n              ). Four treatments were implemented in a completely randomized block design using a factorial scheme (2 × 2) with three replicates. The factorial arrangement consisted of two canopy heights (12 and 17 cm) associated with or without a single autumn grazing of 7 cm. Evaluations were conducted over 2 years. Nitrogen fertilization was performed only during the winter and spring seasons. Regardless of grazing height targets (12 or 17 cm), severe defoliation in autumn increased forage accumulation by 10% in mixed pastures composed of kikuyugrass and tall fescue; however, such management strategy should not be recommended because it delayed canopy recovery by 90–120 days, restrained winter grazing, and, paradoxically, increased forage production seasonality. Tall fescue was the dominant species in all treatments in the second year of evaluation, and we hypothesized that the lack of N fertilization during the summer impaired the persistence of kikuyugrass and was the main reason for this dominance effect. Therefore, we suggest evaluating summer N fertilization strategies, which could benefit both species and ensure the persistence of kikuyugrass in the mixture.","container-title":"Grass and Forage Science","DOI":"10.1111/gfs.12549","ISSN":"0142-5242, 1365-2494","issue":"4","journalAbbreviation":"Grass and Forage Science","language":"en","page":"508-521","source":"DOI.org (Crossref)","title":"Herbage accumulation dynamics in mixed pastures composed of kikuyugrass and tall fescue as affected by grazing management","volume":"76","author":[{"family":"Bernardon","given":"Angela"},{"family":"Miqueloto","given":"Tiago"},{"family":"Winter","given":"Fábio Luis"},{"family":"De Medeiros Neto","given":"Cauby"},{"family":"Sbrissia","given":"André Fischer"}],"issued":{"date-parts":[["2021",12]]}}}],"schema":"https://github.com/citation-style-language/schema/raw/master/csl-citation.json"} </w:instrText>
      </w:r>
      <w:r w:rsidRPr="00631CF2">
        <w:rPr>
          <w:rFonts w:ascii="Times New Roman" w:eastAsia="Times New Roman" w:hAnsi="Times New Roman" w:cs="Times New Roman"/>
          <w:sz w:val="24"/>
          <w:szCs w:val="24"/>
          <w:lang w:eastAsia="en-AU"/>
        </w:rPr>
        <w:fldChar w:fldCharType="separate"/>
      </w:r>
      <w:r w:rsidR="18D3801D" w:rsidRPr="00631CF2">
        <w:rPr>
          <w:rFonts w:ascii="Times New Roman" w:hAnsi="Times New Roman" w:cs="Times New Roman"/>
          <w:sz w:val="24"/>
          <w:szCs w:val="24"/>
        </w:rPr>
        <w:t xml:space="preserve">(Bernardon </w:t>
      </w:r>
      <w:r w:rsidR="000C0E26" w:rsidRPr="00631CF2">
        <w:rPr>
          <w:rFonts w:ascii="Times New Roman" w:hAnsi="Times New Roman" w:cs="Times New Roman"/>
          <w:i/>
          <w:iCs/>
          <w:sz w:val="24"/>
          <w:szCs w:val="24"/>
        </w:rPr>
        <w:t>et al.,</w:t>
      </w:r>
      <w:r w:rsidR="18D3801D" w:rsidRPr="00631CF2">
        <w:rPr>
          <w:rFonts w:ascii="Times New Roman" w:hAnsi="Times New Roman" w:cs="Times New Roman"/>
          <w:sz w:val="24"/>
          <w:szCs w:val="24"/>
        </w:rPr>
        <w:t xml:space="preserve"> 2021)</w:t>
      </w:r>
      <w:r w:rsidRPr="00631CF2">
        <w:rPr>
          <w:rFonts w:ascii="Times New Roman" w:eastAsia="Times New Roman" w:hAnsi="Times New Roman" w:cs="Times New Roman"/>
          <w:sz w:val="24"/>
          <w:szCs w:val="24"/>
          <w:lang w:eastAsia="en-AU"/>
        </w:rPr>
        <w:fldChar w:fldCharType="end"/>
      </w:r>
      <w:r w:rsidR="412175EC" w:rsidRPr="00631CF2">
        <w:rPr>
          <w:rFonts w:ascii="Times New Roman" w:eastAsia="Times New Roman" w:hAnsi="Times New Roman" w:cs="Times New Roman"/>
          <w:sz w:val="24"/>
          <w:szCs w:val="24"/>
          <w:lang w:eastAsia="en-AU"/>
        </w:rPr>
        <w:t xml:space="preserve">. This temporal </w:t>
      </w:r>
      <w:r w:rsidRPr="00631CF2">
        <w:rPr>
          <w:rFonts w:ascii="Times New Roman" w:eastAsia="Times New Roman" w:hAnsi="Times New Roman" w:cs="Times New Roman"/>
          <w:sz w:val="24"/>
          <w:szCs w:val="24"/>
          <w:lang w:eastAsia="en-AU"/>
        </w:rPr>
        <w:t>complementarity</w:t>
      </w:r>
      <w:r w:rsidR="412175EC" w:rsidRPr="00631CF2">
        <w:rPr>
          <w:rFonts w:ascii="Times New Roman" w:eastAsia="Times New Roman" w:hAnsi="Times New Roman" w:cs="Times New Roman"/>
          <w:sz w:val="24"/>
          <w:szCs w:val="24"/>
          <w:lang w:eastAsia="en-AU"/>
        </w:rPr>
        <w:t xml:space="preserve"> </w:t>
      </w:r>
      <w:r w:rsidRPr="00631CF2">
        <w:rPr>
          <w:rFonts w:ascii="Times New Roman" w:eastAsia="Times New Roman" w:hAnsi="Times New Roman" w:cs="Times New Roman"/>
          <w:sz w:val="24"/>
          <w:szCs w:val="24"/>
          <w:lang w:eastAsia="en-AU"/>
        </w:rPr>
        <w:t>facilitates species coexistence and maintains year-round productivity</w:t>
      </w:r>
      <w:r w:rsidR="412175EC" w:rsidRPr="00631CF2">
        <w:rPr>
          <w:rFonts w:ascii="Times New Roman" w:eastAsia="Times New Roman" w:hAnsi="Times New Roman" w:cs="Times New Roman"/>
          <w:sz w:val="24"/>
          <w:szCs w:val="24"/>
          <w:lang w:eastAsia="en-AU"/>
        </w:rPr>
        <w:t xml:space="preserve"> </w:t>
      </w:r>
      <w:r w:rsidRPr="00631CF2">
        <w:rPr>
          <w:rFonts w:ascii="Times New Roman" w:eastAsia="Times New Roman" w:hAnsi="Times New Roman" w:cs="Times New Roman"/>
          <w:sz w:val="24"/>
          <w:szCs w:val="24"/>
          <w:lang w:eastAsia="en-AU"/>
        </w:rPr>
        <w:fldChar w:fldCharType="begin"/>
      </w:r>
      <w:r w:rsidRPr="00631CF2">
        <w:rPr>
          <w:rFonts w:ascii="Times New Roman" w:eastAsia="Times New Roman" w:hAnsi="Times New Roman" w:cs="Times New Roman"/>
          <w:sz w:val="24"/>
          <w:szCs w:val="24"/>
          <w:lang w:eastAsia="en-AU"/>
        </w:rPr>
        <w:instrText xml:space="preserve"> ADDIN ZOTERO_ITEM CSL_CITATION {"citationID":"nt5rtXVZ","properties":{"formattedCitation":"(Bernardon {\\i{}et al.} 2021; Miqueloto {\\i{}et al.} 2020)","plainCitation":"(Bernardon et al. 2021; Miqueloto et al. 2020)","dontUpdate":true,"noteIndex":0},"citationItems":[{"id":475,"uris":["http://zotero.org/users/12323737/items/6RZNU2CY"],"itemData":{"id":475,"type":"article-journal","abstract":"Abstract\n            \n              A less‐explored alternative to animal production in the subtropics is a mixture of perennial cool‐ and warm‐season forage grasses. This study aimed to determine a grazing management strategy to enhance forage production and attenuate the seasonality of a mixed pasture composed of kikuyugrass (\n              Pennisetum clandestinum\n              ) and tall fescue (\n              Festuca arundinacea\n              ). Four treatments were implemented in a completely randomized block design using a factorial scheme (2 × 2) with three replicates. The factorial arrangement consisted of two canopy heights (12 and 17 cm) associated with or without a single autumn grazing of 7 cm. Evaluations were conducted over 2 years. Nitrogen fertilization was performed only during the winter and spring seasons. Regardless of grazing height targets (12 or 17 cm), severe defoliation in autumn increased forage accumulation by 10% in mixed pastures composed of kikuyugrass and tall fescue; however, such management strategy should not be recommended because it delayed canopy recovery by 90–120 days, restrained winter grazing, and, paradoxically, increased forage production seasonality. Tall fescue was the dominant species in all treatments in the second year of evaluation, and we hypothesized that the lack of N fertilization during the summer impaired the persistence of kikuyugrass and was the main reason for this dominance effect. Therefore, we suggest evaluating summer N fertilization strategies, which could benefit both species and ensure the persistence of kikuyugrass in the mixture.","container-title":"Grass and Forage Science","DOI":"10.1111/gfs.12549","ISSN":"0142-5242, 1365-2494","issue":"4","journalAbbreviation":"Grass and Forage Science","language":"en","page":"508-521","source":"DOI.org (Crossref)","title":"Herbage accumulation dynamics in mixed pastures composed of kikuyugrass and tall fescue as affected by grazing management","volume":"76","author":[{"family":"Bernardon","given":"Angela"},{"family":"Miqueloto","given":"Tiago"},{"family":"Winter","given":"Fábio Luis"},{"family":"De Medeiros Neto","given":"Cauby"},{"family":"Sbrissia","given":"André Fischer"}],"issued":{"date-parts":[["2021",12]]}}},{"id":463,"uris":["http://zotero.org/users/12323737/items/LS57GSES"],"itemData":{"id":463,"type":"article-journal","abstract":"ABSTRACT\n            \n              The effects of different management strategies on improving growth and modifying the botanical composition of C\n              3\n              and C\n              4\n              perennial grasses grown in a mixed canopy are underexplored. We aimed to evaluate the botanical composition and vegetation dynamics of a mixed canopy containing kikuyugrass (\n              Pennisetum clandestinum\n              Hochst. Ex Chiov) and tall fescue (\n              Festuca arundinacea\n              Schreber cv. Rizomat) subjected to four grazing management strategies over 22 mo. The experimental design was a randomized complete block in a factorial arrangement (two maintenance canopy heights: grazed to 7 cm in the autumn, or uninterrupted and maintained at 12 or 17 cm) with three replicates. The plots were sampled every month throughout the experimental period; the forage mass data were used to determine the botanical composition and leaf area index of the canopy. Although autumn grazing to 7‐cm height promoted an increase in pasture leaf proportion, it did not represent an effective augment in pasture leaf mass in the following winter–spring season. Canopies heights managed at 17 cm presented a greater proportion of tall fescue in herbage mass (81%) compared with those maintained at 12 cm (73%). Severe defoliation in the autumn delayed the regrowth to 12‐ or 17‐cm canopy heights by approximately 90–120 d in both evaluation years. From a farm‐level perspective, this result would restrict the recommendation of this grazing management strategy because this time lapse would demand that the pastures not be grazed for the 25–33% period of the year compared with the pastures that were not grazed in the autumn.","container-title":"Crop Science","DOI":"10.1002/csc2.20005","ISSN":"0011-183X, 1435-0653","issue":"1","journalAbbreviation":"Crop Science","language":"en","page":"499-506","source":"DOI.org (Crossref)","title":"Canopy structure of mixed kikuyugrass–tall fescue pastures in response to grazing management","volume":"60","author":[{"family":"Miqueloto","given":"Tiago"},{"family":"Winter","given":"Fábio Luís"},{"family":"Bernardon","given":"Angela"},{"family":"Cavalcanti","given":"Hactus Souto"},{"family":"De Medeiros Neto","given":"Cauby"},{"family":"Martins","given":"Clóvis David Medeiros"},{"family":"Sbrissia","given":"André Fischer"}],"issued":{"date-parts":[["2020",1]]}}}],"schema":"https://github.com/citation-style-language/schema/raw/master/csl-citation.json"} </w:instrText>
      </w:r>
      <w:r w:rsidRPr="00631CF2">
        <w:rPr>
          <w:rFonts w:ascii="Times New Roman" w:eastAsia="Times New Roman" w:hAnsi="Times New Roman" w:cs="Times New Roman"/>
          <w:sz w:val="24"/>
          <w:szCs w:val="24"/>
          <w:lang w:eastAsia="en-AU"/>
        </w:rPr>
        <w:fldChar w:fldCharType="separate"/>
      </w:r>
      <w:r w:rsidR="18D3801D" w:rsidRPr="00631CF2">
        <w:rPr>
          <w:rFonts w:ascii="Times New Roman" w:hAnsi="Times New Roman" w:cs="Times New Roman"/>
          <w:sz w:val="24"/>
          <w:szCs w:val="24"/>
        </w:rPr>
        <w:t xml:space="preserve">(Bernardon </w:t>
      </w:r>
      <w:r w:rsidR="000C0E26" w:rsidRPr="00631CF2">
        <w:rPr>
          <w:rFonts w:ascii="Times New Roman" w:hAnsi="Times New Roman" w:cs="Times New Roman"/>
          <w:i/>
          <w:iCs/>
          <w:sz w:val="24"/>
          <w:szCs w:val="24"/>
        </w:rPr>
        <w:t>et al.,</w:t>
      </w:r>
      <w:r w:rsidR="18D3801D" w:rsidRPr="00631CF2">
        <w:rPr>
          <w:rFonts w:ascii="Times New Roman" w:hAnsi="Times New Roman" w:cs="Times New Roman"/>
          <w:sz w:val="24"/>
          <w:szCs w:val="24"/>
        </w:rPr>
        <w:t xml:space="preserve"> 2021)</w:t>
      </w:r>
      <w:r w:rsidRPr="00631CF2">
        <w:rPr>
          <w:rFonts w:ascii="Times New Roman" w:eastAsia="Times New Roman" w:hAnsi="Times New Roman" w:cs="Times New Roman"/>
          <w:sz w:val="24"/>
          <w:szCs w:val="24"/>
          <w:lang w:eastAsia="en-AU"/>
        </w:rPr>
        <w:fldChar w:fldCharType="end"/>
      </w:r>
      <w:r w:rsidR="412175EC" w:rsidRPr="00631CF2">
        <w:rPr>
          <w:rFonts w:ascii="Times New Roman" w:eastAsia="Times New Roman" w:hAnsi="Times New Roman" w:cs="Times New Roman"/>
          <w:sz w:val="24"/>
          <w:szCs w:val="24"/>
          <w:lang w:eastAsia="en-AU"/>
        </w:rPr>
        <w:t xml:space="preserve">. </w:t>
      </w:r>
      <w:r w:rsidRPr="00631CF2">
        <w:rPr>
          <w:rFonts w:ascii="Times New Roman" w:eastAsia="Times New Roman" w:hAnsi="Times New Roman" w:cs="Times New Roman"/>
          <w:sz w:val="24"/>
          <w:szCs w:val="24"/>
          <w:lang w:eastAsia="en-AU"/>
        </w:rPr>
        <w:t xml:space="preserve">Our research builds on these findings by examining how grazing management influences both </w:t>
      </w:r>
      <w:r w:rsidR="00315A3F" w:rsidRPr="00631CF2">
        <w:rPr>
          <w:rFonts w:ascii="Times New Roman" w:eastAsia="Times New Roman" w:hAnsi="Times New Roman" w:cs="Times New Roman"/>
          <w:sz w:val="24"/>
          <w:szCs w:val="24"/>
          <w:lang w:eastAsia="en-AU"/>
        </w:rPr>
        <w:t xml:space="preserve">stability </w:t>
      </w:r>
      <w:r w:rsidR="00315A3F" w:rsidRPr="00631CF2">
        <w:rPr>
          <w:rFonts w:ascii="Times New Roman" w:eastAsia="Times New Roman" w:hAnsi="Times New Roman" w:cs="Times New Roman"/>
          <w:sz w:val="24"/>
          <w:szCs w:val="24"/>
          <w:lang w:eastAsia="en-AU"/>
        </w:rPr>
        <w:lastRenderedPageBreak/>
        <w:t>and sward persistence</w:t>
      </w:r>
      <w:r w:rsidRPr="00631CF2">
        <w:rPr>
          <w:rFonts w:ascii="Times New Roman" w:eastAsia="Times New Roman" w:hAnsi="Times New Roman" w:cs="Times New Roman"/>
          <w:sz w:val="24"/>
          <w:szCs w:val="24"/>
          <w:lang w:eastAsia="en-AU"/>
        </w:rPr>
        <w:t xml:space="preserve">. While taller (20 cm) management and strategic hard spring grazing (HSG) increased forage production by 10% (Winter </w:t>
      </w:r>
      <w:r w:rsidR="000C0E26" w:rsidRPr="00631CF2">
        <w:rPr>
          <w:rFonts w:ascii="Times New Roman" w:eastAsia="Times New Roman" w:hAnsi="Times New Roman" w:cs="Times New Roman"/>
          <w:i/>
          <w:iCs/>
          <w:sz w:val="24"/>
          <w:szCs w:val="24"/>
          <w:lang w:eastAsia="en-AU"/>
        </w:rPr>
        <w:t>et al.,</w:t>
      </w:r>
      <w:r w:rsidRPr="00631CF2">
        <w:rPr>
          <w:rFonts w:ascii="Times New Roman" w:eastAsia="Times New Roman" w:hAnsi="Times New Roman" w:cs="Times New Roman"/>
          <w:sz w:val="24"/>
          <w:szCs w:val="24"/>
          <w:lang w:eastAsia="en-AU"/>
        </w:rPr>
        <w:t xml:space="preserve"> 202</w:t>
      </w:r>
      <w:r w:rsidR="00AE5503" w:rsidRPr="00631CF2">
        <w:rPr>
          <w:rFonts w:ascii="Times New Roman" w:eastAsia="Times New Roman" w:hAnsi="Times New Roman" w:cs="Times New Roman"/>
          <w:sz w:val="24"/>
          <w:szCs w:val="24"/>
          <w:lang w:eastAsia="en-AU"/>
        </w:rPr>
        <w:t>5</w:t>
      </w:r>
      <w:r w:rsidRPr="00631CF2">
        <w:rPr>
          <w:rFonts w:ascii="Times New Roman" w:eastAsia="Times New Roman" w:hAnsi="Times New Roman" w:cs="Times New Roman"/>
          <w:sz w:val="24"/>
          <w:szCs w:val="24"/>
          <w:lang w:eastAsia="en-AU"/>
        </w:rPr>
        <w:t>), the underlying mechanisms maintaining demographic stability across these management regimes remained unclear</w:t>
      </w:r>
      <w:r w:rsidR="412175EC" w:rsidRPr="00631CF2">
        <w:rPr>
          <w:rFonts w:ascii="Times New Roman" w:eastAsia="Times New Roman" w:hAnsi="Times New Roman" w:cs="Times New Roman"/>
          <w:sz w:val="24"/>
          <w:szCs w:val="24"/>
          <w:lang w:eastAsia="en-AU"/>
        </w:rPr>
        <w:t xml:space="preserve">. </w:t>
      </w:r>
      <w:r w:rsidR="00AE5503" w:rsidRPr="00631CF2">
        <w:rPr>
          <w:rFonts w:ascii="Times New Roman" w:eastAsia="Times New Roman" w:hAnsi="Times New Roman" w:cs="Times New Roman"/>
          <w:sz w:val="24"/>
          <w:szCs w:val="24"/>
          <w:lang w:eastAsia="en-AU"/>
        </w:rPr>
        <w:t>A key finding of our study was that despite significant differences in productivity, the mixed pasture maintained consistent stability indices (SI) across all management treatments and seasons (</w:t>
      </w:r>
      <w:r w:rsidR="7F195644" w:rsidRPr="00631CF2">
        <w:rPr>
          <w:rFonts w:ascii="Times New Roman" w:eastAsia="Times New Roman" w:hAnsi="Times New Roman" w:cs="Times New Roman"/>
          <w:sz w:val="24"/>
          <w:szCs w:val="24"/>
          <w:lang w:eastAsia="en-AU"/>
        </w:rPr>
        <w:t>Table</w:t>
      </w:r>
      <w:r w:rsidR="00AE5503" w:rsidRPr="00631CF2">
        <w:rPr>
          <w:rFonts w:ascii="Times New Roman" w:eastAsia="Times New Roman" w:hAnsi="Times New Roman" w:cs="Times New Roman"/>
          <w:sz w:val="24"/>
          <w:szCs w:val="24"/>
          <w:lang w:eastAsia="en-AU"/>
        </w:rPr>
        <w:t xml:space="preserve"> </w:t>
      </w:r>
      <w:r w:rsidR="2226CC91" w:rsidRPr="00631CF2">
        <w:rPr>
          <w:rFonts w:ascii="Times New Roman" w:eastAsia="Times New Roman" w:hAnsi="Times New Roman" w:cs="Times New Roman"/>
          <w:sz w:val="24"/>
          <w:szCs w:val="24"/>
          <w:lang w:eastAsia="en-AU"/>
        </w:rPr>
        <w:t>2</w:t>
      </w:r>
      <w:r w:rsidR="00AE5503" w:rsidRPr="00631CF2">
        <w:rPr>
          <w:rFonts w:ascii="Times New Roman" w:eastAsia="Times New Roman" w:hAnsi="Times New Roman" w:cs="Times New Roman"/>
          <w:sz w:val="24"/>
          <w:szCs w:val="24"/>
          <w:lang w:eastAsia="en-AU"/>
        </w:rPr>
        <w:t>). This fact led us to investigate three key aspects of sward dynamics: demographic stability mechanisms, population-level responses to management, and the applicability of self-thinning theory to better understand sward persistence</w:t>
      </w:r>
      <w:r w:rsidR="412175EC" w:rsidRPr="00631CF2">
        <w:rPr>
          <w:rFonts w:ascii="Times New Roman" w:eastAsia="Times New Roman" w:hAnsi="Times New Roman" w:cs="Times New Roman"/>
          <w:sz w:val="24"/>
          <w:szCs w:val="24"/>
          <w:lang w:eastAsia="en-AU"/>
        </w:rPr>
        <w:t xml:space="preserve"> (Yoda </w:t>
      </w:r>
      <w:r w:rsidR="412175EC" w:rsidRPr="00631CF2">
        <w:rPr>
          <w:rFonts w:ascii="Times New Roman" w:eastAsia="Times New Roman" w:hAnsi="Times New Roman" w:cs="Times New Roman"/>
          <w:i/>
          <w:iCs/>
          <w:sz w:val="24"/>
          <w:szCs w:val="24"/>
          <w:lang w:eastAsia="en-AU"/>
        </w:rPr>
        <w:t>et al</w:t>
      </w:r>
      <w:r w:rsidR="412175EC" w:rsidRPr="00631CF2">
        <w:rPr>
          <w:rFonts w:ascii="Times New Roman" w:eastAsia="Times New Roman" w:hAnsi="Times New Roman" w:cs="Times New Roman"/>
          <w:sz w:val="24"/>
          <w:szCs w:val="24"/>
          <w:lang w:eastAsia="en-AU"/>
        </w:rPr>
        <w:t>., 1963</w:t>
      </w:r>
      <w:r w:rsidRPr="00631CF2">
        <w:rPr>
          <w:rFonts w:ascii="Times New Roman" w:eastAsia="Times New Roman" w:hAnsi="Times New Roman" w:cs="Times New Roman"/>
          <w:sz w:val="24"/>
          <w:szCs w:val="24"/>
          <w:lang w:eastAsia="en-AU"/>
        </w:rPr>
        <w:fldChar w:fldCharType="begin"/>
      </w:r>
      <w:r w:rsidRPr="00631CF2">
        <w:rPr>
          <w:rFonts w:ascii="Times New Roman" w:eastAsia="Times New Roman" w:hAnsi="Times New Roman" w:cs="Times New Roman"/>
          <w:sz w:val="24"/>
          <w:szCs w:val="24"/>
          <w:lang w:eastAsia="en-AU"/>
        </w:rPr>
        <w:instrText xml:space="preserve"> ADDIN ZOTERO_ITEM CSL_CITATION {"citationID":"cm3e9xl9","properties":{"formattedCitation":"(Duchini {\\i{}et al.} 2014; Matthew {\\i{}et al.} 1995)","plainCitation":"(Duchini et al. 2014; Matthew et al. 1995)","noteIndex":0},"citationItems":[{"id":494,"uris":["http://zotero.org/users/12323737/items/IVKFIKT6"],"itemData":{"id":494,"type":"article-journal","abstract":"Abstract\n            \n              Oat and ryegrass intercropping in pastures is widely used in regions with subtropical climates. The aim of this study was to evaluate the tiller size/density compensation mechanisms in monoculture and intercropping swards of black oats (\n              Avena strigosa\n              Schreb cv.\n              IAPAR\n              61) and annual ryegrass (\n              Lolium multiflorum\n              Lam. cv common) under intermittent grazing. Treatments (black oat, annual ryegrass and their mixture) were assigned according to a complete randomized block design with four replicates. Ryegrass, oat and intercropped pastures were grazed when the swards reached a height of 17, 25 and 23 cm, respectively, and with a level of defoliation of 40%. The aerial biomass was determined with a rising plate meter, and the tiller population density (\n              TPD\n              ) was estimated by counting tillers in three 10 cm diameter\n              PVC\n              rings per paddock. The mass per tiller was estimated based on the aerial biomass and the\n              TPD\n              of each paddock. Total herbage production did not differ among treatments, with values around 7400 kg DM ha\n              −1\n              .\n              TPD\n              decreased and mass per tiller increased linearly in the monoculture treatments. Tiller size/density compensation was observed in the three plant communities (treatments) according to the self‐thinning rule. In addition, no relationships were found when each species was analysed individually in the intercrop treatment. The results suggest that species in grass mixed swards adjust their population to keep a relatively constant leaf area index (\n              LAI\n              ) over the grazing seasons, and that would help pastures to stabilize herbage production.","container-title":"Grass and Forage Science","DOI":"10.1111/gfs.12095","ISSN":"0142-5242, 1365-2494","issue":"4","journalAbbreviation":"Grass and Forage Science","language":"en","license":"http://onlinelibrary.wiley.com/termsAndConditions#vor","page":"655-665","source":"DOI.org (Crossref)","title":"Tiller size/density compensation in temperate climate grasses grown in monoculture or in intercropping systems under intermittent grazing","volume":"69","author":[{"family":"Duchini","given":"P. G."},{"family":"Guzatti","given":"G. C."},{"family":"Ribeiro Filho","given":"H. M. N."},{"family":"Sbrissia","given":"A. F."}],"issued":{"date-parts":[["2014",12]]}}},{"id":51,"uris":["http://zotero.org/users/12323737/items/HXV2AXF9"],"itemData":{"id":51,"type":"article-journal","abstract":"Interpretation of tiller or shoot density data requires resolution of two independent, confounding effects, namely size/density compensation and what is here called the \"leaf area effect\". Size/density compensation implies that at higher herbage mass, individual tillers or shoots are larger, but the population density is correspondingly decreased. The leaf area effect represents difference in sward leaf area for two tiller populations. Such leaf area differences may be environmentally or genetically determined, but must of necessity be expressed through change in tiller size and/or tiller density as \"yield components\" of leaf area. The theoretical basis for distinguishing between size/density compensation and the leaf area effect is to consider tiller or shoot density and herbage yield, respectively, as X,Y co-ordinates in a size/density plot. When such a plot is drawn on a logarithmic scale, points along a line of -l/2 slope show size/ density compensation with respect to each other. Movement of points to the right or left of the size/ density compensation line is evidence of a leaf area effect. It is shown that when the size/density effects are removed from a data set in this way, rankings of experimental treatments for the leaf area effect can often be reversed compared with the ranking of uncorrected tiller density. Tiller density data corrected for size/density compen-. sation in this way appear to be a useful indicator of sward productivity. Keywords: sizeldensity compensation, sward productivity, tiller density","container-title":"Proceedings of the New Zealand Grassland Association","DOI":"10.33584/jnzg.1995.57.2190","ISSN":"1179-4577, 0369-3902","journalAbbreviation":"ProNZG","page":"83-87","source":"DOI.org (Crossref)","title":"Making sense of the link between tiller density and pasture production","author":[{"family":"Matthew","given":"C."},{"family":"Hernandez-Garay","given":"A."},{"family":"Hodgson","given":"J."}],"issued":{"date-parts":[["1995",1,1]]}}}],"schema":"https://github.com/citation-style-language/schema/raw/master/csl-citation.json"} </w:instrText>
      </w:r>
      <w:r w:rsidRPr="00631CF2">
        <w:rPr>
          <w:rFonts w:ascii="Times New Roman" w:eastAsia="Times New Roman" w:hAnsi="Times New Roman" w:cs="Times New Roman"/>
          <w:sz w:val="24"/>
          <w:szCs w:val="24"/>
          <w:lang w:eastAsia="en-AU"/>
        </w:rPr>
        <w:fldChar w:fldCharType="separate"/>
      </w:r>
      <w:r w:rsidR="482BC3DB" w:rsidRPr="00631CF2">
        <w:rPr>
          <w:rFonts w:ascii="Times New Roman" w:hAnsi="Times New Roman" w:cs="Times New Roman"/>
          <w:sz w:val="24"/>
          <w:szCs w:val="24"/>
        </w:rPr>
        <w:t xml:space="preserve">; Matthew </w:t>
      </w:r>
      <w:r w:rsidR="000C0E26" w:rsidRPr="00631CF2">
        <w:rPr>
          <w:rFonts w:ascii="Times New Roman" w:hAnsi="Times New Roman" w:cs="Times New Roman"/>
          <w:i/>
          <w:iCs/>
          <w:sz w:val="24"/>
          <w:szCs w:val="24"/>
        </w:rPr>
        <w:t>et al.,</w:t>
      </w:r>
      <w:r w:rsidR="482BC3DB" w:rsidRPr="00631CF2">
        <w:rPr>
          <w:rFonts w:ascii="Times New Roman" w:hAnsi="Times New Roman" w:cs="Times New Roman"/>
          <w:sz w:val="24"/>
          <w:szCs w:val="24"/>
        </w:rPr>
        <w:t xml:space="preserve"> 1995; </w:t>
      </w:r>
      <w:proofErr w:type="spellStart"/>
      <w:r w:rsidR="482BC3DB" w:rsidRPr="00631CF2">
        <w:rPr>
          <w:rFonts w:ascii="Times New Roman" w:hAnsi="Times New Roman" w:cs="Times New Roman"/>
          <w:sz w:val="24"/>
          <w:szCs w:val="24"/>
        </w:rPr>
        <w:t>Duchini</w:t>
      </w:r>
      <w:proofErr w:type="spellEnd"/>
      <w:r w:rsidR="482BC3DB" w:rsidRPr="00631CF2">
        <w:rPr>
          <w:rFonts w:ascii="Times New Roman" w:hAnsi="Times New Roman" w:cs="Times New Roman"/>
          <w:sz w:val="24"/>
          <w:szCs w:val="24"/>
        </w:rPr>
        <w:t xml:space="preserve"> </w:t>
      </w:r>
      <w:r w:rsidR="000C0E26" w:rsidRPr="00631CF2">
        <w:rPr>
          <w:rFonts w:ascii="Times New Roman" w:hAnsi="Times New Roman" w:cs="Times New Roman"/>
          <w:i/>
          <w:iCs/>
          <w:sz w:val="24"/>
          <w:szCs w:val="24"/>
        </w:rPr>
        <w:t>et al.,</w:t>
      </w:r>
      <w:r w:rsidR="482BC3DB" w:rsidRPr="00631CF2">
        <w:rPr>
          <w:rFonts w:ascii="Times New Roman" w:hAnsi="Times New Roman" w:cs="Times New Roman"/>
          <w:sz w:val="24"/>
          <w:szCs w:val="24"/>
        </w:rPr>
        <w:t xml:space="preserve"> 2014)</w:t>
      </w:r>
      <w:r w:rsidRPr="00631CF2">
        <w:rPr>
          <w:rFonts w:ascii="Times New Roman" w:eastAsia="Times New Roman" w:hAnsi="Times New Roman" w:cs="Times New Roman"/>
          <w:sz w:val="24"/>
          <w:szCs w:val="24"/>
          <w:lang w:eastAsia="en-AU"/>
        </w:rPr>
        <w:fldChar w:fldCharType="end"/>
      </w:r>
      <w:r w:rsidR="482BC3DB" w:rsidRPr="00631CF2">
        <w:rPr>
          <w:rFonts w:ascii="Times New Roman" w:eastAsia="Times New Roman" w:hAnsi="Times New Roman" w:cs="Times New Roman"/>
          <w:sz w:val="24"/>
          <w:szCs w:val="24"/>
          <w:lang w:eastAsia="en-AU"/>
        </w:rPr>
        <w:t>.</w:t>
      </w:r>
      <w:r w:rsidR="412175EC" w:rsidRPr="00631CF2">
        <w:rPr>
          <w:rFonts w:ascii="Times New Roman" w:eastAsia="Times New Roman" w:hAnsi="Times New Roman" w:cs="Times New Roman"/>
          <w:sz w:val="24"/>
          <w:szCs w:val="24"/>
          <w:lang w:eastAsia="en-AU"/>
        </w:rPr>
        <w:t xml:space="preserve"> </w:t>
      </w:r>
    </w:p>
    <w:p w14:paraId="15E14248" w14:textId="77777777" w:rsidR="00D22984" w:rsidRPr="00631CF2" w:rsidRDefault="00D22984" w:rsidP="007F0193">
      <w:pPr>
        <w:widowControl w:val="0"/>
        <w:spacing w:after="0" w:line="480" w:lineRule="auto"/>
        <w:jc w:val="both"/>
        <w:rPr>
          <w:rFonts w:ascii="Times New Roman" w:eastAsia="Times New Roman" w:hAnsi="Times New Roman" w:cs="Times New Roman"/>
          <w:sz w:val="24"/>
          <w:szCs w:val="24"/>
          <w:lang w:eastAsia="en-AU"/>
        </w:rPr>
      </w:pPr>
    </w:p>
    <w:p w14:paraId="3015F6AA" w14:textId="33B23E78" w:rsidR="000F33C5" w:rsidRPr="00D22984" w:rsidRDefault="412175EC" w:rsidP="007F0193">
      <w:pPr>
        <w:pStyle w:val="Heading2"/>
        <w:keepLines w:val="0"/>
        <w:widowControl w:val="0"/>
        <w:spacing w:before="0" w:line="480" w:lineRule="auto"/>
        <w:jc w:val="both"/>
        <w:rPr>
          <w:rFonts w:eastAsia="Times New Roman" w:cs="Times New Roman"/>
          <w:b w:val="0"/>
          <w:bCs w:val="0"/>
          <w:i/>
          <w:iCs/>
          <w:color w:val="538135"/>
          <w:sz w:val="24"/>
          <w:szCs w:val="24"/>
          <w:lang w:val="en-GB"/>
        </w:rPr>
      </w:pPr>
      <w:r w:rsidRPr="00D22984">
        <w:rPr>
          <w:rFonts w:eastAsia="Times New Roman" w:cs="Times New Roman"/>
          <w:b w:val="0"/>
          <w:bCs w:val="0"/>
          <w:i/>
          <w:iCs/>
          <w:color w:val="538135"/>
          <w:sz w:val="24"/>
          <w:szCs w:val="24"/>
          <w:lang w:val="en-GB"/>
        </w:rPr>
        <w:t>Demographic</w:t>
      </w:r>
      <w:r w:rsidR="00AE5503" w:rsidRPr="00D22984">
        <w:rPr>
          <w:rFonts w:eastAsia="Times New Roman" w:cs="Times New Roman"/>
          <w:b w:val="0"/>
          <w:bCs w:val="0"/>
          <w:i/>
          <w:iCs/>
          <w:color w:val="538135"/>
          <w:sz w:val="24"/>
          <w:szCs w:val="24"/>
          <w:lang w:val="en-GB"/>
        </w:rPr>
        <w:t xml:space="preserve"> responses to grazing management</w:t>
      </w:r>
      <w:r w:rsidRPr="00D22984">
        <w:rPr>
          <w:rFonts w:eastAsia="Times New Roman" w:cs="Times New Roman"/>
          <w:b w:val="0"/>
          <w:bCs w:val="0"/>
          <w:i/>
          <w:iCs/>
          <w:color w:val="538135"/>
          <w:sz w:val="24"/>
          <w:szCs w:val="24"/>
          <w:lang w:val="en-GB"/>
        </w:rPr>
        <w:t xml:space="preserve"> </w:t>
      </w:r>
    </w:p>
    <w:p w14:paraId="55A49D5D" w14:textId="67A97C3C" w:rsidR="000F33C5" w:rsidRPr="00631CF2" w:rsidRDefault="00AE5503" w:rsidP="007F0193">
      <w:pPr>
        <w:widowControl w:val="0"/>
        <w:spacing w:after="0" w:line="480" w:lineRule="auto"/>
        <w:jc w:val="both"/>
        <w:rPr>
          <w:rFonts w:ascii="Times New Roman" w:hAnsi="Times New Roman" w:cs="Times New Roman"/>
          <w:sz w:val="24"/>
          <w:szCs w:val="24"/>
          <w:shd w:val="clear" w:color="auto" w:fill="FFFFFF"/>
        </w:rPr>
      </w:pPr>
      <w:r w:rsidRPr="00631CF2">
        <w:rPr>
          <w:rFonts w:ascii="Times New Roman" w:hAnsi="Times New Roman" w:cs="Times New Roman"/>
          <w:sz w:val="24"/>
          <w:szCs w:val="24"/>
          <w:shd w:val="clear" w:color="auto" w:fill="FFFFFF"/>
        </w:rPr>
        <w:t>Our results revealed distinct demographic responses to grazing management in both grass species. Tiller emergence (ET) showed significant height × HSG interactions during spring, with both species producing more tillers under 15 cm management (Table 1). This enhanced tillering under shorter grazing heights likely results from increased light penetration to the sward base following senescent material removal, particularly when combined with hard spring grazing (HSG). This mechanism promotes activation of basal buds and subsequent tiller recruitment, supporting canopy regeneration.</w:t>
      </w:r>
      <w:r w:rsidR="412175EC" w:rsidRPr="00631CF2">
        <w:rPr>
          <w:rFonts w:ascii="Times New Roman" w:hAnsi="Times New Roman" w:cs="Times New Roman"/>
          <w:sz w:val="24"/>
          <w:szCs w:val="24"/>
          <w:shd w:val="clear" w:color="auto" w:fill="FFFFFF"/>
        </w:rPr>
        <w:t xml:space="preserve"> </w:t>
      </w:r>
    </w:p>
    <w:p w14:paraId="2735EF2C" w14:textId="57E5F690" w:rsidR="000F33C5" w:rsidRPr="00631CF2" w:rsidRDefault="412175EC" w:rsidP="007F0193">
      <w:pPr>
        <w:widowControl w:val="0"/>
        <w:spacing w:after="0" w:line="480" w:lineRule="auto"/>
        <w:ind w:firstLine="426"/>
        <w:jc w:val="both"/>
        <w:rPr>
          <w:rFonts w:ascii="Times New Roman" w:hAnsi="Times New Roman" w:cs="Times New Roman"/>
          <w:sz w:val="24"/>
          <w:szCs w:val="24"/>
          <w:shd w:val="clear" w:color="auto" w:fill="FFFFFF"/>
        </w:rPr>
      </w:pPr>
      <w:r w:rsidRPr="00631CF2">
        <w:rPr>
          <w:rFonts w:ascii="Times New Roman" w:hAnsi="Times New Roman" w:cs="Times New Roman"/>
          <w:sz w:val="24"/>
          <w:szCs w:val="24"/>
          <w:shd w:val="clear" w:color="auto" w:fill="FFFFFF"/>
        </w:rPr>
        <w:t xml:space="preserve">Similar responses were observed in </w:t>
      </w:r>
      <w:r w:rsidRPr="00631CF2">
        <w:rPr>
          <w:rFonts w:ascii="Times New Roman" w:hAnsi="Times New Roman" w:cs="Times New Roman"/>
          <w:i/>
          <w:iCs/>
          <w:sz w:val="24"/>
          <w:szCs w:val="24"/>
          <w:shd w:val="clear" w:color="auto" w:fill="FFFFFF"/>
        </w:rPr>
        <w:t xml:space="preserve">L. </w:t>
      </w:r>
      <w:proofErr w:type="spellStart"/>
      <w:r w:rsidRPr="00631CF2">
        <w:rPr>
          <w:rFonts w:ascii="Times New Roman" w:hAnsi="Times New Roman" w:cs="Times New Roman"/>
          <w:i/>
          <w:iCs/>
          <w:sz w:val="24"/>
          <w:szCs w:val="24"/>
          <w:shd w:val="clear" w:color="auto" w:fill="FFFFFF"/>
        </w:rPr>
        <w:t>arundinaceum</w:t>
      </w:r>
      <w:proofErr w:type="spellEnd"/>
      <w:r w:rsidRPr="00631CF2">
        <w:rPr>
          <w:rFonts w:ascii="Times New Roman" w:hAnsi="Times New Roman" w:cs="Times New Roman"/>
          <w:sz w:val="24"/>
          <w:szCs w:val="24"/>
          <w:shd w:val="clear" w:color="auto" w:fill="FFFFFF"/>
        </w:rPr>
        <w:t xml:space="preserve"> concerning forage mass and leaf proportion under different post-grazing cutting management regimes </w:t>
      </w:r>
      <w:r w:rsidR="00A951ED" w:rsidRPr="00631CF2">
        <w:rPr>
          <w:rFonts w:ascii="Times New Roman" w:hAnsi="Times New Roman" w:cs="Times New Roman"/>
          <w:sz w:val="24"/>
          <w:szCs w:val="24"/>
          <w:shd w:val="clear" w:color="auto" w:fill="FFFFFF"/>
        </w:rPr>
        <w:fldChar w:fldCharType="begin"/>
      </w:r>
      <w:r w:rsidR="00A951ED" w:rsidRPr="00631CF2">
        <w:rPr>
          <w:rFonts w:ascii="Times New Roman" w:hAnsi="Times New Roman" w:cs="Times New Roman"/>
          <w:sz w:val="24"/>
          <w:szCs w:val="24"/>
          <w:shd w:val="clear" w:color="auto" w:fill="FFFFFF"/>
        </w:rPr>
        <w:instrText xml:space="preserve"> ADDIN ZOTERO_ITEM CSL_CITATION {"citationID":"KxNGddO9","properties":{"formattedCitation":"(Scheneiter {\\i{}et al.} 2019)","plainCitation":"(Scheneiter et al. 2019)","noteIndex":0},"citationItems":[{"id":63,"uris":["http://zotero.org/users/12323737/items/8LMMZR32"],"itemData":{"id":63,"type":"article-journal","abstract":"Abstract\n            Tall fescue is the main perennial grass of the pastures of the temperate region of Argentina. However, after flowering in spring, tall fescue loses productivity and quality. Based on this, the objective of this work was to evaluate the effects of different post‐grazing mechanical cutting managements on the forage mass, leaf proportion, stocking rate, liveweight gain and liveweight production of tall fescue pastures. The treatments were post‐grazing mechanical cutting at anthesis (FC), post‐grazing mechanical cutting throughout spring and summer (SSC), and no post‐grazing mechanical cutting (NC). The experiment was performed from 2011 to 2014 in Argentina. The greatest and lowest forage mass were determined in September–November and May–September respectively. The leaf proportion of the SSC treatment was greater than that of the NC treatment, except in September–November. NC had higher stocking rate and lower liveweight gain than SSC, and neither NC nor SSC differed from FC. The liveweight production of the treatments was characterized by a trade‐off between stocking rate and liveweight gain. We conclude that FC is an attractive management because, with a single post‐grazing cutting, swards remain productive and leafy.","container-title":"Grass and Forage Science","DOI":"10.1111/gfs.12447","ISSN":"0142-5242, 1365-2494","issue":"4","journalAbbreviation":"Grass and Forage Science","language":"en","page":"661-669","source":"DOI.org (Crossref)","title":"Post‐grazing cutting management in tall fescue affects the sward structure, forage and liveweight production","volume":"74","author":[{"family":"Scheneiter","given":"Jorge Omar"},{"family":"Camarasa","given":"Jonatan Nicolás"},{"family":"Aperlo","given":"Daniel"},{"family":"Ferrari","given":"Martín Alejandro"},{"family":"Nalino","given":"Martín"},{"family":"Beribe","given":"María J."}],"issued":{"date-parts":[["2019",12]]}}}],"schema":"https://github.com/citation-style-language/schema/raw/master/csl-citation.json"} </w:instrText>
      </w:r>
      <w:r w:rsidR="00A951ED" w:rsidRPr="00631CF2">
        <w:rPr>
          <w:rFonts w:ascii="Times New Roman" w:hAnsi="Times New Roman" w:cs="Times New Roman"/>
          <w:sz w:val="24"/>
          <w:szCs w:val="24"/>
          <w:shd w:val="clear" w:color="auto" w:fill="FFFFFF"/>
        </w:rPr>
        <w:fldChar w:fldCharType="separate"/>
      </w:r>
      <w:r w:rsidR="6BEB2BF2" w:rsidRPr="00631CF2">
        <w:rPr>
          <w:rFonts w:ascii="Times New Roman" w:hAnsi="Times New Roman" w:cs="Times New Roman"/>
          <w:sz w:val="24"/>
          <w:szCs w:val="24"/>
        </w:rPr>
        <w:t>(</w:t>
      </w:r>
      <w:proofErr w:type="spellStart"/>
      <w:r w:rsidR="6BEB2BF2" w:rsidRPr="00631CF2">
        <w:rPr>
          <w:rFonts w:ascii="Times New Roman" w:hAnsi="Times New Roman" w:cs="Times New Roman"/>
          <w:sz w:val="24"/>
          <w:szCs w:val="24"/>
        </w:rPr>
        <w:t>Scheneiter</w:t>
      </w:r>
      <w:proofErr w:type="spellEnd"/>
      <w:r w:rsidR="6BEB2BF2" w:rsidRPr="00631CF2">
        <w:rPr>
          <w:rFonts w:ascii="Times New Roman" w:hAnsi="Times New Roman" w:cs="Times New Roman"/>
          <w:sz w:val="24"/>
          <w:szCs w:val="24"/>
        </w:rPr>
        <w:t xml:space="preserve"> </w:t>
      </w:r>
      <w:r w:rsidR="000C0E26" w:rsidRPr="00631CF2">
        <w:rPr>
          <w:rFonts w:ascii="Times New Roman" w:hAnsi="Times New Roman" w:cs="Times New Roman"/>
          <w:i/>
          <w:iCs/>
          <w:sz w:val="24"/>
          <w:szCs w:val="24"/>
        </w:rPr>
        <w:t>et al.,</w:t>
      </w:r>
      <w:r w:rsidR="6BEB2BF2" w:rsidRPr="00631CF2">
        <w:rPr>
          <w:rFonts w:ascii="Times New Roman" w:hAnsi="Times New Roman" w:cs="Times New Roman"/>
          <w:sz w:val="24"/>
          <w:szCs w:val="24"/>
        </w:rPr>
        <w:t xml:space="preserve"> 2019)</w:t>
      </w:r>
      <w:r w:rsidR="00A951ED" w:rsidRPr="00631CF2">
        <w:rPr>
          <w:rFonts w:ascii="Times New Roman" w:hAnsi="Times New Roman" w:cs="Times New Roman"/>
          <w:sz w:val="24"/>
          <w:szCs w:val="24"/>
          <w:shd w:val="clear" w:color="auto" w:fill="FFFFFF"/>
        </w:rPr>
        <w:fldChar w:fldCharType="end"/>
      </w:r>
      <w:r w:rsidRPr="00631CF2">
        <w:rPr>
          <w:rFonts w:ascii="Times New Roman" w:hAnsi="Times New Roman" w:cs="Times New Roman"/>
          <w:sz w:val="24"/>
          <w:szCs w:val="24"/>
          <w:shd w:val="clear" w:color="auto" w:fill="FFFFFF"/>
        </w:rPr>
        <w:t xml:space="preserve"> as well as in relation to leaf appearance rate </w:t>
      </w:r>
      <w:r w:rsidR="00D533B8" w:rsidRPr="00631CF2">
        <w:rPr>
          <w:rFonts w:ascii="Times New Roman" w:hAnsi="Times New Roman" w:cs="Times New Roman"/>
          <w:sz w:val="24"/>
          <w:szCs w:val="24"/>
          <w:shd w:val="clear" w:color="auto" w:fill="FFFFFF"/>
        </w:rPr>
        <w:fldChar w:fldCharType="begin"/>
      </w:r>
      <w:r w:rsidR="00D533B8" w:rsidRPr="00631CF2">
        <w:rPr>
          <w:rFonts w:ascii="Times New Roman" w:hAnsi="Times New Roman" w:cs="Times New Roman"/>
          <w:sz w:val="24"/>
          <w:szCs w:val="24"/>
          <w:shd w:val="clear" w:color="auto" w:fill="FFFFFF"/>
        </w:rPr>
        <w:instrText xml:space="preserve"> ADDIN ZOTERO_ITEM CSL_CITATION {"citationID":"sBkS30kD","properties":{"formattedCitation":"(Insua {\\i{}et al.} 2018)","plainCitation":"(Insua et al. 2018)","noteIndex":0},"citationItems":[{"id":62,"uris":["http://zotero.org/users/12323737/items/7Q9CPEWK"],"itemData":{"id":62,"type":"article-journal","abstract":"The aim of this study was to quantify the relative importance of leaf age and leaf length on the dynamics of neutral detergent fibre (NDF), and 24-h in vitro digestibility of NDF (NDFD) and dry matter (DMD) of tall fescue (Lolium arundinaceum (Schreb) Darbysh.). Mini-swards were conditioned and used to conduct two experiments, the first with 4-cm plant stubble height in spring–summer 2009 and autumn–winter 2011, and the second with 4-cm or 10-cm plant stubble height in spring–summer 2011. Plants were harvested at consecutive leaf-appearance intervals to measure nutritive value up to the four-leaf stage. In parallel, leaf morphogenetic traits (appearance, elongation and lifespan) and sheath length of the successive leaves produced on marked tillers were measured. Leaf NDF contents remained stable with increasing leaf age and length but showed a marked variation across seasons. Leaf NDFD and DMD showed a consistent decrease with increasing leaf age and length, and irrespective of growing season or residual pasture height. The negative effect of leaf age and length on digestibility was related to variations in sheath tube length and associated differences in leaf appearance and elongation rates. These findings highlight the relevance of monitoring the sheath tube length as a complementary measure to leaf stage for further management of the NDFD and DMD of grass forages. Although the focus of this study was tall fescue swards, the same morphogenetic implications on forage nutritive value could apply to other temperate and tropical grass species; however, the testing of this hypothesis warrants carefully controlled investigations.","container-title":"Crop and Pasture Science","DOI":"10.1071/CP18182","ISSN":"1836-0947","issue":"11","journalAbbreviation":"Crop Pasture Sci.","language":"en","page":"1165","source":"DOI.org (Crossref)","title":"Morphological, environmental and management factors affecting nutritive value of tall fescue (Lolium arundinaceum)","volume":"69","author":[{"family":"Insua","given":"J. R."},{"family":"Agnusdei","given":"M. G."},{"family":"Utsumi","given":"S. A."},{"family":"Berone","given":"G. D."}],"issued":{"date-parts":[["2018"]]}}}],"schema":"https://github.com/citation-style-language/schema/raw/master/csl-citation.json"} </w:instrText>
      </w:r>
      <w:r w:rsidR="00D533B8" w:rsidRPr="00631CF2">
        <w:rPr>
          <w:rFonts w:ascii="Times New Roman" w:hAnsi="Times New Roman" w:cs="Times New Roman"/>
          <w:sz w:val="24"/>
          <w:szCs w:val="24"/>
          <w:shd w:val="clear" w:color="auto" w:fill="FFFFFF"/>
        </w:rPr>
        <w:fldChar w:fldCharType="separate"/>
      </w:r>
      <w:r w:rsidR="18D3801D" w:rsidRPr="00631CF2">
        <w:rPr>
          <w:rFonts w:ascii="Times New Roman" w:hAnsi="Times New Roman" w:cs="Times New Roman"/>
          <w:sz w:val="24"/>
          <w:szCs w:val="24"/>
        </w:rPr>
        <w:t xml:space="preserve">(Insua </w:t>
      </w:r>
      <w:r w:rsidR="000C0E26" w:rsidRPr="00631CF2">
        <w:rPr>
          <w:rFonts w:ascii="Times New Roman" w:hAnsi="Times New Roman" w:cs="Times New Roman"/>
          <w:i/>
          <w:iCs/>
          <w:sz w:val="24"/>
          <w:szCs w:val="24"/>
        </w:rPr>
        <w:t>et al.,</w:t>
      </w:r>
      <w:r w:rsidR="18D3801D" w:rsidRPr="00631CF2">
        <w:rPr>
          <w:rFonts w:ascii="Times New Roman" w:hAnsi="Times New Roman" w:cs="Times New Roman"/>
          <w:sz w:val="24"/>
          <w:szCs w:val="24"/>
        </w:rPr>
        <w:t xml:space="preserve"> 2018)</w:t>
      </w:r>
      <w:r w:rsidR="00D533B8" w:rsidRPr="00631CF2">
        <w:rPr>
          <w:rFonts w:ascii="Times New Roman" w:hAnsi="Times New Roman" w:cs="Times New Roman"/>
          <w:sz w:val="24"/>
          <w:szCs w:val="24"/>
          <w:shd w:val="clear" w:color="auto" w:fill="FFFFFF"/>
        </w:rPr>
        <w:fldChar w:fldCharType="end"/>
      </w:r>
      <w:r w:rsidRPr="00631CF2">
        <w:rPr>
          <w:rFonts w:ascii="Times New Roman" w:hAnsi="Times New Roman" w:cs="Times New Roman"/>
          <w:sz w:val="24"/>
          <w:szCs w:val="24"/>
          <w:shd w:val="clear" w:color="auto" w:fill="FFFFFF"/>
        </w:rPr>
        <w:t xml:space="preserve">. Although the physiological mechanisms responsible for these responses may differ, they share a response to height management practices in this species. Correspondingly, </w:t>
      </w:r>
      <w:r w:rsidR="00535CD9" w:rsidRPr="00631CF2">
        <w:rPr>
          <w:rFonts w:ascii="Times New Roman" w:hAnsi="Times New Roman" w:cs="Times New Roman"/>
          <w:i/>
          <w:iCs/>
          <w:sz w:val="24"/>
          <w:szCs w:val="24"/>
          <w:shd w:val="clear" w:color="auto" w:fill="FFFFFF"/>
        </w:rPr>
        <w:t>C</w:t>
      </w:r>
      <w:r w:rsidRPr="00631CF2">
        <w:rPr>
          <w:rFonts w:ascii="Times New Roman" w:hAnsi="Times New Roman" w:cs="Times New Roman"/>
          <w:i/>
          <w:iCs/>
          <w:sz w:val="24"/>
          <w:szCs w:val="24"/>
          <w:shd w:val="clear" w:color="auto" w:fill="FFFFFF"/>
        </w:rPr>
        <w:t xml:space="preserve">. </w:t>
      </w:r>
      <w:proofErr w:type="spellStart"/>
      <w:r w:rsidRPr="00631CF2">
        <w:rPr>
          <w:rFonts w:ascii="Times New Roman" w:hAnsi="Times New Roman" w:cs="Times New Roman"/>
          <w:i/>
          <w:iCs/>
          <w:sz w:val="24"/>
          <w:szCs w:val="24"/>
          <w:shd w:val="clear" w:color="auto" w:fill="FFFFFF"/>
        </w:rPr>
        <w:t>clandestinus</w:t>
      </w:r>
      <w:proofErr w:type="spellEnd"/>
      <w:r w:rsidRPr="00631CF2">
        <w:rPr>
          <w:rFonts w:ascii="Times New Roman" w:hAnsi="Times New Roman" w:cs="Times New Roman"/>
          <w:sz w:val="24"/>
          <w:szCs w:val="24"/>
          <w:shd w:val="clear" w:color="auto" w:fill="FFFFFF"/>
        </w:rPr>
        <w:t xml:space="preserve"> displayed analogous responses to </w:t>
      </w:r>
      <w:r w:rsidRPr="00631CF2">
        <w:rPr>
          <w:rFonts w:ascii="Times New Roman" w:hAnsi="Times New Roman" w:cs="Times New Roman"/>
          <w:i/>
          <w:iCs/>
          <w:sz w:val="24"/>
          <w:szCs w:val="24"/>
          <w:shd w:val="clear" w:color="auto" w:fill="FFFFFF"/>
        </w:rPr>
        <w:t>Andropogon gerardii</w:t>
      </w:r>
      <w:r w:rsidRPr="00631CF2">
        <w:rPr>
          <w:rFonts w:ascii="Times New Roman" w:hAnsi="Times New Roman" w:cs="Times New Roman"/>
          <w:sz w:val="24"/>
          <w:szCs w:val="24"/>
          <w:shd w:val="clear" w:color="auto" w:fill="FFFFFF"/>
        </w:rPr>
        <w:t xml:space="preserve"> (in a </w:t>
      </w:r>
      <w:r w:rsidRPr="00631CF2">
        <w:rPr>
          <w:rFonts w:ascii="Times New Roman" w:hAnsi="Times New Roman" w:cs="Times New Roman"/>
          <w:sz w:val="24"/>
          <w:szCs w:val="24"/>
        </w:rPr>
        <w:t>mixed</w:t>
      </w:r>
      <w:r w:rsidR="00AE5503" w:rsidRPr="00631CF2">
        <w:rPr>
          <w:rFonts w:ascii="Times New Roman" w:hAnsi="Times New Roman" w:cs="Times New Roman"/>
          <w:sz w:val="24"/>
          <w:szCs w:val="24"/>
        </w:rPr>
        <w:t xml:space="preserve"> </w:t>
      </w:r>
      <w:r w:rsidRPr="00631CF2">
        <w:rPr>
          <w:rFonts w:ascii="Times New Roman" w:hAnsi="Times New Roman" w:cs="Times New Roman"/>
          <w:sz w:val="24"/>
          <w:szCs w:val="24"/>
        </w:rPr>
        <w:t>grass prairie</w:t>
      </w:r>
      <w:r w:rsidRPr="00631CF2">
        <w:rPr>
          <w:rFonts w:ascii="Times New Roman" w:hAnsi="Times New Roman" w:cs="Times New Roman"/>
          <w:sz w:val="24"/>
          <w:szCs w:val="24"/>
          <w:shd w:val="clear" w:color="auto" w:fill="FFFFFF"/>
        </w:rPr>
        <w:t xml:space="preserve">) following strong disturbances, where </w:t>
      </w:r>
      <w:r w:rsidRPr="00631CF2">
        <w:rPr>
          <w:rFonts w:ascii="Times New Roman" w:hAnsi="Times New Roman" w:cs="Times New Roman"/>
          <w:i/>
          <w:iCs/>
          <w:sz w:val="24"/>
          <w:szCs w:val="24"/>
          <w:shd w:val="clear" w:color="auto" w:fill="FFFFFF"/>
        </w:rPr>
        <w:t>A. gerardii</w:t>
      </w:r>
      <w:r w:rsidRPr="00631CF2">
        <w:rPr>
          <w:rFonts w:ascii="Times New Roman" w:hAnsi="Times New Roman" w:cs="Times New Roman"/>
          <w:sz w:val="24"/>
          <w:szCs w:val="24"/>
          <w:shd w:val="clear" w:color="auto" w:fill="FFFFFF"/>
        </w:rPr>
        <w:t xml:space="preserve"> altered bud production and subsequently recruited vegetative tillers from young buds </w:t>
      </w:r>
      <w:r w:rsidR="00D533B8" w:rsidRPr="00631CF2">
        <w:rPr>
          <w:rFonts w:ascii="Times New Roman" w:hAnsi="Times New Roman" w:cs="Times New Roman"/>
          <w:sz w:val="24"/>
          <w:szCs w:val="24"/>
          <w:shd w:val="clear" w:color="auto" w:fill="FFFFFF"/>
        </w:rPr>
        <w:fldChar w:fldCharType="begin"/>
      </w:r>
      <w:r w:rsidR="00D533B8" w:rsidRPr="00631CF2">
        <w:rPr>
          <w:rFonts w:ascii="Times New Roman" w:hAnsi="Times New Roman" w:cs="Times New Roman"/>
          <w:sz w:val="24"/>
          <w:szCs w:val="24"/>
          <w:shd w:val="clear" w:color="auto" w:fill="FFFFFF"/>
        </w:rPr>
        <w:instrText xml:space="preserve"> ADDIN ZOTERO_ITEM CSL_CITATION {"citationID":"wfNzVwHe","properties":{"formattedCitation":"(Ott and Harnett 2015)","plainCitation":"(Ott and Harnett 2015)","noteIndex":0},"citationItems":[{"id":64,"uris":["http://zotero.org/users/12323737/items/SYLTRCLZ"],"itemData":{"id":64,"type":"article-journal","container-title":"The American Midland Naturalist","page":"14-32","title":"Vegetative Reproduction and Bud Bank Dynamics of the  Perennial Grass Andropogon gerardii in Mixedgrass and  Tallgrass Prairie","volume":"174","author":[{"family":"Ott","given":"J"},{"family":"Harnett","given":"D"}],"issued":{"date-parts":[["2015"]]}}}],"schema":"https://github.com/citation-style-language/schema/raw/master/csl-citation.json"} </w:instrText>
      </w:r>
      <w:r w:rsidR="00D533B8" w:rsidRPr="00631CF2">
        <w:rPr>
          <w:rFonts w:ascii="Times New Roman" w:hAnsi="Times New Roman" w:cs="Times New Roman"/>
          <w:sz w:val="24"/>
          <w:szCs w:val="24"/>
          <w:shd w:val="clear" w:color="auto" w:fill="FFFFFF"/>
        </w:rPr>
        <w:fldChar w:fldCharType="separate"/>
      </w:r>
      <w:r w:rsidR="18D3801D" w:rsidRPr="00631CF2">
        <w:rPr>
          <w:rFonts w:ascii="Times New Roman" w:hAnsi="Times New Roman" w:cs="Times New Roman"/>
          <w:sz w:val="24"/>
          <w:szCs w:val="24"/>
        </w:rPr>
        <w:t>(Ott and Harnett 2015)</w:t>
      </w:r>
      <w:r w:rsidR="00D533B8" w:rsidRPr="00631CF2">
        <w:rPr>
          <w:rFonts w:ascii="Times New Roman" w:hAnsi="Times New Roman" w:cs="Times New Roman"/>
          <w:sz w:val="24"/>
          <w:szCs w:val="24"/>
          <w:shd w:val="clear" w:color="auto" w:fill="FFFFFF"/>
        </w:rPr>
        <w:fldChar w:fldCharType="end"/>
      </w:r>
      <w:r w:rsidRPr="00631CF2">
        <w:rPr>
          <w:rFonts w:ascii="Times New Roman" w:hAnsi="Times New Roman" w:cs="Times New Roman"/>
          <w:sz w:val="24"/>
          <w:szCs w:val="24"/>
          <w:shd w:val="clear" w:color="auto" w:fill="FFFFFF"/>
        </w:rPr>
        <w:t xml:space="preserve">. Although we did not directly measure bud production, observations over the three-year experiment period revealed increased tiller recruitment in response to </w:t>
      </w:r>
      <w:r w:rsidR="00CD0B91" w:rsidRPr="00631CF2">
        <w:rPr>
          <w:rFonts w:ascii="Times New Roman" w:hAnsi="Times New Roman" w:cs="Times New Roman"/>
          <w:sz w:val="24"/>
          <w:szCs w:val="24"/>
          <w:shd w:val="clear" w:color="auto" w:fill="FFFFFF"/>
        </w:rPr>
        <w:t>shorter (15 cm)</w:t>
      </w:r>
      <w:r w:rsidRPr="00631CF2">
        <w:rPr>
          <w:rFonts w:ascii="Times New Roman" w:hAnsi="Times New Roman" w:cs="Times New Roman"/>
          <w:sz w:val="24"/>
          <w:szCs w:val="24"/>
          <w:shd w:val="clear" w:color="auto" w:fill="FFFFFF"/>
        </w:rPr>
        <w:t xml:space="preserve"> height management (higher TPD, Table</w:t>
      </w:r>
      <w:r w:rsidR="6A1EA54F" w:rsidRPr="00631CF2">
        <w:rPr>
          <w:rFonts w:ascii="Times New Roman" w:hAnsi="Times New Roman" w:cs="Times New Roman"/>
          <w:sz w:val="24"/>
          <w:szCs w:val="24"/>
          <w:shd w:val="clear" w:color="auto" w:fill="FFFFFF"/>
        </w:rPr>
        <w:t xml:space="preserve"> </w:t>
      </w:r>
      <w:r w:rsidRPr="00631CF2">
        <w:rPr>
          <w:rFonts w:ascii="Times New Roman" w:hAnsi="Times New Roman" w:cs="Times New Roman"/>
          <w:sz w:val="24"/>
          <w:szCs w:val="24"/>
          <w:shd w:val="clear" w:color="auto" w:fill="FFFFFF"/>
        </w:rPr>
        <w:t>1)</w:t>
      </w:r>
      <w:r w:rsidR="00CD0B91" w:rsidRPr="00631CF2">
        <w:rPr>
          <w:rFonts w:ascii="Times New Roman" w:hAnsi="Times New Roman" w:cs="Times New Roman"/>
          <w:sz w:val="24"/>
          <w:szCs w:val="24"/>
          <w:shd w:val="clear" w:color="auto" w:fill="FFFFFF"/>
        </w:rPr>
        <w:t xml:space="preserve">, particularly for </w:t>
      </w:r>
      <w:r w:rsidR="00535CD9" w:rsidRPr="00631CF2">
        <w:rPr>
          <w:rFonts w:ascii="Times New Roman" w:hAnsi="Times New Roman" w:cs="Times New Roman"/>
          <w:i/>
          <w:iCs/>
          <w:sz w:val="24"/>
          <w:szCs w:val="24"/>
          <w:shd w:val="clear" w:color="auto" w:fill="FFFFFF"/>
        </w:rPr>
        <w:t>C</w:t>
      </w:r>
      <w:r w:rsidR="00CD0B91" w:rsidRPr="00631CF2">
        <w:rPr>
          <w:rFonts w:ascii="Times New Roman" w:hAnsi="Times New Roman" w:cs="Times New Roman"/>
          <w:i/>
          <w:iCs/>
          <w:sz w:val="24"/>
          <w:szCs w:val="24"/>
          <w:shd w:val="clear" w:color="auto" w:fill="FFFFFF"/>
        </w:rPr>
        <w:t xml:space="preserve">. </w:t>
      </w:r>
      <w:proofErr w:type="spellStart"/>
      <w:r w:rsidR="00CD0B91" w:rsidRPr="00631CF2">
        <w:rPr>
          <w:rFonts w:ascii="Times New Roman" w:hAnsi="Times New Roman" w:cs="Times New Roman"/>
          <w:i/>
          <w:iCs/>
          <w:sz w:val="24"/>
          <w:szCs w:val="24"/>
          <w:shd w:val="clear" w:color="auto" w:fill="FFFFFF"/>
        </w:rPr>
        <w:t>clandestinus</w:t>
      </w:r>
      <w:proofErr w:type="spellEnd"/>
      <w:r w:rsidRPr="00631CF2">
        <w:rPr>
          <w:rFonts w:ascii="Times New Roman" w:hAnsi="Times New Roman" w:cs="Times New Roman"/>
          <w:sz w:val="24"/>
          <w:szCs w:val="24"/>
          <w:shd w:val="clear" w:color="auto" w:fill="FFFFFF"/>
        </w:rPr>
        <w:t xml:space="preserve">. </w:t>
      </w:r>
    </w:p>
    <w:p w14:paraId="5B254486" w14:textId="21B03793" w:rsidR="000F33C5" w:rsidRPr="00631CF2" w:rsidRDefault="412175EC"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shd w:val="clear" w:color="auto" w:fill="FFFFFF"/>
        </w:rPr>
        <w:t>The</w:t>
      </w:r>
      <w:r w:rsidR="4A91B7A1" w:rsidRPr="00631CF2">
        <w:rPr>
          <w:rFonts w:ascii="Times New Roman" w:hAnsi="Times New Roman" w:cs="Times New Roman"/>
          <w:sz w:val="24"/>
          <w:szCs w:val="24"/>
          <w:shd w:val="clear" w:color="auto" w:fill="FFFFFF"/>
        </w:rPr>
        <w:t xml:space="preserve"> </w:t>
      </w:r>
      <w:r w:rsidR="00952C35" w:rsidRPr="00631CF2">
        <w:rPr>
          <w:rFonts w:ascii="Times New Roman" w:hAnsi="Times New Roman" w:cs="Times New Roman"/>
          <w:sz w:val="24"/>
          <w:szCs w:val="24"/>
          <w:shd w:val="clear" w:color="auto" w:fill="FFFFFF"/>
        </w:rPr>
        <w:t>tiller population density (TPD)</w:t>
      </w:r>
      <w:r w:rsidRPr="00631CF2">
        <w:rPr>
          <w:rFonts w:ascii="Times New Roman" w:hAnsi="Times New Roman" w:cs="Times New Roman"/>
          <w:sz w:val="24"/>
          <w:szCs w:val="24"/>
          <w:shd w:val="clear" w:color="auto" w:fill="FFFFFF"/>
        </w:rPr>
        <w:t xml:space="preserve"> was a sensitive trait, with significant differences observed by season and treatments in both grass species. In </w:t>
      </w:r>
      <w:r w:rsidRPr="00631CF2">
        <w:rPr>
          <w:rFonts w:ascii="Times New Roman" w:hAnsi="Times New Roman" w:cs="Times New Roman"/>
          <w:i/>
          <w:iCs/>
          <w:sz w:val="24"/>
          <w:szCs w:val="24"/>
          <w:shd w:val="clear" w:color="auto" w:fill="FFFFFF"/>
        </w:rPr>
        <w:t xml:space="preserve">L. </w:t>
      </w:r>
      <w:proofErr w:type="spellStart"/>
      <w:r w:rsidRPr="00631CF2">
        <w:rPr>
          <w:rFonts w:ascii="Times New Roman" w:hAnsi="Times New Roman" w:cs="Times New Roman"/>
          <w:i/>
          <w:iCs/>
          <w:sz w:val="24"/>
          <w:szCs w:val="24"/>
          <w:shd w:val="clear" w:color="auto" w:fill="FFFFFF"/>
        </w:rPr>
        <w:t>arundinaceum</w:t>
      </w:r>
      <w:proofErr w:type="spellEnd"/>
      <w:r w:rsidRPr="00631CF2">
        <w:rPr>
          <w:rFonts w:ascii="Times New Roman" w:hAnsi="Times New Roman" w:cs="Times New Roman"/>
          <w:sz w:val="24"/>
          <w:szCs w:val="24"/>
          <w:shd w:val="clear" w:color="auto" w:fill="FFFFFF"/>
        </w:rPr>
        <w:t xml:space="preserve">, changes in TPD were influenced by Spring Hard Grazing (HSG) in the summer and winter seasons, </w:t>
      </w:r>
      <w:r w:rsidRPr="00631CF2">
        <w:rPr>
          <w:rFonts w:ascii="Times New Roman" w:hAnsi="Times New Roman" w:cs="Times New Roman"/>
          <w:sz w:val="24"/>
          <w:szCs w:val="24"/>
          <w:shd w:val="clear" w:color="auto" w:fill="FFFFFF"/>
        </w:rPr>
        <w:lastRenderedPageBreak/>
        <w:t xml:space="preserve">whereas in </w:t>
      </w:r>
      <w:r w:rsidR="00535CD9" w:rsidRPr="00631CF2">
        <w:rPr>
          <w:rFonts w:ascii="Times New Roman" w:hAnsi="Times New Roman" w:cs="Times New Roman"/>
          <w:i/>
          <w:iCs/>
          <w:sz w:val="24"/>
          <w:szCs w:val="24"/>
          <w:shd w:val="clear" w:color="auto" w:fill="FFFFFF"/>
        </w:rPr>
        <w:t>C</w:t>
      </w:r>
      <w:r w:rsidRPr="00631CF2">
        <w:rPr>
          <w:rFonts w:ascii="Times New Roman" w:hAnsi="Times New Roman" w:cs="Times New Roman"/>
          <w:i/>
          <w:iCs/>
          <w:sz w:val="24"/>
          <w:szCs w:val="24"/>
          <w:shd w:val="clear" w:color="auto" w:fill="FFFFFF"/>
        </w:rPr>
        <w:t xml:space="preserve">. </w:t>
      </w:r>
      <w:proofErr w:type="spellStart"/>
      <w:r w:rsidRPr="00631CF2">
        <w:rPr>
          <w:rFonts w:ascii="Times New Roman" w:hAnsi="Times New Roman" w:cs="Times New Roman"/>
          <w:i/>
          <w:iCs/>
          <w:sz w:val="24"/>
          <w:szCs w:val="24"/>
          <w:shd w:val="clear" w:color="auto" w:fill="FFFFFF"/>
        </w:rPr>
        <w:t>clandestinus</w:t>
      </w:r>
      <w:proofErr w:type="spellEnd"/>
      <w:r w:rsidRPr="00631CF2">
        <w:rPr>
          <w:rFonts w:ascii="Times New Roman" w:hAnsi="Times New Roman" w:cs="Times New Roman"/>
          <w:sz w:val="24"/>
          <w:szCs w:val="24"/>
          <w:shd w:val="clear" w:color="auto" w:fill="FFFFFF"/>
        </w:rPr>
        <w:t xml:space="preserve">, this trait was affected by height management (Table 1). Similar observations have been noted in other grass species, where intensive grazing during spring promoted </w:t>
      </w:r>
      <w:r w:rsidR="00511FF1" w:rsidRPr="00631CF2">
        <w:rPr>
          <w:rFonts w:ascii="Times New Roman" w:hAnsi="Times New Roman" w:cs="Times New Roman"/>
          <w:sz w:val="24"/>
          <w:szCs w:val="24"/>
          <w:shd w:val="clear" w:color="auto" w:fill="FFFFFF"/>
        </w:rPr>
        <w:t xml:space="preserve">increase in </w:t>
      </w:r>
      <w:r w:rsidRPr="00631CF2">
        <w:rPr>
          <w:rFonts w:ascii="Times New Roman" w:hAnsi="Times New Roman" w:cs="Times New Roman"/>
          <w:sz w:val="24"/>
          <w:szCs w:val="24"/>
          <w:shd w:val="clear" w:color="auto" w:fill="FFFFFF"/>
        </w:rPr>
        <w:t xml:space="preserve">tiller densities </w:t>
      </w:r>
      <w:r w:rsidR="006457DA" w:rsidRPr="00631CF2">
        <w:rPr>
          <w:rFonts w:ascii="Times New Roman" w:hAnsi="Times New Roman" w:cs="Times New Roman"/>
          <w:sz w:val="24"/>
          <w:szCs w:val="24"/>
          <w:shd w:val="clear" w:color="auto" w:fill="FFFFFF"/>
        </w:rPr>
        <w:fldChar w:fldCharType="begin"/>
      </w:r>
      <w:r w:rsidR="006457DA" w:rsidRPr="00631CF2">
        <w:rPr>
          <w:rFonts w:ascii="Times New Roman" w:hAnsi="Times New Roman" w:cs="Times New Roman"/>
          <w:sz w:val="24"/>
          <w:szCs w:val="24"/>
          <w:shd w:val="clear" w:color="auto" w:fill="FFFFFF"/>
        </w:rPr>
        <w:instrText xml:space="preserve"> ADDIN ZOTERO_ITEM CSL_CITATION {"citationID":"QOcwAUy2","properties":{"formattedCitation":"(Korte {\\i{}et al.} 1984)","plainCitation":"(Korte et al. 1984)","noteIndex":0},"citationItems":[{"id":492,"uris":["http://zotero.org/users/12323737/items/S2WIY2EH"],"itemData":{"id":492,"type":"article-journal","container-title":"New Zealand Journal of Agricultural Research","DOI":"10.1080/00288233.1984.10430413","ISSN":"0028-8233, 1175-8775","issue":"2","journalAbbreviation":"New Zealand Journal of Agricultural Research","language":"en","page":"135-149","source":"DOI.org (Crossref)","title":"Effects of the timing and intensity of spring grazings on reproductive development, tillering, and herbage production of perennial ryegrass dominant pasture","volume":"27","author":[{"family":"Korte","given":"C. J."},{"family":"Watkin","given":"B. R."},{"family":"Harris","given":"W."}],"issued":{"date-parts":[["1984",5]]}}}],"schema":"https://github.com/citation-style-language/schema/raw/master/csl-citation.json"} </w:instrText>
      </w:r>
      <w:r w:rsidR="006457DA" w:rsidRPr="00631CF2">
        <w:rPr>
          <w:rFonts w:ascii="Times New Roman" w:hAnsi="Times New Roman" w:cs="Times New Roman"/>
          <w:sz w:val="24"/>
          <w:szCs w:val="24"/>
          <w:shd w:val="clear" w:color="auto" w:fill="FFFFFF"/>
        </w:rPr>
        <w:fldChar w:fldCharType="separate"/>
      </w:r>
      <w:r w:rsidR="5E1A0166" w:rsidRPr="00631CF2">
        <w:rPr>
          <w:rFonts w:ascii="Times New Roman" w:hAnsi="Times New Roman" w:cs="Times New Roman"/>
          <w:sz w:val="24"/>
          <w:szCs w:val="24"/>
        </w:rPr>
        <w:t xml:space="preserve">(Korte </w:t>
      </w:r>
      <w:r w:rsidR="000C0E26" w:rsidRPr="00631CF2">
        <w:rPr>
          <w:rFonts w:ascii="Times New Roman" w:hAnsi="Times New Roman" w:cs="Times New Roman"/>
          <w:i/>
          <w:iCs/>
          <w:sz w:val="24"/>
          <w:szCs w:val="24"/>
        </w:rPr>
        <w:t>et al.,</w:t>
      </w:r>
      <w:r w:rsidR="5E1A0166" w:rsidRPr="00631CF2">
        <w:rPr>
          <w:rFonts w:ascii="Times New Roman" w:hAnsi="Times New Roman" w:cs="Times New Roman"/>
          <w:sz w:val="24"/>
          <w:szCs w:val="24"/>
        </w:rPr>
        <w:t xml:space="preserve"> 1984)</w:t>
      </w:r>
      <w:r w:rsidR="006457DA" w:rsidRPr="00631CF2">
        <w:rPr>
          <w:rFonts w:ascii="Times New Roman" w:hAnsi="Times New Roman" w:cs="Times New Roman"/>
          <w:sz w:val="24"/>
          <w:szCs w:val="24"/>
          <w:shd w:val="clear" w:color="auto" w:fill="FFFFFF"/>
        </w:rPr>
        <w:fldChar w:fldCharType="end"/>
      </w:r>
      <w:r w:rsidRPr="00631CF2">
        <w:rPr>
          <w:rFonts w:ascii="Times New Roman" w:hAnsi="Times New Roman" w:cs="Times New Roman"/>
          <w:sz w:val="24"/>
          <w:szCs w:val="24"/>
          <w:shd w:val="clear" w:color="auto" w:fill="FFFFFF"/>
        </w:rPr>
        <w:t xml:space="preserve">, which also led to reductions in reproductive tillers and </w:t>
      </w:r>
      <w:r w:rsidR="00511FF1" w:rsidRPr="00631CF2">
        <w:rPr>
          <w:rFonts w:ascii="Times New Roman" w:hAnsi="Times New Roman" w:cs="Times New Roman"/>
          <w:sz w:val="24"/>
          <w:szCs w:val="24"/>
          <w:shd w:val="clear" w:color="auto" w:fill="FFFFFF"/>
        </w:rPr>
        <w:t>increased</w:t>
      </w:r>
      <w:r w:rsidRPr="00631CF2">
        <w:rPr>
          <w:rFonts w:ascii="Times New Roman" w:hAnsi="Times New Roman" w:cs="Times New Roman"/>
          <w:sz w:val="24"/>
          <w:szCs w:val="24"/>
          <w:shd w:val="clear" w:color="auto" w:fill="FFFFFF"/>
        </w:rPr>
        <w:t xml:space="preserve"> their longevit</w:t>
      </w:r>
      <w:r w:rsidR="00511FF1" w:rsidRPr="00631CF2">
        <w:rPr>
          <w:rFonts w:ascii="Times New Roman" w:hAnsi="Times New Roman" w:cs="Times New Roman"/>
          <w:sz w:val="24"/>
          <w:szCs w:val="24"/>
          <w:shd w:val="clear" w:color="auto" w:fill="FFFFFF"/>
        </w:rPr>
        <w:t>ies</w:t>
      </w:r>
      <w:r w:rsidRPr="00631CF2">
        <w:rPr>
          <w:rFonts w:ascii="Times New Roman" w:hAnsi="Times New Roman" w:cs="Times New Roman"/>
          <w:sz w:val="24"/>
          <w:szCs w:val="24"/>
          <w:shd w:val="clear" w:color="auto" w:fill="FFFFFF"/>
        </w:rPr>
        <w:t xml:space="preserve"> (Davies, 1988). Additionally, in mini</w:t>
      </w:r>
      <w:r w:rsidR="3937DC11" w:rsidRPr="00631CF2">
        <w:rPr>
          <w:rFonts w:ascii="Times New Roman" w:hAnsi="Times New Roman" w:cs="Times New Roman"/>
          <w:sz w:val="24"/>
          <w:szCs w:val="24"/>
        </w:rPr>
        <w:t>ature</w:t>
      </w:r>
      <w:r w:rsidR="3937DC11" w:rsidRPr="00631CF2">
        <w:rPr>
          <w:rFonts w:ascii="Times New Roman" w:hAnsi="Times New Roman" w:cs="Times New Roman"/>
          <w:sz w:val="24"/>
          <w:szCs w:val="24"/>
          <w:shd w:val="clear" w:color="auto" w:fill="FFFFFF"/>
        </w:rPr>
        <w:t xml:space="preserve"> </w:t>
      </w:r>
      <w:r w:rsidRPr="00631CF2">
        <w:rPr>
          <w:rFonts w:ascii="Times New Roman" w:hAnsi="Times New Roman" w:cs="Times New Roman"/>
          <w:sz w:val="24"/>
          <w:szCs w:val="24"/>
          <w:shd w:val="clear" w:color="auto" w:fill="FFFFFF"/>
        </w:rPr>
        <w:t xml:space="preserve">swards of </w:t>
      </w:r>
      <w:r w:rsidRPr="00631CF2">
        <w:rPr>
          <w:rFonts w:ascii="Times New Roman" w:hAnsi="Times New Roman" w:cs="Times New Roman"/>
          <w:i/>
          <w:iCs/>
          <w:sz w:val="24"/>
          <w:szCs w:val="24"/>
          <w:shd w:val="clear" w:color="auto" w:fill="FFFFFF"/>
        </w:rPr>
        <w:t xml:space="preserve">Lolium </w:t>
      </w:r>
      <w:proofErr w:type="spellStart"/>
      <w:r w:rsidRPr="00631CF2">
        <w:rPr>
          <w:rFonts w:ascii="Times New Roman" w:hAnsi="Times New Roman" w:cs="Times New Roman"/>
          <w:i/>
          <w:iCs/>
          <w:sz w:val="24"/>
          <w:szCs w:val="24"/>
          <w:shd w:val="clear" w:color="auto" w:fill="FFFFFF"/>
        </w:rPr>
        <w:t>perenne</w:t>
      </w:r>
      <w:proofErr w:type="spellEnd"/>
      <w:r w:rsidR="6527300F" w:rsidRPr="00631CF2">
        <w:rPr>
          <w:rFonts w:ascii="Times New Roman" w:hAnsi="Times New Roman" w:cs="Times New Roman"/>
          <w:i/>
          <w:iCs/>
          <w:sz w:val="24"/>
          <w:szCs w:val="24"/>
          <w:shd w:val="clear" w:color="auto" w:fill="FFFFFF"/>
        </w:rPr>
        <w:t xml:space="preserve"> </w:t>
      </w:r>
      <w:r w:rsidR="6527300F" w:rsidRPr="00631CF2">
        <w:rPr>
          <w:rFonts w:ascii="Times New Roman" w:hAnsi="Times New Roman" w:cs="Times New Roman"/>
          <w:sz w:val="24"/>
          <w:szCs w:val="24"/>
          <w:shd w:val="clear" w:color="auto" w:fill="FFFFFF"/>
        </w:rPr>
        <w:t>(plastic plots</w:t>
      </w:r>
      <w:r w:rsidR="2263BB2F" w:rsidRPr="00631CF2">
        <w:rPr>
          <w:rFonts w:ascii="Times New Roman" w:hAnsi="Times New Roman" w:cs="Times New Roman"/>
          <w:sz w:val="24"/>
          <w:szCs w:val="24"/>
          <w:shd w:val="clear" w:color="auto" w:fill="FFFFFF"/>
        </w:rPr>
        <w:t xml:space="preserve"> in a greenhouse assay</w:t>
      </w:r>
      <w:r w:rsidR="6527300F" w:rsidRPr="00631CF2">
        <w:rPr>
          <w:rFonts w:ascii="Times New Roman" w:hAnsi="Times New Roman" w:cs="Times New Roman"/>
          <w:sz w:val="24"/>
          <w:szCs w:val="24"/>
          <w:shd w:val="clear" w:color="auto" w:fill="FFFFFF"/>
        </w:rPr>
        <w:t>)</w:t>
      </w:r>
      <w:r w:rsidRPr="00631CF2">
        <w:rPr>
          <w:rFonts w:ascii="Times New Roman" w:hAnsi="Times New Roman" w:cs="Times New Roman"/>
          <w:sz w:val="24"/>
          <w:szCs w:val="24"/>
          <w:shd w:val="clear" w:color="auto" w:fill="FFFFFF"/>
        </w:rPr>
        <w:t xml:space="preserve">, </w:t>
      </w:r>
      <w:r w:rsidR="00CF6428" w:rsidRPr="00631CF2">
        <w:rPr>
          <w:rFonts w:ascii="Times New Roman" w:hAnsi="Times New Roman" w:cs="Times New Roman"/>
          <w:sz w:val="24"/>
          <w:szCs w:val="24"/>
          <w:shd w:val="clear" w:color="auto" w:fill="FFFFFF"/>
        </w:rPr>
        <w:t xml:space="preserve">the </w:t>
      </w:r>
      <w:r w:rsidRPr="00631CF2">
        <w:rPr>
          <w:rFonts w:ascii="Times New Roman" w:hAnsi="Times New Roman" w:cs="Times New Roman"/>
          <w:sz w:val="24"/>
          <w:szCs w:val="24"/>
          <w:shd w:val="clear" w:color="auto" w:fill="FFFFFF"/>
        </w:rPr>
        <w:t xml:space="preserve">TPD increased with reduction in defoliation height </w:t>
      </w:r>
      <w:r w:rsidR="00D533B8" w:rsidRPr="00631CF2">
        <w:rPr>
          <w:rFonts w:ascii="Times New Roman" w:hAnsi="Times New Roman" w:cs="Times New Roman"/>
          <w:sz w:val="24"/>
          <w:szCs w:val="24"/>
          <w:shd w:val="clear" w:color="auto" w:fill="FFFFFF"/>
        </w:rPr>
        <w:fldChar w:fldCharType="begin"/>
      </w:r>
      <w:r w:rsidR="00D533B8" w:rsidRPr="00631CF2">
        <w:rPr>
          <w:rFonts w:ascii="Times New Roman" w:hAnsi="Times New Roman" w:cs="Times New Roman"/>
          <w:sz w:val="24"/>
          <w:szCs w:val="24"/>
          <w:shd w:val="clear" w:color="auto" w:fill="FFFFFF"/>
        </w:rPr>
        <w:instrText xml:space="preserve"> ADDIN ZOTERO_ITEM CSL_CITATION {"citationID":"uZK17jda","properties":{"formattedCitation":"(Garay {\\i{}et al.} 1999)","plainCitation":"(Garay et al. 1999)","noteIndex":0},"citationItems":[{"id":1,"uris":["http://zotero.org/users/12323737/items/W3JXRXRU"],"itemData":{"id":1,"type":"article-journal","container-title":"Grass and Forage Science","DOI":"10.1046/j.1365-2494.1999.00187.x","ISSN":"01425242","issue":"4","language":"en","page":"347-356","source":"DOI.org (Crossref)","title":"Tiller size/density compensation in perennial ryegrass miniature swards subject to differing defoliation heights and a proposed productivity index: Defoliation height and tiller size/density compensation in ryegrass swards","title-short":"Tiller size/density compensation in perennial ryegrass miniature swards subject to differing defoliation heights and a proposed productivity index","volume":"54","author":[{"family":"Garay","given":"A. Hernández"},{"literal":"Matthew"},{"literal":"Hodgson"}],"issued":{"date-parts":[["1999",12]]}}}],"schema":"https://github.com/citation-style-language/schema/raw/master/csl-citation.json"} </w:instrText>
      </w:r>
      <w:r w:rsidR="00D533B8" w:rsidRPr="00631CF2">
        <w:rPr>
          <w:rFonts w:ascii="Times New Roman" w:hAnsi="Times New Roman" w:cs="Times New Roman"/>
          <w:sz w:val="24"/>
          <w:szCs w:val="24"/>
          <w:shd w:val="clear" w:color="auto" w:fill="FFFFFF"/>
        </w:rPr>
        <w:fldChar w:fldCharType="separate"/>
      </w:r>
      <w:r w:rsidR="18D3801D" w:rsidRPr="00631CF2">
        <w:rPr>
          <w:rFonts w:ascii="Times New Roman" w:hAnsi="Times New Roman" w:cs="Times New Roman"/>
          <w:sz w:val="24"/>
          <w:szCs w:val="24"/>
        </w:rPr>
        <w:t xml:space="preserve">(Garay </w:t>
      </w:r>
      <w:r w:rsidR="000C0E26" w:rsidRPr="00631CF2">
        <w:rPr>
          <w:rFonts w:ascii="Times New Roman" w:hAnsi="Times New Roman" w:cs="Times New Roman"/>
          <w:i/>
          <w:iCs/>
          <w:sz w:val="24"/>
          <w:szCs w:val="24"/>
        </w:rPr>
        <w:t>et al.,</w:t>
      </w:r>
      <w:r w:rsidR="18D3801D" w:rsidRPr="00631CF2">
        <w:rPr>
          <w:rFonts w:ascii="Times New Roman" w:hAnsi="Times New Roman" w:cs="Times New Roman"/>
          <w:sz w:val="24"/>
          <w:szCs w:val="24"/>
        </w:rPr>
        <w:t xml:space="preserve"> 1999)</w:t>
      </w:r>
      <w:r w:rsidR="00D533B8" w:rsidRPr="00631CF2">
        <w:rPr>
          <w:rFonts w:ascii="Times New Roman" w:hAnsi="Times New Roman" w:cs="Times New Roman"/>
          <w:sz w:val="24"/>
          <w:szCs w:val="24"/>
          <w:shd w:val="clear" w:color="auto" w:fill="FFFFFF"/>
        </w:rPr>
        <w:fldChar w:fldCharType="end"/>
      </w:r>
      <w:r w:rsidRPr="00631CF2">
        <w:rPr>
          <w:rFonts w:ascii="Times New Roman" w:hAnsi="Times New Roman" w:cs="Times New Roman"/>
          <w:sz w:val="24"/>
          <w:szCs w:val="24"/>
          <w:shd w:val="clear" w:color="auto" w:fill="FFFFFF"/>
        </w:rPr>
        <w:t>. They also observed varied relationships between TPD and tiller weight among different treatments.</w:t>
      </w:r>
      <w:r w:rsidRPr="00631CF2">
        <w:rPr>
          <w:rFonts w:ascii="Times New Roman" w:hAnsi="Times New Roman" w:cs="Times New Roman"/>
          <w:sz w:val="24"/>
          <w:szCs w:val="24"/>
        </w:rPr>
        <w:t xml:space="preserve"> </w:t>
      </w:r>
    </w:p>
    <w:p w14:paraId="3FC2A4D8" w14:textId="7B200C3A" w:rsidR="000F33C5" w:rsidRPr="00631CF2" w:rsidRDefault="412175EC"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shd w:val="clear" w:color="auto" w:fill="FFFFFF"/>
        </w:rPr>
        <w:t xml:space="preserve">Furthermore, the TW of </w:t>
      </w:r>
      <w:r w:rsidR="00A86E10" w:rsidRPr="00631CF2">
        <w:rPr>
          <w:rFonts w:ascii="Times New Roman" w:hAnsi="Times New Roman" w:cs="Times New Roman"/>
          <w:i/>
          <w:iCs/>
          <w:sz w:val="24"/>
          <w:szCs w:val="24"/>
          <w:shd w:val="clear" w:color="auto" w:fill="FFFFFF"/>
        </w:rPr>
        <w:t>C</w:t>
      </w:r>
      <w:r w:rsidRPr="00631CF2">
        <w:rPr>
          <w:rFonts w:ascii="Times New Roman" w:hAnsi="Times New Roman" w:cs="Times New Roman"/>
          <w:i/>
          <w:iCs/>
          <w:sz w:val="24"/>
          <w:szCs w:val="24"/>
          <w:shd w:val="clear" w:color="auto" w:fill="FFFFFF"/>
        </w:rPr>
        <w:t xml:space="preserve">. </w:t>
      </w:r>
      <w:proofErr w:type="spellStart"/>
      <w:r w:rsidRPr="00631CF2">
        <w:rPr>
          <w:rFonts w:ascii="Times New Roman" w:hAnsi="Times New Roman" w:cs="Times New Roman"/>
          <w:i/>
          <w:iCs/>
          <w:sz w:val="24"/>
          <w:szCs w:val="24"/>
          <w:shd w:val="clear" w:color="auto" w:fill="FFFFFF"/>
        </w:rPr>
        <w:t>clandestinus</w:t>
      </w:r>
      <w:proofErr w:type="spellEnd"/>
      <w:r w:rsidRPr="00631CF2">
        <w:rPr>
          <w:rFonts w:ascii="Times New Roman" w:hAnsi="Times New Roman" w:cs="Times New Roman"/>
          <w:i/>
          <w:iCs/>
          <w:sz w:val="24"/>
          <w:szCs w:val="24"/>
          <w:shd w:val="clear" w:color="auto" w:fill="FFFFFF"/>
        </w:rPr>
        <w:t xml:space="preserve"> </w:t>
      </w:r>
      <w:r w:rsidRPr="00631CF2">
        <w:rPr>
          <w:rFonts w:ascii="Times New Roman" w:hAnsi="Times New Roman" w:cs="Times New Roman"/>
          <w:sz w:val="24"/>
          <w:szCs w:val="24"/>
          <w:shd w:val="clear" w:color="auto" w:fill="FFFFFF"/>
        </w:rPr>
        <w:t xml:space="preserve">and </w:t>
      </w:r>
      <w:r w:rsidRPr="00631CF2">
        <w:rPr>
          <w:rFonts w:ascii="Times New Roman" w:hAnsi="Times New Roman" w:cs="Times New Roman"/>
          <w:i/>
          <w:iCs/>
          <w:sz w:val="24"/>
          <w:szCs w:val="24"/>
          <w:shd w:val="clear" w:color="auto" w:fill="FFFFFF"/>
        </w:rPr>
        <w:t xml:space="preserve">L. </w:t>
      </w:r>
      <w:proofErr w:type="spellStart"/>
      <w:r w:rsidRPr="00631CF2">
        <w:rPr>
          <w:rFonts w:ascii="Times New Roman" w:hAnsi="Times New Roman" w:cs="Times New Roman"/>
          <w:i/>
          <w:iCs/>
          <w:sz w:val="24"/>
          <w:szCs w:val="24"/>
          <w:shd w:val="clear" w:color="auto" w:fill="FFFFFF"/>
        </w:rPr>
        <w:t>arundinaceum</w:t>
      </w:r>
      <w:proofErr w:type="spellEnd"/>
      <w:r w:rsidRPr="00631CF2">
        <w:rPr>
          <w:rFonts w:ascii="Times New Roman" w:hAnsi="Times New Roman" w:cs="Times New Roman"/>
          <w:sz w:val="24"/>
          <w:szCs w:val="24"/>
          <w:shd w:val="clear" w:color="auto" w:fill="FFFFFF"/>
        </w:rPr>
        <w:t xml:space="preserve"> varied with </w:t>
      </w:r>
      <w:r w:rsidRPr="00631CF2">
        <w:rPr>
          <w:rFonts w:ascii="Times New Roman" w:hAnsi="Times New Roman" w:cs="Times New Roman"/>
          <w:sz w:val="24"/>
          <w:szCs w:val="24"/>
        </w:rPr>
        <w:t xml:space="preserve">grazing management (Table 1). Similar results were obtained in a mixed pasture with </w:t>
      </w:r>
      <w:r w:rsidR="00A86E10" w:rsidRPr="00631CF2">
        <w:rPr>
          <w:rFonts w:ascii="Times New Roman" w:hAnsi="Times New Roman" w:cs="Times New Roman"/>
          <w:i/>
          <w:iCs/>
          <w:sz w:val="24"/>
          <w:szCs w:val="24"/>
          <w:shd w:val="clear" w:color="auto" w:fill="FFFFFF"/>
        </w:rPr>
        <w:t>C</w:t>
      </w:r>
      <w:r w:rsidRPr="00631CF2">
        <w:rPr>
          <w:rFonts w:ascii="Times New Roman" w:hAnsi="Times New Roman" w:cs="Times New Roman"/>
          <w:i/>
          <w:iCs/>
          <w:sz w:val="24"/>
          <w:szCs w:val="24"/>
          <w:shd w:val="clear" w:color="auto" w:fill="FFFFFF"/>
        </w:rPr>
        <w:t xml:space="preserve">. </w:t>
      </w:r>
      <w:proofErr w:type="spellStart"/>
      <w:r w:rsidRPr="00631CF2">
        <w:rPr>
          <w:rFonts w:ascii="Times New Roman" w:hAnsi="Times New Roman" w:cs="Times New Roman"/>
          <w:i/>
          <w:iCs/>
          <w:sz w:val="24"/>
          <w:szCs w:val="24"/>
          <w:shd w:val="clear" w:color="auto" w:fill="FFFFFF"/>
        </w:rPr>
        <w:t>clandestinus</w:t>
      </w:r>
      <w:proofErr w:type="spellEnd"/>
      <w:r w:rsidRPr="00631CF2">
        <w:rPr>
          <w:rFonts w:ascii="Times New Roman" w:hAnsi="Times New Roman" w:cs="Times New Roman"/>
          <w:i/>
          <w:iCs/>
          <w:sz w:val="24"/>
          <w:szCs w:val="24"/>
          <w:shd w:val="clear" w:color="auto" w:fill="FFFFFF"/>
        </w:rPr>
        <w:t xml:space="preserve"> </w:t>
      </w:r>
      <w:r w:rsidRPr="00631CF2">
        <w:rPr>
          <w:rFonts w:ascii="Times New Roman" w:hAnsi="Times New Roman" w:cs="Times New Roman"/>
          <w:sz w:val="24"/>
          <w:szCs w:val="24"/>
          <w:shd w:val="clear" w:color="auto" w:fill="FFFFFF"/>
        </w:rPr>
        <w:t>and</w:t>
      </w:r>
      <w:r w:rsidRPr="00631CF2">
        <w:rPr>
          <w:rFonts w:ascii="Times New Roman" w:hAnsi="Times New Roman" w:cs="Times New Roman"/>
          <w:i/>
          <w:iCs/>
          <w:sz w:val="24"/>
          <w:szCs w:val="24"/>
          <w:shd w:val="clear" w:color="auto" w:fill="FFFFFF"/>
        </w:rPr>
        <w:t xml:space="preserve"> </w:t>
      </w:r>
      <w:proofErr w:type="spellStart"/>
      <w:r w:rsidRPr="00631CF2">
        <w:rPr>
          <w:rFonts w:ascii="Times New Roman" w:hAnsi="Times New Roman" w:cs="Times New Roman"/>
          <w:i/>
          <w:iCs/>
          <w:sz w:val="24"/>
          <w:szCs w:val="24"/>
          <w:shd w:val="clear" w:color="auto" w:fill="FFFFFF"/>
        </w:rPr>
        <w:t>Cynodon</w:t>
      </w:r>
      <w:proofErr w:type="spellEnd"/>
      <w:r w:rsidRPr="00631CF2">
        <w:rPr>
          <w:rFonts w:ascii="Times New Roman" w:hAnsi="Times New Roman" w:cs="Times New Roman"/>
          <w:sz w:val="24"/>
          <w:szCs w:val="24"/>
        </w:rPr>
        <w:t xml:space="preserve">, where taller management heights (23 cm compared to 17 cm) increased TW, herbage mass, light interception (LI), and leaf area index (LAI) </w:t>
      </w:r>
      <w:r w:rsidR="004B55CF" w:rsidRPr="00631CF2">
        <w:rPr>
          <w:rFonts w:ascii="Times New Roman" w:hAnsi="Times New Roman" w:cs="Times New Roman"/>
          <w:sz w:val="24"/>
          <w:szCs w:val="24"/>
        </w:rPr>
        <w:fldChar w:fldCharType="begin"/>
      </w:r>
      <w:r w:rsidR="004B55CF" w:rsidRPr="00631CF2">
        <w:rPr>
          <w:rFonts w:ascii="Times New Roman" w:hAnsi="Times New Roman" w:cs="Times New Roman"/>
          <w:sz w:val="24"/>
          <w:szCs w:val="24"/>
        </w:rPr>
        <w:instrText xml:space="preserve"> ADDIN ZOTERO_ITEM CSL_CITATION {"citationID":"bwJxogWp","properties":{"formattedCitation":"(Barreta {\\i{}et al.} 2023)","plainCitation":"(Barreta et al. 2023)","noteIndex":0},"citationItems":[{"id":59,"uris":["http://zotero.org/users/12323737/items/5XUADJT3"],"itemData":{"id":59,"type":"article-journal","container-title":"European Journal of Agronomy","DOI":"10.1016/j.eja.2023.126883","ISSN":"11610301","journalAbbreviation":"European Journal of Agronomy","language":"en","page":"126883","source":"DOI.org (Crossref)","title":"Managing a mixed sward to maintain species and functional diversity","volume":"149","author":[{"family":"Barreta","given":"Daniel A."},{"family":"Winter","given":"Fábio L."},{"family":"Gislon","given":"Fernanda C.S."},{"family":"Sollenberger","given":"Lynn E."},{"family":"Sbrissia","given":"André F."}],"issued":{"date-parts":[["2023",9]]}}}],"schema":"https://github.com/citation-style-language/schema/raw/master/csl-citation.json"} </w:instrText>
      </w:r>
      <w:r w:rsidR="004B55CF" w:rsidRPr="00631CF2">
        <w:rPr>
          <w:rFonts w:ascii="Times New Roman" w:hAnsi="Times New Roman" w:cs="Times New Roman"/>
          <w:sz w:val="24"/>
          <w:szCs w:val="24"/>
        </w:rPr>
        <w:fldChar w:fldCharType="separate"/>
      </w:r>
      <w:r w:rsidR="4522CABE" w:rsidRPr="00631CF2">
        <w:rPr>
          <w:rFonts w:ascii="Times New Roman" w:hAnsi="Times New Roman" w:cs="Times New Roman"/>
          <w:sz w:val="24"/>
          <w:szCs w:val="24"/>
        </w:rPr>
        <w:t>(</w:t>
      </w:r>
      <w:proofErr w:type="spellStart"/>
      <w:r w:rsidR="4522CABE" w:rsidRPr="00631CF2">
        <w:rPr>
          <w:rFonts w:ascii="Times New Roman" w:hAnsi="Times New Roman" w:cs="Times New Roman"/>
          <w:sz w:val="24"/>
          <w:szCs w:val="24"/>
        </w:rPr>
        <w:t>Barreta</w:t>
      </w:r>
      <w:proofErr w:type="spellEnd"/>
      <w:r w:rsidR="4522CABE" w:rsidRPr="00631CF2">
        <w:rPr>
          <w:rFonts w:ascii="Times New Roman" w:hAnsi="Times New Roman" w:cs="Times New Roman"/>
          <w:sz w:val="24"/>
          <w:szCs w:val="24"/>
        </w:rPr>
        <w:t xml:space="preserve"> </w:t>
      </w:r>
      <w:r w:rsidR="000C0E26" w:rsidRPr="00631CF2">
        <w:rPr>
          <w:rFonts w:ascii="Times New Roman" w:hAnsi="Times New Roman" w:cs="Times New Roman"/>
          <w:i/>
          <w:iCs/>
          <w:sz w:val="24"/>
          <w:szCs w:val="24"/>
        </w:rPr>
        <w:t>et al.,</w:t>
      </w:r>
      <w:r w:rsidR="4522CABE" w:rsidRPr="00631CF2">
        <w:rPr>
          <w:rFonts w:ascii="Times New Roman" w:hAnsi="Times New Roman" w:cs="Times New Roman"/>
          <w:sz w:val="24"/>
          <w:szCs w:val="24"/>
        </w:rPr>
        <w:t xml:space="preserve"> 2023)</w:t>
      </w:r>
      <w:r w:rsidR="004B55CF" w:rsidRPr="00631CF2">
        <w:rPr>
          <w:rFonts w:ascii="Times New Roman" w:hAnsi="Times New Roman" w:cs="Times New Roman"/>
          <w:sz w:val="24"/>
          <w:szCs w:val="24"/>
        </w:rPr>
        <w:fldChar w:fldCharType="end"/>
      </w:r>
      <w:r w:rsidRPr="00631CF2">
        <w:rPr>
          <w:rFonts w:ascii="Times New Roman" w:hAnsi="Times New Roman" w:cs="Times New Roman"/>
          <w:sz w:val="24"/>
          <w:szCs w:val="24"/>
        </w:rPr>
        <w:t xml:space="preserve">. In addition, higher tiller weight has been associated with some plant functional traits, including the number of leaves per tiller, final leaf size, and leaf appearance rate </w:t>
      </w:r>
      <w:r w:rsidR="004B55CF" w:rsidRPr="00631CF2">
        <w:rPr>
          <w:rFonts w:ascii="Times New Roman" w:hAnsi="Times New Roman" w:cs="Times New Roman"/>
          <w:sz w:val="24"/>
          <w:szCs w:val="24"/>
        </w:rPr>
        <w:fldChar w:fldCharType="begin"/>
      </w:r>
      <w:r w:rsidR="004B55CF" w:rsidRPr="00631CF2">
        <w:rPr>
          <w:rFonts w:ascii="Times New Roman" w:hAnsi="Times New Roman" w:cs="Times New Roman"/>
          <w:sz w:val="24"/>
          <w:szCs w:val="24"/>
        </w:rPr>
        <w:instrText xml:space="preserve"> ADDIN ZOTERO_ITEM CSL_CITATION {"citationID":"qzRE01yO","properties":{"formattedCitation":"(Korte {\\i{}et al.} 1985)","plainCitation":"(Korte et al. 1985)","noteIndex":0},"citationItems":[{"id":57,"uris":["http://zotero.org/users/12323737/items/VTCVGJ6H"],"itemData":{"id":57,"type":"article-journal","container-title":"New Zealand Journal of Agricultural Research","DOI":"10.1080/00288233.1985.10417988","ISSN":"0028-8233, 1175-8775","issue":"4","journalAbbreviation":"New Zealand Journal of Agricultural Research","language":"en","page":"437-447","source":"DOI.org (Crossref)","title":"Tillering in ‘Grasslands Nui’ perennial ryegrass swards 1. Effect of cutting treatments on tiller appearance and longevity, relationship between tiller age and weight, and herbage production","volume":"28","author":[{"family":"Korte","given":"C. J."},{"family":"Watkin","given":"B. R."},{"family":"Harris","given":"W."}],"issued":{"date-parts":[["1985",10]]}}}],"schema":"https://github.com/citation-style-language/schema/raw/master/csl-citation.json"} </w:instrText>
      </w:r>
      <w:r w:rsidR="004B55CF" w:rsidRPr="00631CF2">
        <w:rPr>
          <w:rFonts w:ascii="Times New Roman" w:hAnsi="Times New Roman" w:cs="Times New Roman"/>
          <w:sz w:val="24"/>
          <w:szCs w:val="24"/>
        </w:rPr>
        <w:fldChar w:fldCharType="separate"/>
      </w:r>
      <w:r w:rsidR="4522CABE" w:rsidRPr="00631CF2">
        <w:rPr>
          <w:rFonts w:ascii="Times New Roman" w:hAnsi="Times New Roman" w:cs="Times New Roman"/>
          <w:sz w:val="24"/>
          <w:szCs w:val="24"/>
        </w:rPr>
        <w:t xml:space="preserve">(Korte </w:t>
      </w:r>
      <w:r w:rsidR="000C0E26" w:rsidRPr="00631CF2">
        <w:rPr>
          <w:rFonts w:ascii="Times New Roman" w:hAnsi="Times New Roman" w:cs="Times New Roman"/>
          <w:i/>
          <w:iCs/>
          <w:sz w:val="24"/>
          <w:szCs w:val="24"/>
        </w:rPr>
        <w:t>et al.,</w:t>
      </w:r>
      <w:r w:rsidR="4522CABE" w:rsidRPr="00631CF2">
        <w:rPr>
          <w:rFonts w:ascii="Times New Roman" w:hAnsi="Times New Roman" w:cs="Times New Roman"/>
          <w:sz w:val="24"/>
          <w:szCs w:val="24"/>
        </w:rPr>
        <w:t xml:space="preserve"> 1985)</w:t>
      </w:r>
      <w:r w:rsidR="004B55CF" w:rsidRPr="00631CF2">
        <w:rPr>
          <w:rFonts w:ascii="Times New Roman" w:hAnsi="Times New Roman" w:cs="Times New Roman"/>
          <w:sz w:val="24"/>
          <w:szCs w:val="24"/>
        </w:rPr>
        <w:fldChar w:fldCharType="end"/>
      </w:r>
      <w:r w:rsidRPr="00631CF2">
        <w:rPr>
          <w:rFonts w:ascii="Times New Roman" w:hAnsi="Times New Roman" w:cs="Times New Roman"/>
          <w:sz w:val="24"/>
          <w:szCs w:val="24"/>
        </w:rPr>
        <w:t xml:space="preserve">. </w:t>
      </w:r>
    </w:p>
    <w:p w14:paraId="5588A1B7" w14:textId="454B0CAF" w:rsidR="000F33C5" w:rsidRPr="00631CF2" w:rsidRDefault="412175EC"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shd w:val="clear" w:color="auto" w:fill="FFFFFF"/>
        </w:rPr>
        <w:t xml:space="preserve">Additionally, </w:t>
      </w:r>
      <w:r w:rsidR="35E8BCB0" w:rsidRPr="00631CF2">
        <w:rPr>
          <w:rFonts w:ascii="Times New Roman" w:hAnsi="Times New Roman" w:cs="Times New Roman"/>
          <w:sz w:val="24"/>
          <w:szCs w:val="24"/>
        </w:rPr>
        <w:t>these</w:t>
      </w:r>
      <w:r w:rsidR="35E8BCB0" w:rsidRPr="00631CF2">
        <w:rPr>
          <w:rFonts w:ascii="Times New Roman" w:hAnsi="Times New Roman" w:cs="Times New Roman"/>
          <w:sz w:val="24"/>
          <w:szCs w:val="24"/>
          <w:shd w:val="clear" w:color="auto" w:fill="FFFFFF"/>
        </w:rPr>
        <w:t xml:space="preserve"> </w:t>
      </w:r>
      <w:r w:rsidRPr="00631CF2">
        <w:rPr>
          <w:rFonts w:ascii="Times New Roman" w:hAnsi="Times New Roman" w:cs="Times New Roman"/>
          <w:sz w:val="24"/>
          <w:szCs w:val="24"/>
          <w:shd w:val="clear" w:color="auto" w:fill="FFFFFF"/>
        </w:rPr>
        <w:t xml:space="preserve">results indicate that TLS in </w:t>
      </w:r>
      <w:r w:rsidRPr="00631CF2">
        <w:rPr>
          <w:rFonts w:ascii="Times New Roman" w:hAnsi="Times New Roman" w:cs="Times New Roman"/>
          <w:i/>
          <w:iCs/>
          <w:sz w:val="24"/>
          <w:szCs w:val="24"/>
          <w:shd w:val="clear" w:color="auto" w:fill="FFFFFF"/>
        </w:rPr>
        <w:t xml:space="preserve">L. </w:t>
      </w:r>
      <w:proofErr w:type="spellStart"/>
      <w:r w:rsidRPr="00631CF2">
        <w:rPr>
          <w:rFonts w:ascii="Times New Roman" w:hAnsi="Times New Roman" w:cs="Times New Roman"/>
          <w:i/>
          <w:iCs/>
          <w:sz w:val="24"/>
          <w:szCs w:val="24"/>
          <w:shd w:val="clear" w:color="auto" w:fill="FFFFFF"/>
        </w:rPr>
        <w:t>arundinaceum</w:t>
      </w:r>
      <w:proofErr w:type="spellEnd"/>
      <w:r w:rsidRPr="00631CF2">
        <w:rPr>
          <w:rFonts w:ascii="Times New Roman" w:hAnsi="Times New Roman" w:cs="Times New Roman"/>
          <w:sz w:val="24"/>
          <w:szCs w:val="24"/>
          <w:shd w:val="clear" w:color="auto" w:fill="FFFFFF"/>
        </w:rPr>
        <w:t xml:space="preserve"> could change after a </w:t>
      </w:r>
      <w:r w:rsidR="4E299F33" w:rsidRPr="00631CF2">
        <w:rPr>
          <w:rFonts w:ascii="Times New Roman" w:hAnsi="Times New Roman" w:cs="Times New Roman"/>
          <w:sz w:val="24"/>
          <w:szCs w:val="24"/>
          <w:shd w:val="clear" w:color="auto" w:fill="FFFFFF"/>
        </w:rPr>
        <w:t>severe</w:t>
      </w:r>
      <w:r w:rsidRPr="00631CF2">
        <w:rPr>
          <w:rFonts w:ascii="Times New Roman" w:hAnsi="Times New Roman" w:cs="Times New Roman"/>
          <w:sz w:val="24"/>
          <w:szCs w:val="24"/>
          <w:shd w:val="clear" w:color="auto" w:fill="FFFFFF"/>
        </w:rPr>
        <w:t xml:space="preserve"> disturbance in the spring season, and a significant interaction with height management was observed (Table 1). </w:t>
      </w:r>
      <w:r w:rsidR="206C1A2B" w:rsidRPr="00631CF2">
        <w:rPr>
          <w:rFonts w:ascii="Times New Roman" w:hAnsi="Times New Roman" w:cs="Times New Roman"/>
          <w:sz w:val="24"/>
          <w:szCs w:val="24"/>
          <w:shd w:val="clear" w:color="auto" w:fill="FFFFFF"/>
        </w:rPr>
        <w:t>Monocultures of this grass showed</w:t>
      </w:r>
      <w:r w:rsidR="00511FF1" w:rsidRPr="00631CF2">
        <w:rPr>
          <w:rFonts w:ascii="Times New Roman" w:hAnsi="Times New Roman" w:cs="Times New Roman"/>
          <w:sz w:val="24"/>
          <w:szCs w:val="24"/>
          <w:shd w:val="clear" w:color="auto" w:fill="FFFFFF"/>
        </w:rPr>
        <w:t xml:space="preserve"> stable</w:t>
      </w:r>
      <w:r w:rsidR="157130EC" w:rsidRPr="00631CF2">
        <w:rPr>
          <w:rFonts w:ascii="Times New Roman" w:hAnsi="Times New Roman" w:cs="Times New Roman"/>
          <w:sz w:val="24"/>
          <w:szCs w:val="24"/>
          <w:shd w:val="clear" w:color="auto" w:fill="FFFFFF"/>
        </w:rPr>
        <w:t xml:space="preserve"> TLS</w:t>
      </w:r>
      <w:r w:rsidR="00511FF1" w:rsidRPr="00631CF2">
        <w:rPr>
          <w:rFonts w:ascii="Times New Roman" w:hAnsi="Times New Roman" w:cs="Times New Roman"/>
          <w:sz w:val="24"/>
          <w:szCs w:val="24"/>
          <w:shd w:val="clear" w:color="auto" w:fill="FFFFFF"/>
        </w:rPr>
        <w:t xml:space="preserve"> (≈200 days) under consistent 20 cm management (</w:t>
      </w:r>
      <w:proofErr w:type="spellStart"/>
      <w:r w:rsidR="00511FF1" w:rsidRPr="00631CF2">
        <w:rPr>
          <w:rFonts w:ascii="Times New Roman" w:hAnsi="Times New Roman" w:cs="Times New Roman"/>
          <w:sz w:val="24"/>
          <w:szCs w:val="24"/>
          <w:shd w:val="clear" w:color="auto" w:fill="FFFFFF"/>
        </w:rPr>
        <w:t>Duchini</w:t>
      </w:r>
      <w:proofErr w:type="spellEnd"/>
      <w:r w:rsidR="00511FF1" w:rsidRPr="00631CF2">
        <w:rPr>
          <w:rFonts w:ascii="Times New Roman" w:hAnsi="Times New Roman" w:cs="Times New Roman"/>
          <w:sz w:val="24"/>
          <w:szCs w:val="24"/>
          <w:shd w:val="clear" w:color="auto" w:fill="FFFFFF"/>
        </w:rPr>
        <w:t xml:space="preserve"> </w:t>
      </w:r>
      <w:r w:rsidR="000C0E26" w:rsidRPr="00631CF2">
        <w:rPr>
          <w:rFonts w:ascii="Times New Roman" w:hAnsi="Times New Roman" w:cs="Times New Roman"/>
          <w:i/>
          <w:iCs/>
          <w:sz w:val="24"/>
          <w:szCs w:val="24"/>
          <w:shd w:val="clear" w:color="auto" w:fill="FFFFFF"/>
        </w:rPr>
        <w:t>et al.,</w:t>
      </w:r>
      <w:r w:rsidR="00511FF1" w:rsidRPr="00631CF2">
        <w:rPr>
          <w:rFonts w:ascii="Times New Roman" w:hAnsi="Times New Roman" w:cs="Times New Roman"/>
          <w:sz w:val="24"/>
          <w:szCs w:val="24"/>
          <w:shd w:val="clear" w:color="auto" w:fill="FFFFFF"/>
        </w:rPr>
        <w:t xml:space="preserve"> 2018), suggesting </w:t>
      </w:r>
      <w:r w:rsidR="3854F525" w:rsidRPr="00631CF2">
        <w:rPr>
          <w:rFonts w:ascii="Times New Roman" w:hAnsi="Times New Roman" w:cs="Times New Roman"/>
          <w:sz w:val="24"/>
          <w:szCs w:val="24"/>
          <w:shd w:val="clear" w:color="auto" w:fill="FFFFFF"/>
        </w:rPr>
        <w:t xml:space="preserve">that </w:t>
      </w:r>
      <w:r w:rsidR="0CE6DFA5" w:rsidRPr="00631CF2">
        <w:rPr>
          <w:rFonts w:ascii="Times New Roman" w:hAnsi="Times New Roman" w:cs="Times New Roman"/>
          <w:i/>
          <w:iCs/>
          <w:sz w:val="24"/>
          <w:szCs w:val="24"/>
        </w:rPr>
        <w:t xml:space="preserve">L. </w:t>
      </w:r>
      <w:proofErr w:type="spellStart"/>
      <w:r w:rsidR="005312E9" w:rsidRPr="00631CF2">
        <w:rPr>
          <w:rFonts w:ascii="Times New Roman" w:hAnsi="Times New Roman" w:cs="Times New Roman"/>
          <w:i/>
          <w:iCs/>
          <w:sz w:val="24"/>
          <w:szCs w:val="24"/>
        </w:rPr>
        <w:t>a</w:t>
      </w:r>
      <w:r w:rsidR="0CE6DFA5" w:rsidRPr="00631CF2">
        <w:rPr>
          <w:rFonts w:ascii="Times New Roman" w:hAnsi="Times New Roman" w:cs="Times New Roman"/>
          <w:i/>
          <w:iCs/>
          <w:sz w:val="24"/>
          <w:szCs w:val="24"/>
        </w:rPr>
        <w:t>rundinaceum</w:t>
      </w:r>
      <w:proofErr w:type="spellEnd"/>
      <w:r w:rsidR="0CE6DFA5" w:rsidRPr="00631CF2">
        <w:rPr>
          <w:rFonts w:ascii="Times New Roman" w:hAnsi="Times New Roman" w:cs="Times New Roman"/>
          <w:i/>
          <w:iCs/>
          <w:sz w:val="24"/>
          <w:szCs w:val="24"/>
        </w:rPr>
        <w:t xml:space="preserve"> </w:t>
      </w:r>
      <w:r w:rsidR="0CE6DFA5" w:rsidRPr="00631CF2">
        <w:rPr>
          <w:rFonts w:ascii="Times New Roman" w:hAnsi="Times New Roman" w:cs="Times New Roman"/>
          <w:sz w:val="24"/>
          <w:szCs w:val="24"/>
        </w:rPr>
        <w:t>may influence tiller longevity</w:t>
      </w:r>
      <w:r w:rsidR="0CE6DFA5" w:rsidRPr="00631CF2">
        <w:rPr>
          <w:rFonts w:ascii="Times New Roman" w:hAnsi="Times New Roman" w:cs="Times New Roman"/>
          <w:sz w:val="24"/>
          <w:szCs w:val="24"/>
          <w:shd w:val="clear" w:color="auto" w:fill="FFFFFF"/>
        </w:rPr>
        <w:t xml:space="preserve"> in </w:t>
      </w:r>
      <w:r w:rsidR="00511FF1" w:rsidRPr="00631CF2">
        <w:rPr>
          <w:rFonts w:ascii="Times New Roman" w:hAnsi="Times New Roman" w:cs="Times New Roman"/>
          <w:sz w:val="24"/>
          <w:szCs w:val="24"/>
          <w:shd w:val="clear" w:color="auto" w:fill="FFFFFF"/>
        </w:rPr>
        <w:t>mixed swards</w:t>
      </w:r>
      <w:r w:rsidRPr="00631CF2">
        <w:rPr>
          <w:rFonts w:ascii="Times New Roman" w:hAnsi="Times New Roman" w:cs="Times New Roman"/>
          <w:sz w:val="24"/>
          <w:szCs w:val="24"/>
          <w:shd w:val="clear" w:color="auto" w:fill="FFFFFF"/>
        </w:rPr>
        <w:t>.</w:t>
      </w:r>
      <w:r w:rsidRPr="00631CF2">
        <w:rPr>
          <w:rFonts w:ascii="Times New Roman" w:hAnsi="Times New Roman" w:cs="Times New Roman"/>
          <w:sz w:val="24"/>
          <w:szCs w:val="24"/>
        </w:rPr>
        <w:t xml:space="preserve"> </w:t>
      </w:r>
    </w:p>
    <w:p w14:paraId="060832F0" w14:textId="5D13F5E4" w:rsidR="00D05B52" w:rsidRDefault="00444EE6" w:rsidP="007F0193">
      <w:pPr>
        <w:widowControl w:val="0"/>
        <w:spacing w:after="0" w:line="480" w:lineRule="auto"/>
        <w:ind w:firstLine="426"/>
        <w:jc w:val="both"/>
        <w:rPr>
          <w:rFonts w:ascii="Times New Roman" w:eastAsia="Times New Roman" w:hAnsi="Times New Roman" w:cs="Times New Roman"/>
          <w:sz w:val="24"/>
          <w:szCs w:val="24"/>
        </w:rPr>
      </w:pPr>
      <w:r w:rsidRPr="00631CF2">
        <w:rPr>
          <w:rFonts w:ascii="Times New Roman" w:eastAsia="Times New Roman" w:hAnsi="Times New Roman" w:cs="Times New Roman"/>
          <w:sz w:val="24"/>
          <w:szCs w:val="24"/>
        </w:rPr>
        <w:t xml:space="preserve">The different demographic responses to management in both species </w:t>
      </w:r>
      <w:r w:rsidR="00E64373" w:rsidRPr="00631CF2">
        <w:rPr>
          <w:rFonts w:ascii="Times New Roman" w:eastAsia="Times New Roman" w:hAnsi="Times New Roman" w:cs="Times New Roman"/>
          <w:sz w:val="24"/>
          <w:szCs w:val="24"/>
        </w:rPr>
        <w:t>are</w:t>
      </w:r>
      <w:r w:rsidRPr="00631CF2">
        <w:rPr>
          <w:rFonts w:ascii="Times New Roman" w:eastAsia="Times New Roman" w:hAnsi="Times New Roman" w:cs="Times New Roman"/>
          <w:sz w:val="24"/>
          <w:szCs w:val="24"/>
        </w:rPr>
        <w:t xml:space="preserve"> a direct effect of their contrasting resource-use strategies</w:t>
      </w:r>
      <w:r w:rsidR="00E64373" w:rsidRPr="00631CF2">
        <w:rPr>
          <w:rFonts w:ascii="Times New Roman" w:eastAsia="Times New Roman" w:hAnsi="Times New Roman" w:cs="Times New Roman"/>
          <w:sz w:val="24"/>
          <w:szCs w:val="24"/>
        </w:rPr>
        <w:t xml:space="preserve"> and carbon fixation pathway</w:t>
      </w:r>
      <w:r w:rsidR="00475D0C" w:rsidRPr="00631CF2">
        <w:rPr>
          <w:rFonts w:ascii="Times New Roman" w:eastAsia="Times New Roman" w:hAnsi="Times New Roman" w:cs="Times New Roman"/>
          <w:sz w:val="24"/>
          <w:szCs w:val="24"/>
        </w:rPr>
        <w:t xml:space="preserve">. </w:t>
      </w:r>
      <w:r w:rsidR="00475D0C" w:rsidRPr="00631CF2">
        <w:rPr>
          <w:rFonts w:ascii="Times New Roman" w:eastAsia="Times New Roman" w:hAnsi="Times New Roman" w:cs="Times New Roman"/>
          <w:i/>
          <w:iCs/>
          <w:sz w:val="24"/>
          <w:szCs w:val="24"/>
        </w:rPr>
        <w:t xml:space="preserve">L. </w:t>
      </w:r>
      <w:proofErr w:type="spellStart"/>
      <w:r w:rsidR="00475D0C" w:rsidRPr="00631CF2">
        <w:rPr>
          <w:rFonts w:ascii="Times New Roman" w:eastAsia="Times New Roman" w:hAnsi="Times New Roman" w:cs="Times New Roman"/>
          <w:i/>
          <w:iCs/>
          <w:sz w:val="24"/>
          <w:szCs w:val="24"/>
        </w:rPr>
        <w:t>arundinaceum</w:t>
      </w:r>
      <w:proofErr w:type="spellEnd"/>
      <w:r w:rsidR="00475D0C" w:rsidRPr="00631CF2">
        <w:rPr>
          <w:rFonts w:ascii="Times New Roman" w:eastAsia="Times New Roman" w:hAnsi="Times New Roman" w:cs="Times New Roman"/>
          <w:sz w:val="24"/>
          <w:szCs w:val="24"/>
        </w:rPr>
        <w:t xml:space="preserve"> showed strong TW responses to height management with complex treatment interactions affecting multiple traits, while </w:t>
      </w:r>
      <w:r w:rsidR="00A86E10" w:rsidRPr="00631CF2">
        <w:rPr>
          <w:rFonts w:ascii="Times New Roman" w:eastAsia="Times New Roman" w:hAnsi="Times New Roman" w:cs="Times New Roman"/>
          <w:i/>
          <w:iCs/>
          <w:sz w:val="24"/>
          <w:szCs w:val="24"/>
        </w:rPr>
        <w:t>C</w:t>
      </w:r>
      <w:r w:rsidR="00475D0C" w:rsidRPr="00631CF2">
        <w:rPr>
          <w:rFonts w:ascii="Times New Roman" w:eastAsia="Times New Roman" w:hAnsi="Times New Roman" w:cs="Times New Roman"/>
          <w:i/>
          <w:iCs/>
          <w:sz w:val="24"/>
          <w:szCs w:val="24"/>
        </w:rPr>
        <w:t xml:space="preserve">. </w:t>
      </w:r>
      <w:proofErr w:type="spellStart"/>
      <w:r w:rsidR="00475D0C" w:rsidRPr="00631CF2">
        <w:rPr>
          <w:rFonts w:ascii="Times New Roman" w:eastAsia="Times New Roman" w:hAnsi="Times New Roman" w:cs="Times New Roman"/>
          <w:i/>
          <w:iCs/>
          <w:sz w:val="24"/>
          <w:szCs w:val="24"/>
        </w:rPr>
        <w:t>clandestinus</w:t>
      </w:r>
      <w:proofErr w:type="spellEnd"/>
      <w:r w:rsidR="00475D0C" w:rsidRPr="00631CF2">
        <w:rPr>
          <w:rFonts w:ascii="Times New Roman" w:eastAsia="Times New Roman" w:hAnsi="Times New Roman" w:cs="Times New Roman"/>
          <w:sz w:val="24"/>
          <w:szCs w:val="24"/>
        </w:rPr>
        <w:t xml:space="preserve"> demonstrated more direct responses to grazing height. These complementary responses facilitate coexistence (MacArthur and Wilson, 1967), suggesting adaptation to mixed-sward conditions. However, as noted by Parsons </w:t>
      </w:r>
      <w:r w:rsidR="000C0E26" w:rsidRPr="00631CF2">
        <w:rPr>
          <w:rFonts w:ascii="Times New Roman" w:eastAsia="Times New Roman" w:hAnsi="Times New Roman" w:cs="Times New Roman"/>
          <w:i/>
          <w:iCs/>
          <w:sz w:val="24"/>
          <w:szCs w:val="24"/>
        </w:rPr>
        <w:t>et al.,</w:t>
      </w:r>
      <w:r w:rsidR="00475D0C" w:rsidRPr="00631CF2">
        <w:rPr>
          <w:rFonts w:ascii="Times New Roman" w:eastAsia="Times New Roman" w:hAnsi="Times New Roman" w:cs="Times New Roman"/>
          <w:sz w:val="24"/>
          <w:szCs w:val="24"/>
        </w:rPr>
        <w:t xml:space="preserve"> (1991), demographic plasticity alone cannot fully explain the observed stability of the mixed sward, indicating the involvement of additional mechanisms.</w:t>
      </w:r>
      <w:r w:rsidR="4A60D901" w:rsidRPr="00631CF2">
        <w:rPr>
          <w:rFonts w:ascii="Times New Roman" w:eastAsia="Times New Roman" w:hAnsi="Times New Roman" w:cs="Times New Roman"/>
          <w:sz w:val="24"/>
          <w:szCs w:val="24"/>
        </w:rPr>
        <w:t xml:space="preserve">  </w:t>
      </w:r>
    </w:p>
    <w:p w14:paraId="57268D09" w14:textId="77777777" w:rsidR="00E0750F" w:rsidRPr="00631CF2" w:rsidRDefault="00E0750F" w:rsidP="007F0193">
      <w:pPr>
        <w:widowControl w:val="0"/>
        <w:spacing w:after="0" w:line="480" w:lineRule="auto"/>
        <w:ind w:firstLine="426"/>
        <w:jc w:val="both"/>
        <w:rPr>
          <w:rFonts w:ascii="Times New Roman" w:eastAsia="Times New Roman" w:hAnsi="Times New Roman" w:cs="Times New Roman"/>
          <w:sz w:val="24"/>
          <w:szCs w:val="24"/>
        </w:rPr>
      </w:pPr>
    </w:p>
    <w:p w14:paraId="39CF067C" w14:textId="638F2841" w:rsidR="000F33C5" w:rsidRPr="00631CF2" w:rsidRDefault="412175EC" w:rsidP="007F0193">
      <w:pPr>
        <w:widowControl w:val="0"/>
        <w:spacing w:after="0" w:line="480" w:lineRule="auto"/>
        <w:jc w:val="both"/>
        <w:rPr>
          <w:rFonts w:ascii="Times New Roman" w:eastAsia="Times New Roman" w:hAnsi="Times New Roman" w:cs="Times New Roman"/>
          <w:sz w:val="24"/>
          <w:szCs w:val="24"/>
        </w:rPr>
      </w:pPr>
      <w:r w:rsidRPr="00631CF2">
        <w:rPr>
          <w:rFonts w:ascii="Times New Roman" w:eastAsia="Times New Roman" w:hAnsi="Times New Roman" w:cs="Times New Roman"/>
          <w:i/>
          <w:iCs/>
          <w:color w:val="538135" w:themeColor="accent6" w:themeShade="BF"/>
          <w:sz w:val="24"/>
          <w:szCs w:val="24"/>
        </w:rPr>
        <w:t xml:space="preserve">Appearance, mortality, and survival </w:t>
      </w:r>
      <w:r w:rsidR="00836649" w:rsidRPr="00631CF2">
        <w:rPr>
          <w:rFonts w:ascii="Times New Roman" w:eastAsia="Times New Roman" w:hAnsi="Times New Roman" w:cs="Times New Roman"/>
          <w:i/>
          <w:iCs/>
          <w:color w:val="538135" w:themeColor="accent6" w:themeShade="BF"/>
          <w:sz w:val="24"/>
          <w:szCs w:val="24"/>
        </w:rPr>
        <w:t>rate</w:t>
      </w:r>
      <w:r w:rsidR="001B4F6F" w:rsidRPr="00631CF2">
        <w:rPr>
          <w:rFonts w:ascii="Times New Roman" w:eastAsia="Times New Roman" w:hAnsi="Times New Roman" w:cs="Times New Roman"/>
          <w:i/>
          <w:iCs/>
          <w:color w:val="538135" w:themeColor="accent6" w:themeShade="BF"/>
          <w:sz w:val="24"/>
          <w:szCs w:val="24"/>
        </w:rPr>
        <w:t xml:space="preserve">s </w:t>
      </w:r>
      <w:r w:rsidRPr="00631CF2">
        <w:rPr>
          <w:rFonts w:ascii="Times New Roman" w:eastAsia="Times New Roman" w:hAnsi="Times New Roman" w:cs="Times New Roman"/>
          <w:i/>
          <w:iCs/>
          <w:color w:val="538135" w:themeColor="accent6" w:themeShade="BF"/>
          <w:sz w:val="24"/>
          <w:szCs w:val="24"/>
        </w:rPr>
        <w:t xml:space="preserve">in mixed pastures </w:t>
      </w:r>
    </w:p>
    <w:p w14:paraId="563894B8" w14:textId="449AFEC2" w:rsidR="000F33C5" w:rsidRPr="00631CF2" w:rsidRDefault="001A0FDE" w:rsidP="007F0193">
      <w:pPr>
        <w:widowControl w:val="0"/>
        <w:spacing w:after="0" w:line="480" w:lineRule="auto"/>
        <w:jc w:val="both"/>
        <w:rPr>
          <w:rFonts w:ascii="Times New Roman" w:hAnsi="Times New Roman" w:cs="Times New Roman"/>
          <w:sz w:val="24"/>
          <w:szCs w:val="24"/>
        </w:rPr>
      </w:pPr>
      <w:r w:rsidRPr="00631CF2">
        <w:rPr>
          <w:rFonts w:ascii="Times New Roman" w:hAnsi="Times New Roman" w:cs="Times New Roman"/>
          <w:sz w:val="24"/>
          <w:szCs w:val="24"/>
        </w:rPr>
        <w:t>The regulation of tiller appearance and mortality involves complex interactions among hormonal, genetic, environmental, and management factors</w:t>
      </w:r>
      <w:r w:rsidR="412175EC" w:rsidRPr="00631CF2">
        <w:rPr>
          <w:rFonts w:ascii="Times New Roman" w:hAnsi="Times New Roman" w:cs="Times New Roman"/>
          <w:sz w:val="24"/>
          <w:szCs w:val="24"/>
        </w:rPr>
        <w:t xml:space="preserve">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{"citationID":"eIVCEpiK","properties":{"formattedCitation":"(McSteen 2009; Scheneiter and Am\\uc0\\u233{}ndola 2012)","plainCitation":"(McSteen 2009; Scheneiter and Améndola 2012)","noteIndex":0},"citationItems":[{"id":488,"uris":["http://zotero.org/users/12323737/items/HUEIIP7N"],"itemData":{"id":488,"type":"article-journal","container-title":"Plant Physiology","DOI":"10.1104/pp.108.129056","ISSN":"1532-2548","issue":"1","language":"en","license":"https://academic.oup.com/journals/pages/open_access/funder_policies/chorus/standard_publication_model","page":"46-55","source":"DOI.org (Crossref)","title":"Hormonal Regulation of Branching in Grasses","volume":"149","author":[{"family":"McSteen","given":"Paula"}],"issued":{"date-parts":[["2009",1,6]]}}},{"id":60,"uris":["http://zotero.org/users/12323737/items/PW32UATQ"],"itemData":{"id":60,"type":"article-journal","abstract":"Abstract\n            Tall fescue is an important temperate grassland species globally, but in many regions the effects of drought, heat and poor grazing management, reduce its persistence in summer. Furthermore, poor ground cover and low tiller population density (TP) in winter result in low radiation capture and thus limited potential to increase the low growth rates at that time. Knowledge of the effect of fertilization, defoliation managements and establishment methods on demography of tall fescue would help to improve sward management for better persistence and winter growth. Accordingly, an experiment was carried out in Pergamino, Argentina, to study the effects of two N‐ fertilizer levels, two grazing frequencies and two seeding row arrangements upon tall fescue TP demography. Herbage mass, tiller appearance (TA) and death rates were measured over 3 years. Seasonal fluctuations in TA and death rates determined well‐defined periods of increase and decrease in TP density. Maximum values were found at the end of winter and minimum ones at the end of spring, after the reproductive period. Nitrogen shortage and high herbage mass limited TA. Tiller death rate followed TA rate and was affected by nitrogen supply and defoliation frequency in the same way that TA was. Sowing arrangement affected tiller demography at the beginning of the experiment.","container-title":"Grass and Forage Science","DOI":"10.1111/j.1365-2494.2012.00861.x","ISSN":"0142-5242, 1365-2494","issue":"3","journalAbbreviation":"Grass and Forage Science","language":"en","license":"http://onlinelibrary.wiley.com/termsAndConditions#vor","page":"426-436","source":"DOI.org (Crossref)","title":"Tiller demography in tall fescue ( &lt;i&gt;Festuca arundinacea&lt;/i&gt; ) swards as influenced by nitrogen fertilization, sowing method and grazing management","volume":"67","author":[{"family":"Scheneiter","given":"O."},{"family":"Améndola","given":"C."}],"issued":{"date-parts":[["2012",9]]}}}],"schema":"https://github.com/citation-style-language/schema/raw/master/csl-citation.json"} </w:instrText>
      </w:r>
      <w:r w:rsidRPr="00631CF2">
        <w:rPr>
          <w:rFonts w:ascii="Times New Roman" w:hAnsi="Times New Roman" w:cs="Times New Roman"/>
          <w:sz w:val="24"/>
          <w:szCs w:val="24"/>
        </w:rPr>
        <w:fldChar w:fldCharType="separate"/>
      </w:r>
      <w:r w:rsidR="67A3F479" w:rsidRPr="00631CF2">
        <w:rPr>
          <w:rFonts w:ascii="Times New Roman" w:hAnsi="Times New Roman" w:cs="Times New Roman"/>
          <w:sz w:val="24"/>
          <w:szCs w:val="24"/>
        </w:rPr>
        <w:t>(</w:t>
      </w:r>
      <w:proofErr w:type="spellStart"/>
      <w:r w:rsidR="67A3F479" w:rsidRPr="00631CF2">
        <w:rPr>
          <w:rFonts w:ascii="Times New Roman" w:hAnsi="Times New Roman" w:cs="Times New Roman"/>
          <w:sz w:val="24"/>
          <w:szCs w:val="24"/>
        </w:rPr>
        <w:t>McSteen</w:t>
      </w:r>
      <w:proofErr w:type="spellEnd"/>
      <w:r w:rsidR="67A3F479" w:rsidRPr="00631CF2">
        <w:rPr>
          <w:rFonts w:ascii="Times New Roman" w:hAnsi="Times New Roman" w:cs="Times New Roman"/>
          <w:sz w:val="24"/>
          <w:szCs w:val="24"/>
        </w:rPr>
        <w:t xml:space="preserve"> 2009; </w:t>
      </w:r>
      <w:proofErr w:type="spellStart"/>
      <w:r w:rsidR="67A3F479" w:rsidRPr="00631CF2">
        <w:rPr>
          <w:rFonts w:ascii="Times New Roman" w:hAnsi="Times New Roman" w:cs="Times New Roman"/>
          <w:sz w:val="24"/>
          <w:szCs w:val="24"/>
        </w:rPr>
        <w:t>Scheneiter</w:t>
      </w:r>
      <w:proofErr w:type="spellEnd"/>
      <w:r w:rsidR="67A3F479" w:rsidRPr="00631CF2">
        <w:rPr>
          <w:rFonts w:ascii="Times New Roman" w:hAnsi="Times New Roman" w:cs="Times New Roman"/>
          <w:sz w:val="24"/>
          <w:szCs w:val="24"/>
        </w:rPr>
        <w:t xml:space="preserve"> and Améndola 2012)</w:t>
      </w:r>
      <w:r w:rsidRPr="00631CF2">
        <w:rPr>
          <w:rFonts w:ascii="Times New Roman" w:hAnsi="Times New Roman" w:cs="Times New Roman"/>
          <w:sz w:val="24"/>
          <w:szCs w:val="24"/>
        </w:rPr>
        <w:fldChar w:fldCharType="end"/>
      </w:r>
      <w:r w:rsidR="412175EC" w:rsidRPr="00631CF2">
        <w:rPr>
          <w:rFonts w:ascii="Times New Roman" w:hAnsi="Times New Roman" w:cs="Times New Roman"/>
          <w:sz w:val="24"/>
          <w:szCs w:val="24"/>
        </w:rPr>
        <w:t xml:space="preserve">. Could the dynamics of tiller appearance and mortality explain the </w:t>
      </w:r>
      <w:r w:rsidR="412175EC" w:rsidRPr="00631CF2">
        <w:rPr>
          <w:rFonts w:ascii="Times New Roman" w:hAnsi="Times New Roman" w:cs="Times New Roman"/>
          <w:sz w:val="24"/>
          <w:szCs w:val="24"/>
        </w:rPr>
        <w:lastRenderedPageBreak/>
        <w:t xml:space="preserve">stable population throughout the year in a mixed pasture? </w:t>
      </w:r>
      <w:r w:rsidRPr="00631CF2">
        <w:rPr>
          <w:rFonts w:ascii="Times New Roman" w:hAnsi="Times New Roman" w:cs="Times New Roman"/>
          <w:sz w:val="24"/>
          <w:szCs w:val="24"/>
        </w:rPr>
        <w:t xml:space="preserve">Both </w:t>
      </w:r>
      <w:r w:rsidRPr="00631CF2">
        <w:rPr>
          <w:rFonts w:ascii="Times New Roman" w:hAnsi="Times New Roman" w:cs="Times New Roman"/>
          <w:i/>
          <w:iCs/>
          <w:sz w:val="24"/>
          <w:szCs w:val="24"/>
        </w:rPr>
        <w:t xml:space="preserve">L. </w:t>
      </w:r>
      <w:proofErr w:type="spellStart"/>
      <w:r w:rsidRPr="00631CF2">
        <w:rPr>
          <w:rFonts w:ascii="Times New Roman" w:hAnsi="Times New Roman" w:cs="Times New Roman"/>
          <w:i/>
          <w:iCs/>
          <w:sz w:val="24"/>
          <w:szCs w:val="24"/>
        </w:rPr>
        <w:t>arundinaceum</w:t>
      </w:r>
      <w:proofErr w:type="spellEnd"/>
      <w:r w:rsidRPr="00631CF2">
        <w:rPr>
          <w:rFonts w:ascii="Times New Roman" w:hAnsi="Times New Roman" w:cs="Times New Roman"/>
          <w:sz w:val="24"/>
          <w:szCs w:val="24"/>
        </w:rPr>
        <w:t xml:space="preserve"> and </w:t>
      </w:r>
      <w:r w:rsidR="00A86E10" w:rsidRPr="00631CF2">
        <w:rPr>
          <w:rFonts w:ascii="Times New Roman" w:hAnsi="Times New Roman" w:cs="Times New Roman"/>
          <w:i/>
          <w:iCs/>
          <w:sz w:val="24"/>
          <w:szCs w:val="24"/>
        </w:rPr>
        <w:t>C</w:t>
      </w:r>
      <w:r w:rsidRPr="00631CF2">
        <w:rPr>
          <w:rFonts w:ascii="Times New Roman" w:hAnsi="Times New Roman" w:cs="Times New Roman"/>
          <w:i/>
          <w:iCs/>
          <w:sz w:val="24"/>
          <w:szCs w:val="24"/>
        </w:rPr>
        <w:t xml:space="preserve">. </w:t>
      </w:r>
      <w:proofErr w:type="spellStart"/>
      <w:r w:rsidRPr="00631CF2">
        <w:rPr>
          <w:rFonts w:ascii="Times New Roman" w:hAnsi="Times New Roman" w:cs="Times New Roman"/>
          <w:i/>
          <w:iCs/>
          <w:sz w:val="24"/>
          <w:szCs w:val="24"/>
        </w:rPr>
        <w:t>clandestinus</w:t>
      </w:r>
      <w:proofErr w:type="spellEnd"/>
      <w:r w:rsidRPr="00631CF2">
        <w:rPr>
          <w:rFonts w:ascii="Times New Roman" w:hAnsi="Times New Roman" w:cs="Times New Roman"/>
          <w:sz w:val="24"/>
          <w:szCs w:val="24"/>
        </w:rPr>
        <w:t xml:space="preserve"> exhibited strong seasonal patterns in tiller appearance rate (TAR), though these patterns did not consistently align with observed tiller emergence (ET) across seasons</w:t>
      </w:r>
      <w:r w:rsidR="412175EC" w:rsidRPr="00631CF2">
        <w:rPr>
          <w:rFonts w:ascii="Times New Roman" w:hAnsi="Times New Roman" w:cs="Times New Roman"/>
          <w:sz w:val="24"/>
          <w:szCs w:val="24"/>
        </w:rPr>
        <w:t xml:space="preserve"> (Table 1). </w:t>
      </w:r>
      <w:r w:rsidRPr="00631CF2">
        <w:rPr>
          <w:rFonts w:ascii="Times New Roman" w:hAnsi="Times New Roman" w:cs="Times New Roman"/>
          <w:sz w:val="24"/>
          <w:szCs w:val="24"/>
        </w:rPr>
        <w:t xml:space="preserve">Most notably, </w:t>
      </w:r>
      <w:r w:rsidR="00A86E10" w:rsidRPr="00631CF2">
        <w:rPr>
          <w:rFonts w:ascii="Times New Roman" w:hAnsi="Times New Roman" w:cs="Times New Roman"/>
          <w:i/>
          <w:iCs/>
          <w:sz w:val="24"/>
          <w:szCs w:val="24"/>
        </w:rPr>
        <w:t>C</w:t>
      </w:r>
      <w:r w:rsidRPr="00631CF2">
        <w:rPr>
          <w:rFonts w:ascii="Times New Roman" w:hAnsi="Times New Roman" w:cs="Times New Roman"/>
          <w:i/>
          <w:iCs/>
          <w:sz w:val="24"/>
          <w:szCs w:val="24"/>
        </w:rPr>
        <w:t xml:space="preserve">. </w:t>
      </w:r>
      <w:proofErr w:type="spellStart"/>
      <w:r w:rsidRPr="00631CF2">
        <w:rPr>
          <w:rFonts w:ascii="Times New Roman" w:hAnsi="Times New Roman" w:cs="Times New Roman"/>
          <w:i/>
          <w:iCs/>
          <w:sz w:val="24"/>
          <w:szCs w:val="24"/>
        </w:rPr>
        <w:t>clandestinus</w:t>
      </w:r>
      <w:proofErr w:type="spellEnd"/>
      <w:r w:rsidRPr="00631CF2">
        <w:rPr>
          <w:rFonts w:ascii="Times New Roman" w:hAnsi="Times New Roman" w:cs="Times New Roman"/>
          <w:sz w:val="24"/>
          <w:szCs w:val="24"/>
        </w:rPr>
        <w:t xml:space="preserve"> showed negligible tiller emergence in winter, yet maintained similar TAR values to those observed in summer </w:t>
      </w:r>
      <w:r w:rsidR="0084403B" w:rsidRPr="00631CF2">
        <w:rPr>
          <w:rFonts w:ascii="Times New Roman" w:hAnsi="Times New Roman" w:cs="Times New Roman"/>
          <w:sz w:val="24"/>
          <w:szCs w:val="24"/>
        </w:rPr>
        <w:t xml:space="preserve">and spring </w:t>
      </w:r>
      <w:r w:rsidRPr="00631CF2">
        <w:rPr>
          <w:rFonts w:ascii="Times New Roman" w:hAnsi="Times New Roman" w:cs="Times New Roman"/>
          <w:sz w:val="24"/>
          <w:szCs w:val="24"/>
        </w:rPr>
        <w:t>under 15 cm management</w:t>
      </w:r>
      <w:r w:rsidR="0084403B" w:rsidRPr="00631CF2">
        <w:rPr>
          <w:rFonts w:ascii="Times New Roman" w:hAnsi="Times New Roman" w:cs="Times New Roman"/>
          <w:sz w:val="24"/>
          <w:szCs w:val="24"/>
        </w:rPr>
        <w:t>,</w:t>
      </w:r>
      <w:r w:rsidRPr="00631CF2">
        <w:rPr>
          <w:rFonts w:ascii="Times New Roman" w:hAnsi="Times New Roman" w:cs="Times New Roman"/>
          <w:sz w:val="24"/>
          <w:szCs w:val="24"/>
        </w:rPr>
        <w:t xml:space="preserve"> and</w:t>
      </w:r>
      <w:r w:rsidR="0C4D5E0E" w:rsidRPr="00631CF2">
        <w:rPr>
          <w:rFonts w:ascii="Times New Roman" w:hAnsi="Times New Roman" w:cs="Times New Roman"/>
          <w:sz w:val="24"/>
          <w:szCs w:val="24"/>
        </w:rPr>
        <w:t xml:space="preserve"> </w:t>
      </w:r>
      <w:r w:rsidR="0084403B" w:rsidRPr="00631CF2">
        <w:rPr>
          <w:rFonts w:ascii="Times New Roman" w:hAnsi="Times New Roman" w:cs="Times New Roman"/>
          <w:sz w:val="24"/>
          <w:szCs w:val="24"/>
        </w:rPr>
        <w:t xml:space="preserve">summer </w:t>
      </w:r>
      <w:r w:rsidRPr="00631CF2">
        <w:rPr>
          <w:rFonts w:ascii="Times New Roman" w:hAnsi="Times New Roman" w:cs="Times New Roman"/>
          <w:sz w:val="24"/>
          <w:szCs w:val="24"/>
        </w:rPr>
        <w:t xml:space="preserve">under </w:t>
      </w:r>
      <w:r w:rsidR="0084403B" w:rsidRPr="00631CF2">
        <w:rPr>
          <w:rFonts w:ascii="Times New Roman" w:hAnsi="Times New Roman" w:cs="Times New Roman"/>
          <w:sz w:val="24"/>
          <w:szCs w:val="24"/>
        </w:rPr>
        <w:t xml:space="preserve">20 cm and </w:t>
      </w:r>
      <w:r w:rsidRPr="00631CF2">
        <w:rPr>
          <w:rFonts w:ascii="Times New Roman" w:hAnsi="Times New Roman" w:cs="Times New Roman"/>
          <w:sz w:val="24"/>
          <w:szCs w:val="24"/>
        </w:rPr>
        <w:t>20 cm HSG</w:t>
      </w:r>
      <w:r w:rsidR="0084403B" w:rsidRPr="00631CF2">
        <w:rPr>
          <w:rFonts w:ascii="Times New Roman" w:hAnsi="Times New Roman" w:cs="Times New Roman"/>
          <w:sz w:val="24"/>
          <w:szCs w:val="24"/>
        </w:rPr>
        <w:t xml:space="preserve"> management (supplementary </w:t>
      </w:r>
      <w:r w:rsidR="00615B33" w:rsidRPr="00631CF2">
        <w:rPr>
          <w:rFonts w:ascii="Times New Roman" w:hAnsi="Times New Roman" w:cs="Times New Roman"/>
          <w:sz w:val="24"/>
          <w:szCs w:val="24"/>
        </w:rPr>
        <w:t>Figure</w:t>
      </w:r>
      <w:r w:rsidR="0084403B" w:rsidRPr="00631CF2">
        <w:rPr>
          <w:rFonts w:ascii="Times New Roman" w:hAnsi="Times New Roman" w:cs="Times New Roman"/>
          <w:sz w:val="24"/>
          <w:szCs w:val="24"/>
        </w:rPr>
        <w:t xml:space="preserve"> 1)</w:t>
      </w:r>
      <w:r w:rsidRPr="00631CF2">
        <w:rPr>
          <w:rFonts w:ascii="Times New Roman" w:hAnsi="Times New Roman" w:cs="Times New Roman"/>
          <w:sz w:val="24"/>
          <w:szCs w:val="24"/>
        </w:rPr>
        <w:t>. This disconnect</w:t>
      </w:r>
      <w:r w:rsidR="00CD0B91" w:rsidRPr="00631CF2">
        <w:rPr>
          <w:rFonts w:ascii="Times New Roman" w:hAnsi="Times New Roman" w:cs="Times New Roman"/>
          <w:sz w:val="24"/>
          <w:szCs w:val="24"/>
        </w:rPr>
        <w:t>ion</w:t>
      </w:r>
      <w:r w:rsidRPr="00631CF2">
        <w:rPr>
          <w:rFonts w:ascii="Times New Roman" w:hAnsi="Times New Roman" w:cs="Times New Roman"/>
          <w:sz w:val="24"/>
          <w:szCs w:val="24"/>
        </w:rPr>
        <w:t xml:space="preserve"> between TAR and actual tiller emergence suggests that traditional demographic metrics may not fully capture the complexity of tiller population dynamics and, ultimately, sward persistence. These findings contrast with previous research on three-species mixtures (</w:t>
      </w:r>
      <w:proofErr w:type="spellStart"/>
      <w:r w:rsidRPr="00631CF2">
        <w:rPr>
          <w:rFonts w:ascii="Times New Roman" w:hAnsi="Times New Roman" w:cs="Times New Roman"/>
          <w:i/>
          <w:iCs/>
          <w:sz w:val="24"/>
          <w:szCs w:val="24"/>
        </w:rPr>
        <w:t>Arrhenatherum</w:t>
      </w:r>
      <w:proofErr w:type="spellEnd"/>
      <w:r w:rsidRPr="00631CF2">
        <w:rPr>
          <w:rFonts w:ascii="Times New Roman" w:hAnsi="Times New Roman" w:cs="Times New Roman"/>
          <w:i/>
          <w:iCs/>
          <w:sz w:val="24"/>
          <w:szCs w:val="24"/>
        </w:rPr>
        <w:t xml:space="preserve"> </w:t>
      </w:r>
      <w:proofErr w:type="spellStart"/>
      <w:r w:rsidRPr="00631CF2">
        <w:rPr>
          <w:rFonts w:ascii="Times New Roman" w:hAnsi="Times New Roman" w:cs="Times New Roman"/>
          <w:i/>
          <w:iCs/>
          <w:sz w:val="24"/>
          <w:szCs w:val="24"/>
        </w:rPr>
        <w:t>elatius</w:t>
      </w:r>
      <w:proofErr w:type="spellEnd"/>
      <w:r w:rsidRPr="00631CF2">
        <w:rPr>
          <w:rFonts w:ascii="Times New Roman" w:hAnsi="Times New Roman" w:cs="Times New Roman"/>
          <w:sz w:val="24"/>
          <w:szCs w:val="24"/>
        </w:rPr>
        <w:t xml:space="preserve">, </w:t>
      </w:r>
      <w:r w:rsidRPr="00631CF2">
        <w:rPr>
          <w:rFonts w:ascii="Times New Roman" w:hAnsi="Times New Roman" w:cs="Times New Roman"/>
          <w:i/>
          <w:iCs/>
          <w:sz w:val="24"/>
          <w:szCs w:val="24"/>
        </w:rPr>
        <w:t xml:space="preserve">F. </w:t>
      </w:r>
      <w:proofErr w:type="spellStart"/>
      <w:r w:rsidRPr="00631CF2">
        <w:rPr>
          <w:rFonts w:ascii="Times New Roman" w:hAnsi="Times New Roman" w:cs="Times New Roman"/>
          <w:i/>
          <w:iCs/>
          <w:sz w:val="24"/>
          <w:szCs w:val="24"/>
        </w:rPr>
        <w:t>arundinacea</w:t>
      </w:r>
      <w:proofErr w:type="spellEnd"/>
      <w:r w:rsidRPr="00631CF2">
        <w:rPr>
          <w:rFonts w:ascii="Times New Roman" w:hAnsi="Times New Roman" w:cs="Times New Roman"/>
          <w:sz w:val="24"/>
          <w:szCs w:val="24"/>
        </w:rPr>
        <w:t xml:space="preserve">, and </w:t>
      </w:r>
      <w:r w:rsidRPr="00631CF2">
        <w:rPr>
          <w:rFonts w:ascii="Times New Roman" w:hAnsi="Times New Roman" w:cs="Times New Roman"/>
          <w:i/>
          <w:iCs/>
          <w:sz w:val="24"/>
          <w:szCs w:val="24"/>
        </w:rPr>
        <w:t>D. glomerata</w:t>
      </w:r>
      <w:r w:rsidRPr="00631CF2">
        <w:rPr>
          <w:rFonts w:ascii="Times New Roman" w:hAnsi="Times New Roman" w:cs="Times New Roman"/>
          <w:sz w:val="24"/>
          <w:szCs w:val="24"/>
        </w:rPr>
        <w:t>), where TAR and tiller mortality rate (TMR) showed more consistent patterns over time (</w:t>
      </w:r>
      <w:proofErr w:type="spellStart"/>
      <w:r w:rsidRPr="00631CF2">
        <w:rPr>
          <w:rFonts w:ascii="Times New Roman" w:hAnsi="Times New Roman" w:cs="Times New Roman"/>
          <w:sz w:val="24"/>
          <w:szCs w:val="24"/>
        </w:rPr>
        <w:t>Duchini</w:t>
      </w:r>
      <w:proofErr w:type="spellEnd"/>
      <w:r w:rsidRPr="00631CF2">
        <w:rPr>
          <w:rFonts w:ascii="Times New Roman" w:hAnsi="Times New Roman" w:cs="Times New Roman"/>
          <w:sz w:val="24"/>
          <w:szCs w:val="24"/>
        </w:rPr>
        <w:t xml:space="preserve"> </w:t>
      </w:r>
      <w:r w:rsidR="000C0E26" w:rsidRPr="00631CF2">
        <w:rPr>
          <w:rFonts w:ascii="Times New Roman" w:hAnsi="Times New Roman" w:cs="Times New Roman"/>
          <w:i/>
          <w:iCs/>
          <w:sz w:val="24"/>
          <w:szCs w:val="24"/>
        </w:rPr>
        <w:t>et al.</w:t>
      </w:r>
      <w:r w:rsidRPr="00631CF2">
        <w:rPr>
          <w:rFonts w:ascii="Times New Roman" w:hAnsi="Times New Roman" w:cs="Times New Roman"/>
          <w:sz w:val="24"/>
          <w:szCs w:val="24"/>
        </w:rPr>
        <w:t>, 2018)</w:t>
      </w:r>
      <w:r w:rsidR="00CD0B91" w:rsidRPr="00631CF2">
        <w:rPr>
          <w:rFonts w:ascii="Times New Roman" w:hAnsi="Times New Roman" w:cs="Times New Roman"/>
          <w:sz w:val="24"/>
          <w:szCs w:val="24"/>
        </w:rPr>
        <w:t>.</w:t>
      </w:r>
    </w:p>
    <w:p w14:paraId="2037569B" w14:textId="1A36F02D" w:rsidR="69315EEE" w:rsidRDefault="00777A5F" w:rsidP="007F0193">
      <w:pPr>
        <w:widowControl w:val="0"/>
        <w:spacing w:after="0" w:line="480" w:lineRule="auto"/>
        <w:ind w:firstLine="426"/>
        <w:jc w:val="both"/>
        <w:rPr>
          <w:rStyle w:val="normaltextrun"/>
          <w:rFonts w:ascii="Times New Roman" w:hAnsi="Times New Roman" w:cs="Times New Roman"/>
          <w:sz w:val="24"/>
          <w:szCs w:val="24"/>
          <w:shd w:val="clear" w:color="auto" w:fill="FFFFFF"/>
        </w:rPr>
      </w:pPr>
      <w:r w:rsidRPr="00631CF2">
        <w:rPr>
          <w:rFonts w:ascii="Times New Roman" w:hAnsi="Times New Roman" w:cs="Times New Roman"/>
          <w:sz w:val="24"/>
          <w:szCs w:val="24"/>
        </w:rPr>
        <w:t xml:space="preserve">The mixed pasture showed considerable variation in both tiller appearance and mortality </w:t>
      </w:r>
      <w:r w:rsidR="00836649" w:rsidRPr="00631CF2">
        <w:rPr>
          <w:rFonts w:ascii="Times New Roman" w:hAnsi="Times New Roman" w:cs="Times New Roman"/>
          <w:sz w:val="24"/>
          <w:szCs w:val="24"/>
        </w:rPr>
        <w:t xml:space="preserve">rates </w:t>
      </w:r>
      <w:r w:rsidRPr="00631CF2">
        <w:rPr>
          <w:rFonts w:ascii="Times New Roman" w:hAnsi="Times New Roman" w:cs="Times New Roman"/>
          <w:sz w:val="24"/>
          <w:szCs w:val="24"/>
        </w:rPr>
        <w:t xml:space="preserve">across years </w:t>
      </w:r>
      <w:r w:rsidR="412175EC" w:rsidRPr="00631CF2">
        <w:rPr>
          <w:rFonts w:ascii="Times New Roman" w:hAnsi="Times New Roman" w:cs="Times New Roman"/>
          <w:sz w:val="24"/>
          <w:szCs w:val="24"/>
        </w:rPr>
        <w:t>(</w:t>
      </w:r>
      <w:r w:rsidR="00615B33" w:rsidRPr="00631CF2">
        <w:rPr>
          <w:rFonts w:ascii="Times New Roman" w:hAnsi="Times New Roman" w:cs="Times New Roman"/>
          <w:sz w:val="24"/>
          <w:szCs w:val="24"/>
        </w:rPr>
        <w:t>Figure</w:t>
      </w:r>
      <w:r w:rsidR="412175EC" w:rsidRPr="00631CF2">
        <w:rPr>
          <w:rFonts w:ascii="Times New Roman" w:hAnsi="Times New Roman" w:cs="Times New Roman"/>
          <w:sz w:val="24"/>
          <w:szCs w:val="24"/>
        </w:rPr>
        <w:t xml:space="preserve"> </w:t>
      </w:r>
      <w:r w:rsidR="5521FCC3" w:rsidRPr="00631CF2">
        <w:rPr>
          <w:rFonts w:ascii="Times New Roman" w:hAnsi="Times New Roman" w:cs="Times New Roman"/>
          <w:sz w:val="24"/>
          <w:szCs w:val="24"/>
        </w:rPr>
        <w:t>2</w:t>
      </w:r>
      <w:r w:rsidR="412175EC" w:rsidRPr="00631CF2">
        <w:rPr>
          <w:rFonts w:ascii="Times New Roman" w:hAnsi="Times New Roman" w:cs="Times New Roman"/>
          <w:sz w:val="24"/>
          <w:szCs w:val="24"/>
        </w:rPr>
        <w:t xml:space="preserve">). In addition, </w:t>
      </w:r>
      <w:r w:rsidR="412175EC" w:rsidRPr="00631CF2">
        <w:rPr>
          <w:rStyle w:val="normaltextrun"/>
          <w:rFonts w:ascii="Times New Roman" w:hAnsi="Times New Roman" w:cs="Times New Roman"/>
          <w:sz w:val="24"/>
          <w:szCs w:val="24"/>
          <w:shd w:val="clear" w:color="auto" w:fill="FFFFFF"/>
        </w:rPr>
        <w:t>significant</w:t>
      </w:r>
      <w:r w:rsidR="412175EC" w:rsidRPr="00631CF2">
        <w:rPr>
          <w:rFonts w:ascii="Times New Roman" w:hAnsi="Times New Roman" w:cs="Times New Roman"/>
          <w:sz w:val="24"/>
          <w:szCs w:val="24"/>
        </w:rPr>
        <w:t xml:space="preserve"> differences in TS</w:t>
      </w:r>
      <w:r w:rsidRPr="00631CF2">
        <w:rPr>
          <w:rFonts w:ascii="Times New Roman" w:hAnsi="Times New Roman" w:cs="Times New Roman"/>
          <w:sz w:val="24"/>
          <w:szCs w:val="24"/>
        </w:rPr>
        <w:t>R</w:t>
      </w:r>
      <w:r w:rsidR="412175EC" w:rsidRPr="00631CF2">
        <w:rPr>
          <w:rFonts w:ascii="Times New Roman" w:hAnsi="Times New Roman" w:cs="Times New Roman"/>
          <w:sz w:val="24"/>
          <w:szCs w:val="24"/>
        </w:rPr>
        <w:t xml:space="preserve"> were detected throughout the year; therefore, could </w:t>
      </w:r>
      <w:r w:rsidRPr="00631CF2">
        <w:rPr>
          <w:rFonts w:ascii="Times New Roman" w:hAnsi="Times New Roman" w:cs="Times New Roman"/>
          <w:sz w:val="24"/>
          <w:szCs w:val="24"/>
        </w:rPr>
        <w:t>TSR</w:t>
      </w:r>
      <w:r w:rsidR="412175EC" w:rsidRPr="00631CF2">
        <w:rPr>
          <w:rFonts w:ascii="Times New Roman" w:hAnsi="Times New Roman" w:cs="Times New Roman"/>
          <w:sz w:val="24"/>
          <w:szCs w:val="24"/>
        </w:rPr>
        <w:t xml:space="preserve"> be used to integrate changes in demographic population, </w:t>
      </w:r>
      <w:proofErr w:type="gramStart"/>
      <w:r w:rsidR="412175EC" w:rsidRPr="00631CF2">
        <w:rPr>
          <w:rFonts w:ascii="Times New Roman" w:hAnsi="Times New Roman" w:cs="Times New Roman"/>
          <w:sz w:val="24"/>
          <w:szCs w:val="24"/>
        </w:rPr>
        <w:t>taking into account</w:t>
      </w:r>
      <w:proofErr w:type="gramEnd"/>
      <w:r w:rsidR="412175EC" w:rsidRPr="00631CF2">
        <w:rPr>
          <w:rFonts w:ascii="Times New Roman" w:hAnsi="Times New Roman" w:cs="Times New Roman"/>
          <w:sz w:val="24"/>
          <w:szCs w:val="24"/>
        </w:rPr>
        <w:t xml:space="preserve"> differences in </w:t>
      </w:r>
      <w:r w:rsidRPr="00631CF2">
        <w:rPr>
          <w:rFonts w:ascii="Times New Roman" w:hAnsi="Times New Roman" w:cs="Times New Roman"/>
          <w:sz w:val="24"/>
          <w:szCs w:val="24"/>
        </w:rPr>
        <w:t>TAR</w:t>
      </w:r>
      <w:r w:rsidR="412175EC" w:rsidRPr="00631CF2">
        <w:rPr>
          <w:rFonts w:ascii="Times New Roman" w:hAnsi="Times New Roman" w:cs="Times New Roman"/>
          <w:sz w:val="24"/>
          <w:szCs w:val="24"/>
        </w:rPr>
        <w:t xml:space="preserve"> and TM</w:t>
      </w:r>
      <w:r w:rsidRPr="00631CF2">
        <w:rPr>
          <w:rFonts w:ascii="Times New Roman" w:hAnsi="Times New Roman" w:cs="Times New Roman"/>
          <w:sz w:val="24"/>
          <w:szCs w:val="24"/>
        </w:rPr>
        <w:t>R</w:t>
      </w:r>
      <w:r w:rsidR="412175EC" w:rsidRPr="00631CF2">
        <w:rPr>
          <w:rFonts w:ascii="Times New Roman" w:hAnsi="Times New Roman" w:cs="Times New Roman"/>
          <w:sz w:val="24"/>
          <w:szCs w:val="24"/>
        </w:rPr>
        <w:t>? To address</w:t>
      </w:r>
      <w:r w:rsidR="412175EC" w:rsidRPr="00631CF2">
        <w:rPr>
          <w:rStyle w:val="normaltextrun"/>
          <w:rFonts w:ascii="Times New Roman" w:hAnsi="Times New Roman" w:cs="Times New Roman"/>
          <w:sz w:val="24"/>
          <w:szCs w:val="24"/>
          <w:shd w:val="clear" w:color="auto" w:fill="FFFFFF"/>
        </w:rPr>
        <w:t xml:space="preserve"> this, we explored the patterns of </w:t>
      </w:r>
      <w:r w:rsidR="412175EC" w:rsidRPr="00631CF2">
        <w:rPr>
          <w:rFonts w:ascii="Times New Roman" w:hAnsi="Times New Roman" w:cs="Times New Roman"/>
          <w:sz w:val="24"/>
          <w:szCs w:val="24"/>
        </w:rPr>
        <w:t xml:space="preserve">the tiller survival </w:t>
      </w:r>
      <w:r w:rsidRPr="00631CF2">
        <w:rPr>
          <w:rFonts w:ascii="Times New Roman" w:hAnsi="Times New Roman" w:cs="Times New Roman"/>
          <w:sz w:val="24"/>
          <w:szCs w:val="24"/>
        </w:rPr>
        <w:t>rates</w:t>
      </w:r>
      <w:r w:rsidR="412175EC" w:rsidRPr="00631CF2">
        <w:rPr>
          <w:rFonts w:ascii="Times New Roman" w:hAnsi="Times New Roman" w:cs="Times New Roman"/>
          <w:sz w:val="24"/>
          <w:szCs w:val="24"/>
        </w:rPr>
        <w:t xml:space="preserve"> across treatments and years. </w:t>
      </w:r>
      <w:r w:rsidRPr="00631CF2">
        <w:rPr>
          <w:rFonts w:ascii="Times New Roman" w:hAnsi="Times New Roman" w:cs="Times New Roman"/>
          <w:sz w:val="24"/>
          <w:szCs w:val="24"/>
        </w:rPr>
        <w:t>T</w:t>
      </w:r>
      <w:r w:rsidR="00FF656C" w:rsidRPr="00631CF2">
        <w:rPr>
          <w:rFonts w:ascii="Times New Roman" w:hAnsi="Times New Roman" w:cs="Times New Roman"/>
          <w:sz w:val="24"/>
          <w:szCs w:val="24"/>
        </w:rPr>
        <w:t>ille</w:t>
      </w:r>
      <w:r w:rsidR="007860B9" w:rsidRPr="00631CF2">
        <w:rPr>
          <w:rFonts w:ascii="Times New Roman" w:hAnsi="Times New Roman" w:cs="Times New Roman"/>
          <w:sz w:val="24"/>
          <w:szCs w:val="24"/>
        </w:rPr>
        <w:t>r survival rate (T</w:t>
      </w:r>
      <w:r w:rsidRPr="00631CF2">
        <w:rPr>
          <w:rFonts w:ascii="Times New Roman" w:hAnsi="Times New Roman" w:cs="Times New Roman"/>
          <w:sz w:val="24"/>
          <w:szCs w:val="24"/>
        </w:rPr>
        <w:t>S</w:t>
      </w:r>
      <w:r w:rsidR="00E2732C" w:rsidRPr="00631CF2">
        <w:rPr>
          <w:rFonts w:ascii="Times New Roman" w:hAnsi="Times New Roman" w:cs="Times New Roman"/>
          <w:sz w:val="24"/>
          <w:szCs w:val="24"/>
        </w:rPr>
        <w:t>R</w:t>
      </w:r>
      <w:r w:rsidR="007860B9" w:rsidRPr="00631CF2">
        <w:rPr>
          <w:rFonts w:ascii="Times New Roman" w:hAnsi="Times New Roman" w:cs="Times New Roman"/>
          <w:sz w:val="24"/>
          <w:szCs w:val="24"/>
        </w:rPr>
        <w:t>)</w:t>
      </w:r>
      <w:r w:rsidRPr="00631CF2">
        <w:rPr>
          <w:rFonts w:ascii="Times New Roman" w:hAnsi="Times New Roman" w:cs="Times New Roman"/>
          <w:sz w:val="24"/>
          <w:szCs w:val="24"/>
        </w:rPr>
        <w:t xml:space="preserve"> reflects species-specific characteristics related to tiller regeneration and perennation strategies (Matthew </w:t>
      </w:r>
      <w:r w:rsidR="000C0E26" w:rsidRPr="00631CF2">
        <w:rPr>
          <w:rFonts w:ascii="Times New Roman" w:hAnsi="Times New Roman" w:cs="Times New Roman"/>
          <w:i/>
          <w:iCs/>
          <w:sz w:val="24"/>
          <w:szCs w:val="24"/>
        </w:rPr>
        <w:t>et al.,</w:t>
      </w:r>
      <w:r w:rsidRPr="00631CF2">
        <w:rPr>
          <w:rFonts w:ascii="Times New Roman" w:hAnsi="Times New Roman" w:cs="Times New Roman"/>
          <w:sz w:val="24"/>
          <w:szCs w:val="24"/>
        </w:rPr>
        <w:t xml:space="preserve"> 2013) and can be modified by various factors including flowering patterns, vernalization requirements, nitrogen availability, and defoliation management (Carvalho </w:t>
      </w:r>
      <w:r w:rsidR="000C0E26" w:rsidRPr="00631CF2">
        <w:rPr>
          <w:rFonts w:ascii="Times New Roman" w:hAnsi="Times New Roman" w:cs="Times New Roman"/>
          <w:i/>
          <w:iCs/>
          <w:sz w:val="24"/>
          <w:szCs w:val="24"/>
        </w:rPr>
        <w:t>et al.</w:t>
      </w:r>
      <w:r w:rsidRPr="00631CF2">
        <w:rPr>
          <w:rFonts w:ascii="Times New Roman" w:hAnsi="Times New Roman" w:cs="Times New Roman"/>
          <w:sz w:val="24"/>
          <w:szCs w:val="24"/>
        </w:rPr>
        <w:t xml:space="preserve">, 2021). In our study, significant species differences in TSR were limited to the summer season, suggesting that survival patterns alone cannot explain the observed demographic stability. </w:t>
      </w:r>
      <w:r w:rsidR="412175EC" w:rsidRPr="00631CF2">
        <w:rPr>
          <w:rStyle w:val="normaltextrun"/>
          <w:rFonts w:ascii="Times New Roman" w:hAnsi="Times New Roman" w:cs="Times New Roman"/>
          <w:sz w:val="24"/>
          <w:szCs w:val="24"/>
          <w:shd w:val="clear" w:color="auto" w:fill="FFFFFF"/>
        </w:rPr>
        <w:t xml:space="preserve">Therefore, the </w:t>
      </w:r>
      <w:r w:rsidR="412175EC" w:rsidRPr="00631CF2">
        <w:rPr>
          <w:rFonts w:ascii="Times New Roman" w:hAnsi="Times New Roman" w:cs="Times New Roman"/>
          <w:sz w:val="24"/>
          <w:szCs w:val="24"/>
        </w:rPr>
        <w:t>TS</w:t>
      </w:r>
      <w:r w:rsidRPr="00631CF2">
        <w:rPr>
          <w:rFonts w:ascii="Times New Roman" w:hAnsi="Times New Roman" w:cs="Times New Roman"/>
          <w:sz w:val="24"/>
          <w:szCs w:val="24"/>
        </w:rPr>
        <w:t>R</w:t>
      </w:r>
      <w:r w:rsidR="412175EC" w:rsidRPr="00631CF2">
        <w:rPr>
          <w:rFonts w:ascii="Times New Roman" w:hAnsi="Times New Roman" w:cs="Times New Roman"/>
          <w:sz w:val="24"/>
          <w:szCs w:val="24"/>
        </w:rPr>
        <w:t xml:space="preserve"> </w:t>
      </w:r>
      <w:r w:rsidR="412175EC" w:rsidRPr="00631CF2">
        <w:rPr>
          <w:rStyle w:val="normaltextrun"/>
          <w:rFonts w:ascii="Times New Roman" w:hAnsi="Times New Roman" w:cs="Times New Roman"/>
          <w:sz w:val="24"/>
          <w:szCs w:val="24"/>
          <w:shd w:val="clear" w:color="auto" w:fill="FFFFFF"/>
        </w:rPr>
        <w:t xml:space="preserve">observation alone could not clarify the </w:t>
      </w:r>
      <w:r w:rsidR="412175EC" w:rsidRPr="00631CF2">
        <w:rPr>
          <w:rFonts w:ascii="Times New Roman" w:hAnsi="Times New Roman" w:cs="Times New Roman"/>
          <w:sz w:val="24"/>
          <w:szCs w:val="24"/>
        </w:rPr>
        <w:t>stabilization of the demographic population in the mixed pasture</w:t>
      </w:r>
      <w:r w:rsidR="412175EC" w:rsidRPr="00631CF2">
        <w:rPr>
          <w:rStyle w:val="normaltextrun"/>
          <w:rFonts w:ascii="Times New Roman" w:hAnsi="Times New Roman" w:cs="Times New Roman"/>
          <w:sz w:val="24"/>
          <w:szCs w:val="24"/>
          <w:shd w:val="clear" w:color="auto" w:fill="FFFFFF"/>
        </w:rPr>
        <w:t xml:space="preserve">. </w:t>
      </w:r>
      <w:r w:rsidRPr="00631CF2">
        <w:rPr>
          <w:rStyle w:val="normaltextrun"/>
          <w:rFonts w:ascii="Times New Roman" w:hAnsi="Times New Roman" w:cs="Times New Roman"/>
          <w:sz w:val="24"/>
          <w:szCs w:val="24"/>
          <w:shd w:val="clear" w:color="auto" w:fill="FFFFFF"/>
        </w:rPr>
        <w:t>However, the contrasting tiller turnover and survival strategies exhibited by these species may contribute to overall sward stability through complementary responses to environmental and management pressures (</w:t>
      </w:r>
      <w:proofErr w:type="spellStart"/>
      <w:r w:rsidRPr="00631CF2">
        <w:rPr>
          <w:rStyle w:val="normaltextrun"/>
          <w:rFonts w:ascii="Times New Roman" w:hAnsi="Times New Roman" w:cs="Times New Roman"/>
          <w:sz w:val="24"/>
          <w:szCs w:val="24"/>
          <w:shd w:val="clear" w:color="auto" w:fill="FFFFFF"/>
        </w:rPr>
        <w:t>Duchini</w:t>
      </w:r>
      <w:proofErr w:type="spellEnd"/>
      <w:r w:rsidRPr="00631CF2">
        <w:rPr>
          <w:rStyle w:val="normaltextrun"/>
          <w:rFonts w:ascii="Times New Roman" w:hAnsi="Times New Roman" w:cs="Times New Roman"/>
          <w:sz w:val="24"/>
          <w:szCs w:val="24"/>
          <w:shd w:val="clear" w:color="auto" w:fill="FFFFFF"/>
        </w:rPr>
        <w:t xml:space="preserve"> </w:t>
      </w:r>
      <w:r w:rsidR="000C0E26" w:rsidRPr="00631CF2">
        <w:rPr>
          <w:rStyle w:val="normaltextrun"/>
          <w:rFonts w:ascii="Times New Roman" w:hAnsi="Times New Roman" w:cs="Times New Roman"/>
          <w:i/>
          <w:iCs/>
          <w:sz w:val="24"/>
          <w:szCs w:val="24"/>
          <w:shd w:val="clear" w:color="auto" w:fill="FFFFFF"/>
        </w:rPr>
        <w:t>et al.</w:t>
      </w:r>
      <w:r w:rsidRPr="00631CF2">
        <w:rPr>
          <w:rStyle w:val="normaltextrun"/>
          <w:rFonts w:ascii="Times New Roman" w:hAnsi="Times New Roman" w:cs="Times New Roman"/>
          <w:sz w:val="24"/>
          <w:szCs w:val="24"/>
          <w:shd w:val="clear" w:color="auto" w:fill="FFFFFF"/>
        </w:rPr>
        <w:t>, 2018). This compensation between species with different persistence mechanisms could help maintain stable populations despite seasonal fluctuations in individual species</w:t>
      </w:r>
      <w:r w:rsidR="00E0750F">
        <w:rPr>
          <w:rStyle w:val="normaltextrun"/>
          <w:rFonts w:ascii="Times New Roman" w:hAnsi="Times New Roman" w:cs="Times New Roman"/>
          <w:sz w:val="24"/>
          <w:szCs w:val="24"/>
          <w:shd w:val="clear" w:color="auto" w:fill="FFFFFF"/>
        </w:rPr>
        <w:t>’</w:t>
      </w:r>
      <w:r w:rsidRPr="00631CF2">
        <w:rPr>
          <w:rStyle w:val="normaltextrun"/>
          <w:rFonts w:ascii="Times New Roman" w:hAnsi="Times New Roman" w:cs="Times New Roman"/>
          <w:sz w:val="24"/>
          <w:szCs w:val="24"/>
          <w:shd w:val="clear" w:color="auto" w:fill="FFFFFF"/>
        </w:rPr>
        <w:t xml:space="preserve"> performance.</w:t>
      </w:r>
    </w:p>
    <w:p w14:paraId="3C1A5180" w14:textId="77777777" w:rsidR="00E0750F" w:rsidRPr="00631CF2" w:rsidRDefault="00E0750F" w:rsidP="007F0193">
      <w:pPr>
        <w:widowControl w:val="0"/>
        <w:spacing w:after="0" w:line="480" w:lineRule="auto"/>
        <w:ind w:firstLine="426"/>
        <w:jc w:val="both"/>
        <w:rPr>
          <w:rFonts w:ascii="Times New Roman" w:hAnsi="Times New Roman" w:cs="Times New Roman"/>
          <w:sz w:val="24"/>
          <w:szCs w:val="24"/>
        </w:rPr>
      </w:pPr>
    </w:p>
    <w:p w14:paraId="5C7D3C05" w14:textId="363C5AEE" w:rsidR="000F33C5" w:rsidRPr="00631CF2" w:rsidRDefault="412175EC" w:rsidP="007F0193">
      <w:pPr>
        <w:pStyle w:val="Heading2"/>
        <w:keepLines w:val="0"/>
        <w:widowControl w:val="0"/>
        <w:spacing w:before="0" w:line="480" w:lineRule="auto"/>
        <w:jc w:val="both"/>
        <w:rPr>
          <w:rFonts w:eastAsia="Times New Roman" w:cs="Times New Roman"/>
          <w:b w:val="0"/>
          <w:bCs w:val="0"/>
          <w:i/>
          <w:iCs/>
          <w:color w:val="538135" w:themeColor="accent6" w:themeShade="BF"/>
          <w:sz w:val="24"/>
          <w:szCs w:val="24"/>
          <w:lang w:val="en-GB"/>
        </w:rPr>
      </w:pPr>
      <w:r w:rsidRPr="00631CF2">
        <w:rPr>
          <w:rFonts w:eastAsia="Times New Roman" w:cs="Times New Roman"/>
          <w:b w:val="0"/>
          <w:bCs w:val="0"/>
          <w:i/>
          <w:iCs/>
          <w:color w:val="538135" w:themeColor="accent6" w:themeShade="BF"/>
          <w:sz w:val="24"/>
          <w:szCs w:val="24"/>
          <w:lang w:val="en-GB"/>
        </w:rPr>
        <w:lastRenderedPageBreak/>
        <w:t xml:space="preserve">Relationship between tiller weight and tiller population density in the mixed pasture and the relation with the persistence in the mixed pasture </w:t>
      </w:r>
    </w:p>
    <w:p w14:paraId="4B747DEF" w14:textId="7A7A769F" w:rsidR="000F33C5" w:rsidRPr="00631CF2" w:rsidRDefault="007C48CA" w:rsidP="007F0193">
      <w:pPr>
        <w:widowControl w:val="0"/>
        <w:spacing w:after="0" w:line="480" w:lineRule="auto"/>
        <w:jc w:val="both"/>
        <w:rPr>
          <w:rFonts w:ascii="Times New Roman" w:eastAsia="Times New Roman" w:hAnsi="Times New Roman" w:cs="Times New Roman"/>
          <w:sz w:val="24"/>
          <w:szCs w:val="24"/>
        </w:rPr>
      </w:pPr>
      <w:r w:rsidRPr="00631CF2">
        <w:rPr>
          <w:rFonts w:ascii="Times New Roman" w:hAnsi="Times New Roman" w:cs="Times New Roman"/>
          <w:sz w:val="24"/>
          <w:szCs w:val="24"/>
        </w:rPr>
        <w:t>The observed differences in LAI between treatments (2.9 in 20 cm versus 2.52 in 15 cm management) reflect the functional relationship between canopy structure. Higher LAI values in taller management indicate greater light interception capacity, which directly influences photosynthetic potential and biomass production. However, the maintenance of consistent LAI values within each treatment throughout the year (</w:t>
      </w:r>
      <w:r w:rsidRPr="00631CF2">
        <w:rPr>
          <w:rFonts w:ascii="Times New Roman" w:hAnsi="Times New Roman" w:cs="Times New Roman"/>
          <w:i/>
          <w:iCs/>
          <w:sz w:val="24"/>
          <w:szCs w:val="24"/>
        </w:rPr>
        <w:t>P</w:t>
      </w:r>
      <w:r w:rsidRPr="00631CF2">
        <w:rPr>
          <w:rFonts w:ascii="Times New Roman" w:hAnsi="Times New Roman" w:cs="Times New Roman"/>
          <w:sz w:val="24"/>
          <w:szCs w:val="24"/>
        </w:rPr>
        <w:t xml:space="preserve"> &gt;0.05) suggests that both management heights achieved stable canopy structure. This stability in LAI, despite seasonal fluctuations in tiller demographics, demonstrates the pasture's ability to maintain functional equilibrium through compensatory mechanisms between tiller size and density. The connection between LAI stability and productivity is evidenced by the higher forage production (approximately 15,</w:t>
      </w:r>
      <w:r w:rsidR="00022691" w:rsidRPr="00631CF2">
        <w:rPr>
          <w:rFonts w:ascii="Times New Roman" w:hAnsi="Times New Roman" w:cs="Times New Roman"/>
          <w:sz w:val="24"/>
          <w:szCs w:val="24"/>
        </w:rPr>
        <w:t>400</w:t>
      </w:r>
      <w:r w:rsidRPr="00631CF2">
        <w:rPr>
          <w:rFonts w:ascii="Times New Roman" w:hAnsi="Times New Roman" w:cs="Times New Roman"/>
          <w:sz w:val="24"/>
          <w:szCs w:val="24"/>
        </w:rPr>
        <w:t xml:space="preserve"> kg/ha) in taller management compared to shorter management (1</w:t>
      </w:r>
      <w:r w:rsidR="00022691" w:rsidRPr="00631CF2">
        <w:rPr>
          <w:rFonts w:ascii="Times New Roman" w:hAnsi="Times New Roman" w:cs="Times New Roman"/>
          <w:sz w:val="24"/>
          <w:szCs w:val="24"/>
        </w:rPr>
        <w:t>4</w:t>
      </w:r>
      <w:r w:rsidRPr="00631CF2">
        <w:rPr>
          <w:rFonts w:ascii="Times New Roman" w:hAnsi="Times New Roman" w:cs="Times New Roman"/>
          <w:sz w:val="24"/>
          <w:szCs w:val="24"/>
        </w:rPr>
        <w:t>,100 kg/ha), indicating that stable LAI values above 2.5 support sustained productivity in these mixed grass systems</w:t>
      </w:r>
      <w:r w:rsidR="00CD0B91" w:rsidRPr="00631CF2">
        <w:rPr>
          <w:rFonts w:ascii="Times New Roman" w:hAnsi="Times New Roman" w:cs="Times New Roman"/>
          <w:sz w:val="24"/>
          <w:szCs w:val="24"/>
        </w:rPr>
        <w:t xml:space="preserve"> (Winter </w:t>
      </w:r>
      <w:r w:rsidR="000C0E26" w:rsidRPr="00631CF2">
        <w:rPr>
          <w:rFonts w:ascii="Times New Roman" w:hAnsi="Times New Roman" w:cs="Times New Roman"/>
          <w:i/>
          <w:iCs/>
          <w:sz w:val="24"/>
          <w:szCs w:val="24"/>
        </w:rPr>
        <w:t>et al.</w:t>
      </w:r>
      <w:r w:rsidR="00CD0B91" w:rsidRPr="00631CF2">
        <w:rPr>
          <w:rFonts w:ascii="Times New Roman" w:hAnsi="Times New Roman" w:cs="Times New Roman"/>
          <w:sz w:val="24"/>
          <w:szCs w:val="24"/>
        </w:rPr>
        <w:t>, 2025)</w:t>
      </w:r>
      <w:r w:rsidRPr="00631CF2">
        <w:rPr>
          <w:rFonts w:ascii="Times New Roman" w:hAnsi="Times New Roman" w:cs="Times New Roman"/>
          <w:sz w:val="24"/>
          <w:szCs w:val="24"/>
        </w:rPr>
        <w:t>.</w:t>
      </w:r>
    </w:p>
    <w:p w14:paraId="4F1005CD" w14:textId="766FD1DF" w:rsidR="000F33C5" w:rsidRPr="00631CF2" w:rsidRDefault="00022691" w:rsidP="007F0193">
      <w:pPr>
        <w:widowControl w:val="0"/>
        <w:spacing w:after="0" w:line="480" w:lineRule="auto"/>
        <w:ind w:firstLine="426"/>
        <w:jc w:val="both"/>
        <w:rPr>
          <w:rFonts w:ascii="Times New Roman" w:hAnsi="Times New Roman" w:cs="Times New Roman"/>
          <w:sz w:val="24"/>
          <w:szCs w:val="24"/>
        </w:rPr>
      </w:pPr>
      <w:r w:rsidRPr="00631CF2">
        <w:rPr>
          <w:rFonts w:ascii="Times New Roman" w:hAnsi="Times New Roman" w:cs="Times New Roman"/>
          <w:sz w:val="24"/>
          <w:szCs w:val="24"/>
        </w:rPr>
        <w:t>Our findings revealed consistent size-density compensation across all treatments, despite contrasting demographic patterns. While shorter grazing heights promoted higher tiller population density (TPD) with lower individual tiller weight (TW), the relationship between these variables maintained a remarkably consistent slope (-</w:t>
      </w:r>
      <w:r w:rsidR="00562B3D" w:rsidRPr="00631CF2">
        <w:rPr>
          <w:rFonts w:ascii="Times New Roman" w:hAnsi="Times New Roman" w:cs="Times New Roman"/>
          <w:sz w:val="24"/>
          <w:szCs w:val="24"/>
        </w:rPr>
        <w:t>2.01</w:t>
      </w:r>
      <w:r w:rsidRPr="00631CF2">
        <w:rPr>
          <w:rFonts w:ascii="Times New Roman" w:hAnsi="Times New Roman" w:cs="Times New Roman"/>
          <w:sz w:val="24"/>
          <w:szCs w:val="24"/>
        </w:rPr>
        <w:t>) across treatments (</w:t>
      </w:r>
      <w:r w:rsidR="00615B33" w:rsidRPr="00631CF2">
        <w:rPr>
          <w:rFonts w:ascii="Times New Roman" w:hAnsi="Times New Roman" w:cs="Times New Roman"/>
          <w:sz w:val="24"/>
          <w:szCs w:val="24"/>
        </w:rPr>
        <w:t>Figure</w:t>
      </w:r>
      <w:r w:rsidRPr="00631CF2">
        <w:rPr>
          <w:rFonts w:ascii="Times New Roman" w:hAnsi="Times New Roman" w:cs="Times New Roman"/>
          <w:sz w:val="24"/>
          <w:szCs w:val="24"/>
        </w:rPr>
        <w:t xml:space="preserve"> </w:t>
      </w:r>
      <w:r w:rsidR="29D26A91" w:rsidRPr="00631CF2">
        <w:rPr>
          <w:rFonts w:ascii="Times New Roman" w:hAnsi="Times New Roman" w:cs="Times New Roman"/>
          <w:sz w:val="24"/>
          <w:szCs w:val="24"/>
        </w:rPr>
        <w:t>3</w:t>
      </w:r>
      <w:r w:rsidRPr="00631CF2">
        <w:rPr>
          <w:rFonts w:ascii="Times New Roman" w:hAnsi="Times New Roman" w:cs="Times New Roman"/>
          <w:sz w:val="24"/>
          <w:szCs w:val="24"/>
        </w:rPr>
        <w:t>).</w:t>
      </w:r>
      <w:r w:rsidR="412175EC" w:rsidRPr="00631CF2">
        <w:rPr>
          <w:rFonts w:ascii="Times New Roman" w:hAnsi="Times New Roman" w:cs="Times New Roman"/>
          <w:sz w:val="24"/>
          <w:szCs w:val="24"/>
          <w:shd w:val="clear" w:color="auto" w:fill="FFFFFF"/>
        </w:rPr>
        <w:t xml:space="preserve"> We also observed a consistent distance between the compensatory relationship across treatments and theoretical slope throughout the year (Table </w:t>
      </w:r>
      <w:r w:rsidR="70879E58" w:rsidRPr="00631CF2">
        <w:rPr>
          <w:rFonts w:ascii="Times New Roman" w:hAnsi="Times New Roman" w:cs="Times New Roman"/>
          <w:sz w:val="24"/>
          <w:szCs w:val="24"/>
          <w:shd w:val="clear" w:color="auto" w:fill="FFFFFF"/>
        </w:rPr>
        <w:t>3</w:t>
      </w:r>
      <w:r w:rsidR="412175EC" w:rsidRPr="00631CF2">
        <w:rPr>
          <w:rFonts w:ascii="Times New Roman" w:hAnsi="Times New Roman" w:cs="Times New Roman"/>
          <w:sz w:val="24"/>
          <w:szCs w:val="24"/>
          <w:shd w:val="clear" w:color="auto" w:fill="FFFFFF"/>
        </w:rPr>
        <w:t>). T</w:t>
      </w:r>
      <w:r w:rsidR="412175EC" w:rsidRPr="00631CF2">
        <w:rPr>
          <w:rFonts w:ascii="Times New Roman" w:hAnsi="Times New Roman" w:cs="Times New Roman"/>
          <w:sz w:val="24"/>
          <w:szCs w:val="24"/>
        </w:rPr>
        <w:t>his compensatory phenomenon has been extensively</w:t>
      </w:r>
      <w:r w:rsidR="412175EC" w:rsidRPr="00631CF2">
        <w:rPr>
          <w:rFonts w:ascii="Times New Roman" w:hAnsi="Times New Roman" w:cs="Times New Roman"/>
          <w:sz w:val="24"/>
          <w:szCs w:val="24"/>
          <w:shd w:val="clear" w:color="auto" w:fill="FFFFFF"/>
        </w:rPr>
        <w:t xml:space="preserve"> discussed in the literature, initially by </w:t>
      </w:r>
      <w:r w:rsidR="412175EC" w:rsidRPr="00631CF2">
        <w:rPr>
          <w:rFonts w:ascii="Times New Roman" w:hAnsi="Times New Roman" w:cs="Times New Roman"/>
          <w:sz w:val="24"/>
          <w:szCs w:val="24"/>
        </w:rPr>
        <w:t xml:space="preserve">Yoda </w:t>
      </w:r>
      <w:r w:rsidR="412175EC" w:rsidRPr="00631CF2">
        <w:rPr>
          <w:rFonts w:ascii="Times New Roman" w:hAnsi="Times New Roman" w:cs="Times New Roman"/>
          <w:i/>
          <w:iCs/>
          <w:sz w:val="24"/>
          <w:szCs w:val="24"/>
        </w:rPr>
        <w:t>et al</w:t>
      </w:r>
      <w:r w:rsidR="412175EC" w:rsidRPr="00631CF2">
        <w:rPr>
          <w:rFonts w:ascii="Times New Roman" w:hAnsi="Times New Roman" w:cs="Times New Roman"/>
          <w:sz w:val="24"/>
          <w:szCs w:val="24"/>
        </w:rPr>
        <w:t>. (1963), who formalized the relationship between shoot weight and shoot density for various plant species. This commonly assume</w:t>
      </w:r>
      <w:r w:rsidR="7BA5A1DB" w:rsidRPr="00631CF2">
        <w:rPr>
          <w:rFonts w:ascii="Times New Roman" w:hAnsi="Times New Roman" w:cs="Times New Roman"/>
          <w:sz w:val="24"/>
          <w:szCs w:val="24"/>
        </w:rPr>
        <w:t>s</w:t>
      </w:r>
      <w:r w:rsidR="412175EC" w:rsidRPr="00631CF2">
        <w:rPr>
          <w:rFonts w:ascii="Times New Roman" w:hAnsi="Times New Roman" w:cs="Times New Roman"/>
          <w:sz w:val="24"/>
          <w:szCs w:val="24"/>
        </w:rPr>
        <w:t xml:space="preserve"> a -3/2 slope. Subsequently, many authors in agronomy and ecology have reaffirmed this relationship </w:t>
      </w:r>
      <w:r w:rsidR="004B55CF" w:rsidRPr="00631CF2">
        <w:rPr>
          <w:rFonts w:ascii="Times New Roman" w:hAnsi="Times New Roman" w:cs="Times New Roman"/>
          <w:sz w:val="24"/>
          <w:szCs w:val="24"/>
        </w:rPr>
        <w:fldChar w:fldCharType="begin"/>
      </w:r>
      <w:r w:rsidR="00D04F5E" w:rsidRPr="00631CF2">
        <w:rPr>
          <w:rFonts w:ascii="Times New Roman" w:hAnsi="Times New Roman" w:cs="Times New Roman"/>
          <w:sz w:val="24"/>
          <w:szCs w:val="24"/>
        </w:rPr>
        <w:instrText xml:space="preserve"> ADDIN ZOTERO_ITEM CSL_CITATION {"citationID":"0SXN3THQ","properties":{"formattedCitation":"(Bircham and Hodgson 1983, 1983; Matthew {\\i{}et al.} 1995; Sbrissia {\\i{}et al.} 2001; Sbrissia and Silva 2008; Weller 1987)","plainCitation":"(Bircham and Hodgson 1983, 1983; Matthew et al. 1995; Sbrissia et al. 2001; Sbrissia and Silva 2008; Weller 1987)","noteIndex":0},"citationItems":[{"id":47,"uris":["http://zotero.org/users/12323737/items/I2LFVPC7"],"itemData":{"id":47,"type":"article-journal","abstract":"Abstract\n            \n              A study was conducted to determine the influence of herbage mass under continuous stocking management with sheep on rates of herbage growth (G), senescence (S) and net production of green herbage (NP) in a mixed‐species sward of\n              Lolium perenne. Poa annua\n              and\n              Trifolium repens.\n              Plots were maintained in as nearly constant herbage mass as possible at 500, 700, 1000 and 1700 kg organic matter (OM) ha\n              −1\n              by continuous but variable stocking with sheep for the period May to July inclusive. Estimates of G, S and NP were obtained for each species from repeated measurements over two 2‐week periods on individually identified grass tillers or clover stolons. Estimates of species population densities enabled estimates of G. S and NP per unit area to be made.\n            \n            \n              Rates of G were higher and of S were lower for\n              Lolium\n              tillers and\n              Trifolium\n              stolons than for\n              Poa\n              tillers. The laminae of\n              Poa\n              tillers occupied inferior positions in the canopy of the swards maintained at higher herbage masses and were less accessible to the grazing animals, so that\n              Poa\n              tissue was less well utilized.\n            \n            \n              The total population densities of tillers and stolons declined at herbage masses both above and below 700 kg OM ha\n              −1\n              . The rate of G for the three species combined increased with herbage","container-title":"Grass and Forage Science","DOI":"10.1111/j.1365-2494.1983.tb01656.x","ISSN":"0142-5242, 1365-2494","issue":"4","journalAbbreviation":"Grass and Forage Science","language":"en","license":"http://onlinelibrary.wiley.com/termsAndConditions#vor","page":"323-331","source":"DOI.org (Crossref)","title":"The influence of sward condition on rates of herbage growth and senescence in mixed swards under continuous stocking management","volume":"38","author":[{"family":"Bircham","given":"J. S."},{"family":"Hodgson","given":"J."}],"issued":{"date-parts":[["1983",12]]}}},{"id":47,"uris":["http://zotero.org/users/12323737/items/I2LFVPC7"],"itemData":{"id":47,"type":"article-journal","abstract":"Abstract\n            \n              A study was conducted to determine the influence of herbage mass under continuous stocking management with sheep on rates of herbage growth (G), senescence (S) and net production of green herbage (NP) in a mixed‐species sward of\n              Lolium perenne. Poa annua\n              and\n              Trifolium repens.\n              Plots were maintained in as nearly constant herbage mass as possible at 500, 700, 1000 and 1700 kg organic matter (OM) ha\n              −1\n              by continuous but variable stocking with sheep for the period May to July inclusive. Estimates of G, S and NP were obtained for each species from repeated measurements over two 2‐week periods on individually identified grass tillers or clover stolons. Estimates of species population densities enabled estimates of G. S and NP per unit area to be made.\n            \n            \n              Rates of G were higher and of S were lower for\n              Lolium\n              tillers and\n              Trifolium\n              stolons than for\n              Poa\n              tillers. The laminae of\n              Poa\n              tillers occupied inferior positions in the canopy of the swards maintained at higher herbage masses and were less accessible to the grazing animals, so that\n              Poa\n              tissue was less well utilized.\n            \n            \n              The total population densities of tillers and stolons declined at herbage masses both above and below 700 kg OM ha\n              −1\n              . The rate of G for the three species combined increased with herbage","container-title":"Grass and Forage Science","DOI":"10.1111/j.1365-2494.1983.tb01656.x","ISSN":"0142-5242, 1365-2494","issue":"4","journalAbbreviation":"Grass and Forage Science","language":"en","license":"http://onlinelibrary.wiley.com/termsAndConditions#vor","page":"323-331","source":"DOI.org (Crossref)","title":"The influence of sward condition on rates of herbage growth and senescence in mixed swards under continuous stocking management","volume":"38","author":[{"family":"Bircham","given":"J. S."},{"family":"Hodgson","given":"J."}],"issued":{"date-parts":[["1983",12]]}}},{"id":51,"uris":["http://zotero.org/users/12323737/items/HXV2AXF9"],"itemData":{"id":51,"type":"article-journal","abstract":"Interpretation of tiller or shoot density data requires resolution of two independent, confounding effects, namely size/density compensation and what is here called the \"leaf area effect\". Size/density compensation implies that at higher herbage mass, individual tillers or shoots are larger, but the population density is correspondingly decreased. The leaf area effect represents difference in sward leaf area for two tiller populations. Such leaf area differences may be environmentally or genetically determined, but must of necessity be expressed through change in tiller size and/or tiller density as \"yield components\" of leaf area. The theoretical basis for distinguishing between size/density compensation and the leaf area effect is to consider tiller or shoot density and herbage yield, respectively, as X,Y co-ordinates in a size/density plot. When such a plot is drawn on a logarithmic scale, points along a line of -l/2 slope show size/ density compensation with respect to each other. Movement of points to the right or left of the size/ density compensation line is evidence of a leaf area effect. It is shown that when the size/density effects are removed from a data set in this way, rankings of experimental treatments for the leaf area effect can often be reversed compared with the ranking of uncorrected tiller density. Tiller density data corrected for size/density compen-. sation in this way appear to be a useful indicator of sward productivity. Keywords: sizeldensity compensation, sward productivity, tiller density","container-title":"Proceedings of the New Zealand Grassland Association","DOI":"10.33584/jnzg.1995.57.2190","ISSN":"1179-4577, 0369-3902","journalAbbreviation":"ProNZG","page":"83-87","source":"DOI.org (Crossref)","title":"Making sense of the link between tiller density and pasture production","author":[{"family":"Matthew","given":"C."},{"family":"Hernandez-Garay","given":"A."},{"family":"Hodgson","given":"J."}],"issued":{"date-parts":[["1995",1,1]]}}},{"id":65,"uris":["http://zotero.org/users/12323737/items/Q5BMHNXI"],"itemData":{"id":65,"type":"article-journal","abstract":"Several compensatory mechanisms in pastures do not allow optimisation of responses from the processes of herbage production and utilisation. Compensation due to tiller size/density relationships is one of these mechanisms. This experiment evaluated this process for Coastcross bermudagrass and compared the responses to those reported for temperate forages. Treatments were \"steady state\" sward surface heights of 5, 10, 15, and 20 cm that were maintained from August, 1998, through July, 1999 by sheep grazing. The experimental design was a randomised complete block, replicated four times. Pasture responses were evaluated on four separate dates (15/12/1998, 25/01/1999, 07/04/1999 and 04/07/1999) with respect to: tiller population density, tiller weight, leaf mass and leaf area per tiller and herbage mass (biomass). Tiller volume, leaf area index (LAI), tiller leaf:stem ratio and tiller leaf area:volume ratio (R) were calculated. Simple regression analyses between tiller population density and tiller weight were also performed. Coastcross swards showed a tiller size/density compensation mechanism where high tiller population densities were associated with small tillers and vice-versa; except on the last evaluation. However, regression analysis revealed linear coefficients of -3.83 to -2.05, which are lower than the theoretical expectation of -3/2. The lower R values observed, when compared to those reported for perennial ryegrass, suggest that Coastcross swards optimised their LAI via clonal integration among tillers in contrast with tillers of cool-season grasses that respond more as individuals. However, this hypothesis has yet to be experimentally verified.\n          , \n            Vários mecanismos compensatórios em pastagens não permitem a otimização de respostas dos processos determinantes da produção e da utilização de forragem. O mecanismo de compensação tamanho/densidade é um desses mecanismos. Este experimento avaliou esse processo originalmente descrito para plantas forrageiras de clima temperado. Os tratamentos corresponderam às alturas de pasto de 5, 10, 15 e 20 cm mantidas em steady state por ovinos em lotação contínua de Agosto de 1998 a Julho de 1999. O delineamento experimental utilizado foi o de blocos completos ao acaso, com quatro repetições. As respostas avaliadas foram: densidade populacional de perfilhos, massa por perfilho, massa de folhas e área foliar por perfilho e biomassa total. Cálculos de volume por perfilho, índice de área foliar (IAF), relação folha:haste por perfilho e área foliar:volume do perfilho (R) foram executados. Análises de regressão simples entre densidade populacional de perfilhos e peso por perfilho foram também realizadas. As avaliações foram realizadas em dezembro/98, janeiro, abril e julho/99. Pastos de Coastcross apresentaram um mecanismo de compensação tamanho/densidade onde altas densidades populacionais estiveram associadas com perfilhos pequenos e vice-versa, exceto na última avaliação. Contudo, a análise de regressão revelou inclinações de reta que variaram de -3,83 a -2,05, superiores à expectativa teórica de -3/2. Em dezembro e janeiro os aumentos em biomassa foram resultado de aumentos em massa por perfilho. Os baixos valores de R observados, quando comparados àqueles determinados para azevém perene, sugerem que pastos de Coastcross otimizem seu IAF via integração clonal entre perfilhos, diferentemente de azevém que operaria através de perfilhos individuais. No entanto, esta hipótese necessita ser comprovada experimentalmente.","container-title":"Scientia Agricola","DOI":"10.1590/S0103-90162001000400002","ISSN":"0103-9016","issue":"4","journalAbbreviation":"Sci. agric. (Piracicaba, Braz.)","page":"655-665","source":"DOI.org (Crossref)","title":"Tiller size/population density compensation in grazed Coastcross bermudagrass swards","volume":"58","author":[{"family":"Sbrissia","given":"André Fischer"},{"family":"Silva","given":"Sila Carneiro Da"},{"family":"Carvalho","given":"Carlos Augusto Brandão De"},{"family":"Carnevalli","given":"Roberta Aparecida"},{"family":"Pinto","given":"Luiz Felipe De Moura"},{"family":"Fagundes","given":"Jaílson Lara"},{"family":"Pedreira","given":"Carlos Guilherme Silveira"}],"issued":{"date-parts":[["2001",12]]}}},{"id":486,"uris":["http://zotero.org/users/12323737/items/XJXRNSWQ"],"itemData":{"id":486,"type":"article-journal","abstract":"Objetivou-se comparar três métodos de determinação do IAF em pastos de capim-marandu (Brachiaria brizantha Hochst. ex A. Rich cv. Marandu) mantidos a quatro alturas de pastejo (10, 20, 30, e 40 cm) por meio de lotação contínua com bovinos de corte. Foram comparados um método direto, destrutivo (IAF MD), um método indireto, destrutivo, baseado no uso da densidade populacional de perfilhos e área foliar média por perfilho (IAF DPP), e um método indireto, não destrutivo, baseado no uso de um aparelho analisador de dossel LAI-2000 (LAI LICOR). O IAF MD foi estimado por meio de coletas de amostras de forragem contidas no interior de quatro retângulos de 0,11 m² (0,30 × 0,37 m). As avaliações foram realizadas mensalmente e agrupadas em cinco épocas do ano: verão, outono, inverno, início e final de primavera. O experimento foi realizado segundo um delineamento de blocos completos casualizados, com quatro repetições, e arranjo de parcelas subdivididas, em que as alturas corresponderam às parcelas e os métodos, às subparcelas. Em comparação aos outros dois métodos, o analisador de dossel superestima os valores de IAF, provavelmente em virtude da grande deposição de material morto na base do pasto, principalmente naqueles mantidos mais altos. O IAF MD foi o método que melhor detectou variações entre alturas e épocas do ano e o IAF DPP resultou em valores intermediários, com padrão de evolução nos valores absolutos similar ao registrado para o IAF MD. O analisador de dossel não deve ser utilizado visando coletar dados de IAF para fins de simulação e modelagem matemática ou para estimar a eficiência de uso da radiação incidente.\n          , \n            The objective of this research was to compare three methods for estimating LAI in marandu palisadegrass (Brachiaria brizantha Hochst. ex A. Rich cv. Marandu) swards subjected to four grazing heights (10, 20, 30 and 40 cm) under continuous stocking by beef cattle. Evaluated methods were: (1) Direct, destructive (LAI DM); (2) Indirect, destructive, based on the use of tiller population density and mean leaf area per tiller (LAI TPD); and (3) Indirect, non-destructive, based on the use of a LAI-2000 canopy analyser equipment (LAI LICOR). LAI DM was estimated on herbage samples harvested using four 0.30 × 0.37 m metallic frames per paddock. Measurements were carried out in a monthly basis and results grouped into five seasons of the year: summer, autumn, winter, early and late spring. The experiment was carried out according to a complete randomised block design, with four replications and a split-plot arrangement, where sward heights were allocated to plots and LAI estimation methods to sub-plots. The results showed that the canopy analyser overestimated LAI values in relation to the other two methods. This overestimation is mainly due to the excessive accumulation of dead material at the base of swards, particularly on those kept taller (30 and 40 cm). The LAI DM was the method that better detected variations in sward height and seasons of the year, and the LAI TPD showed intermediate values, with a pattern of variation in absolute values similar to that obtained for the LAI DM. The canopy analyser should not be used when LAI estimates are being generated for simulation and mathematical modelling purposes and to estimate the efficiency of incident radiation use.","container-title":"Revista Brasileira de Zootecnia","DOI":"10.1590/S1516-35982008000200006","ISSN":"1516-3598","issue":"2","journalAbbreviation":"R. Bras. Zootec.","page":"212-220","source":"DOI.org (Crossref)","title":"Comparação de três métodos para estimativa do índice de área foliar em pastos de capim-marandu sob lotação contínua","volume":"37","author":[{"family":"Sbrissia","given":"André Fischer"},{"family":"Silva","given":"Sila Carneiro Da"}],"issued":{"date-parts":[["2008",2]]}}},{"id":484,"uris":["http://zotero.org/users/12323737/items/R465QVG7"],"itemData":{"id":484,"type":"article-journal","abstract":"The —3/2 power rule of self—thinning, which describes the course of growth and mortality in crowded, even—aged plant stands, predicts that average mass is related to plant density by a power equation with exponent —3/2. The rule is widely accepted as an empirical generalization and quantitative rule or law. Simple geometric models of space occupation by growing plants yield a power equation, but the exponent can differ from —3/2 when realistic assumptions about the allometric growth of plants are considered. Because such deviations conflict with the empirical evidence for the —3/2 value as a law—like constant, the geometric model have not produced an accepted explanation and the thinning rule remains poorly understood. Recent studies have concluded that thinning exponents can deviate more widely from —3/2 than previously thought, motivating the present re—evaluation of the geometric explanation. I extend the simple models to predict the relationships of the thinning exponent to allometric exponents derived from commonly measured stand dimensions, such as height, average mass, average bole diameter at breast height (DBH), and average bole basal area. If the form and exponent of the thinning equation arise from the geometry of space filling, then thinning exponents should be systematically related to the exponents of allometric equations relating average height to average mass, average height to average DBH, and average height to average basal area. I also predict some values for the slopes and intercepts of regression lines relating thinning exponents to the allometric exponents. The predictions are verified by statistically comparing the thinning exponents and allometric exponents of self—thinning populations. The expected negative correlations are present and statistically significant (P ≤ .05), and the slopes and intercepts of linear regressions relating thinning exponents to allometric exponents are near the predicted values. These results support the hypothesis that the thinning equation arises from the geometry of space filling, but recognition that thinning exponents differ from —3/2 as predicted by simple geometric considerations weakens the case for a quantitative rule or law.","container-title":"Ecology","DOI":"10.2307/1938352","ISSN":"0012-9658, 1939-9170","issue":"4","journalAbbreviation":"Ecology","language":"en","license":"http://onlinelibrary.wiley.com/termsAndConditions#vor","page":"813-821","source":"DOI.org (Crossref)","title":"Self‐Thinning Exponent Correlated with Allometric Measures of Plant Geometry","volume":"68","author":[{"family":"Weller","given":"Donald E."}],"issued":{"date-parts":[["1987",8]]}}}],"schema":"https://github.com/citation-style-language/schema/raw/master/csl-citation.json"} </w:instrText>
      </w:r>
      <w:r w:rsidR="004B55CF" w:rsidRPr="00631CF2">
        <w:rPr>
          <w:rFonts w:ascii="Times New Roman" w:hAnsi="Times New Roman" w:cs="Times New Roman"/>
          <w:sz w:val="24"/>
          <w:szCs w:val="24"/>
        </w:rPr>
        <w:fldChar w:fldCharType="separate"/>
      </w:r>
      <w:r w:rsidR="55C8F4B3" w:rsidRPr="00631CF2">
        <w:rPr>
          <w:rFonts w:ascii="Times New Roman" w:hAnsi="Times New Roman" w:cs="Times New Roman"/>
          <w:sz w:val="24"/>
          <w:szCs w:val="24"/>
        </w:rPr>
        <w:t xml:space="preserve">(Bircham and Hodgson 1983; </w:t>
      </w:r>
      <w:r w:rsidR="2BFD3DF8" w:rsidRPr="00631CF2">
        <w:rPr>
          <w:rFonts w:ascii="Times New Roman" w:hAnsi="Times New Roman" w:cs="Times New Roman"/>
          <w:sz w:val="24"/>
          <w:szCs w:val="24"/>
        </w:rPr>
        <w:t xml:space="preserve">Hutchings 1983; </w:t>
      </w:r>
      <w:r w:rsidR="38D5272B" w:rsidRPr="00631CF2">
        <w:rPr>
          <w:rFonts w:ascii="Times New Roman" w:hAnsi="Times New Roman" w:cs="Times New Roman"/>
          <w:sz w:val="24"/>
          <w:szCs w:val="24"/>
        </w:rPr>
        <w:t xml:space="preserve">Weller 1987; </w:t>
      </w:r>
      <w:r w:rsidR="2BFD3DF8" w:rsidRPr="00631CF2">
        <w:rPr>
          <w:rFonts w:ascii="Times New Roman" w:hAnsi="Times New Roman" w:cs="Times New Roman"/>
          <w:sz w:val="24"/>
          <w:szCs w:val="24"/>
        </w:rPr>
        <w:t xml:space="preserve">Chapman and Lemaire1993; </w:t>
      </w:r>
      <w:r w:rsidR="55C8F4B3" w:rsidRPr="00631CF2">
        <w:rPr>
          <w:rFonts w:ascii="Times New Roman" w:hAnsi="Times New Roman" w:cs="Times New Roman"/>
          <w:sz w:val="24"/>
          <w:szCs w:val="24"/>
        </w:rPr>
        <w:t xml:space="preserve">Matthew </w:t>
      </w:r>
      <w:r w:rsidR="000C0E26" w:rsidRPr="00631CF2">
        <w:rPr>
          <w:rFonts w:ascii="Times New Roman" w:hAnsi="Times New Roman" w:cs="Times New Roman"/>
          <w:i/>
          <w:iCs/>
          <w:sz w:val="24"/>
          <w:szCs w:val="24"/>
        </w:rPr>
        <w:t>et al.,</w:t>
      </w:r>
      <w:r w:rsidR="55C8F4B3" w:rsidRPr="00631CF2">
        <w:rPr>
          <w:rFonts w:ascii="Times New Roman" w:hAnsi="Times New Roman" w:cs="Times New Roman"/>
          <w:sz w:val="24"/>
          <w:szCs w:val="24"/>
        </w:rPr>
        <w:t xml:space="preserve"> 1995; Sbrissia </w:t>
      </w:r>
      <w:r w:rsidR="000C0E26" w:rsidRPr="00631CF2">
        <w:rPr>
          <w:rFonts w:ascii="Times New Roman" w:hAnsi="Times New Roman" w:cs="Times New Roman"/>
          <w:i/>
          <w:iCs/>
          <w:sz w:val="24"/>
          <w:szCs w:val="24"/>
        </w:rPr>
        <w:t>et al.,</w:t>
      </w:r>
      <w:r w:rsidR="55C8F4B3" w:rsidRPr="00631CF2">
        <w:rPr>
          <w:rFonts w:ascii="Times New Roman" w:hAnsi="Times New Roman" w:cs="Times New Roman"/>
          <w:sz w:val="24"/>
          <w:szCs w:val="24"/>
        </w:rPr>
        <w:t xml:space="preserve"> 2001; Sbrissia and Silva 2008; )</w:t>
      </w:r>
      <w:r w:rsidR="004B55CF" w:rsidRPr="00631CF2">
        <w:rPr>
          <w:rFonts w:ascii="Times New Roman" w:hAnsi="Times New Roman" w:cs="Times New Roman"/>
          <w:sz w:val="24"/>
          <w:szCs w:val="24"/>
        </w:rPr>
        <w:fldChar w:fldCharType="end"/>
      </w:r>
      <w:r w:rsidR="412175EC" w:rsidRPr="00631CF2">
        <w:rPr>
          <w:rFonts w:ascii="Times New Roman" w:hAnsi="Times New Roman" w:cs="Times New Roman"/>
          <w:sz w:val="24"/>
          <w:szCs w:val="24"/>
        </w:rPr>
        <w:t xml:space="preserve">. Also, in this context, Matthew (1995) linked this compensatory relationship to the leaf area index (LAI) and productivity in a perennial ryegrass sward </w:t>
      </w:r>
      <w:r w:rsidR="00CD0B91" w:rsidRPr="00631CF2">
        <w:rPr>
          <w:rFonts w:ascii="Times New Roman" w:hAnsi="Times New Roman" w:cs="Times New Roman"/>
          <w:sz w:val="24"/>
          <w:szCs w:val="24"/>
        </w:rPr>
        <w:t>subjected to</w:t>
      </w:r>
      <w:r w:rsidR="412175EC" w:rsidRPr="00631CF2">
        <w:rPr>
          <w:rFonts w:ascii="Times New Roman" w:hAnsi="Times New Roman" w:cs="Times New Roman"/>
          <w:sz w:val="24"/>
          <w:szCs w:val="24"/>
        </w:rPr>
        <w:t xml:space="preserve"> cutting treatments. </w:t>
      </w:r>
      <w:r w:rsidR="005B2FD4" w:rsidRPr="00631CF2">
        <w:rPr>
          <w:rFonts w:ascii="Times New Roman" w:hAnsi="Times New Roman" w:cs="Times New Roman"/>
          <w:sz w:val="24"/>
          <w:szCs w:val="24"/>
        </w:rPr>
        <w:t xml:space="preserve">These authors </w:t>
      </w:r>
      <w:r w:rsidR="412175EC" w:rsidRPr="00631CF2">
        <w:rPr>
          <w:rFonts w:ascii="Times New Roman" w:hAnsi="Times New Roman" w:cs="Times New Roman"/>
          <w:sz w:val="24"/>
          <w:szCs w:val="24"/>
        </w:rPr>
        <w:t xml:space="preserve">suggested </w:t>
      </w:r>
      <w:r w:rsidR="005B2FD4" w:rsidRPr="00631CF2">
        <w:rPr>
          <w:rFonts w:ascii="Times New Roman" w:hAnsi="Times New Roman" w:cs="Times New Roman"/>
          <w:sz w:val="24"/>
          <w:szCs w:val="24"/>
        </w:rPr>
        <w:t xml:space="preserve">that </w:t>
      </w:r>
      <w:r w:rsidR="412175EC" w:rsidRPr="00631CF2">
        <w:rPr>
          <w:rFonts w:ascii="Times New Roman" w:hAnsi="Times New Roman" w:cs="Times New Roman"/>
          <w:sz w:val="24"/>
          <w:szCs w:val="24"/>
        </w:rPr>
        <w:t>deviation</w:t>
      </w:r>
      <w:r w:rsidR="005B2FD4" w:rsidRPr="00631CF2">
        <w:rPr>
          <w:rFonts w:ascii="Times New Roman" w:hAnsi="Times New Roman" w:cs="Times New Roman"/>
          <w:sz w:val="24"/>
          <w:szCs w:val="24"/>
        </w:rPr>
        <w:t>s</w:t>
      </w:r>
      <w:r w:rsidR="412175EC" w:rsidRPr="00631CF2">
        <w:rPr>
          <w:rFonts w:ascii="Times New Roman" w:hAnsi="Times New Roman" w:cs="Times New Roman"/>
          <w:sz w:val="24"/>
          <w:szCs w:val="24"/>
        </w:rPr>
        <w:t xml:space="preserve"> from the compensatory slope (-3/2) </w:t>
      </w:r>
      <w:r w:rsidR="005B2FD4" w:rsidRPr="00631CF2">
        <w:rPr>
          <w:rFonts w:ascii="Times New Roman" w:hAnsi="Times New Roman" w:cs="Times New Roman"/>
          <w:sz w:val="24"/>
          <w:szCs w:val="24"/>
        </w:rPr>
        <w:t>indicate changes in</w:t>
      </w:r>
      <w:r w:rsidR="412175EC" w:rsidRPr="00631CF2">
        <w:rPr>
          <w:rFonts w:ascii="Times New Roman" w:hAnsi="Times New Roman" w:cs="Times New Roman"/>
          <w:sz w:val="24"/>
          <w:szCs w:val="24"/>
        </w:rPr>
        <w:t xml:space="preserve"> LAI index and</w:t>
      </w:r>
      <w:r w:rsidR="005B2FD4" w:rsidRPr="00631CF2">
        <w:rPr>
          <w:rFonts w:ascii="Times New Roman" w:hAnsi="Times New Roman" w:cs="Times New Roman"/>
          <w:sz w:val="24"/>
          <w:szCs w:val="24"/>
        </w:rPr>
        <w:t xml:space="preserve"> could</w:t>
      </w:r>
      <w:r w:rsidR="412175EC" w:rsidRPr="00631CF2">
        <w:rPr>
          <w:rFonts w:ascii="Times New Roman" w:hAnsi="Times New Roman" w:cs="Times New Roman"/>
          <w:sz w:val="24"/>
          <w:szCs w:val="24"/>
        </w:rPr>
        <w:t xml:space="preserve"> </w:t>
      </w:r>
      <w:r w:rsidR="05FB06BA" w:rsidRPr="00631CF2">
        <w:rPr>
          <w:rFonts w:ascii="Times New Roman" w:hAnsi="Times New Roman" w:cs="Times New Roman"/>
          <w:sz w:val="24"/>
          <w:szCs w:val="24"/>
        </w:rPr>
        <w:t>result</w:t>
      </w:r>
      <w:r w:rsidR="005B2FD4" w:rsidRPr="00631CF2">
        <w:rPr>
          <w:rFonts w:ascii="Times New Roman" w:hAnsi="Times New Roman" w:cs="Times New Roman"/>
          <w:sz w:val="24"/>
          <w:szCs w:val="24"/>
        </w:rPr>
        <w:t xml:space="preserve"> in</w:t>
      </w:r>
      <w:r w:rsidR="412175EC" w:rsidRPr="00631CF2">
        <w:rPr>
          <w:rFonts w:ascii="Times New Roman" w:hAnsi="Times New Roman" w:cs="Times New Roman"/>
          <w:sz w:val="24"/>
          <w:szCs w:val="24"/>
        </w:rPr>
        <w:t xml:space="preserve"> loss of productivity</w:t>
      </w:r>
      <w:r w:rsidR="005B2FD4" w:rsidRPr="00631CF2">
        <w:rPr>
          <w:rFonts w:ascii="Times New Roman" w:hAnsi="Times New Roman" w:cs="Times New Roman"/>
          <w:sz w:val="24"/>
          <w:szCs w:val="24"/>
        </w:rPr>
        <w:t xml:space="preserve"> of sward</w:t>
      </w:r>
      <w:r w:rsidR="412175EC" w:rsidRPr="00631CF2">
        <w:rPr>
          <w:rFonts w:ascii="Times New Roman" w:hAnsi="Times New Roman" w:cs="Times New Roman"/>
          <w:sz w:val="24"/>
          <w:szCs w:val="24"/>
        </w:rPr>
        <w:t xml:space="preserve">. </w:t>
      </w:r>
    </w:p>
    <w:p w14:paraId="4E924233" w14:textId="58313035" w:rsidR="00EB2AA7" w:rsidRPr="00631CF2" w:rsidRDefault="005B2FD4" w:rsidP="007F0193">
      <w:pPr>
        <w:widowControl w:val="0"/>
        <w:spacing w:after="0" w:line="480" w:lineRule="auto"/>
        <w:ind w:firstLine="426"/>
        <w:jc w:val="both"/>
        <w:rPr>
          <w:rFonts w:ascii="Times New Roman" w:eastAsia="Times New Roman" w:hAnsi="Times New Roman" w:cs="Times New Roman"/>
          <w:sz w:val="24"/>
          <w:szCs w:val="24"/>
        </w:rPr>
      </w:pPr>
      <w:r w:rsidRPr="00631CF2">
        <w:rPr>
          <w:rFonts w:ascii="Times New Roman" w:hAnsi="Times New Roman" w:cs="Times New Roman"/>
          <w:sz w:val="24"/>
          <w:szCs w:val="24"/>
        </w:rPr>
        <w:t xml:space="preserve">The stability of mixed swards </w:t>
      </w:r>
      <w:r w:rsidR="0051291E" w:rsidRPr="00631CF2">
        <w:rPr>
          <w:rFonts w:ascii="Times New Roman" w:hAnsi="Times New Roman" w:cs="Times New Roman"/>
          <w:sz w:val="24"/>
          <w:szCs w:val="24"/>
        </w:rPr>
        <w:t>depends</w:t>
      </w:r>
      <w:r w:rsidRPr="00631CF2">
        <w:rPr>
          <w:rFonts w:ascii="Times New Roman" w:hAnsi="Times New Roman" w:cs="Times New Roman"/>
          <w:sz w:val="24"/>
          <w:szCs w:val="24"/>
        </w:rPr>
        <w:t xml:space="preserve"> </w:t>
      </w:r>
      <w:r w:rsidR="001F7639" w:rsidRPr="00631CF2">
        <w:rPr>
          <w:rFonts w:ascii="Times New Roman" w:hAnsi="Times New Roman" w:cs="Times New Roman"/>
          <w:sz w:val="24"/>
          <w:szCs w:val="24"/>
        </w:rPr>
        <w:t>on</w:t>
      </w:r>
      <w:r w:rsidRPr="00631CF2">
        <w:rPr>
          <w:rFonts w:ascii="Times New Roman" w:hAnsi="Times New Roman" w:cs="Times New Roman"/>
          <w:sz w:val="24"/>
          <w:szCs w:val="24"/>
        </w:rPr>
        <w:t xml:space="preserve"> multiple interacting factors, including species interactions, selective grazing, and environmental variability </w:t>
      </w: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ZOTERO_ITEM CSL_CITATION {"citationID":"VVLTIheh","properties":{"formattedCitation":"(Schulte {\\i{}et al.} 2003)","plainCitation":"(Schulte et al. 2003)","noteIndex":0},"citationItems":[{"id":50,"uris":["http://zotero.org/users/12323737/items/3CPEWRIC"],"itemData":{"id":50,"type":"article-journal","container-title":"Ecological Modelling","DOI":"10.1016/S0304-3800(02)00261-2","ISSN":"03043800","issue":"1","journalAbbreviation":"Ecological Modelling","language":"en","license":"https://www.elsevier.com/tdm/userlicense/1.0/","page":"43-69","source":"DOI.org (Crossref)","title":"Analysis of the production stability of mixed grasslands","volume":"159","author":[{"family":"Schulte","given":"R.P.O"},{"family":"Lantinga","given":"E.A"},{"family":"Struik","given":"P.C"}],"issued":{"date-parts":[["2003",1]]}}}],"schema":"https://github.com/citation-style-language/schema/raw/master/csl-citation.json"} </w:instrText>
      </w:r>
      <w:r w:rsidRPr="00631CF2">
        <w:rPr>
          <w:rFonts w:ascii="Times New Roman" w:hAnsi="Times New Roman" w:cs="Times New Roman"/>
          <w:sz w:val="24"/>
          <w:szCs w:val="24"/>
        </w:rPr>
        <w:fldChar w:fldCharType="separate"/>
      </w:r>
      <w:r w:rsidR="4522CABE" w:rsidRPr="00631CF2">
        <w:rPr>
          <w:rFonts w:ascii="Times New Roman" w:hAnsi="Times New Roman" w:cs="Times New Roman"/>
          <w:sz w:val="24"/>
          <w:szCs w:val="24"/>
        </w:rPr>
        <w:t xml:space="preserve">(Schulte </w:t>
      </w:r>
      <w:r w:rsidR="000C0E26" w:rsidRPr="00631CF2">
        <w:rPr>
          <w:rFonts w:ascii="Times New Roman" w:hAnsi="Times New Roman" w:cs="Times New Roman"/>
          <w:i/>
          <w:iCs/>
          <w:sz w:val="24"/>
          <w:szCs w:val="24"/>
        </w:rPr>
        <w:t>et al.,</w:t>
      </w:r>
      <w:r w:rsidR="4522CABE" w:rsidRPr="00631CF2">
        <w:rPr>
          <w:rFonts w:ascii="Times New Roman" w:hAnsi="Times New Roman" w:cs="Times New Roman"/>
          <w:sz w:val="24"/>
          <w:szCs w:val="24"/>
        </w:rPr>
        <w:t xml:space="preserve"> </w:t>
      </w:r>
      <w:r w:rsidR="4522CABE" w:rsidRPr="00631CF2">
        <w:rPr>
          <w:rFonts w:ascii="Times New Roman" w:hAnsi="Times New Roman" w:cs="Times New Roman"/>
          <w:sz w:val="24"/>
          <w:szCs w:val="24"/>
        </w:rPr>
        <w:lastRenderedPageBreak/>
        <w:t>2003)</w:t>
      </w:r>
      <w:r w:rsidRPr="00631CF2">
        <w:rPr>
          <w:rFonts w:ascii="Times New Roman" w:hAnsi="Times New Roman" w:cs="Times New Roman"/>
          <w:sz w:val="24"/>
          <w:szCs w:val="24"/>
        </w:rPr>
        <w:fldChar w:fldCharType="end"/>
      </w:r>
      <w:r w:rsidR="412175EC" w:rsidRPr="00631CF2">
        <w:rPr>
          <w:rFonts w:ascii="Times New Roman" w:hAnsi="Times New Roman" w:cs="Times New Roman"/>
          <w:sz w:val="24"/>
          <w:szCs w:val="24"/>
        </w:rPr>
        <w:t xml:space="preserve">. </w:t>
      </w:r>
      <w:r w:rsidRPr="00631CF2">
        <w:rPr>
          <w:rFonts w:ascii="Times New Roman" w:hAnsi="Times New Roman" w:cs="Times New Roman"/>
          <w:sz w:val="24"/>
          <w:szCs w:val="24"/>
        </w:rPr>
        <w:t>Our three-year study demonstrated remarkable stability across management treatments, supporting previous observations that diverse grasslands exhibit greater resilience to disturbance (Seabloom, 2007). The maintenance of consistent stability indices (SI) across treatments (</w:t>
      </w:r>
      <w:r w:rsidR="0B3CE1A8" w:rsidRPr="00631CF2">
        <w:rPr>
          <w:rFonts w:ascii="Times New Roman" w:hAnsi="Times New Roman" w:cs="Times New Roman"/>
          <w:sz w:val="24"/>
          <w:szCs w:val="24"/>
        </w:rPr>
        <w:t>Table</w:t>
      </w:r>
      <w:r w:rsidRPr="00631CF2">
        <w:rPr>
          <w:rFonts w:ascii="Times New Roman" w:hAnsi="Times New Roman" w:cs="Times New Roman"/>
          <w:sz w:val="24"/>
          <w:szCs w:val="24"/>
        </w:rPr>
        <w:t xml:space="preserve"> </w:t>
      </w:r>
      <w:r w:rsidR="670CE36B" w:rsidRPr="00631CF2">
        <w:rPr>
          <w:rFonts w:ascii="Times New Roman" w:hAnsi="Times New Roman" w:cs="Times New Roman"/>
          <w:sz w:val="24"/>
          <w:szCs w:val="24"/>
        </w:rPr>
        <w:t>2</w:t>
      </w:r>
      <w:r w:rsidRPr="00631CF2">
        <w:rPr>
          <w:rFonts w:ascii="Times New Roman" w:hAnsi="Times New Roman" w:cs="Times New Roman"/>
          <w:sz w:val="24"/>
          <w:szCs w:val="24"/>
        </w:rPr>
        <w:t xml:space="preserve">) suggests that appropriate grazing management can preserve system stability while optimizing productivity (Muir </w:t>
      </w:r>
      <w:r w:rsidR="000C0E26" w:rsidRPr="00631CF2">
        <w:rPr>
          <w:rFonts w:ascii="Times New Roman" w:hAnsi="Times New Roman" w:cs="Times New Roman"/>
          <w:i/>
          <w:iCs/>
          <w:sz w:val="24"/>
          <w:szCs w:val="24"/>
        </w:rPr>
        <w:t>et al.,</w:t>
      </w:r>
      <w:r w:rsidRPr="00631CF2">
        <w:rPr>
          <w:rFonts w:ascii="Times New Roman" w:hAnsi="Times New Roman" w:cs="Times New Roman"/>
          <w:sz w:val="24"/>
          <w:szCs w:val="24"/>
        </w:rPr>
        <w:t xml:space="preserve"> 2011). This stability appears to be underpinned by complementary population dynamics between species (</w:t>
      </w:r>
      <w:r w:rsidR="00946425" w:rsidRPr="00631CF2">
        <w:rPr>
          <w:rFonts w:ascii="Times New Roman" w:hAnsi="Times New Roman" w:cs="Times New Roman"/>
          <w:sz w:val="24"/>
          <w:szCs w:val="24"/>
        </w:rPr>
        <w:t xml:space="preserve">supplementary </w:t>
      </w:r>
      <w:r w:rsidR="00615B33" w:rsidRPr="00631CF2">
        <w:rPr>
          <w:rFonts w:ascii="Times New Roman" w:hAnsi="Times New Roman" w:cs="Times New Roman"/>
          <w:sz w:val="24"/>
          <w:szCs w:val="24"/>
        </w:rPr>
        <w:t>Figure</w:t>
      </w:r>
      <w:r w:rsidRPr="00631CF2">
        <w:rPr>
          <w:rFonts w:ascii="Times New Roman" w:hAnsi="Times New Roman" w:cs="Times New Roman"/>
          <w:sz w:val="24"/>
          <w:szCs w:val="24"/>
        </w:rPr>
        <w:t xml:space="preserve"> </w:t>
      </w:r>
      <w:r w:rsidR="00230456" w:rsidRPr="00631CF2">
        <w:rPr>
          <w:rFonts w:ascii="Times New Roman" w:hAnsi="Times New Roman" w:cs="Times New Roman"/>
          <w:sz w:val="24"/>
          <w:szCs w:val="24"/>
        </w:rPr>
        <w:t>1</w:t>
      </w:r>
      <w:r w:rsidRPr="00631CF2">
        <w:rPr>
          <w:rFonts w:ascii="Times New Roman" w:hAnsi="Times New Roman" w:cs="Times New Roman"/>
          <w:sz w:val="24"/>
          <w:szCs w:val="24"/>
        </w:rPr>
        <w:t>), enabling the sward to maintain functional equilibrium despite seasonal fluctuations in individual species performance.</w:t>
      </w:r>
      <w:r w:rsidR="00F572E9" w:rsidRPr="00631CF2">
        <w:rPr>
          <w:rFonts w:ascii="Times New Roman" w:hAnsi="Times New Roman" w:cs="Times New Roman"/>
          <w:sz w:val="24"/>
          <w:szCs w:val="24"/>
        </w:rPr>
        <w:t xml:space="preserve"> The stability observed at 15-20 cm grazing heights aligns with responses of these species, though more extreme defoliation heights could potentially disrupt these compensatory mechanisms and system stability</w:t>
      </w:r>
      <w:r w:rsidR="0017454A" w:rsidRPr="00631CF2">
        <w:rPr>
          <w:rFonts w:ascii="Times New Roman" w:hAnsi="Times New Roman" w:cs="Times New Roman"/>
          <w:sz w:val="24"/>
          <w:szCs w:val="24"/>
        </w:rPr>
        <w:t>.</w:t>
      </w:r>
    </w:p>
    <w:p w14:paraId="483FFAFC" w14:textId="2F1ED05F" w:rsidR="00EB2AA7" w:rsidRPr="00631CF2" w:rsidRDefault="00EB2AA7" w:rsidP="007F0193">
      <w:pPr>
        <w:widowControl w:val="0"/>
        <w:spacing w:after="0" w:line="480" w:lineRule="auto"/>
        <w:ind w:firstLine="426"/>
        <w:jc w:val="both"/>
        <w:rPr>
          <w:rFonts w:ascii="Times New Roman" w:eastAsia="Times New Roman" w:hAnsi="Times New Roman" w:cs="Times New Roman"/>
          <w:sz w:val="24"/>
          <w:szCs w:val="24"/>
        </w:rPr>
      </w:pPr>
      <w:r w:rsidRPr="00631CF2">
        <w:rPr>
          <w:rFonts w:ascii="Times New Roman" w:hAnsi="Times New Roman" w:cs="Times New Roman"/>
          <w:sz w:val="24"/>
          <w:szCs w:val="24"/>
        </w:rPr>
        <w:t xml:space="preserve">While the self-thinning law </w:t>
      </w:r>
      <w:r w:rsidR="39F93960" w:rsidRPr="00631CF2">
        <w:rPr>
          <w:rFonts w:ascii="Times New Roman" w:hAnsi="Times New Roman" w:cs="Times New Roman"/>
          <w:sz w:val="24"/>
          <w:szCs w:val="24"/>
        </w:rPr>
        <w:t>was</w:t>
      </w:r>
      <w:r w:rsidRPr="00631CF2">
        <w:rPr>
          <w:rFonts w:ascii="Times New Roman" w:hAnsi="Times New Roman" w:cs="Times New Roman"/>
          <w:sz w:val="24"/>
          <w:szCs w:val="24"/>
        </w:rPr>
        <w:t xml:space="preserve"> an effective tool for analy</w:t>
      </w:r>
      <w:r w:rsidR="00E0750F">
        <w:rPr>
          <w:rFonts w:ascii="Times New Roman" w:hAnsi="Times New Roman" w:cs="Times New Roman"/>
          <w:sz w:val="24"/>
          <w:szCs w:val="24"/>
        </w:rPr>
        <w:t>s</w:t>
      </w:r>
      <w:r w:rsidRPr="00631CF2">
        <w:rPr>
          <w:rFonts w:ascii="Times New Roman" w:hAnsi="Times New Roman" w:cs="Times New Roman"/>
          <w:sz w:val="24"/>
          <w:szCs w:val="24"/>
        </w:rPr>
        <w:t>ing sward stability in this rotational grazing system with two dominant perennial grasses (</w:t>
      </w:r>
      <w:r w:rsidR="00615B33" w:rsidRPr="00631CF2">
        <w:rPr>
          <w:rFonts w:ascii="Times New Roman" w:hAnsi="Times New Roman" w:cs="Times New Roman"/>
          <w:sz w:val="24"/>
          <w:szCs w:val="24"/>
        </w:rPr>
        <w:t>Figure</w:t>
      </w:r>
      <w:r w:rsidRPr="00631CF2">
        <w:rPr>
          <w:rFonts w:ascii="Times New Roman" w:hAnsi="Times New Roman" w:cs="Times New Roman"/>
          <w:sz w:val="24"/>
          <w:szCs w:val="24"/>
        </w:rPr>
        <w:t xml:space="preserve"> </w:t>
      </w:r>
      <w:r w:rsidR="06A229B8" w:rsidRPr="00631CF2">
        <w:rPr>
          <w:rFonts w:ascii="Times New Roman" w:hAnsi="Times New Roman" w:cs="Times New Roman"/>
          <w:sz w:val="24"/>
          <w:szCs w:val="24"/>
        </w:rPr>
        <w:t>3</w:t>
      </w:r>
      <w:r w:rsidRPr="00631CF2">
        <w:rPr>
          <w:rFonts w:ascii="Times New Roman" w:hAnsi="Times New Roman" w:cs="Times New Roman"/>
          <w:sz w:val="24"/>
          <w:szCs w:val="24"/>
        </w:rPr>
        <w:t xml:space="preserve">, Table </w:t>
      </w:r>
      <w:r w:rsidR="32F81E04" w:rsidRPr="00631CF2">
        <w:rPr>
          <w:rFonts w:ascii="Times New Roman" w:hAnsi="Times New Roman" w:cs="Times New Roman"/>
          <w:sz w:val="24"/>
          <w:szCs w:val="24"/>
        </w:rPr>
        <w:t>3</w:t>
      </w:r>
      <w:r w:rsidRPr="00631CF2">
        <w:rPr>
          <w:rFonts w:ascii="Times New Roman" w:hAnsi="Times New Roman" w:cs="Times New Roman"/>
          <w:sz w:val="24"/>
          <w:szCs w:val="24"/>
        </w:rPr>
        <w:t>), its application to other grazing systems may present certain limitations. First, the compensatory relationship between tiller size and density might be more complex in systems with higher species diversity, where interspecific competition and varying growth strategies could alter the expected -3/2 slope relationship. Second, under continuous grazing systems, the maintenance of a relatively constant canopy structure may disrupt size-density relationships. In fact, slopes steeper than -3/2 have already been observed in pastures under continuous grazing system (Matthew et al., 1995; Sbrissia and Da Silva, 2008). Third, the presence of abiotic stress - defined as any external condition, apart from the activities of other organisms, that reduces the growth, survival and/or fecundity of a plant (Grime</w:t>
      </w:r>
      <w:r w:rsidR="00FF3A7F" w:rsidRPr="00631CF2">
        <w:rPr>
          <w:rFonts w:ascii="Times New Roman" w:hAnsi="Times New Roman" w:cs="Times New Roman"/>
          <w:sz w:val="24"/>
          <w:szCs w:val="24"/>
        </w:rPr>
        <w:t>,</w:t>
      </w:r>
      <w:r w:rsidRPr="00631CF2">
        <w:rPr>
          <w:rFonts w:ascii="Times New Roman" w:hAnsi="Times New Roman" w:cs="Times New Roman"/>
          <w:sz w:val="24"/>
          <w:szCs w:val="24"/>
        </w:rPr>
        <w:t xml:space="preserve"> 1979) - might override the self-regulatory mechanisms that underpin the self-thinning principle. Additionally, the temporal scale of measurement could affect the detection of size-density compensation, as short-term fluctuations might mask longer-term equilibrium patterns. These limitations suggest that although the self-thinning law remains a valuable theoretical framework, its practical application should consider the specific characteristics of different grazing systems.</w:t>
      </w:r>
    </w:p>
    <w:p w14:paraId="2B1C18AE" w14:textId="593AE1AD" w:rsidR="00023FDB" w:rsidRPr="00631CF2" w:rsidRDefault="39258DFA" w:rsidP="007F0193">
      <w:pPr>
        <w:pStyle w:val="Heading1"/>
        <w:keepLines w:val="0"/>
        <w:widowControl w:val="0"/>
        <w:spacing w:before="0" w:line="480" w:lineRule="auto"/>
        <w:ind w:firstLine="426"/>
        <w:jc w:val="both"/>
        <w:rPr>
          <w:rStyle w:val="normaltextrun"/>
          <w:rFonts w:eastAsiaTheme="minorEastAsia" w:cs="Times New Roman"/>
          <w:b w:val="0"/>
          <w:bCs w:val="0"/>
          <w:sz w:val="24"/>
          <w:szCs w:val="24"/>
          <w:lang w:val="en-GB"/>
        </w:rPr>
      </w:pPr>
      <w:r w:rsidRPr="00631CF2">
        <w:rPr>
          <w:rStyle w:val="normaltextrun"/>
          <w:rFonts w:eastAsiaTheme="minorEastAsia" w:cs="Times New Roman"/>
          <w:b w:val="0"/>
          <w:bCs w:val="0"/>
          <w:sz w:val="24"/>
          <w:szCs w:val="24"/>
          <w:lang w:val="en-GB"/>
        </w:rPr>
        <w:lastRenderedPageBreak/>
        <w:t>These findings have important implications for pasture-based animal production systems. The demonstrated stability of mixed-species swards under various management regimes suggests that farmers have flexibility in choosing grazing heights (15-20 cm) based on operational needs. Additionally, the successful integration of strategic hard grazing indicates potential for managing seasonal growth patterns without destabilizing the system. Future research should examine whether these stability mechanisms persist under more extreme climatic conditions and across different species combinations</w:t>
      </w:r>
      <w:r w:rsidRPr="00631CF2">
        <w:rPr>
          <w:rStyle w:val="normaltextrun"/>
          <w:rFonts w:cs="Times New Roman"/>
          <w:sz w:val="24"/>
          <w:szCs w:val="24"/>
          <w:lang w:val="en-GB"/>
        </w:rPr>
        <w:t>.</w:t>
      </w:r>
    </w:p>
    <w:p w14:paraId="4C911D52" w14:textId="25A17BE3" w:rsidR="00023FDB" w:rsidRPr="00631CF2" w:rsidRDefault="00023FDB" w:rsidP="007F0193">
      <w:pPr>
        <w:widowControl w:val="0"/>
        <w:spacing w:after="0" w:line="480" w:lineRule="auto"/>
        <w:ind w:firstLine="720"/>
        <w:jc w:val="both"/>
        <w:rPr>
          <w:rFonts w:ascii="Times New Roman" w:hAnsi="Times New Roman" w:cs="Times New Roman"/>
          <w:sz w:val="24"/>
          <w:szCs w:val="24"/>
        </w:rPr>
      </w:pPr>
    </w:p>
    <w:p w14:paraId="56F97C96" w14:textId="77777777" w:rsidR="00023FDB" w:rsidRPr="00E0750F" w:rsidRDefault="412175EC" w:rsidP="007F0193">
      <w:pPr>
        <w:pStyle w:val="Heading1"/>
        <w:keepLines w:val="0"/>
        <w:widowControl w:val="0"/>
        <w:spacing w:before="0" w:line="480" w:lineRule="auto"/>
        <w:jc w:val="both"/>
        <w:rPr>
          <w:rFonts w:eastAsia="Times New Roman" w:cs="Times New Roman"/>
          <w:color w:val="538135"/>
          <w:sz w:val="24"/>
          <w:szCs w:val="24"/>
          <w:lang w:val="en-GB"/>
        </w:rPr>
      </w:pPr>
      <w:r w:rsidRPr="00E0750F">
        <w:rPr>
          <w:rFonts w:eastAsia="Times New Roman" w:cs="Times New Roman"/>
          <w:color w:val="538135"/>
          <w:sz w:val="24"/>
          <w:szCs w:val="24"/>
          <w:lang w:val="en-GB"/>
        </w:rPr>
        <w:t>Conclusion and implications</w:t>
      </w:r>
    </w:p>
    <w:p w14:paraId="345E4646" w14:textId="4F99C45D" w:rsidR="00FA30BE" w:rsidRPr="00631CF2" w:rsidRDefault="00FA30BE" w:rsidP="007F0193">
      <w:pPr>
        <w:widowControl w:val="0"/>
        <w:spacing w:after="0" w:line="480" w:lineRule="auto"/>
        <w:jc w:val="both"/>
        <w:rPr>
          <w:rStyle w:val="normaltextrun"/>
          <w:rFonts w:ascii="Times New Roman" w:hAnsi="Times New Roman" w:cs="Times New Roman"/>
          <w:b/>
          <w:bCs/>
          <w:sz w:val="24"/>
          <w:szCs w:val="24"/>
        </w:rPr>
      </w:pPr>
      <w:r w:rsidRPr="00631CF2">
        <w:rPr>
          <w:rStyle w:val="normaltextrun"/>
          <w:rFonts w:ascii="Times New Roman" w:hAnsi="Times New Roman" w:cs="Times New Roman"/>
          <w:sz w:val="24"/>
          <w:szCs w:val="24"/>
        </w:rPr>
        <w:t xml:space="preserve">This study provides </w:t>
      </w:r>
      <w:r w:rsidR="00773033" w:rsidRPr="00631CF2">
        <w:rPr>
          <w:rStyle w:val="normaltextrun"/>
          <w:rFonts w:ascii="Times New Roman" w:hAnsi="Times New Roman" w:cs="Times New Roman"/>
          <w:sz w:val="24"/>
          <w:szCs w:val="24"/>
        </w:rPr>
        <w:t>important</w:t>
      </w:r>
      <w:r w:rsidRPr="00631CF2">
        <w:rPr>
          <w:rStyle w:val="normaltextrun"/>
          <w:rFonts w:ascii="Times New Roman" w:hAnsi="Times New Roman" w:cs="Times New Roman"/>
          <w:sz w:val="24"/>
          <w:szCs w:val="24"/>
        </w:rPr>
        <w:t xml:space="preserve"> insights into the mechanisms underlying demographic stability in mixed-species pastures under rotational grazing management. Our findings </w:t>
      </w:r>
      <w:r w:rsidR="00FC2B6A" w:rsidRPr="00631CF2">
        <w:rPr>
          <w:rStyle w:val="normaltextrun"/>
          <w:rFonts w:ascii="Times New Roman" w:hAnsi="Times New Roman" w:cs="Times New Roman"/>
          <w:sz w:val="24"/>
          <w:szCs w:val="24"/>
        </w:rPr>
        <w:t>showed</w:t>
      </w:r>
      <w:r w:rsidRPr="00631CF2">
        <w:rPr>
          <w:rStyle w:val="normaltextrun"/>
          <w:rFonts w:ascii="Times New Roman" w:hAnsi="Times New Roman" w:cs="Times New Roman"/>
          <w:sz w:val="24"/>
          <w:szCs w:val="24"/>
        </w:rPr>
        <w:t xml:space="preserve"> that grazing heights between 15-20 cm produced different demographic responses, </w:t>
      </w:r>
      <w:r w:rsidR="00FC2B6A" w:rsidRPr="00631CF2">
        <w:rPr>
          <w:rStyle w:val="normaltextrun"/>
          <w:rFonts w:ascii="Times New Roman" w:hAnsi="Times New Roman" w:cs="Times New Roman"/>
          <w:sz w:val="24"/>
          <w:szCs w:val="24"/>
        </w:rPr>
        <w:t xml:space="preserve">but </w:t>
      </w:r>
      <w:r w:rsidRPr="00631CF2">
        <w:rPr>
          <w:rStyle w:val="normaltextrun"/>
          <w:rFonts w:ascii="Times New Roman" w:hAnsi="Times New Roman" w:cs="Times New Roman"/>
          <w:sz w:val="24"/>
          <w:szCs w:val="24"/>
        </w:rPr>
        <w:t xml:space="preserve">both management regimes </w:t>
      </w:r>
      <w:r w:rsidR="00B07B12" w:rsidRPr="00631CF2">
        <w:rPr>
          <w:rStyle w:val="normaltextrun"/>
          <w:rFonts w:ascii="Times New Roman" w:hAnsi="Times New Roman" w:cs="Times New Roman"/>
          <w:sz w:val="24"/>
          <w:szCs w:val="24"/>
        </w:rPr>
        <w:t>were</w:t>
      </w:r>
      <w:r w:rsidRPr="00631CF2">
        <w:rPr>
          <w:rStyle w:val="normaltextrun"/>
          <w:rFonts w:ascii="Times New Roman" w:hAnsi="Times New Roman" w:cs="Times New Roman"/>
          <w:sz w:val="24"/>
          <w:szCs w:val="24"/>
        </w:rPr>
        <w:t xml:space="preserve"> stable.</w:t>
      </w:r>
      <w:r w:rsidR="00FC2B6A" w:rsidRPr="00631CF2">
        <w:rPr>
          <w:rStyle w:val="normaltextrun"/>
          <w:rFonts w:ascii="Times New Roman" w:hAnsi="Times New Roman" w:cs="Times New Roman"/>
          <w:sz w:val="24"/>
          <w:szCs w:val="24"/>
        </w:rPr>
        <w:t xml:space="preserve"> Connected to our hypothesis</w:t>
      </w:r>
      <w:r w:rsidR="00B07B12" w:rsidRPr="00631CF2">
        <w:rPr>
          <w:rStyle w:val="normaltextrun"/>
          <w:rFonts w:ascii="Times New Roman" w:hAnsi="Times New Roman" w:cs="Times New Roman"/>
          <w:sz w:val="24"/>
          <w:szCs w:val="24"/>
        </w:rPr>
        <w:t>,</w:t>
      </w:r>
      <w:r w:rsidR="00FC2B6A" w:rsidRPr="00631CF2">
        <w:rPr>
          <w:rStyle w:val="normaltextrun"/>
          <w:rFonts w:ascii="Times New Roman" w:hAnsi="Times New Roman" w:cs="Times New Roman"/>
          <w:sz w:val="24"/>
          <w:szCs w:val="24"/>
        </w:rPr>
        <w:t xml:space="preserve"> t</w:t>
      </w:r>
      <w:r w:rsidRPr="00631CF2">
        <w:rPr>
          <w:rStyle w:val="normaltextrun"/>
          <w:rFonts w:ascii="Times New Roman" w:hAnsi="Times New Roman" w:cs="Times New Roman"/>
          <w:sz w:val="24"/>
          <w:szCs w:val="24"/>
        </w:rPr>
        <w:t xml:space="preserve">hree key </w:t>
      </w:r>
      <w:r w:rsidR="00FC2B6A" w:rsidRPr="00631CF2">
        <w:rPr>
          <w:rStyle w:val="normaltextrun"/>
          <w:rFonts w:ascii="Times New Roman" w:hAnsi="Times New Roman" w:cs="Times New Roman"/>
          <w:sz w:val="24"/>
          <w:szCs w:val="24"/>
        </w:rPr>
        <w:t>conclusion</w:t>
      </w:r>
      <w:r w:rsidR="0072137E" w:rsidRPr="00631CF2">
        <w:rPr>
          <w:rStyle w:val="normaltextrun"/>
          <w:rFonts w:ascii="Times New Roman" w:hAnsi="Times New Roman" w:cs="Times New Roman"/>
          <w:sz w:val="24"/>
          <w:szCs w:val="24"/>
        </w:rPr>
        <w:t>s</w:t>
      </w:r>
      <w:r w:rsidR="00FC2B6A" w:rsidRPr="00631CF2">
        <w:rPr>
          <w:rStyle w:val="normaltextrun"/>
          <w:rFonts w:ascii="Times New Roman" w:hAnsi="Times New Roman" w:cs="Times New Roman"/>
          <w:sz w:val="24"/>
          <w:szCs w:val="24"/>
        </w:rPr>
        <w:t xml:space="preserve"> can be draw</w:t>
      </w:r>
      <w:r w:rsidR="0CB2AA62" w:rsidRPr="00631CF2">
        <w:rPr>
          <w:rStyle w:val="normaltextrun"/>
          <w:rFonts w:ascii="Times New Roman" w:hAnsi="Times New Roman" w:cs="Times New Roman"/>
          <w:sz w:val="24"/>
          <w:szCs w:val="24"/>
        </w:rPr>
        <w:t>n</w:t>
      </w:r>
      <w:r w:rsidRPr="00631CF2">
        <w:rPr>
          <w:rStyle w:val="normaltextrun"/>
          <w:rFonts w:ascii="Times New Roman" w:hAnsi="Times New Roman" w:cs="Times New Roman"/>
          <w:sz w:val="24"/>
          <w:szCs w:val="24"/>
        </w:rPr>
        <w:t xml:space="preserve">: First, mixed pastures composed of </w:t>
      </w:r>
      <w:r w:rsidRPr="00631CF2">
        <w:rPr>
          <w:rStyle w:val="normaltextrun"/>
          <w:rFonts w:ascii="Times New Roman" w:hAnsi="Times New Roman" w:cs="Times New Roman"/>
          <w:i/>
          <w:iCs/>
          <w:sz w:val="24"/>
          <w:szCs w:val="24"/>
        </w:rPr>
        <w:t xml:space="preserve">L. </w:t>
      </w:r>
      <w:proofErr w:type="spellStart"/>
      <w:r w:rsidRPr="00631CF2">
        <w:rPr>
          <w:rStyle w:val="normaltextrun"/>
          <w:rFonts w:ascii="Times New Roman" w:hAnsi="Times New Roman" w:cs="Times New Roman"/>
          <w:i/>
          <w:iCs/>
          <w:sz w:val="24"/>
          <w:szCs w:val="24"/>
        </w:rPr>
        <w:t>arundinaceum</w:t>
      </w:r>
      <w:proofErr w:type="spellEnd"/>
      <w:r w:rsidRPr="00631CF2">
        <w:rPr>
          <w:rStyle w:val="normaltextrun"/>
          <w:rFonts w:ascii="Times New Roman" w:hAnsi="Times New Roman" w:cs="Times New Roman"/>
          <w:sz w:val="24"/>
          <w:szCs w:val="24"/>
        </w:rPr>
        <w:t xml:space="preserve"> and </w:t>
      </w:r>
      <w:r w:rsidR="00A86E10" w:rsidRPr="00631CF2">
        <w:rPr>
          <w:rStyle w:val="normaltextrun"/>
          <w:rFonts w:ascii="Times New Roman" w:hAnsi="Times New Roman" w:cs="Times New Roman"/>
          <w:i/>
          <w:iCs/>
          <w:sz w:val="24"/>
          <w:szCs w:val="24"/>
        </w:rPr>
        <w:t>C</w:t>
      </w:r>
      <w:r w:rsidRPr="00631CF2">
        <w:rPr>
          <w:rStyle w:val="normaltextrun"/>
          <w:rFonts w:ascii="Times New Roman" w:hAnsi="Times New Roman" w:cs="Times New Roman"/>
          <w:i/>
          <w:iCs/>
          <w:sz w:val="24"/>
          <w:szCs w:val="24"/>
        </w:rPr>
        <w:t xml:space="preserve">. </w:t>
      </w:r>
      <w:proofErr w:type="spellStart"/>
      <w:r w:rsidRPr="00631CF2">
        <w:rPr>
          <w:rStyle w:val="normaltextrun"/>
          <w:rFonts w:ascii="Times New Roman" w:hAnsi="Times New Roman" w:cs="Times New Roman"/>
          <w:i/>
          <w:iCs/>
          <w:sz w:val="24"/>
          <w:szCs w:val="24"/>
        </w:rPr>
        <w:t>clandestinus</w:t>
      </w:r>
      <w:proofErr w:type="spellEnd"/>
      <w:r w:rsidRPr="00631CF2">
        <w:rPr>
          <w:rStyle w:val="normaltextrun"/>
          <w:rFonts w:ascii="Times New Roman" w:hAnsi="Times New Roman" w:cs="Times New Roman"/>
          <w:sz w:val="24"/>
          <w:szCs w:val="24"/>
        </w:rPr>
        <w:t xml:space="preserve"> exhibit demographic stability across a range of management </w:t>
      </w:r>
      <w:r w:rsidR="00A44E8B" w:rsidRPr="00631CF2">
        <w:rPr>
          <w:rStyle w:val="normaltextrun"/>
          <w:rFonts w:ascii="Times New Roman" w:hAnsi="Times New Roman" w:cs="Times New Roman"/>
          <w:sz w:val="24"/>
          <w:szCs w:val="24"/>
        </w:rPr>
        <w:t>conditions</w:t>
      </w:r>
      <w:r w:rsidRPr="00631CF2">
        <w:rPr>
          <w:rStyle w:val="normaltextrun"/>
          <w:rFonts w:ascii="Times New Roman" w:hAnsi="Times New Roman" w:cs="Times New Roman"/>
          <w:sz w:val="24"/>
          <w:szCs w:val="24"/>
        </w:rPr>
        <w:t xml:space="preserve">, suggesting </w:t>
      </w:r>
      <w:r w:rsidR="00FC2B6A" w:rsidRPr="00631CF2">
        <w:rPr>
          <w:rStyle w:val="normaltextrun"/>
          <w:rFonts w:ascii="Times New Roman" w:hAnsi="Times New Roman" w:cs="Times New Roman"/>
          <w:sz w:val="24"/>
          <w:szCs w:val="24"/>
        </w:rPr>
        <w:t>a great</w:t>
      </w:r>
      <w:r w:rsidRPr="00631CF2">
        <w:rPr>
          <w:rStyle w:val="normaltextrun"/>
          <w:rFonts w:ascii="Times New Roman" w:hAnsi="Times New Roman" w:cs="Times New Roman"/>
          <w:sz w:val="24"/>
          <w:szCs w:val="24"/>
        </w:rPr>
        <w:t xml:space="preserve"> system resilience</w:t>
      </w:r>
      <w:r w:rsidR="00FC2B6A" w:rsidRPr="00631CF2">
        <w:rPr>
          <w:rStyle w:val="normaltextrun"/>
          <w:rFonts w:ascii="Times New Roman" w:hAnsi="Times New Roman" w:cs="Times New Roman"/>
          <w:sz w:val="24"/>
          <w:szCs w:val="24"/>
        </w:rPr>
        <w:t xml:space="preserve"> for this mixture</w:t>
      </w:r>
      <w:r w:rsidRPr="00631CF2">
        <w:rPr>
          <w:rStyle w:val="normaltextrun"/>
          <w:rFonts w:ascii="Times New Roman" w:hAnsi="Times New Roman" w:cs="Times New Roman"/>
          <w:sz w:val="24"/>
          <w:szCs w:val="24"/>
        </w:rPr>
        <w:t xml:space="preserve">. Second, the self-thinning law </w:t>
      </w:r>
      <w:r w:rsidR="00FC2B6A" w:rsidRPr="00631CF2">
        <w:rPr>
          <w:rStyle w:val="normaltextrun"/>
          <w:rFonts w:ascii="Times New Roman" w:hAnsi="Times New Roman" w:cs="Times New Roman"/>
          <w:sz w:val="24"/>
          <w:szCs w:val="24"/>
        </w:rPr>
        <w:t>can be useful as an</w:t>
      </w:r>
      <w:r w:rsidRPr="00631CF2">
        <w:rPr>
          <w:rStyle w:val="normaltextrun"/>
          <w:rFonts w:ascii="Times New Roman" w:hAnsi="Times New Roman" w:cs="Times New Roman"/>
          <w:sz w:val="24"/>
          <w:szCs w:val="24"/>
        </w:rPr>
        <w:t xml:space="preserve"> analytical framework for assessing stability in </w:t>
      </w:r>
      <w:r w:rsidR="005A6B85" w:rsidRPr="00631CF2">
        <w:rPr>
          <w:rStyle w:val="normaltextrun"/>
          <w:rFonts w:ascii="Times New Roman" w:hAnsi="Times New Roman" w:cs="Times New Roman"/>
          <w:sz w:val="24"/>
          <w:szCs w:val="24"/>
        </w:rPr>
        <w:t xml:space="preserve">perennial </w:t>
      </w:r>
      <w:r w:rsidRPr="00631CF2">
        <w:rPr>
          <w:rStyle w:val="normaltextrun"/>
          <w:rFonts w:ascii="Times New Roman" w:hAnsi="Times New Roman" w:cs="Times New Roman"/>
          <w:sz w:val="24"/>
          <w:szCs w:val="24"/>
        </w:rPr>
        <w:t>mixed-species systems, extending its utility beyond monoculture applications. Third, hard spring grazing can be incorporated into management strategies without compromising long-term sward stability, offering flexibility in seasonal pasture management.</w:t>
      </w:r>
    </w:p>
    <w:p w14:paraId="10433C6C" w14:textId="72318DFA" w:rsidR="69315EEE" w:rsidRPr="00631CF2" w:rsidRDefault="69315EEE" w:rsidP="007F0193">
      <w:pPr>
        <w:widowControl w:val="0"/>
        <w:spacing w:after="0" w:line="480" w:lineRule="auto"/>
        <w:jc w:val="both"/>
        <w:rPr>
          <w:rFonts w:ascii="Times New Roman" w:hAnsi="Times New Roman" w:cs="Times New Roman"/>
          <w:sz w:val="24"/>
          <w:szCs w:val="24"/>
        </w:rPr>
      </w:pPr>
    </w:p>
    <w:p w14:paraId="00EDEEF8" w14:textId="5B218852" w:rsidR="3EF823EB" w:rsidRPr="00631CF2" w:rsidRDefault="5A88FFE8" w:rsidP="007F0193">
      <w:pPr>
        <w:pStyle w:val="Heading1"/>
        <w:keepLines w:val="0"/>
        <w:widowControl w:val="0"/>
        <w:spacing w:before="0" w:line="480" w:lineRule="auto"/>
        <w:jc w:val="both"/>
        <w:rPr>
          <w:rFonts w:eastAsia="Times New Roman" w:cs="Times New Roman"/>
          <w:sz w:val="24"/>
          <w:szCs w:val="24"/>
          <w:lang w:val="en-GB"/>
        </w:rPr>
      </w:pPr>
      <w:r w:rsidRPr="00631CF2">
        <w:rPr>
          <w:rFonts w:eastAsia="Times New Roman" w:cs="Times New Roman"/>
          <w:color w:val="538135" w:themeColor="accent6" w:themeShade="BF"/>
          <w:sz w:val="24"/>
          <w:szCs w:val="24"/>
          <w:lang w:val="en-GB"/>
        </w:rPr>
        <w:t>Author contributions</w:t>
      </w:r>
      <w:r w:rsidR="00E0750F">
        <w:rPr>
          <w:rFonts w:eastAsia="Times New Roman" w:cs="Times New Roman"/>
          <w:color w:val="538135" w:themeColor="accent6" w:themeShade="BF"/>
          <w:sz w:val="24"/>
          <w:szCs w:val="24"/>
          <w:lang w:val="en-GB"/>
        </w:rPr>
        <w:t>.</w:t>
      </w:r>
      <w:r w:rsidR="002A7D45" w:rsidRPr="00631CF2">
        <w:rPr>
          <w:rFonts w:eastAsia="Times New Roman" w:cs="Times New Roman"/>
          <w:color w:val="538135" w:themeColor="accent6" w:themeShade="BF"/>
          <w:sz w:val="24"/>
          <w:szCs w:val="24"/>
          <w:lang w:val="en-GB"/>
        </w:rPr>
        <w:t xml:space="preserve"> </w:t>
      </w:r>
      <w:r w:rsidR="5987DC40" w:rsidRPr="00631CF2">
        <w:rPr>
          <w:rFonts w:eastAsia="Times New Roman" w:cs="Times New Roman"/>
          <w:b w:val="0"/>
          <w:bCs w:val="0"/>
          <w:sz w:val="24"/>
          <w:szCs w:val="24"/>
          <w:lang w:val="en-GB"/>
        </w:rPr>
        <w:t xml:space="preserve">MGP, </w:t>
      </w:r>
      <w:r w:rsidR="53A91E7C" w:rsidRPr="00631CF2">
        <w:rPr>
          <w:rFonts w:eastAsia="Times New Roman" w:cs="Times New Roman"/>
          <w:b w:val="0"/>
          <w:bCs w:val="0"/>
          <w:sz w:val="24"/>
          <w:szCs w:val="24"/>
          <w:lang w:val="en-GB"/>
        </w:rPr>
        <w:t>performed statistical analyses</w:t>
      </w:r>
      <w:r w:rsidR="63F03FD8" w:rsidRPr="00631CF2">
        <w:rPr>
          <w:rFonts w:eastAsia="Times New Roman" w:cs="Times New Roman"/>
          <w:b w:val="0"/>
          <w:bCs w:val="0"/>
          <w:sz w:val="24"/>
          <w:szCs w:val="24"/>
          <w:lang w:val="en-GB"/>
        </w:rPr>
        <w:t xml:space="preserve"> and contributed to</w:t>
      </w:r>
      <w:r w:rsidR="53A91E7C" w:rsidRPr="00631CF2">
        <w:rPr>
          <w:rFonts w:eastAsia="Times New Roman" w:cs="Times New Roman"/>
          <w:b w:val="0"/>
          <w:bCs w:val="0"/>
          <w:sz w:val="24"/>
          <w:szCs w:val="24"/>
          <w:lang w:val="en-GB"/>
        </w:rPr>
        <w:t xml:space="preserve"> </w:t>
      </w:r>
      <w:r w:rsidR="19224F25" w:rsidRPr="00631CF2">
        <w:rPr>
          <w:rFonts w:eastAsia="Times New Roman" w:cs="Times New Roman"/>
          <w:b w:val="0"/>
          <w:bCs w:val="0"/>
          <w:sz w:val="24"/>
          <w:szCs w:val="24"/>
          <w:lang w:val="en-GB"/>
        </w:rPr>
        <w:t>w</w:t>
      </w:r>
      <w:r w:rsidR="57145FFC" w:rsidRPr="00631CF2">
        <w:rPr>
          <w:rFonts w:eastAsia="Times New Roman" w:cs="Times New Roman"/>
          <w:b w:val="0"/>
          <w:bCs w:val="0"/>
          <w:sz w:val="24"/>
          <w:szCs w:val="24"/>
          <w:lang w:val="en-GB"/>
        </w:rPr>
        <w:t xml:space="preserve">riting </w:t>
      </w:r>
      <w:r w:rsidR="55558C67" w:rsidRPr="00631CF2">
        <w:rPr>
          <w:rFonts w:eastAsia="Times New Roman" w:cs="Times New Roman"/>
          <w:b w:val="0"/>
          <w:bCs w:val="0"/>
          <w:sz w:val="24"/>
          <w:szCs w:val="24"/>
          <w:lang w:val="en-GB"/>
        </w:rPr>
        <w:t>the</w:t>
      </w:r>
      <w:r w:rsidR="57145FFC" w:rsidRPr="00631CF2">
        <w:rPr>
          <w:rFonts w:eastAsia="Times New Roman" w:cs="Times New Roman"/>
          <w:b w:val="0"/>
          <w:bCs w:val="0"/>
          <w:sz w:val="24"/>
          <w:szCs w:val="24"/>
          <w:lang w:val="en-GB"/>
        </w:rPr>
        <w:t xml:space="preserve"> </w:t>
      </w:r>
      <w:r w:rsidR="03755283" w:rsidRPr="00631CF2">
        <w:rPr>
          <w:rFonts w:eastAsia="Times New Roman" w:cs="Times New Roman"/>
          <w:b w:val="0"/>
          <w:bCs w:val="0"/>
          <w:sz w:val="24"/>
          <w:szCs w:val="24"/>
          <w:lang w:val="en-GB"/>
        </w:rPr>
        <w:t>o</w:t>
      </w:r>
      <w:r w:rsidR="57145FFC" w:rsidRPr="00631CF2">
        <w:rPr>
          <w:rFonts w:eastAsia="Times New Roman" w:cs="Times New Roman"/>
          <w:b w:val="0"/>
          <w:bCs w:val="0"/>
          <w:sz w:val="24"/>
          <w:szCs w:val="24"/>
          <w:lang w:val="en-GB"/>
        </w:rPr>
        <w:t xml:space="preserve">riginal </w:t>
      </w:r>
      <w:r w:rsidR="000A2F22" w:rsidRPr="00631CF2">
        <w:rPr>
          <w:rFonts w:eastAsia="Times New Roman" w:cs="Times New Roman"/>
          <w:b w:val="0"/>
          <w:bCs w:val="0"/>
          <w:sz w:val="24"/>
          <w:szCs w:val="24"/>
          <w:lang w:val="en-GB"/>
        </w:rPr>
        <w:t>d</w:t>
      </w:r>
      <w:r w:rsidR="57145FFC" w:rsidRPr="00631CF2">
        <w:rPr>
          <w:rFonts w:eastAsia="Times New Roman" w:cs="Times New Roman"/>
          <w:b w:val="0"/>
          <w:bCs w:val="0"/>
          <w:sz w:val="24"/>
          <w:szCs w:val="24"/>
          <w:lang w:val="en-GB"/>
        </w:rPr>
        <w:t>raft</w:t>
      </w:r>
      <w:r w:rsidR="4FB5D537" w:rsidRPr="00631CF2">
        <w:rPr>
          <w:rFonts w:eastAsia="Times New Roman" w:cs="Times New Roman"/>
          <w:b w:val="0"/>
          <w:bCs w:val="0"/>
          <w:sz w:val="24"/>
          <w:szCs w:val="24"/>
          <w:lang w:val="en-GB"/>
        </w:rPr>
        <w:t>.</w:t>
      </w:r>
      <w:r w:rsidR="00F001FB" w:rsidRPr="00631CF2">
        <w:rPr>
          <w:rFonts w:eastAsia="Times New Roman" w:cs="Times New Roman"/>
          <w:b w:val="0"/>
          <w:bCs w:val="0"/>
          <w:sz w:val="24"/>
          <w:szCs w:val="24"/>
          <w:lang w:val="en-GB"/>
        </w:rPr>
        <w:t xml:space="preserve"> </w:t>
      </w:r>
      <w:r w:rsidR="5987DC40" w:rsidRPr="00631CF2">
        <w:rPr>
          <w:rFonts w:eastAsia="Times New Roman" w:cs="Times New Roman"/>
          <w:b w:val="0"/>
          <w:bCs w:val="0"/>
          <w:sz w:val="24"/>
          <w:szCs w:val="24"/>
          <w:lang w:val="en-GB"/>
        </w:rPr>
        <w:t>FL</w:t>
      </w:r>
      <w:r w:rsidR="59645E76" w:rsidRPr="00631CF2">
        <w:rPr>
          <w:rFonts w:eastAsia="Times New Roman" w:cs="Times New Roman"/>
          <w:b w:val="0"/>
          <w:bCs w:val="0"/>
          <w:sz w:val="24"/>
          <w:szCs w:val="24"/>
          <w:lang w:val="en-GB"/>
        </w:rPr>
        <w:t>W</w:t>
      </w:r>
      <w:r w:rsidR="5987DC40" w:rsidRPr="00631CF2">
        <w:rPr>
          <w:rFonts w:eastAsia="Times New Roman" w:cs="Times New Roman"/>
          <w:b w:val="0"/>
          <w:bCs w:val="0"/>
          <w:sz w:val="24"/>
          <w:szCs w:val="24"/>
          <w:lang w:val="en-GB"/>
        </w:rPr>
        <w:t>, conceived and designed the study</w:t>
      </w:r>
      <w:r w:rsidR="363FE02A" w:rsidRPr="00631CF2">
        <w:rPr>
          <w:rFonts w:eastAsia="Times New Roman" w:cs="Times New Roman"/>
          <w:b w:val="0"/>
          <w:bCs w:val="0"/>
          <w:sz w:val="24"/>
          <w:szCs w:val="24"/>
          <w:lang w:val="en-GB"/>
        </w:rPr>
        <w:t xml:space="preserve">, and </w:t>
      </w:r>
      <w:r w:rsidR="5987DC40" w:rsidRPr="00631CF2">
        <w:rPr>
          <w:rFonts w:eastAsia="Times New Roman" w:cs="Times New Roman"/>
          <w:b w:val="0"/>
          <w:bCs w:val="0"/>
          <w:sz w:val="24"/>
          <w:szCs w:val="24"/>
          <w:lang w:val="en-GB"/>
        </w:rPr>
        <w:t>conducted data gathering.</w:t>
      </w:r>
      <w:r w:rsidR="002A7D45" w:rsidRPr="00631CF2">
        <w:rPr>
          <w:rFonts w:eastAsia="Times New Roman" w:cs="Times New Roman"/>
          <w:b w:val="0"/>
          <w:bCs w:val="0"/>
          <w:sz w:val="24"/>
          <w:szCs w:val="24"/>
          <w:lang w:val="en-GB"/>
        </w:rPr>
        <w:t xml:space="preserve"> </w:t>
      </w:r>
      <w:r w:rsidR="5987DC40" w:rsidRPr="00631CF2">
        <w:rPr>
          <w:rFonts w:eastAsia="Times New Roman" w:cs="Times New Roman"/>
          <w:b w:val="0"/>
          <w:bCs w:val="0"/>
          <w:sz w:val="24"/>
          <w:szCs w:val="24"/>
          <w:lang w:val="en-GB"/>
        </w:rPr>
        <w:t xml:space="preserve">VYMM, </w:t>
      </w:r>
      <w:r w:rsidR="54965D5C" w:rsidRPr="00631CF2">
        <w:rPr>
          <w:rFonts w:eastAsia="Times New Roman" w:cs="Times New Roman"/>
          <w:b w:val="0"/>
          <w:bCs w:val="0"/>
          <w:sz w:val="24"/>
          <w:szCs w:val="24"/>
          <w:lang w:val="en-GB"/>
        </w:rPr>
        <w:t>contributed to the</w:t>
      </w:r>
      <w:r w:rsidR="5785C35A" w:rsidRPr="00631CF2">
        <w:rPr>
          <w:rFonts w:eastAsia="Times New Roman" w:cs="Times New Roman"/>
          <w:b w:val="0"/>
          <w:bCs w:val="0"/>
          <w:sz w:val="24"/>
          <w:szCs w:val="24"/>
          <w:lang w:val="en-GB"/>
        </w:rPr>
        <w:t xml:space="preserve"> </w:t>
      </w:r>
      <w:r w:rsidR="5987DC40" w:rsidRPr="00631CF2">
        <w:rPr>
          <w:rFonts w:eastAsia="Times New Roman" w:cs="Times New Roman"/>
          <w:b w:val="0"/>
          <w:bCs w:val="0"/>
          <w:sz w:val="24"/>
          <w:szCs w:val="24"/>
          <w:lang w:val="en-GB"/>
        </w:rPr>
        <w:t xml:space="preserve">data </w:t>
      </w:r>
      <w:proofErr w:type="spellStart"/>
      <w:r w:rsidR="5987DC40" w:rsidRPr="00631CF2">
        <w:rPr>
          <w:rFonts w:eastAsia="Times New Roman" w:cs="Times New Roman"/>
          <w:b w:val="0"/>
          <w:bCs w:val="0"/>
          <w:sz w:val="24"/>
          <w:szCs w:val="24"/>
          <w:lang w:val="en-GB"/>
        </w:rPr>
        <w:t>gathering.AFS</w:t>
      </w:r>
      <w:proofErr w:type="spellEnd"/>
      <w:r w:rsidR="5987DC40" w:rsidRPr="00631CF2">
        <w:rPr>
          <w:rFonts w:eastAsia="Times New Roman" w:cs="Times New Roman"/>
          <w:b w:val="0"/>
          <w:bCs w:val="0"/>
          <w:sz w:val="24"/>
          <w:szCs w:val="24"/>
          <w:lang w:val="en-GB"/>
        </w:rPr>
        <w:t xml:space="preserve"> c</w:t>
      </w:r>
      <w:r w:rsidR="0CFE0759" w:rsidRPr="00631CF2">
        <w:rPr>
          <w:rFonts w:eastAsia="Times New Roman" w:cs="Times New Roman"/>
          <w:b w:val="0"/>
          <w:bCs w:val="0"/>
          <w:sz w:val="24"/>
          <w:szCs w:val="24"/>
          <w:lang w:val="en-GB"/>
        </w:rPr>
        <w:t>ontributed to the c</w:t>
      </w:r>
      <w:r w:rsidR="63AC4B6D" w:rsidRPr="00631CF2">
        <w:rPr>
          <w:rFonts w:eastAsia="Times New Roman" w:cs="Times New Roman"/>
          <w:b w:val="0"/>
          <w:bCs w:val="0"/>
          <w:sz w:val="24"/>
          <w:szCs w:val="24"/>
          <w:lang w:val="en-GB"/>
        </w:rPr>
        <w:t>onceptualization of</w:t>
      </w:r>
      <w:r w:rsidR="5987DC40" w:rsidRPr="00631CF2">
        <w:rPr>
          <w:rFonts w:eastAsia="Times New Roman" w:cs="Times New Roman"/>
          <w:b w:val="0"/>
          <w:bCs w:val="0"/>
          <w:sz w:val="24"/>
          <w:szCs w:val="24"/>
          <w:lang w:val="en-GB"/>
        </w:rPr>
        <w:t xml:space="preserve"> the study</w:t>
      </w:r>
      <w:r w:rsidR="378F94AA" w:rsidRPr="00631CF2">
        <w:rPr>
          <w:rFonts w:eastAsia="Times New Roman" w:cs="Times New Roman"/>
          <w:b w:val="0"/>
          <w:bCs w:val="0"/>
          <w:sz w:val="24"/>
          <w:szCs w:val="24"/>
          <w:lang w:val="en-GB"/>
        </w:rPr>
        <w:t>,</w:t>
      </w:r>
      <w:r w:rsidR="58E7DEAD" w:rsidRPr="00631CF2">
        <w:rPr>
          <w:rFonts w:eastAsia="Times New Roman" w:cs="Times New Roman"/>
          <w:b w:val="0"/>
          <w:bCs w:val="0"/>
          <w:sz w:val="24"/>
          <w:szCs w:val="24"/>
          <w:lang w:val="en-GB"/>
        </w:rPr>
        <w:t xml:space="preserve"> </w:t>
      </w:r>
      <w:r w:rsidR="33617052" w:rsidRPr="00631CF2">
        <w:rPr>
          <w:rFonts w:eastAsia="Times New Roman" w:cs="Times New Roman"/>
          <w:b w:val="0"/>
          <w:bCs w:val="0"/>
          <w:sz w:val="24"/>
          <w:szCs w:val="24"/>
          <w:lang w:val="en-GB"/>
        </w:rPr>
        <w:t>r</w:t>
      </w:r>
      <w:r w:rsidR="0186D243" w:rsidRPr="00631CF2">
        <w:rPr>
          <w:rFonts w:eastAsia="Times New Roman" w:cs="Times New Roman"/>
          <w:b w:val="0"/>
          <w:bCs w:val="0"/>
          <w:sz w:val="24"/>
          <w:szCs w:val="24"/>
          <w:lang w:val="en-GB"/>
        </w:rPr>
        <w:t>e</w:t>
      </w:r>
      <w:r w:rsidR="58E7DEAD" w:rsidRPr="00631CF2">
        <w:rPr>
          <w:rFonts w:eastAsia="Times New Roman" w:cs="Times New Roman"/>
          <w:b w:val="0"/>
          <w:bCs w:val="0"/>
          <w:sz w:val="24"/>
          <w:szCs w:val="24"/>
          <w:lang w:val="en-GB"/>
        </w:rPr>
        <w:t>view</w:t>
      </w:r>
      <w:r w:rsidR="0E902037" w:rsidRPr="00631CF2">
        <w:rPr>
          <w:rFonts w:eastAsia="Times New Roman" w:cs="Times New Roman"/>
          <w:b w:val="0"/>
          <w:bCs w:val="0"/>
          <w:sz w:val="24"/>
          <w:szCs w:val="24"/>
          <w:lang w:val="en-GB"/>
        </w:rPr>
        <w:t>e</w:t>
      </w:r>
      <w:r w:rsidR="0CC2836F" w:rsidRPr="00631CF2">
        <w:rPr>
          <w:rFonts w:eastAsia="Times New Roman" w:cs="Times New Roman"/>
          <w:b w:val="0"/>
          <w:bCs w:val="0"/>
          <w:sz w:val="24"/>
          <w:szCs w:val="24"/>
          <w:lang w:val="en-GB"/>
        </w:rPr>
        <w:t>d</w:t>
      </w:r>
      <w:r w:rsidR="58E7DEAD" w:rsidRPr="00631CF2">
        <w:rPr>
          <w:rFonts w:eastAsia="Times New Roman" w:cs="Times New Roman"/>
          <w:b w:val="0"/>
          <w:bCs w:val="0"/>
          <w:sz w:val="24"/>
          <w:szCs w:val="24"/>
          <w:lang w:val="en-GB"/>
        </w:rPr>
        <w:t xml:space="preserve"> </w:t>
      </w:r>
      <w:r w:rsidR="0CC2836F" w:rsidRPr="00631CF2">
        <w:rPr>
          <w:rFonts w:eastAsia="Times New Roman" w:cs="Times New Roman"/>
          <w:b w:val="0"/>
          <w:bCs w:val="0"/>
          <w:sz w:val="24"/>
          <w:szCs w:val="24"/>
          <w:lang w:val="en-GB"/>
        </w:rPr>
        <w:t xml:space="preserve">and </w:t>
      </w:r>
      <w:r w:rsidR="573552F6" w:rsidRPr="00631CF2">
        <w:rPr>
          <w:rFonts w:eastAsia="Times New Roman" w:cs="Times New Roman"/>
          <w:b w:val="0"/>
          <w:bCs w:val="0"/>
          <w:sz w:val="24"/>
          <w:szCs w:val="24"/>
          <w:lang w:val="en-GB"/>
        </w:rPr>
        <w:t>e</w:t>
      </w:r>
      <w:r w:rsidR="58E7DEAD" w:rsidRPr="00631CF2">
        <w:rPr>
          <w:rFonts w:eastAsia="Times New Roman" w:cs="Times New Roman"/>
          <w:b w:val="0"/>
          <w:bCs w:val="0"/>
          <w:sz w:val="24"/>
          <w:szCs w:val="24"/>
          <w:lang w:val="en-GB"/>
        </w:rPr>
        <w:t>diting</w:t>
      </w:r>
      <w:r w:rsidR="224CDF98" w:rsidRPr="00631CF2">
        <w:rPr>
          <w:rFonts w:eastAsia="Times New Roman" w:cs="Times New Roman"/>
          <w:b w:val="0"/>
          <w:bCs w:val="0"/>
          <w:sz w:val="24"/>
          <w:szCs w:val="24"/>
          <w:lang w:val="en-GB"/>
        </w:rPr>
        <w:t xml:space="preserve"> the manuscript, and secured f</w:t>
      </w:r>
      <w:r w:rsidR="58E7DEAD" w:rsidRPr="00631CF2">
        <w:rPr>
          <w:rFonts w:eastAsia="Times New Roman" w:cs="Times New Roman"/>
          <w:b w:val="0"/>
          <w:bCs w:val="0"/>
          <w:sz w:val="24"/>
          <w:szCs w:val="24"/>
          <w:lang w:val="en-GB"/>
        </w:rPr>
        <w:t xml:space="preserve">unding </w:t>
      </w:r>
      <w:r w:rsidR="40665D5C" w:rsidRPr="00631CF2">
        <w:rPr>
          <w:rFonts w:eastAsia="Times New Roman" w:cs="Times New Roman"/>
          <w:b w:val="0"/>
          <w:bCs w:val="0"/>
          <w:sz w:val="24"/>
          <w:szCs w:val="24"/>
          <w:lang w:val="en-GB"/>
        </w:rPr>
        <w:t>a</w:t>
      </w:r>
      <w:r w:rsidR="58E7DEAD" w:rsidRPr="00631CF2">
        <w:rPr>
          <w:rFonts w:eastAsia="Times New Roman" w:cs="Times New Roman"/>
          <w:b w:val="0"/>
          <w:bCs w:val="0"/>
          <w:sz w:val="24"/>
          <w:szCs w:val="24"/>
          <w:lang w:val="en-GB"/>
        </w:rPr>
        <w:t>cquisition</w:t>
      </w:r>
    </w:p>
    <w:p w14:paraId="2470C6C9" w14:textId="26439D33" w:rsidR="3EF823EB" w:rsidRPr="00631CF2" w:rsidRDefault="5A88FFE8" w:rsidP="007F0193">
      <w:pPr>
        <w:pStyle w:val="Heading1"/>
        <w:keepLines w:val="0"/>
        <w:widowControl w:val="0"/>
        <w:spacing w:before="0" w:line="480" w:lineRule="auto"/>
        <w:jc w:val="both"/>
        <w:rPr>
          <w:rFonts w:eastAsia="Times New Roman" w:cs="Times New Roman"/>
          <w:b w:val="0"/>
          <w:bCs w:val="0"/>
          <w:color w:val="538135" w:themeColor="accent6" w:themeShade="BF"/>
          <w:sz w:val="24"/>
          <w:szCs w:val="24"/>
          <w:lang w:val="en-GB"/>
        </w:rPr>
      </w:pPr>
      <w:r w:rsidRPr="00631CF2">
        <w:rPr>
          <w:rFonts w:eastAsia="Times New Roman" w:cs="Times New Roman"/>
          <w:color w:val="538135" w:themeColor="accent6" w:themeShade="BF"/>
          <w:sz w:val="24"/>
          <w:szCs w:val="24"/>
          <w:lang w:val="en-GB"/>
        </w:rPr>
        <w:t>Funding statement</w:t>
      </w:r>
      <w:r w:rsidR="00E0750F">
        <w:rPr>
          <w:rFonts w:eastAsia="Times New Roman" w:cs="Times New Roman"/>
          <w:color w:val="538135" w:themeColor="accent6" w:themeShade="BF"/>
          <w:sz w:val="24"/>
          <w:szCs w:val="24"/>
          <w:lang w:val="en-GB"/>
        </w:rPr>
        <w:t>.</w:t>
      </w:r>
      <w:r w:rsidRPr="00631CF2">
        <w:rPr>
          <w:rFonts w:eastAsia="Times New Roman" w:cs="Times New Roman"/>
          <w:b w:val="0"/>
          <w:bCs w:val="0"/>
          <w:sz w:val="24"/>
          <w:szCs w:val="24"/>
          <w:lang w:val="en-GB"/>
        </w:rPr>
        <w:t xml:space="preserve"> </w:t>
      </w:r>
      <w:r w:rsidR="00B7318D" w:rsidRPr="00631CF2">
        <w:rPr>
          <w:rFonts w:eastAsia="Times New Roman" w:cs="Times New Roman"/>
          <w:b w:val="0"/>
          <w:bCs w:val="0"/>
          <w:sz w:val="24"/>
          <w:szCs w:val="24"/>
          <w:lang w:val="en-GB"/>
        </w:rPr>
        <w:t>This study was supported by National Council for Scientific and Technological Development (</w:t>
      </w:r>
      <w:proofErr w:type="spellStart"/>
      <w:r w:rsidR="00B7318D" w:rsidRPr="00631CF2">
        <w:rPr>
          <w:rFonts w:eastAsia="Times New Roman" w:cs="Times New Roman"/>
          <w:b w:val="0"/>
          <w:bCs w:val="0"/>
          <w:sz w:val="24"/>
          <w:szCs w:val="24"/>
          <w:lang w:val="en-GB"/>
        </w:rPr>
        <w:t>CNPq</w:t>
      </w:r>
      <w:proofErr w:type="spellEnd"/>
      <w:r w:rsidR="00B7318D" w:rsidRPr="00631CF2">
        <w:rPr>
          <w:rFonts w:eastAsia="Times New Roman" w:cs="Times New Roman"/>
          <w:b w:val="0"/>
          <w:bCs w:val="0"/>
          <w:sz w:val="24"/>
          <w:szCs w:val="24"/>
          <w:lang w:val="en-GB"/>
        </w:rPr>
        <w:t>, grant number 421790/2023-7)</w:t>
      </w:r>
      <w:r w:rsidR="00FA30BE" w:rsidRPr="00631CF2">
        <w:rPr>
          <w:rFonts w:eastAsia="Times New Roman" w:cs="Times New Roman"/>
          <w:b w:val="0"/>
          <w:bCs w:val="0"/>
          <w:sz w:val="24"/>
          <w:szCs w:val="24"/>
          <w:lang w:val="en-GB"/>
        </w:rPr>
        <w:t>.</w:t>
      </w:r>
    </w:p>
    <w:p w14:paraId="687899A7" w14:textId="32F4C6F1" w:rsidR="3EF823EB" w:rsidRDefault="5A88FFE8" w:rsidP="007F0193">
      <w:pPr>
        <w:pStyle w:val="Heading1"/>
        <w:keepLines w:val="0"/>
        <w:widowControl w:val="0"/>
        <w:spacing w:before="0" w:line="480" w:lineRule="auto"/>
        <w:jc w:val="both"/>
        <w:rPr>
          <w:rFonts w:eastAsia="Times New Roman" w:cs="Times New Roman"/>
          <w:b w:val="0"/>
          <w:bCs w:val="0"/>
          <w:sz w:val="24"/>
          <w:szCs w:val="24"/>
          <w:lang w:val="en-GB"/>
        </w:rPr>
      </w:pPr>
      <w:r w:rsidRPr="00E0750F">
        <w:rPr>
          <w:rFonts w:eastAsia="Times New Roman" w:cs="Times New Roman"/>
          <w:color w:val="538135"/>
          <w:sz w:val="24"/>
          <w:szCs w:val="24"/>
          <w:lang w:val="en-GB"/>
        </w:rPr>
        <w:t>Competing interests</w:t>
      </w:r>
      <w:r w:rsidR="00E0750F">
        <w:rPr>
          <w:rFonts w:eastAsia="Times New Roman" w:cs="Times New Roman"/>
          <w:color w:val="538135" w:themeColor="accent6" w:themeShade="BF"/>
          <w:sz w:val="24"/>
          <w:szCs w:val="24"/>
          <w:lang w:val="en-GB"/>
        </w:rPr>
        <w:t>.</w:t>
      </w:r>
      <w:r w:rsidRPr="00631CF2">
        <w:rPr>
          <w:rFonts w:eastAsia="Times New Roman" w:cs="Times New Roman"/>
          <w:color w:val="538135" w:themeColor="accent6" w:themeShade="BF"/>
          <w:sz w:val="24"/>
          <w:szCs w:val="24"/>
          <w:lang w:val="en-GB"/>
        </w:rPr>
        <w:t xml:space="preserve"> </w:t>
      </w:r>
      <w:r w:rsidRPr="00631CF2">
        <w:rPr>
          <w:rFonts w:eastAsia="Times New Roman" w:cs="Times New Roman"/>
          <w:b w:val="0"/>
          <w:bCs w:val="0"/>
          <w:sz w:val="24"/>
          <w:szCs w:val="24"/>
          <w:lang w:val="en-GB"/>
        </w:rPr>
        <w:t>The authors declare there are no conflicts of interest.</w:t>
      </w:r>
    </w:p>
    <w:p w14:paraId="0138A85F" w14:textId="79363D3A" w:rsidR="00E0750F" w:rsidRPr="00E0750F" w:rsidRDefault="00E0750F" w:rsidP="00E0750F">
      <w:pPr>
        <w:rPr>
          <w:rFonts w:ascii="Times New Roman" w:eastAsia="Times New Roman" w:hAnsi="Times New Roman" w:cs="Times New Roman"/>
          <w:sz w:val="24"/>
          <w:szCs w:val="24"/>
        </w:rPr>
      </w:pPr>
      <w:r w:rsidRPr="00E0750F">
        <w:rPr>
          <w:rFonts w:ascii="Times New Roman" w:eastAsia="Times New Roman" w:hAnsi="Times New Roman" w:cs="Times New Roman"/>
          <w:b/>
          <w:bCs/>
          <w:color w:val="538135"/>
          <w:sz w:val="24"/>
          <w:szCs w:val="24"/>
        </w:rPr>
        <w:t>Ethical standards.</w:t>
      </w:r>
      <w:r>
        <w:t xml:space="preserve"> </w:t>
      </w:r>
      <w:r w:rsidRPr="00E0750F">
        <w:rPr>
          <w:rFonts w:ascii="Times New Roman" w:eastAsia="Times New Roman" w:hAnsi="Times New Roman" w:cs="Times New Roman"/>
          <w:sz w:val="24"/>
          <w:szCs w:val="24"/>
        </w:rPr>
        <w:t>Not applicable.</w:t>
      </w:r>
    </w:p>
    <w:p w14:paraId="01B8F54F" w14:textId="18C8067C" w:rsidR="3EF823EB" w:rsidRPr="00631CF2" w:rsidRDefault="3EF823EB" w:rsidP="007F0193">
      <w:pPr>
        <w:widowControl w:val="0"/>
        <w:spacing w:after="0" w:line="480" w:lineRule="auto"/>
        <w:jc w:val="both"/>
        <w:rPr>
          <w:rStyle w:val="normaltextrun"/>
          <w:rFonts w:ascii="Times New Roman" w:eastAsia="Times New Roman" w:hAnsi="Times New Roman" w:cs="Times New Roman"/>
          <w:sz w:val="24"/>
          <w:szCs w:val="24"/>
          <w:u w:val="single"/>
        </w:rPr>
      </w:pPr>
    </w:p>
    <w:p w14:paraId="1354A7B3" w14:textId="77777777" w:rsidR="000F33C5" w:rsidRPr="00631CF2" w:rsidRDefault="412175EC" w:rsidP="007F0193">
      <w:pPr>
        <w:pStyle w:val="Heading1"/>
        <w:keepLines w:val="0"/>
        <w:widowControl w:val="0"/>
        <w:spacing w:before="0" w:line="480" w:lineRule="auto"/>
        <w:jc w:val="both"/>
        <w:rPr>
          <w:rFonts w:eastAsia="Times New Roman" w:cs="Times New Roman"/>
          <w:color w:val="538135" w:themeColor="accent6" w:themeShade="BF"/>
          <w:sz w:val="24"/>
          <w:szCs w:val="24"/>
          <w:lang w:val="en-GB"/>
        </w:rPr>
      </w:pPr>
      <w:r w:rsidRPr="00631CF2">
        <w:rPr>
          <w:rFonts w:eastAsia="Times New Roman" w:cs="Times New Roman"/>
          <w:color w:val="538135" w:themeColor="accent6" w:themeShade="BF"/>
          <w:sz w:val="24"/>
          <w:szCs w:val="24"/>
          <w:lang w:val="en-GB"/>
        </w:rPr>
        <w:lastRenderedPageBreak/>
        <w:t>References</w:t>
      </w:r>
    </w:p>
    <w:p w14:paraId="37E138BC" w14:textId="77777777" w:rsidR="00B414B3" w:rsidRPr="00631CF2" w:rsidRDefault="5096BBF4"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sz w:val="24"/>
          <w:szCs w:val="24"/>
        </w:rPr>
        <w:fldChar w:fldCharType="begin"/>
      </w:r>
      <w:r w:rsidRPr="00631CF2">
        <w:rPr>
          <w:rFonts w:ascii="Times New Roman" w:hAnsi="Times New Roman" w:cs="Times New Roman"/>
          <w:sz w:val="24"/>
          <w:szCs w:val="24"/>
        </w:rPr>
        <w:instrText xml:space="preserve"> ADDIN ZOTERO_BIBL {"uncited":[],"omitted":[],"custom":[]} CSL_BIBLIOGRAPHY </w:instrText>
      </w:r>
      <w:r w:rsidRPr="00631CF2">
        <w:rPr>
          <w:rFonts w:ascii="Times New Roman" w:hAnsi="Times New Roman" w:cs="Times New Roman"/>
          <w:sz w:val="24"/>
          <w:szCs w:val="24"/>
        </w:rPr>
        <w:fldChar w:fldCharType="separate"/>
      </w:r>
      <w:r w:rsidR="00B414B3" w:rsidRPr="00631CF2">
        <w:rPr>
          <w:rFonts w:ascii="Times New Roman" w:hAnsi="Times New Roman" w:cs="Times New Roman"/>
          <w:b/>
          <w:bCs/>
          <w:sz w:val="24"/>
          <w:szCs w:val="24"/>
        </w:rPr>
        <w:t>Bahmani I, Thom ER, Matthew C, Hooper RJ and Lemaire G</w:t>
      </w:r>
      <w:r w:rsidR="00B414B3" w:rsidRPr="00631CF2">
        <w:rPr>
          <w:rFonts w:ascii="Times New Roman" w:hAnsi="Times New Roman" w:cs="Times New Roman"/>
          <w:sz w:val="24"/>
          <w:szCs w:val="24"/>
        </w:rPr>
        <w:t xml:space="preserve"> (2003) Tiller dynamics of perennial ryegrass cultivars derived from different New Zealand ecotypes: effects of cultivar, season, nitrogen fertiliser, and irrigation. </w:t>
      </w:r>
      <w:r w:rsidR="00B414B3" w:rsidRPr="00631CF2">
        <w:rPr>
          <w:rFonts w:ascii="Times New Roman" w:hAnsi="Times New Roman" w:cs="Times New Roman"/>
          <w:i/>
          <w:iCs/>
          <w:sz w:val="24"/>
          <w:szCs w:val="24"/>
        </w:rPr>
        <w:t>Australian Journal of Agricultural Research</w:t>
      </w:r>
      <w:r w:rsidR="00B414B3" w:rsidRPr="00631CF2">
        <w:rPr>
          <w:rFonts w:ascii="Times New Roman" w:hAnsi="Times New Roman" w:cs="Times New Roman"/>
          <w:sz w:val="24"/>
          <w:szCs w:val="24"/>
        </w:rPr>
        <w:t xml:space="preserve"> </w:t>
      </w:r>
      <w:r w:rsidR="00B414B3" w:rsidRPr="00631CF2">
        <w:rPr>
          <w:rFonts w:ascii="Times New Roman" w:hAnsi="Times New Roman" w:cs="Times New Roman"/>
          <w:b/>
          <w:bCs/>
          <w:sz w:val="24"/>
          <w:szCs w:val="24"/>
        </w:rPr>
        <w:t>54</w:t>
      </w:r>
      <w:r w:rsidR="00B414B3" w:rsidRPr="00631CF2">
        <w:rPr>
          <w:rFonts w:ascii="Times New Roman" w:hAnsi="Times New Roman" w:cs="Times New Roman"/>
          <w:sz w:val="24"/>
          <w:szCs w:val="24"/>
        </w:rPr>
        <w:t>(8), 803. https://doi.org/10.1071/AR02135.</w:t>
      </w:r>
    </w:p>
    <w:p w14:paraId="564A4F4D"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Barreta</w:t>
      </w:r>
      <w:proofErr w:type="spellEnd"/>
      <w:r w:rsidRPr="00631CF2">
        <w:rPr>
          <w:rFonts w:ascii="Times New Roman" w:hAnsi="Times New Roman" w:cs="Times New Roman"/>
          <w:b/>
          <w:bCs/>
          <w:sz w:val="24"/>
          <w:szCs w:val="24"/>
        </w:rPr>
        <w:t xml:space="preserve"> DA, Winter FL, Gislon FCS, Sollenberger LE and Sbrissia AF</w:t>
      </w:r>
      <w:r w:rsidRPr="00631CF2">
        <w:rPr>
          <w:rFonts w:ascii="Times New Roman" w:hAnsi="Times New Roman" w:cs="Times New Roman"/>
          <w:sz w:val="24"/>
          <w:szCs w:val="24"/>
        </w:rPr>
        <w:t xml:space="preserve"> (2023) Managing a mixed sward to maintain species and functional diversity. </w:t>
      </w:r>
      <w:r w:rsidRPr="00631CF2">
        <w:rPr>
          <w:rFonts w:ascii="Times New Roman" w:hAnsi="Times New Roman" w:cs="Times New Roman"/>
          <w:i/>
          <w:iCs/>
          <w:sz w:val="24"/>
          <w:szCs w:val="24"/>
        </w:rPr>
        <w:t>European Journal of Agronomy</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149</w:t>
      </w:r>
      <w:r w:rsidRPr="00631CF2">
        <w:rPr>
          <w:rFonts w:ascii="Times New Roman" w:hAnsi="Times New Roman" w:cs="Times New Roman"/>
          <w:sz w:val="24"/>
          <w:szCs w:val="24"/>
        </w:rPr>
        <w:t>, 126883. https://doi.org/10.1016/j.eja.2023.126883.</w:t>
      </w:r>
    </w:p>
    <w:p w14:paraId="7BD10FFD"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 xml:space="preserve">Bernardon A, </w:t>
      </w:r>
      <w:proofErr w:type="spellStart"/>
      <w:r w:rsidRPr="00631CF2">
        <w:rPr>
          <w:rFonts w:ascii="Times New Roman" w:hAnsi="Times New Roman" w:cs="Times New Roman"/>
          <w:b/>
          <w:bCs/>
          <w:sz w:val="24"/>
          <w:szCs w:val="24"/>
        </w:rPr>
        <w:t>Miqueloto</w:t>
      </w:r>
      <w:proofErr w:type="spellEnd"/>
      <w:r w:rsidRPr="00631CF2">
        <w:rPr>
          <w:rFonts w:ascii="Times New Roman" w:hAnsi="Times New Roman" w:cs="Times New Roman"/>
          <w:b/>
          <w:bCs/>
          <w:sz w:val="24"/>
          <w:szCs w:val="24"/>
        </w:rPr>
        <w:t xml:space="preserve"> T, Winter FL, De Medeiros Neto C and Sbrissia AF</w:t>
      </w:r>
      <w:r w:rsidRPr="00631CF2">
        <w:rPr>
          <w:rFonts w:ascii="Times New Roman" w:hAnsi="Times New Roman" w:cs="Times New Roman"/>
          <w:sz w:val="24"/>
          <w:szCs w:val="24"/>
        </w:rPr>
        <w:t xml:space="preserve"> (2021) Herbage accumulation dynamics in mixed pastures composed of </w:t>
      </w:r>
      <w:proofErr w:type="spellStart"/>
      <w:r w:rsidRPr="00631CF2">
        <w:rPr>
          <w:rFonts w:ascii="Times New Roman" w:hAnsi="Times New Roman" w:cs="Times New Roman"/>
          <w:sz w:val="24"/>
          <w:szCs w:val="24"/>
        </w:rPr>
        <w:t>kikuyugrass</w:t>
      </w:r>
      <w:proofErr w:type="spellEnd"/>
      <w:r w:rsidRPr="00631CF2">
        <w:rPr>
          <w:rFonts w:ascii="Times New Roman" w:hAnsi="Times New Roman" w:cs="Times New Roman"/>
          <w:sz w:val="24"/>
          <w:szCs w:val="24"/>
        </w:rPr>
        <w:t xml:space="preserve"> and tall fescue as affected by grazing management. </w:t>
      </w:r>
      <w:r w:rsidRPr="00631CF2">
        <w:rPr>
          <w:rFonts w:ascii="Times New Roman" w:hAnsi="Times New Roman" w:cs="Times New Roman"/>
          <w:i/>
          <w:iCs/>
          <w:sz w:val="24"/>
          <w:szCs w:val="24"/>
        </w:rPr>
        <w:t>Grass and Forage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76</w:t>
      </w:r>
      <w:r w:rsidRPr="00631CF2">
        <w:rPr>
          <w:rFonts w:ascii="Times New Roman" w:hAnsi="Times New Roman" w:cs="Times New Roman"/>
          <w:sz w:val="24"/>
          <w:szCs w:val="24"/>
        </w:rPr>
        <w:t>(4), 508–521. https://doi.org/10.1111/gfs.12549.</w:t>
      </w:r>
    </w:p>
    <w:p w14:paraId="1E5F6701"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Bircham JS and Hodgson J</w:t>
      </w:r>
      <w:r w:rsidRPr="00631CF2">
        <w:rPr>
          <w:rFonts w:ascii="Times New Roman" w:hAnsi="Times New Roman" w:cs="Times New Roman"/>
          <w:sz w:val="24"/>
          <w:szCs w:val="24"/>
        </w:rPr>
        <w:t xml:space="preserve"> (1983) The influence of sward condition on rates of herbage growth and senescence in mixed swards under continuous stocking management. </w:t>
      </w:r>
      <w:r w:rsidRPr="00631CF2">
        <w:rPr>
          <w:rFonts w:ascii="Times New Roman" w:hAnsi="Times New Roman" w:cs="Times New Roman"/>
          <w:i/>
          <w:iCs/>
          <w:sz w:val="24"/>
          <w:szCs w:val="24"/>
        </w:rPr>
        <w:t>Grass and Forage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38</w:t>
      </w:r>
      <w:r w:rsidRPr="00631CF2">
        <w:rPr>
          <w:rFonts w:ascii="Times New Roman" w:hAnsi="Times New Roman" w:cs="Times New Roman"/>
          <w:sz w:val="24"/>
          <w:szCs w:val="24"/>
        </w:rPr>
        <w:t>(4), 323–331. https://doi.org/10.1111/j.1365-2494.1983.tb01656.x.</w:t>
      </w:r>
    </w:p>
    <w:p w14:paraId="4CFF6236"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Carvalho BHR, Pereira LET, Sbrissia AF, Rocha GDO and Santos MER</w:t>
      </w:r>
      <w:r w:rsidRPr="00631CF2">
        <w:rPr>
          <w:rFonts w:ascii="Times New Roman" w:hAnsi="Times New Roman" w:cs="Times New Roman"/>
          <w:sz w:val="24"/>
          <w:szCs w:val="24"/>
        </w:rPr>
        <w:t xml:space="preserve"> (2021) Height and mowing of pasture at the end of winter modulate the tillering of </w:t>
      </w:r>
      <w:proofErr w:type="spellStart"/>
      <w:r w:rsidRPr="00631CF2">
        <w:rPr>
          <w:rFonts w:ascii="Times New Roman" w:hAnsi="Times New Roman" w:cs="Times New Roman"/>
          <w:sz w:val="24"/>
          <w:szCs w:val="24"/>
        </w:rPr>
        <w:t>Marandu</w:t>
      </w:r>
      <w:proofErr w:type="spellEnd"/>
      <w:r w:rsidRPr="00631CF2">
        <w:rPr>
          <w:rFonts w:ascii="Times New Roman" w:hAnsi="Times New Roman" w:cs="Times New Roman"/>
          <w:sz w:val="24"/>
          <w:szCs w:val="24"/>
        </w:rPr>
        <w:t xml:space="preserve"> </w:t>
      </w:r>
      <w:proofErr w:type="spellStart"/>
      <w:r w:rsidRPr="00631CF2">
        <w:rPr>
          <w:rFonts w:ascii="Times New Roman" w:hAnsi="Times New Roman" w:cs="Times New Roman"/>
          <w:sz w:val="24"/>
          <w:szCs w:val="24"/>
        </w:rPr>
        <w:t>palisadegrass</w:t>
      </w:r>
      <w:proofErr w:type="spellEnd"/>
      <w:r w:rsidRPr="00631CF2">
        <w:rPr>
          <w:rFonts w:ascii="Times New Roman" w:hAnsi="Times New Roman" w:cs="Times New Roman"/>
          <w:sz w:val="24"/>
          <w:szCs w:val="24"/>
        </w:rPr>
        <w:t xml:space="preserve"> in spring. </w:t>
      </w:r>
      <w:r w:rsidRPr="00631CF2">
        <w:rPr>
          <w:rFonts w:ascii="Times New Roman" w:hAnsi="Times New Roman" w:cs="Times New Roman"/>
          <w:i/>
          <w:iCs/>
          <w:sz w:val="24"/>
          <w:szCs w:val="24"/>
        </w:rPr>
        <w:t>Tropical Grasslands-</w:t>
      </w:r>
      <w:proofErr w:type="spellStart"/>
      <w:r w:rsidRPr="00631CF2">
        <w:rPr>
          <w:rFonts w:ascii="Times New Roman" w:hAnsi="Times New Roman" w:cs="Times New Roman"/>
          <w:i/>
          <w:iCs/>
          <w:sz w:val="24"/>
          <w:szCs w:val="24"/>
        </w:rPr>
        <w:t>Forrajes</w:t>
      </w:r>
      <w:proofErr w:type="spellEnd"/>
      <w:r w:rsidRPr="00631CF2">
        <w:rPr>
          <w:rFonts w:ascii="Times New Roman" w:hAnsi="Times New Roman" w:cs="Times New Roman"/>
          <w:i/>
          <w:iCs/>
          <w:sz w:val="24"/>
          <w:szCs w:val="24"/>
        </w:rPr>
        <w:t xml:space="preserve"> </w:t>
      </w:r>
      <w:proofErr w:type="spellStart"/>
      <w:r w:rsidRPr="00631CF2">
        <w:rPr>
          <w:rFonts w:ascii="Times New Roman" w:hAnsi="Times New Roman" w:cs="Times New Roman"/>
          <w:i/>
          <w:iCs/>
          <w:sz w:val="24"/>
          <w:szCs w:val="24"/>
        </w:rPr>
        <w:t>Tropicales</w:t>
      </w:r>
      <w:proofErr w:type="spellEnd"/>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9</w:t>
      </w:r>
      <w:r w:rsidRPr="00631CF2">
        <w:rPr>
          <w:rFonts w:ascii="Times New Roman" w:hAnsi="Times New Roman" w:cs="Times New Roman"/>
          <w:sz w:val="24"/>
          <w:szCs w:val="24"/>
        </w:rPr>
        <w:t>(1), 13–22. https://doi.org/10.17138/tgft(9)13-22.</w:t>
      </w:r>
    </w:p>
    <w:p w14:paraId="7C678B14"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Caswell H</w:t>
      </w:r>
      <w:r w:rsidRPr="00631CF2">
        <w:rPr>
          <w:rFonts w:ascii="Times New Roman" w:hAnsi="Times New Roman" w:cs="Times New Roman"/>
          <w:sz w:val="24"/>
          <w:szCs w:val="24"/>
        </w:rPr>
        <w:t xml:space="preserve"> (1989) </w:t>
      </w:r>
      <w:r w:rsidRPr="00631CF2">
        <w:rPr>
          <w:rFonts w:ascii="Times New Roman" w:hAnsi="Times New Roman" w:cs="Times New Roman"/>
          <w:i/>
          <w:iCs/>
          <w:sz w:val="24"/>
          <w:szCs w:val="24"/>
        </w:rPr>
        <w:t>Matrix population models: construction, analysis, and interpretation</w:t>
      </w:r>
      <w:r w:rsidRPr="00631CF2">
        <w:rPr>
          <w:rFonts w:ascii="Times New Roman" w:hAnsi="Times New Roman" w:cs="Times New Roman"/>
          <w:sz w:val="24"/>
          <w:szCs w:val="24"/>
        </w:rPr>
        <w:t>. Sinauer Associates Inc.</w:t>
      </w:r>
    </w:p>
    <w:p w14:paraId="06080E70" w14:textId="21F38415" w:rsidR="00145DCD" w:rsidRPr="00631CF2" w:rsidRDefault="00643102" w:rsidP="007F0193">
      <w:pPr>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color w:val="232323"/>
          <w:sz w:val="24"/>
          <w:szCs w:val="24"/>
          <w:shd w:val="clear" w:color="auto" w:fill="FFFFFF"/>
        </w:rPr>
        <w:t>Chapman DF and Lemaire G</w:t>
      </w:r>
      <w:r w:rsidRPr="00631CF2">
        <w:rPr>
          <w:rFonts w:ascii="Times New Roman" w:hAnsi="Times New Roman" w:cs="Times New Roman"/>
          <w:color w:val="232323"/>
          <w:sz w:val="24"/>
          <w:szCs w:val="24"/>
          <w:shd w:val="clear" w:color="auto" w:fill="FFFFFF"/>
        </w:rPr>
        <w:t xml:space="preserve"> (1993) Morphogenetic and Structural </w:t>
      </w:r>
      <w:proofErr w:type="spellStart"/>
      <w:r w:rsidRPr="00631CF2">
        <w:rPr>
          <w:rFonts w:ascii="Times New Roman" w:hAnsi="Times New Roman" w:cs="Times New Roman"/>
          <w:color w:val="232323"/>
          <w:sz w:val="24"/>
          <w:szCs w:val="24"/>
          <w:shd w:val="clear" w:color="auto" w:fill="FFFFFF"/>
        </w:rPr>
        <w:t>Determinats</w:t>
      </w:r>
      <w:proofErr w:type="spellEnd"/>
      <w:r w:rsidRPr="00631CF2">
        <w:rPr>
          <w:rFonts w:ascii="Times New Roman" w:hAnsi="Times New Roman" w:cs="Times New Roman"/>
          <w:color w:val="232323"/>
          <w:sz w:val="24"/>
          <w:szCs w:val="24"/>
          <w:shd w:val="clear" w:color="auto" w:fill="FFFFFF"/>
        </w:rPr>
        <w:t xml:space="preserve"> of Plant Regrowth after Defoliation. In: Baker, M.J., Ed., </w:t>
      </w:r>
      <w:proofErr w:type="spellStart"/>
      <w:r w:rsidRPr="00631CF2">
        <w:rPr>
          <w:rFonts w:ascii="Times New Roman" w:hAnsi="Times New Roman" w:cs="Times New Roman"/>
          <w:i/>
          <w:iCs/>
          <w:color w:val="232323"/>
          <w:sz w:val="24"/>
          <w:szCs w:val="24"/>
          <w:shd w:val="clear" w:color="auto" w:fill="FFFFFF"/>
        </w:rPr>
        <w:t>Grassands</w:t>
      </w:r>
      <w:proofErr w:type="spellEnd"/>
      <w:r w:rsidRPr="00631CF2">
        <w:rPr>
          <w:rFonts w:ascii="Times New Roman" w:hAnsi="Times New Roman" w:cs="Times New Roman"/>
          <w:i/>
          <w:iCs/>
          <w:color w:val="232323"/>
          <w:sz w:val="24"/>
          <w:szCs w:val="24"/>
          <w:shd w:val="clear" w:color="auto" w:fill="FFFFFF"/>
        </w:rPr>
        <w:t xml:space="preserve"> for Our World</w:t>
      </w:r>
      <w:r w:rsidRPr="00631CF2">
        <w:rPr>
          <w:rFonts w:ascii="Times New Roman" w:hAnsi="Times New Roman" w:cs="Times New Roman"/>
          <w:color w:val="232323"/>
          <w:sz w:val="24"/>
          <w:szCs w:val="24"/>
          <w:shd w:val="clear" w:color="auto" w:fill="FFFFFF"/>
        </w:rPr>
        <w:t>, Sir Publishing, Wellington, 55-64.</w:t>
      </w:r>
    </w:p>
    <w:p w14:paraId="6EDD4200" w14:textId="08594DBF" w:rsidR="00DB7230" w:rsidRPr="00631CF2" w:rsidRDefault="00DB7230" w:rsidP="007F0193">
      <w:pPr>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Davies A</w:t>
      </w:r>
      <w:r w:rsidRPr="00631CF2">
        <w:rPr>
          <w:rFonts w:ascii="Times New Roman" w:hAnsi="Times New Roman" w:cs="Times New Roman"/>
          <w:sz w:val="24"/>
          <w:szCs w:val="24"/>
        </w:rPr>
        <w:t xml:space="preserve"> (1988) The regrowth of grass swards. In: J</w:t>
      </w:r>
      <w:r w:rsidR="633C21AF" w:rsidRPr="00631CF2">
        <w:rPr>
          <w:rFonts w:ascii="Times New Roman" w:hAnsi="Times New Roman" w:cs="Times New Roman"/>
          <w:sz w:val="24"/>
          <w:szCs w:val="24"/>
        </w:rPr>
        <w:t>ones</w:t>
      </w:r>
      <w:r w:rsidRPr="00631CF2">
        <w:rPr>
          <w:rFonts w:ascii="Times New Roman" w:hAnsi="Times New Roman" w:cs="Times New Roman"/>
          <w:sz w:val="24"/>
          <w:szCs w:val="24"/>
        </w:rPr>
        <w:t>, M.B.; L</w:t>
      </w:r>
      <w:r w:rsidR="7F45E6AF" w:rsidRPr="00631CF2">
        <w:rPr>
          <w:rFonts w:ascii="Times New Roman" w:hAnsi="Times New Roman" w:cs="Times New Roman"/>
          <w:sz w:val="24"/>
          <w:szCs w:val="24"/>
        </w:rPr>
        <w:t>azenby</w:t>
      </w:r>
      <w:r w:rsidRPr="00631CF2">
        <w:rPr>
          <w:rFonts w:ascii="Times New Roman" w:hAnsi="Times New Roman" w:cs="Times New Roman"/>
          <w:sz w:val="24"/>
          <w:szCs w:val="24"/>
        </w:rPr>
        <w:t xml:space="preserve">, A. (Ed.) </w:t>
      </w:r>
      <w:r w:rsidRPr="00631CF2">
        <w:rPr>
          <w:rFonts w:ascii="Times New Roman" w:hAnsi="Times New Roman" w:cs="Times New Roman"/>
          <w:i/>
          <w:iCs/>
          <w:sz w:val="24"/>
          <w:szCs w:val="24"/>
        </w:rPr>
        <w:t>The grass crop.</w:t>
      </w:r>
      <w:r w:rsidRPr="00631CF2">
        <w:rPr>
          <w:rFonts w:ascii="Times New Roman" w:hAnsi="Times New Roman" w:cs="Times New Roman"/>
          <w:sz w:val="24"/>
          <w:szCs w:val="24"/>
        </w:rPr>
        <w:t xml:space="preserve"> London: Chapman &amp; Hall. p.85-127.</w:t>
      </w:r>
    </w:p>
    <w:p w14:paraId="2B4F79D3"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Duchini</w:t>
      </w:r>
      <w:proofErr w:type="spellEnd"/>
      <w:r w:rsidRPr="00631CF2">
        <w:rPr>
          <w:rFonts w:ascii="Times New Roman" w:hAnsi="Times New Roman" w:cs="Times New Roman"/>
          <w:b/>
          <w:bCs/>
          <w:sz w:val="24"/>
          <w:szCs w:val="24"/>
        </w:rPr>
        <w:t xml:space="preserve"> PG, </w:t>
      </w:r>
      <w:proofErr w:type="spellStart"/>
      <w:r w:rsidRPr="00631CF2">
        <w:rPr>
          <w:rFonts w:ascii="Times New Roman" w:hAnsi="Times New Roman" w:cs="Times New Roman"/>
          <w:b/>
          <w:bCs/>
          <w:sz w:val="24"/>
          <w:szCs w:val="24"/>
        </w:rPr>
        <w:t>Guzatti</w:t>
      </w:r>
      <w:proofErr w:type="spellEnd"/>
      <w:r w:rsidRPr="00631CF2">
        <w:rPr>
          <w:rFonts w:ascii="Times New Roman" w:hAnsi="Times New Roman" w:cs="Times New Roman"/>
          <w:b/>
          <w:bCs/>
          <w:sz w:val="24"/>
          <w:szCs w:val="24"/>
        </w:rPr>
        <w:t xml:space="preserve"> GC, Echeverria JR, Américo LF and Sbrissia AF</w:t>
      </w:r>
      <w:r w:rsidRPr="00631CF2">
        <w:rPr>
          <w:rFonts w:ascii="Times New Roman" w:hAnsi="Times New Roman" w:cs="Times New Roman"/>
          <w:sz w:val="24"/>
          <w:szCs w:val="24"/>
        </w:rPr>
        <w:t xml:space="preserve"> (2018) Experimental evidence that the perennial grass persistence pathway is linked to plant growth strategy. </w:t>
      </w:r>
      <w:r w:rsidRPr="00631CF2">
        <w:rPr>
          <w:rFonts w:ascii="Times New Roman" w:hAnsi="Times New Roman" w:cs="Times New Roman"/>
          <w:i/>
          <w:iCs/>
          <w:sz w:val="24"/>
          <w:szCs w:val="24"/>
        </w:rPr>
        <w:t>PLOS ONE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13</w:t>
      </w:r>
      <w:r w:rsidRPr="00631CF2">
        <w:rPr>
          <w:rFonts w:ascii="Times New Roman" w:hAnsi="Times New Roman" w:cs="Times New Roman"/>
          <w:sz w:val="24"/>
          <w:szCs w:val="24"/>
        </w:rPr>
        <w:t>(11), e0207360. https://doi.org/10.1371/journal.pone.0207360.</w:t>
      </w:r>
    </w:p>
    <w:p w14:paraId="495AEC9E" w14:textId="77777777" w:rsidR="00F902FF"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Duchini</w:t>
      </w:r>
      <w:proofErr w:type="spellEnd"/>
      <w:r w:rsidRPr="00631CF2">
        <w:rPr>
          <w:rFonts w:ascii="Times New Roman" w:hAnsi="Times New Roman" w:cs="Times New Roman"/>
          <w:b/>
          <w:bCs/>
          <w:sz w:val="24"/>
          <w:szCs w:val="24"/>
        </w:rPr>
        <w:t xml:space="preserve"> PG, </w:t>
      </w:r>
      <w:proofErr w:type="spellStart"/>
      <w:r w:rsidRPr="00631CF2">
        <w:rPr>
          <w:rFonts w:ascii="Times New Roman" w:hAnsi="Times New Roman" w:cs="Times New Roman"/>
          <w:b/>
          <w:bCs/>
          <w:sz w:val="24"/>
          <w:szCs w:val="24"/>
        </w:rPr>
        <w:t>Guzatti</w:t>
      </w:r>
      <w:proofErr w:type="spellEnd"/>
      <w:r w:rsidRPr="00631CF2">
        <w:rPr>
          <w:rFonts w:ascii="Times New Roman" w:hAnsi="Times New Roman" w:cs="Times New Roman"/>
          <w:b/>
          <w:bCs/>
          <w:sz w:val="24"/>
          <w:szCs w:val="24"/>
        </w:rPr>
        <w:t xml:space="preserve"> GC, Ribeiro Filho HMN and Sbrissia AF</w:t>
      </w:r>
      <w:r w:rsidRPr="00631CF2">
        <w:rPr>
          <w:rFonts w:ascii="Times New Roman" w:hAnsi="Times New Roman" w:cs="Times New Roman"/>
          <w:sz w:val="24"/>
          <w:szCs w:val="24"/>
        </w:rPr>
        <w:t xml:space="preserve"> (2014) Tiller size/density compensation in temperate climate grasses grown in monoculture or in intercropping systems under intermittent grazing. </w:t>
      </w:r>
      <w:r w:rsidRPr="00631CF2">
        <w:rPr>
          <w:rFonts w:ascii="Times New Roman" w:hAnsi="Times New Roman" w:cs="Times New Roman"/>
          <w:i/>
          <w:iCs/>
          <w:sz w:val="24"/>
          <w:szCs w:val="24"/>
        </w:rPr>
        <w:t>Grass and Forage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69</w:t>
      </w:r>
      <w:r w:rsidRPr="00631CF2">
        <w:rPr>
          <w:rFonts w:ascii="Times New Roman" w:hAnsi="Times New Roman" w:cs="Times New Roman"/>
          <w:sz w:val="24"/>
          <w:szCs w:val="24"/>
        </w:rPr>
        <w:t>(4), 655–665. https://doi.org/10.1111/gfs.12095.</w:t>
      </w:r>
    </w:p>
    <w:p w14:paraId="3978B727" w14:textId="3C49F44A" w:rsidR="00F902FF" w:rsidRPr="00631CF2" w:rsidRDefault="00F902FF"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Fränzle</w:t>
      </w:r>
      <w:proofErr w:type="spellEnd"/>
      <w:r w:rsidRPr="00631CF2">
        <w:rPr>
          <w:rFonts w:ascii="Times New Roman" w:hAnsi="Times New Roman" w:cs="Times New Roman"/>
          <w:b/>
          <w:bCs/>
          <w:sz w:val="24"/>
          <w:szCs w:val="24"/>
        </w:rPr>
        <w:t xml:space="preserve"> O, </w:t>
      </w:r>
      <w:r w:rsidRPr="00631CF2">
        <w:rPr>
          <w:rFonts w:ascii="Times New Roman" w:hAnsi="Times New Roman" w:cs="Times New Roman"/>
          <w:sz w:val="24"/>
          <w:szCs w:val="24"/>
        </w:rPr>
        <w:t xml:space="preserve">(1979) </w:t>
      </w:r>
      <w:proofErr w:type="spellStart"/>
      <w:r w:rsidRPr="00631CF2">
        <w:rPr>
          <w:rFonts w:ascii="Times New Roman" w:hAnsi="Times New Roman" w:cs="Times New Roman"/>
          <w:sz w:val="24"/>
          <w:szCs w:val="24"/>
        </w:rPr>
        <w:t>Comparitive</w:t>
      </w:r>
      <w:proofErr w:type="spellEnd"/>
      <w:r w:rsidRPr="00631CF2">
        <w:rPr>
          <w:rFonts w:ascii="Times New Roman" w:hAnsi="Times New Roman" w:cs="Times New Roman"/>
          <w:sz w:val="24"/>
          <w:szCs w:val="24"/>
        </w:rPr>
        <w:t xml:space="preserve"> Studies on Species Diversity of Plant Associations in the U.S.A. and Northern Germany. In: </w:t>
      </w:r>
      <w:proofErr w:type="spellStart"/>
      <w:r w:rsidRPr="00631CF2">
        <w:rPr>
          <w:rFonts w:ascii="Times New Roman" w:hAnsi="Times New Roman" w:cs="Times New Roman"/>
          <w:sz w:val="24"/>
          <w:szCs w:val="24"/>
        </w:rPr>
        <w:t>Schmithüsen</w:t>
      </w:r>
      <w:proofErr w:type="spellEnd"/>
      <w:r w:rsidRPr="00631CF2">
        <w:rPr>
          <w:rFonts w:ascii="Times New Roman" w:hAnsi="Times New Roman" w:cs="Times New Roman"/>
          <w:sz w:val="24"/>
          <w:szCs w:val="24"/>
        </w:rPr>
        <w:t>, J. (eds) Landscape Ecology/</w:t>
      </w:r>
      <w:proofErr w:type="spellStart"/>
      <w:r w:rsidRPr="00631CF2">
        <w:rPr>
          <w:rFonts w:ascii="Times New Roman" w:hAnsi="Times New Roman" w:cs="Times New Roman"/>
          <w:sz w:val="24"/>
          <w:szCs w:val="24"/>
        </w:rPr>
        <w:t>Landschaftsforschung</w:t>
      </w:r>
      <w:proofErr w:type="spellEnd"/>
      <w:r w:rsidRPr="00631CF2">
        <w:rPr>
          <w:rFonts w:ascii="Times New Roman" w:hAnsi="Times New Roman" w:cs="Times New Roman"/>
          <w:sz w:val="24"/>
          <w:szCs w:val="24"/>
        </w:rPr>
        <w:t xml:space="preserve"> und </w:t>
      </w:r>
      <w:proofErr w:type="spellStart"/>
      <w:r w:rsidRPr="00631CF2">
        <w:rPr>
          <w:rFonts w:ascii="Times New Roman" w:hAnsi="Times New Roman" w:cs="Times New Roman"/>
          <w:sz w:val="24"/>
          <w:szCs w:val="24"/>
        </w:rPr>
        <w:t>Ökologie</w:t>
      </w:r>
      <w:proofErr w:type="spellEnd"/>
      <w:r w:rsidRPr="00631CF2">
        <w:rPr>
          <w:rFonts w:ascii="Times New Roman" w:hAnsi="Times New Roman" w:cs="Times New Roman"/>
          <w:sz w:val="24"/>
          <w:szCs w:val="24"/>
        </w:rPr>
        <w:t xml:space="preserve">. </w:t>
      </w:r>
      <w:proofErr w:type="spellStart"/>
      <w:r w:rsidRPr="00631CF2">
        <w:rPr>
          <w:rFonts w:ascii="Times New Roman" w:hAnsi="Times New Roman" w:cs="Times New Roman"/>
          <w:sz w:val="24"/>
          <w:szCs w:val="24"/>
        </w:rPr>
        <w:t>Biogeographica</w:t>
      </w:r>
      <w:proofErr w:type="spellEnd"/>
      <w:r w:rsidRPr="00631CF2">
        <w:rPr>
          <w:rFonts w:ascii="Times New Roman" w:hAnsi="Times New Roman" w:cs="Times New Roman"/>
          <w:sz w:val="24"/>
          <w:szCs w:val="24"/>
        </w:rPr>
        <w:t>, vol 16. Springer, Dordrecht. https://doi.org/10.1007/978-94-009-9619-9_9</w:t>
      </w:r>
    </w:p>
    <w:p w14:paraId="2371303A" w14:textId="77777777" w:rsidR="00FF3A7F"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lastRenderedPageBreak/>
        <w:t>Garay AH, Matthew, and Hodgson</w:t>
      </w:r>
      <w:r w:rsidRPr="00631CF2">
        <w:rPr>
          <w:rFonts w:ascii="Times New Roman" w:hAnsi="Times New Roman" w:cs="Times New Roman"/>
          <w:sz w:val="24"/>
          <w:szCs w:val="24"/>
        </w:rPr>
        <w:t xml:space="preserve"> (1999) Tiller size/density compensation in perennial ryegrass miniature swards subject to differing defoliation heights and a proposed productivity index: Defoliation height and tiller size/density compensation in ryegrass swards. </w:t>
      </w:r>
      <w:r w:rsidRPr="00631CF2">
        <w:rPr>
          <w:rFonts w:ascii="Times New Roman" w:hAnsi="Times New Roman" w:cs="Times New Roman"/>
          <w:i/>
          <w:iCs/>
          <w:sz w:val="24"/>
          <w:szCs w:val="24"/>
        </w:rPr>
        <w:t>Grass and Forage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54</w:t>
      </w:r>
      <w:r w:rsidRPr="00631CF2">
        <w:rPr>
          <w:rFonts w:ascii="Times New Roman" w:hAnsi="Times New Roman" w:cs="Times New Roman"/>
          <w:sz w:val="24"/>
          <w:szCs w:val="24"/>
        </w:rPr>
        <w:t>(4), 347–356. https://doi.org/10.1046/j.1365-2494.1999.00187.x.</w:t>
      </w:r>
    </w:p>
    <w:p w14:paraId="52F4777F" w14:textId="25548768" w:rsidR="00FF3A7F" w:rsidRPr="00631CF2" w:rsidRDefault="00FF3A7F"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 xml:space="preserve">Grime JP </w:t>
      </w:r>
      <w:r w:rsidRPr="00631CF2">
        <w:rPr>
          <w:rFonts w:ascii="Times New Roman" w:hAnsi="Times New Roman" w:cs="Times New Roman"/>
          <w:sz w:val="24"/>
          <w:szCs w:val="24"/>
        </w:rPr>
        <w:t>(1979) Plant Strategies and Vegetation Processes. Wiley &amp; Sons, Chichester</w:t>
      </w:r>
    </w:p>
    <w:p w14:paraId="7E63E1F6" w14:textId="77777777" w:rsidR="00173FCE" w:rsidRPr="00631CF2" w:rsidRDefault="74701AC1" w:rsidP="007F0193">
      <w:pPr>
        <w:pStyle w:val="Bibliography"/>
        <w:widowControl w:val="0"/>
        <w:spacing w:after="0" w:line="480" w:lineRule="auto"/>
        <w:ind w:left="450" w:hanging="450"/>
        <w:jc w:val="both"/>
        <w:rPr>
          <w:rFonts w:ascii="Times New Roman" w:eastAsia="Times New Roman" w:hAnsi="Times New Roman" w:cs="Times New Roman"/>
          <w:color w:val="222222"/>
          <w:sz w:val="24"/>
          <w:szCs w:val="24"/>
        </w:rPr>
      </w:pPr>
      <w:r w:rsidRPr="00631CF2">
        <w:rPr>
          <w:rFonts w:ascii="Times New Roman" w:eastAsia="Times New Roman" w:hAnsi="Times New Roman" w:cs="Times New Roman"/>
          <w:b/>
          <w:bCs/>
          <w:color w:val="222222"/>
          <w:sz w:val="24"/>
          <w:szCs w:val="24"/>
        </w:rPr>
        <w:t>Grimm V and Wissel C</w:t>
      </w:r>
      <w:r w:rsidRPr="00631CF2">
        <w:rPr>
          <w:rFonts w:ascii="Times New Roman" w:eastAsia="Times New Roman" w:hAnsi="Times New Roman" w:cs="Times New Roman"/>
          <w:color w:val="222222"/>
          <w:sz w:val="24"/>
          <w:szCs w:val="24"/>
        </w:rPr>
        <w:t xml:space="preserve"> (1997) Babel, or the ecological stability discussions: an inventory and analysis of terminology and a guide for avoiding confusion. </w:t>
      </w:r>
      <w:proofErr w:type="spellStart"/>
      <w:r w:rsidRPr="00631CF2">
        <w:rPr>
          <w:rFonts w:ascii="Times New Roman" w:eastAsia="Times New Roman" w:hAnsi="Times New Roman" w:cs="Times New Roman"/>
          <w:i/>
          <w:iCs/>
          <w:color w:val="222222"/>
          <w:sz w:val="24"/>
          <w:szCs w:val="24"/>
        </w:rPr>
        <w:t>Oecologia</w:t>
      </w:r>
      <w:proofErr w:type="spellEnd"/>
      <w:r w:rsidRPr="00631CF2">
        <w:rPr>
          <w:rFonts w:ascii="Times New Roman" w:eastAsia="Times New Roman" w:hAnsi="Times New Roman" w:cs="Times New Roman"/>
          <w:color w:val="222222"/>
          <w:sz w:val="24"/>
          <w:szCs w:val="24"/>
        </w:rPr>
        <w:t xml:space="preserve"> </w:t>
      </w:r>
      <w:r w:rsidRPr="00631CF2">
        <w:rPr>
          <w:rFonts w:ascii="Times New Roman" w:eastAsia="Times New Roman" w:hAnsi="Times New Roman" w:cs="Times New Roman"/>
          <w:b/>
          <w:bCs/>
          <w:color w:val="222222"/>
          <w:sz w:val="24"/>
          <w:szCs w:val="24"/>
        </w:rPr>
        <w:t>109</w:t>
      </w:r>
      <w:r w:rsidRPr="00631CF2">
        <w:rPr>
          <w:rFonts w:ascii="Times New Roman" w:eastAsia="Times New Roman" w:hAnsi="Times New Roman" w:cs="Times New Roman"/>
          <w:color w:val="222222"/>
          <w:sz w:val="24"/>
          <w:szCs w:val="24"/>
        </w:rPr>
        <w:t>, 323–334. https://doi.org/10.1007/s004420050090</w:t>
      </w:r>
    </w:p>
    <w:p w14:paraId="4F5E28CA" w14:textId="7F159E6C" w:rsidR="00173FCE" w:rsidRPr="00631CF2" w:rsidRDefault="00173FCE" w:rsidP="007F0193">
      <w:pPr>
        <w:pStyle w:val="Bibliography"/>
        <w:widowControl w:val="0"/>
        <w:spacing w:after="0" w:line="480" w:lineRule="auto"/>
        <w:ind w:left="450" w:hanging="450"/>
        <w:jc w:val="both"/>
        <w:rPr>
          <w:rFonts w:ascii="Times New Roman" w:eastAsia="Times New Roman" w:hAnsi="Times New Roman" w:cs="Times New Roman"/>
          <w:color w:val="222222"/>
          <w:sz w:val="24"/>
          <w:szCs w:val="24"/>
        </w:rPr>
      </w:pPr>
      <w:r w:rsidRPr="00631CF2">
        <w:rPr>
          <w:rFonts w:ascii="Times New Roman" w:hAnsi="Times New Roman" w:cs="Times New Roman"/>
          <w:b/>
          <w:bCs/>
          <w:sz w:val="24"/>
          <w:szCs w:val="24"/>
        </w:rPr>
        <w:t>Hammer Ø</w:t>
      </w:r>
      <w:r w:rsidR="004D349D" w:rsidRPr="00631CF2">
        <w:rPr>
          <w:rFonts w:ascii="Times New Roman" w:hAnsi="Times New Roman" w:cs="Times New Roman"/>
          <w:b/>
          <w:bCs/>
          <w:sz w:val="24"/>
          <w:szCs w:val="24"/>
        </w:rPr>
        <w:t>,</w:t>
      </w:r>
      <w:r w:rsidRPr="00631CF2">
        <w:rPr>
          <w:rFonts w:ascii="Times New Roman" w:hAnsi="Times New Roman" w:cs="Times New Roman"/>
          <w:b/>
          <w:bCs/>
          <w:sz w:val="24"/>
          <w:szCs w:val="24"/>
        </w:rPr>
        <w:t xml:space="preserve"> Harper DAT</w:t>
      </w:r>
      <w:r w:rsidR="004D349D" w:rsidRPr="00631CF2">
        <w:rPr>
          <w:rFonts w:ascii="Times New Roman" w:hAnsi="Times New Roman" w:cs="Times New Roman"/>
          <w:b/>
          <w:bCs/>
          <w:sz w:val="24"/>
          <w:szCs w:val="24"/>
        </w:rPr>
        <w:t xml:space="preserve"> and </w:t>
      </w:r>
      <w:r w:rsidRPr="00631CF2">
        <w:rPr>
          <w:rFonts w:ascii="Times New Roman" w:hAnsi="Times New Roman" w:cs="Times New Roman"/>
          <w:b/>
          <w:bCs/>
          <w:sz w:val="24"/>
          <w:szCs w:val="24"/>
        </w:rPr>
        <w:t>Ryan PD</w:t>
      </w:r>
      <w:r w:rsidRPr="00631CF2">
        <w:rPr>
          <w:rFonts w:ascii="Times New Roman" w:hAnsi="Times New Roman" w:cs="Times New Roman"/>
          <w:sz w:val="24"/>
          <w:szCs w:val="24"/>
        </w:rPr>
        <w:t xml:space="preserve"> (2001). PAST: Paleontological Statistics Software Package for Education and Data Analysis. </w:t>
      </w:r>
      <w:proofErr w:type="spellStart"/>
      <w:r w:rsidRPr="00631CF2">
        <w:rPr>
          <w:rFonts w:ascii="Times New Roman" w:hAnsi="Times New Roman" w:cs="Times New Roman"/>
          <w:sz w:val="24"/>
          <w:szCs w:val="24"/>
        </w:rPr>
        <w:t>Palaeontologia</w:t>
      </w:r>
      <w:proofErr w:type="spellEnd"/>
      <w:r w:rsidRPr="00631CF2">
        <w:rPr>
          <w:rFonts w:ascii="Times New Roman" w:hAnsi="Times New Roman" w:cs="Times New Roman"/>
          <w:sz w:val="24"/>
          <w:szCs w:val="24"/>
        </w:rPr>
        <w:t xml:space="preserve"> Electronica, 4, 9 p. </w:t>
      </w:r>
      <w:hyperlink r:id="rId12">
        <w:r w:rsidRPr="00631CF2">
          <w:rPr>
            <w:rStyle w:val="Hyperlink"/>
            <w:rFonts w:ascii="Times New Roman" w:hAnsi="Times New Roman" w:cs="Times New Roman"/>
            <w:sz w:val="24"/>
            <w:szCs w:val="24"/>
          </w:rPr>
          <w:t>http://palaeo-electronica.org/2001_1/past/issue1_01.htm</w:t>
        </w:r>
      </w:hyperlink>
    </w:p>
    <w:p w14:paraId="483B7143"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Infostat</w:t>
      </w:r>
      <w:proofErr w:type="spellEnd"/>
      <w:r w:rsidRPr="00631CF2">
        <w:rPr>
          <w:rFonts w:ascii="Times New Roman" w:hAnsi="Times New Roman" w:cs="Times New Roman"/>
          <w:b/>
          <w:bCs/>
          <w:sz w:val="24"/>
          <w:szCs w:val="24"/>
        </w:rPr>
        <w:t xml:space="preserve"> 2020</w:t>
      </w:r>
      <w:r w:rsidRPr="00631CF2">
        <w:rPr>
          <w:rFonts w:ascii="Times New Roman" w:hAnsi="Times New Roman" w:cs="Times New Roman"/>
          <w:sz w:val="24"/>
          <w:szCs w:val="24"/>
        </w:rPr>
        <w:t xml:space="preserve"> (n.d.) Centro de </w:t>
      </w:r>
      <w:proofErr w:type="spellStart"/>
      <w:r w:rsidRPr="00631CF2">
        <w:rPr>
          <w:rFonts w:ascii="Times New Roman" w:hAnsi="Times New Roman" w:cs="Times New Roman"/>
          <w:sz w:val="24"/>
          <w:szCs w:val="24"/>
        </w:rPr>
        <w:t>Transferencia</w:t>
      </w:r>
      <w:proofErr w:type="spellEnd"/>
      <w:r w:rsidRPr="00631CF2">
        <w:rPr>
          <w:rFonts w:ascii="Times New Roman" w:hAnsi="Times New Roman" w:cs="Times New Roman"/>
          <w:sz w:val="24"/>
          <w:szCs w:val="24"/>
        </w:rPr>
        <w:t xml:space="preserve"> </w:t>
      </w:r>
      <w:proofErr w:type="spellStart"/>
      <w:r w:rsidRPr="00631CF2">
        <w:rPr>
          <w:rFonts w:ascii="Times New Roman" w:hAnsi="Times New Roman" w:cs="Times New Roman"/>
          <w:sz w:val="24"/>
          <w:szCs w:val="24"/>
        </w:rPr>
        <w:t>InfoStat</w:t>
      </w:r>
      <w:proofErr w:type="spellEnd"/>
      <w:r w:rsidRPr="00631CF2">
        <w:rPr>
          <w:rFonts w:ascii="Times New Roman" w:hAnsi="Times New Roman" w:cs="Times New Roman"/>
          <w:sz w:val="24"/>
          <w:szCs w:val="24"/>
        </w:rPr>
        <w:t>, FCA, Universidad Nacional de Córdoba, Argentina. (Version 2020). http://www.infostat.com.ar</w:t>
      </w:r>
    </w:p>
    <w:p w14:paraId="2B74FDFE"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 xml:space="preserve">Insua JR, Agnusdei MG, Utsumi SA and </w:t>
      </w:r>
      <w:proofErr w:type="spellStart"/>
      <w:r w:rsidRPr="00631CF2">
        <w:rPr>
          <w:rFonts w:ascii="Times New Roman" w:hAnsi="Times New Roman" w:cs="Times New Roman"/>
          <w:b/>
          <w:bCs/>
          <w:sz w:val="24"/>
          <w:szCs w:val="24"/>
        </w:rPr>
        <w:t>Berone</w:t>
      </w:r>
      <w:proofErr w:type="spellEnd"/>
      <w:r w:rsidRPr="00631CF2">
        <w:rPr>
          <w:rFonts w:ascii="Times New Roman" w:hAnsi="Times New Roman" w:cs="Times New Roman"/>
          <w:b/>
          <w:bCs/>
          <w:sz w:val="24"/>
          <w:szCs w:val="24"/>
        </w:rPr>
        <w:t xml:space="preserve"> GD</w:t>
      </w:r>
      <w:r w:rsidRPr="00631CF2">
        <w:rPr>
          <w:rFonts w:ascii="Times New Roman" w:hAnsi="Times New Roman" w:cs="Times New Roman"/>
          <w:sz w:val="24"/>
          <w:szCs w:val="24"/>
        </w:rPr>
        <w:t xml:space="preserve"> (2018) Morphological, environmental and management factors affecting nutritive value of tall fescue (</w:t>
      </w:r>
      <w:r w:rsidRPr="00631CF2">
        <w:rPr>
          <w:rFonts w:ascii="Times New Roman" w:hAnsi="Times New Roman" w:cs="Times New Roman"/>
          <w:i/>
          <w:iCs/>
          <w:sz w:val="24"/>
          <w:szCs w:val="24"/>
        </w:rPr>
        <w:t xml:space="preserve">Lolium </w:t>
      </w:r>
      <w:proofErr w:type="spellStart"/>
      <w:r w:rsidRPr="00631CF2">
        <w:rPr>
          <w:rFonts w:ascii="Times New Roman" w:hAnsi="Times New Roman" w:cs="Times New Roman"/>
          <w:i/>
          <w:iCs/>
          <w:sz w:val="24"/>
          <w:szCs w:val="24"/>
        </w:rPr>
        <w:t>arundinaceum</w:t>
      </w:r>
      <w:proofErr w:type="spellEnd"/>
      <w:r w:rsidRPr="00631CF2">
        <w:rPr>
          <w:rFonts w:ascii="Times New Roman" w:hAnsi="Times New Roman" w:cs="Times New Roman"/>
          <w:sz w:val="24"/>
          <w:szCs w:val="24"/>
        </w:rPr>
        <w:t xml:space="preserve">). </w:t>
      </w:r>
      <w:r w:rsidRPr="00631CF2">
        <w:rPr>
          <w:rFonts w:ascii="Times New Roman" w:hAnsi="Times New Roman" w:cs="Times New Roman"/>
          <w:i/>
          <w:iCs/>
          <w:sz w:val="24"/>
          <w:szCs w:val="24"/>
        </w:rPr>
        <w:t>Crop and Pasture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69</w:t>
      </w:r>
      <w:r w:rsidRPr="00631CF2">
        <w:rPr>
          <w:rFonts w:ascii="Times New Roman" w:hAnsi="Times New Roman" w:cs="Times New Roman"/>
          <w:sz w:val="24"/>
          <w:szCs w:val="24"/>
        </w:rPr>
        <w:t>(11), 1165. https://doi.org/10.1071/CP18182.</w:t>
      </w:r>
    </w:p>
    <w:p w14:paraId="4240CD45"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Korte CJ</w:t>
      </w:r>
      <w:r w:rsidRPr="00631CF2">
        <w:rPr>
          <w:rFonts w:ascii="Times New Roman" w:hAnsi="Times New Roman" w:cs="Times New Roman"/>
          <w:sz w:val="24"/>
          <w:szCs w:val="24"/>
        </w:rPr>
        <w:t xml:space="preserve"> (1986) Tillering in ‘Grasslands Nui’ perennial ryegrass swards 2. Seasonal pattern of tillering and age of flowering tillers with two mowing frequencies. </w:t>
      </w:r>
      <w:r w:rsidRPr="00631CF2">
        <w:rPr>
          <w:rFonts w:ascii="Times New Roman" w:hAnsi="Times New Roman" w:cs="Times New Roman"/>
          <w:i/>
          <w:iCs/>
          <w:sz w:val="24"/>
          <w:szCs w:val="24"/>
        </w:rPr>
        <w:t>New Zealand Journal of Agricultural Research</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29</w:t>
      </w:r>
      <w:r w:rsidRPr="00631CF2">
        <w:rPr>
          <w:rFonts w:ascii="Times New Roman" w:hAnsi="Times New Roman" w:cs="Times New Roman"/>
          <w:sz w:val="24"/>
          <w:szCs w:val="24"/>
        </w:rPr>
        <w:t>(4), 629–638. https://doi.org/10.1080/00288233.1986.10430456.</w:t>
      </w:r>
    </w:p>
    <w:p w14:paraId="4B0F9B4B"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Korte CJ, Watkin BR and Harris W</w:t>
      </w:r>
      <w:r w:rsidRPr="00631CF2">
        <w:rPr>
          <w:rFonts w:ascii="Times New Roman" w:hAnsi="Times New Roman" w:cs="Times New Roman"/>
          <w:sz w:val="24"/>
          <w:szCs w:val="24"/>
        </w:rPr>
        <w:t xml:space="preserve"> (1984) Effects of the timing and intensity of spring </w:t>
      </w:r>
      <w:proofErr w:type="spellStart"/>
      <w:r w:rsidRPr="00631CF2">
        <w:rPr>
          <w:rFonts w:ascii="Times New Roman" w:hAnsi="Times New Roman" w:cs="Times New Roman"/>
          <w:sz w:val="24"/>
          <w:szCs w:val="24"/>
        </w:rPr>
        <w:t>grazings</w:t>
      </w:r>
      <w:proofErr w:type="spellEnd"/>
      <w:r w:rsidRPr="00631CF2">
        <w:rPr>
          <w:rFonts w:ascii="Times New Roman" w:hAnsi="Times New Roman" w:cs="Times New Roman"/>
          <w:sz w:val="24"/>
          <w:szCs w:val="24"/>
        </w:rPr>
        <w:t xml:space="preserve"> on reproductive development, tillering, and herbage production of perennial ryegrass dominant pasture. </w:t>
      </w:r>
      <w:r w:rsidRPr="00631CF2">
        <w:rPr>
          <w:rFonts w:ascii="Times New Roman" w:hAnsi="Times New Roman" w:cs="Times New Roman"/>
          <w:i/>
          <w:iCs/>
          <w:sz w:val="24"/>
          <w:szCs w:val="24"/>
        </w:rPr>
        <w:t>New Zealand Journal of Agricultural Research</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27</w:t>
      </w:r>
      <w:r w:rsidRPr="00631CF2">
        <w:rPr>
          <w:rFonts w:ascii="Times New Roman" w:hAnsi="Times New Roman" w:cs="Times New Roman"/>
          <w:sz w:val="24"/>
          <w:szCs w:val="24"/>
        </w:rPr>
        <w:t>(2), 135–149. https://doi.org/10.1080/00288233.1984.10430413.</w:t>
      </w:r>
    </w:p>
    <w:p w14:paraId="30C5742C"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Korte CJ, Watkin BR and Harris W</w:t>
      </w:r>
      <w:r w:rsidRPr="00631CF2">
        <w:rPr>
          <w:rFonts w:ascii="Times New Roman" w:hAnsi="Times New Roman" w:cs="Times New Roman"/>
          <w:sz w:val="24"/>
          <w:szCs w:val="24"/>
        </w:rPr>
        <w:t xml:space="preserve"> (1985) Tillering in ‘Grasslands Nui’ perennial ryegrass swards 1. Effect of cutting treatments on tiller appearance and longevity, relationship between tiller age and weight, and herbage production. </w:t>
      </w:r>
      <w:r w:rsidRPr="00631CF2">
        <w:rPr>
          <w:rFonts w:ascii="Times New Roman" w:hAnsi="Times New Roman" w:cs="Times New Roman"/>
          <w:i/>
          <w:iCs/>
          <w:sz w:val="24"/>
          <w:szCs w:val="24"/>
        </w:rPr>
        <w:t>New Zealand Journal of Agricultural Research</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28</w:t>
      </w:r>
      <w:r w:rsidRPr="00631CF2">
        <w:rPr>
          <w:rFonts w:ascii="Times New Roman" w:hAnsi="Times New Roman" w:cs="Times New Roman"/>
          <w:sz w:val="24"/>
          <w:szCs w:val="24"/>
        </w:rPr>
        <w:t>(4), 437–447. https://doi.org/10.1080/00288233.1985.10417988.</w:t>
      </w:r>
    </w:p>
    <w:p w14:paraId="107B0278" w14:textId="77777777" w:rsidR="00D63335" w:rsidRPr="00631CF2" w:rsidRDefault="00DB7230" w:rsidP="007F0193">
      <w:pPr>
        <w:widowControl w:val="0"/>
        <w:spacing w:after="0" w:line="480" w:lineRule="auto"/>
        <w:ind w:left="450" w:hanging="450"/>
        <w:jc w:val="both"/>
        <w:rPr>
          <w:rFonts w:ascii="Times New Roman" w:hAnsi="Times New Roman" w:cs="Times New Roman"/>
          <w:color w:val="222222"/>
          <w:sz w:val="24"/>
          <w:szCs w:val="24"/>
          <w:shd w:val="clear" w:color="auto" w:fill="FFFFFF"/>
        </w:rPr>
      </w:pPr>
      <w:r w:rsidRPr="00631CF2">
        <w:rPr>
          <w:rFonts w:ascii="Times New Roman" w:hAnsi="Times New Roman" w:cs="Times New Roman"/>
          <w:b/>
          <w:bCs/>
          <w:color w:val="222222"/>
          <w:sz w:val="24"/>
          <w:szCs w:val="24"/>
          <w:shd w:val="clear" w:color="auto" w:fill="FFFFFF"/>
        </w:rPr>
        <w:t>Langer RHM</w:t>
      </w:r>
      <w:r w:rsidRPr="00631CF2">
        <w:rPr>
          <w:rFonts w:ascii="Times New Roman" w:hAnsi="Times New Roman" w:cs="Times New Roman"/>
          <w:color w:val="222222"/>
          <w:sz w:val="24"/>
          <w:szCs w:val="24"/>
          <w:shd w:val="clear" w:color="auto" w:fill="FFFFFF"/>
        </w:rPr>
        <w:t xml:space="preserve"> (1963) Reinhart Hugo Michael. Tillering in herbage grasses. 141-148.</w:t>
      </w:r>
    </w:p>
    <w:p w14:paraId="008B56A4" w14:textId="1D06E338" w:rsidR="00D63335" w:rsidRPr="00631CF2" w:rsidRDefault="00D63335" w:rsidP="007F0193">
      <w:pPr>
        <w:widowControl w:val="0"/>
        <w:spacing w:after="0" w:line="480" w:lineRule="auto"/>
        <w:ind w:left="450" w:hanging="450"/>
        <w:jc w:val="both"/>
        <w:rPr>
          <w:rFonts w:ascii="Times New Roman" w:hAnsi="Times New Roman" w:cs="Times New Roman"/>
          <w:color w:val="222222"/>
          <w:sz w:val="24"/>
          <w:szCs w:val="24"/>
          <w:shd w:val="clear" w:color="auto" w:fill="FFFFFF"/>
        </w:rPr>
      </w:pPr>
      <w:r w:rsidRPr="00631CF2">
        <w:rPr>
          <w:rFonts w:ascii="Times New Roman" w:hAnsi="Times New Roman" w:cs="Times New Roman"/>
          <w:b/>
          <w:bCs/>
          <w:color w:val="222222"/>
          <w:sz w:val="24"/>
          <w:szCs w:val="24"/>
          <w:shd w:val="clear" w:color="auto" w:fill="FFFFFF"/>
        </w:rPr>
        <w:t>La Barbera M</w:t>
      </w:r>
      <w:r w:rsidRPr="00631CF2">
        <w:rPr>
          <w:rFonts w:ascii="Times New Roman" w:hAnsi="Times New Roman" w:cs="Times New Roman"/>
          <w:color w:val="222222"/>
          <w:sz w:val="24"/>
          <w:szCs w:val="24"/>
          <w:shd w:val="clear" w:color="auto" w:fill="FFFFFF"/>
        </w:rPr>
        <w:t xml:space="preserve"> (1989) </w:t>
      </w:r>
      <w:proofErr w:type="spellStart"/>
      <w:r w:rsidRPr="00631CF2">
        <w:rPr>
          <w:rFonts w:ascii="Times New Roman" w:hAnsi="Times New Roman" w:cs="Times New Roman"/>
          <w:color w:val="222222"/>
          <w:sz w:val="24"/>
          <w:szCs w:val="24"/>
          <w:shd w:val="clear" w:color="auto" w:fill="FFFFFF"/>
        </w:rPr>
        <w:t>Analyzing</w:t>
      </w:r>
      <w:proofErr w:type="spellEnd"/>
      <w:r w:rsidRPr="00631CF2">
        <w:rPr>
          <w:rFonts w:ascii="Times New Roman" w:hAnsi="Times New Roman" w:cs="Times New Roman"/>
          <w:color w:val="222222"/>
          <w:sz w:val="24"/>
          <w:szCs w:val="24"/>
          <w:shd w:val="clear" w:color="auto" w:fill="FFFFFF"/>
        </w:rPr>
        <w:t xml:space="preserve"> body size as a factor in ecology and evolution. </w:t>
      </w:r>
      <w:r w:rsidRPr="00631CF2">
        <w:rPr>
          <w:rFonts w:ascii="Times New Roman" w:hAnsi="Times New Roman" w:cs="Times New Roman"/>
          <w:i/>
          <w:iCs/>
          <w:color w:val="222222"/>
          <w:sz w:val="24"/>
          <w:szCs w:val="24"/>
          <w:shd w:val="clear" w:color="auto" w:fill="FFFFFF"/>
        </w:rPr>
        <w:t>Annual Review of Ecology and Systematics</w:t>
      </w:r>
      <w:r w:rsidRPr="00631CF2">
        <w:rPr>
          <w:rFonts w:ascii="Times New Roman" w:hAnsi="Times New Roman" w:cs="Times New Roman"/>
          <w:color w:val="222222"/>
          <w:sz w:val="24"/>
          <w:szCs w:val="24"/>
          <w:shd w:val="clear" w:color="auto" w:fill="FFFFFF"/>
        </w:rPr>
        <w:t xml:space="preserve"> </w:t>
      </w:r>
      <w:r w:rsidRPr="00631CF2">
        <w:rPr>
          <w:rFonts w:ascii="Times New Roman" w:hAnsi="Times New Roman" w:cs="Times New Roman"/>
          <w:b/>
          <w:bCs/>
          <w:color w:val="222222"/>
          <w:sz w:val="24"/>
          <w:szCs w:val="24"/>
          <w:shd w:val="clear" w:color="auto" w:fill="FFFFFF"/>
        </w:rPr>
        <w:t>20</w:t>
      </w:r>
      <w:r w:rsidR="00CD4C8E" w:rsidRPr="00631CF2">
        <w:rPr>
          <w:rFonts w:ascii="Times New Roman" w:hAnsi="Times New Roman" w:cs="Times New Roman"/>
          <w:b/>
          <w:bCs/>
          <w:color w:val="222222"/>
          <w:sz w:val="24"/>
          <w:szCs w:val="24"/>
          <w:shd w:val="clear" w:color="auto" w:fill="FFFFFF"/>
        </w:rPr>
        <w:t>,</w:t>
      </w:r>
      <w:r w:rsidRPr="00631CF2">
        <w:rPr>
          <w:rFonts w:ascii="Times New Roman" w:hAnsi="Times New Roman" w:cs="Times New Roman"/>
          <w:color w:val="222222"/>
          <w:sz w:val="24"/>
          <w:szCs w:val="24"/>
          <w:shd w:val="clear" w:color="auto" w:fill="FFFFFF"/>
        </w:rPr>
        <w:t xml:space="preserve"> 97–117.</w:t>
      </w:r>
    </w:p>
    <w:p w14:paraId="2206935A" w14:textId="5283429F"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 xml:space="preserve">Matthew C, Agnusdei M, Assuero S, Sbrissia A, </w:t>
      </w:r>
      <w:proofErr w:type="spellStart"/>
      <w:r w:rsidRPr="00631CF2">
        <w:rPr>
          <w:rFonts w:ascii="Times New Roman" w:hAnsi="Times New Roman" w:cs="Times New Roman"/>
          <w:b/>
          <w:bCs/>
          <w:sz w:val="24"/>
          <w:szCs w:val="24"/>
        </w:rPr>
        <w:t>Scheneiter</w:t>
      </w:r>
      <w:proofErr w:type="spellEnd"/>
      <w:r w:rsidRPr="00631CF2">
        <w:rPr>
          <w:rFonts w:ascii="Times New Roman" w:hAnsi="Times New Roman" w:cs="Times New Roman"/>
          <w:b/>
          <w:bCs/>
          <w:sz w:val="24"/>
          <w:szCs w:val="24"/>
        </w:rPr>
        <w:t xml:space="preserve"> O and Da Silva S</w:t>
      </w:r>
      <w:r w:rsidRPr="00631CF2">
        <w:rPr>
          <w:rFonts w:ascii="Times New Roman" w:hAnsi="Times New Roman" w:cs="Times New Roman"/>
          <w:sz w:val="24"/>
          <w:szCs w:val="24"/>
        </w:rPr>
        <w:t xml:space="preserve"> (2013) State of knowledge in tiller dynamics. In </w:t>
      </w:r>
      <w:r w:rsidRPr="00631CF2">
        <w:rPr>
          <w:rFonts w:ascii="Times New Roman" w:hAnsi="Times New Roman" w:cs="Times New Roman"/>
          <w:i/>
          <w:iCs/>
          <w:sz w:val="24"/>
          <w:szCs w:val="24"/>
        </w:rPr>
        <w:t xml:space="preserve">The XXII International Grassland </w:t>
      </w:r>
      <w:proofErr w:type="spellStart"/>
      <w:r w:rsidRPr="00631CF2">
        <w:rPr>
          <w:rFonts w:ascii="Times New Roman" w:hAnsi="Times New Roman" w:cs="Times New Roman"/>
          <w:i/>
          <w:iCs/>
          <w:sz w:val="24"/>
          <w:szCs w:val="24"/>
        </w:rPr>
        <w:t>Congr</w:t>
      </w:r>
      <w:proofErr w:type="spellEnd"/>
      <w:r w:rsidRPr="00631CF2">
        <w:rPr>
          <w:rFonts w:ascii="Times New Roman" w:hAnsi="Times New Roman" w:cs="Times New Roman"/>
          <w:i/>
          <w:iCs/>
          <w:sz w:val="24"/>
          <w:szCs w:val="24"/>
        </w:rPr>
        <w:t xml:space="preserve"> </w:t>
      </w:r>
      <w:proofErr w:type="spellStart"/>
      <w:r w:rsidRPr="00631CF2">
        <w:rPr>
          <w:rFonts w:ascii="Times New Roman" w:hAnsi="Times New Roman" w:cs="Times New Roman"/>
          <w:i/>
          <w:iCs/>
          <w:sz w:val="24"/>
          <w:szCs w:val="24"/>
        </w:rPr>
        <w:t>assland</w:t>
      </w:r>
      <w:proofErr w:type="spellEnd"/>
      <w:r w:rsidRPr="00631CF2">
        <w:rPr>
          <w:rFonts w:ascii="Times New Roman" w:hAnsi="Times New Roman" w:cs="Times New Roman"/>
          <w:i/>
          <w:iCs/>
          <w:sz w:val="24"/>
          <w:szCs w:val="24"/>
        </w:rPr>
        <w:t xml:space="preserve"> Congress (Revitalising Grasslands to Sustain Our Communities)</w:t>
      </w:r>
      <w:r w:rsidRPr="00631CF2">
        <w:rPr>
          <w:rFonts w:ascii="Times New Roman" w:hAnsi="Times New Roman" w:cs="Times New Roman"/>
          <w:sz w:val="24"/>
          <w:szCs w:val="24"/>
        </w:rPr>
        <w:t>. New South Wales Department of Primary Industry, Kite St., Orange New South Wales, Australia, 1041–1044. https://uknowledge.uky.edu/igc/22/2-1/3</w:t>
      </w:r>
    </w:p>
    <w:p w14:paraId="714FB597"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lastRenderedPageBreak/>
        <w:t>Matthew C and Hamilton S</w:t>
      </w:r>
      <w:r w:rsidRPr="00631CF2">
        <w:rPr>
          <w:rFonts w:ascii="Times New Roman" w:hAnsi="Times New Roman" w:cs="Times New Roman"/>
          <w:sz w:val="24"/>
          <w:szCs w:val="24"/>
        </w:rPr>
        <w:t xml:space="preserve"> (2011) Analysing persistence of grass swards in terms of tiller birth and death. </w:t>
      </w:r>
      <w:r w:rsidRPr="00631CF2">
        <w:rPr>
          <w:rFonts w:ascii="Times New Roman" w:hAnsi="Times New Roman" w:cs="Times New Roman"/>
          <w:i/>
          <w:iCs/>
          <w:sz w:val="24"/>
          <w:szCs w:val="24"/>
        </w:rPr>
        <w:t>NZGA: Research and Practice Series</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15</w:t>
      </w:r>
      <w:r w:rsidRPr="00631CF2">
        <w:rPr>
          <w:rFonts w:ascii="Times New Roman" w:hAnsi="Times New Roman" w:cs="Times New Roman"/>
          <w:sz w:val="24"/>
          <w:szCs w:val="24"/>
        </w:rPr>
        <w:t>, 63–68. https://doi.org/10.33584/rps.15.2011.3225.</w:t>
      </w:r>
    </w:p>
    <w:p w14:paraId="6084D3FE" w14:textId="14626A57" w:rsidR="00D0416B" w:rsidRPr="00631CF2" w:rsidRDefault="00A02177" w:rsidP="007F0193">
      <w:pPr>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M</w:t>
      </w:r>
      <w:r w:rsidR="00231304" w:rsidRPr="00631CF2">
        <w:rPr>
          <w:rFonts w:ascii="Times New Roman" w:hAnsi="Times New Roman" w:cs="Times New Roman"/>
          <w:b/>
          <w:bCs/>
          <w:sz w:val="24"/>
          <w:szCs w:val="24"/>
        </w:rPr>
        <w:t xml:space="preserve">atthew </w:t>
      </w:r>
      <w:r w:rsidR="00B7318D" w:rsidRPr="00631CF2">
        <w:rPr>
          <w:rFonts w:ascii="Times New Roman" w:hAnsi="Times New Roman" w:cs="Times New Roman"/>
          <w:b/>
          <w:bCs/>
          <w:sz w:val="24"/>
          <w:szCs w:val="24"/>
        </w:rPr>
        <w:t>C</w:t>
      </w:r>
      <w:r w:rsidR="00231304" w:rsidRPr="00631CF2">
        <w:rPr>
          <w:rFonts w:ascii="Times New Roman" w:hAnsi="Times New Roman" w:cs="Times New Roman"/>
          <w:b/>
          <w:bCs/>
          <w:sz w:val="24"/>
          <w:szCs w:val="24"/>
        </w:rPr>
        <w:t xml:space="preserve">., </w:t>
      </w:r>
      <w:r w:rsidRPr="00631CF2">
        <w:rPr>
          <w:rFonts w:ascii="Times New Roman" w:hAnsi="Times New Roman" w:cs="Times New Roman"/>
          <w:b/>
          <w:bCs/>
          <w:sz w:val="24"/>
          <w:szCs w:val="24"/>
        </w:rPr>
        <w:t>H</w:t>
      </w:r>
      <w:r w:rsidR="00231304" w:rsidRPr="00631CF2">
        <w:rPr>
          <w:rFonts w:ascii="Times New Roman" w:hAnsi="Times New Roman" w:cs="Times New Roman"/>
          <w:b/>
          <w:bCs/>
          <w:sz w:val="24"/>
          <w:szCs w:val="24"/>
        </w:rPr>
        <w:t>ernandez-</w:t>
      </w:r>
      <w:r w:rsidRPr="00631CF2">
        <w:rPr>
          <w:rFonts w:ascii="Times New Roman" w:hAnsi="Times New Roman" w:cs="Times New Roman"/>
          <w:b/>
          <w:bCs/>
          <w:sz w:val="24"/>
          <w:szCs w:val="24"/>
        </w:rPr>
        <w:t>G</w:t>
      </w:r>
      <w:r w:rsidR="00231304" w:rsidRPr="00631CF2">
        <w:rPr>
          <w:rFonts w:ascii="Times New Roman" w:hAnsi="Times New Roman" w:cs="Times New Roman"/>
          <w:b/>
          <w:bCs/>
          <w:sz w:val="24"/>
          <w:szCs w:val="24"/>
        </w:rPr>
        <w:t>aray a. and Hodgson</w:t>
      </w:r>
      <w:r w:rsidR="00406C78" w:rsidRPr="00631CF2">
        <w:rPr>
          <w:rFonts w:ascii="Times New Roman" w:hAnsi="Times New Roman" w:cs="Times New Roman"/>
          <w:b/>
          <w:bCs/>
          <w:sz w:val="24"/>
          <w:szCs w:val="24"/>
        </w:rPr>
        <w:t xml:space="preserve"> </w:t>
      </w:r>
      <w:r w:rsidR="00231304" w:rsidRPr="00631CF2">
        <w:rPr>
          <w:rFonts w:ascii="Times New Roman" w:hAnsi="Times New Roman" w:cs="Times New Roman"/>
          <w:b/>
          <w:bCs/>
          <w:sz w:val="24"/>
          <w:szCs w:val="24"/>
        </w:rPr>
        <w:t>j. (1996)</w:t>
      </w:r>
      <w:r w:rsidRPr="00631CF2">
        <w:rPr>
          <w:rFonts w:ascii="Times New Roman" w:hAnsi="Times New Roman" w:cs="Times New Roman"/>
          <w:b/>
          <w:bCs/>
          <w:sz w:val="24"/>
          <w:szCs w:val="24"/>
        </w:rPr>
        <w:t xml:space="preserve"> </w:t>
      </w:r>
      <w:r w:rsidR="00D0416B" w:rsidRPr="00631CF2">
        <w:rPr>
          <w:rFonts w:ascii="Times New Roman" w:hAnsi="Times New Roman" w:cs="Times New Roman"/>
          <w:sz w:val="24"/>
          <w:szCs w:val="24"/>
        </w:rPr>
        <w:t>Making sense of the link between tiller density and pasture production</w:t>
      </w:r>
      <w:r w:rsidR="00406C78" w:rsidRPr="00631CF2">
        <w:rPr>
          <w:rFonts w:ascii="Times New Roman" w:hAnsi="Times New Roman" w:cs="Times New Roman"/>
          <w:sz w:val="24"/>
          <w:szCs w:val="24"/>
        </w:rPr>
        <w:t xml:space="preserve">. </w:t>
      </w:r>
      <w:r w:rsidR="00406C78" w:rsidRPr="00631CF2">
        <w:rPr>
          <w:rFonts w:ascii="Times New Roman" w:hAnsi="Times New Roman" w:cs="Times New Roman"/>
          <w:i/>
          <w:iCs/>
          <w:sz w:val="24"/>
          <w:szCs w:val="24"/>
        </w:rPr>
        <w:t>Proceedings of the New Zealand Grassland Association</w:t>
      </w:r>
      <w:r w:rsidR="00406C78" w:rsidRPr="00631CF2">
        <w:rPr>
          <w:rFonts w:ascii="Times New Roman" w:hAnsi="Times New Roman" w:cs="Times New Roman"/>
          <w:sz w:val="24"/>
          <w:szCs w:val="24"/>
        </w:rPr>
        <w:t xml:space="preserve"> </w:t>
      </w:r>
      <w:r w:rsidR="00406C78" w:rsidRPr="00631CF2">
        <w:rPr>
          <w:rFonts w:ascii="Times New Roman" w:hAnsi="Times New Roman" w:cs="Times New Roman"/>
          <w:b/>
          <w:bCs/>
          <w:sz w:val="24"/>
          <w:szCs w:val="24"/>
        </w:rPr>
        <w:t>57</w:t>
      </w:r>
      <w:r w:rsidR="00CD4C8E" w:rsidRPr="00631CF2">
        <w:rPr>
          <w:rFonts w:ascii="Times New Roman" w:hAnsi="Times New Roman" w:cs="Times New Roman"/>
          <w:sz w:val="24"/>
          <w:szCs w:val="24"/>
        </w:rPr>
        <w:t>,</w:t>
      </w:r>
      <w:r w:rsidR="00406C78" w:rsidRPr="00631CF2">
        <w:rPr>
          <w:rFonts w:ascii="Times New Roman" w:hAnsi="Times New Roman" w:cs="Times New Roman"/>
          <w:sz w:val="24"/>
          <w:szCs w:val="24"/>
        </w:rPr>
        <w:t xml:space="preserve"> 83-87 </w:t>
      </w:r>
    </w:p>
    <w:p w14:paraId="19F65027"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Matthew C, Hernandez-Garay A and Hodgson J</w:t>
      </w:r>
      <w:r w:rsidRPr="00631CF2">
        <w:rPr>
          <w:rFonts w:ascii="Times New Roman" w:hAnsi="Times New Roman" w:cs="Times New Roman"/>
          <w:sz w:val="24"/>
          <w:szCs w:val="24"/>
        </w:rPr>
        <w:t xml:space="preserve"> (1995) Making sense of the link between tiller density and pasture production. </w:t>
      </w:r>
      <w:r w:rsidRPr="00631CF2">
        <w:rPr>
          <w:rFonts w:ascii="Times New Roman" w:hAnsi="Times New Roman" w:cs="Times New Roman"/>
          <w:i/>
          <w:iCs/>
          <w:sz w:val="24"/>
          <w:szCs w:val="24"/>
        </w:rPr>
        <w:t>Proceedings of the New Zealand Grassland Association</w:t>
      </w:r>
      <w:r w:rsidRPr="00631CF2">
        <w:rPr>
          <w:rFonts w:ascii="Times New Roman" w:hAnsi="Times New Roman" w:cs="Times New Roman"/>
          <w:sz w:val="24"/>
          <w:szCs w:val="24"/>
        </w:rPr>
        <w:t xml:space="preserve"> 83–87. https://doi.org/10.33584/jnzg.1995.57.2190.</w:t>
      </w:r>
    </w:p>
    <w:p w14:paraId="196DAA08"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McSteen</w:t>
      </w:r>
      <w:proofErr w:type="spellEnd"/>
      <w:r w:rsidRPr="00631CF2">
        <w:rPr>
          <w:rFonts w:ascii="Times New Roman" w:hAnsi="Times New Roman" w:cs="Times New Roman"/>
          <w:b/>
          <w:bCs/>
          <w:sz w:val="24"/>
          <w:szCs w:val="24"/>
        </w:rPr>
        <w:t xml:space="preserve"> P</w:t>
      </w:r>
      <w:r w:rsidRPr="00631CF2">
        <w:rPr>
          <w:rFonts w:ascii="Times New Roman" w:hAnsi="Times New Roman" w:cs="Times New Roman"/>
          <w:sz w:val="24"/>
          <w:szCs w:val="24"/>
        </w:rPr>
        <w:t xml:space="preserve"> (2009) Hormonal Regulation of Branching in Grasses. </w:t>
      </w:r>
      <w:r w:rsidRPr="00631CF2">
        <w:rPr>
          <w:rFonts w:ascii="Times New Roman" w:hAnsi="Times New Roman" w:cs="Times New Roman"/>
          <w:i/>
          <w:iCs/>
          <w:sz w:val="24"/>
          <w:szCs w:val="24"/>
        </w:rPr>
        <w:t>Plant Physiology</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149</w:t>
      </w:r>
      <w:r w:rsidRPr="00631CF2">
        <w:rPr>
          <w:rFonts w:ascii="Times New Roman" w:hAnsi="Times New Roman" w:cs="Times New Roman"/>
          <w:sz w:val="24"/>
          <w:szCs w:val="24"/>
        </w:rPr>
        <w:t>(1), 46–55. https://doi.org/10.1104/pp.108.129056.</w:t>
      </w:r>
    </w:p>
    <w:p w14:paraId="1F20C1C9"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Miqueloto</w:t>
      </w:r>
      <w:proofErr w:type="spellEnd"/>
      <w:r w:rsidRPr="00631CF2">
        <w:rPr>
          <w:rFonts w:ascii="Times New Roman" w:hAnsi="Times New Roman" w:cs="Times New Roman"/>
          <w:b/>
          <w:bCs/>
          <w:sz w:val="24"/>
          <w:szCs w:val="24"/>
        </w:rPr>
        <w:t xml:space="preserve"> T, Bernardon A, Winter FL and Fischer Sbrissia A</w:t>
      </w:r>
      <w:r w:rsidRPr="00631CF2">
        <w:rPr>
          <w:rFonts w:ascii="Times New Roman" w:hAnsi="Times New Roman" w:cs="Times New Roman"/>
          <w:sz w:val="24"/>
          <w:szCs w:val="24"/>
        </w:rPr>
        <w:t xml:space="preserve"> (2020a) Population Dynamics in Mixed Canopies Composed of Kikuyu-Grass and Tall Fescue. </w:t>
      </w:r>
      <w:r w:rsidRPr="00631CF2">
        <w:rPr>
          <w:rFonts w:ascii="Times New Roman" w:hAnsi="Times New Roman" w:cs="Times New Roman"/>
          <w:i/>
          <w:iCs/>
          <w:sz w:val="24"/>
          <w:szCs w:val="24"/>
        </w:rPr>
        <w:t>Agronomy</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10</w:t>
      </w:r>
      <w:r w:rsidRPr="00631CF2">
        <w:rPr>
          <w:rFonts w:ascii="Times New Roman" w:hAnsi="Times New Roman" w:cs="Times New Roman"/>
          <w:sz w:val="24"/>
          <w:szCs w:val="24"/>
        </w:rPr>
        <w:t>(5), 684. https://doi.org/10.3390/agronomy10050684.</w:t>
      </w:r>
    </w:p>
    <w:p w14:paraId="3C5E7C63" w14:textId="77777777" w:rsidR="00822A77"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Miqueloto</w:t>
      </w:r>
      <w:proofErr w:type="spellEnd"/>
      <w:r w:rsidRPr="00631CF2">
        <w:rPr>
          <w:rFonts w:ascii="Times New Roman" w:hAnsi="Times New Roman" w:cs="Times New Roman"/>
          <w:b/>
          <w:bCs/>
          <w:sz w:val="24"/>
          <w:szCs w:val="24"/>
        </w:rPr>
        <w:t xml:space="preserve"> T, Winter FL, Bernardon A, Cavalcanti HS, De Medeiros Neto C, Martins CDM and Sbrissia AF</w:t>
      </w:r>
      <w:r w:rsidRPr="00631CF2">
        <w:rPr>
          <w:rFonts w:ascii="Times New Roman" w:hAnsi="Times New Roman" w:cs="Times New Roman"/>
          <w:sz w:val="24"/>
          <w:szCs w:val="24"/>
        </w:rPr>
        <w:t xml:space="preserve"> (2020b) Canopy structure of mixed </w:t>
      </w:r>
      <w:proofErr w:type="spellStart"/>
      <w:r w:rsidRPr="00631CF2">
        <w:rPr>
          <w:rFonts w:ascii="Times New Roman" w:hAnsi="Times New Roman" w:cs="Times New Roman"/>
          <w:sz w:val="24"/>
          <w:szCs w:val="24"/>
        </w:rPr>
        <w:t>kikuyugrass</w:t>
      </w:r>
      <w:proofErr w:type="spellEnd"/>
      <w:r w:rsidRPr="00631CF2">
        <w:rPr>
          <w:rFonts w:ascii="Times New Roman" w:hAnsi="Times New Roman" w:cs="Times New Roman"/>
          <w:sz w:val="24"/>
          <w:szCs w:val="24"/>
        </w:rPr>
        <w:t xml:space="preserve">–tall fescue pastures in response to grazing management. </w:t>
      </w:r>
      <w:r w:rsidRPr="00631CF2">
        <w:rPr>
          <w:rFonts w:ascii="Times New Roman" w:hAnsi="Times New Roman" w:cs="Times New Roman"/>
          <w:i/>
          <w:iCs/>
          <w:sz w:val="24"/>
          <w:szCs w:val="24"/>
        </w:rPr>
        <w:t>Crop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60</w:t>
      </w:r>
      <w:r w:rsidRPr="00631CF2">
        <w:rPr>
          <w:rFonts w:ascii="Times New Roman" w:hAnsi="Times New Roman" w:cs="Times New Roman"/>
          <w:sz w:val="24"/>
          <w:szCs w:val="24"/>
        </w:rPr>
        <w:t>(1), 499–506. https://doi.org/10.1002/csc2.20005.</w:t>
      </w:r>
    </w:p>
    <w:p w14:paraId="5739A4CC" w14:textId="413735E7" w:rsidR="00602692" w:rsidRPr="00631CF2" w:rsidRDefault="00822A77" w:rsidP="007F0193">
      <w:pPr>
        <w:pStyle w:val="Bibliography"/>
        <w:widowControl w:val="0"/>
        <w:spacing w:after="0" w:line="480" w:lineRule="auto"/>
        <w:ind w:left="450" w:hanging="450"/>
        <w:jc w:val="both"/>
        <w:rPr>
          <w:rFonts w:ascii="Times New Roman" w:hAnsi="Times New Roman" w:cs="Times New Roman"/>
          <w:sz w:val="28"/>
          <w:szCs w:val="28"/>
        </w:rPr>
      </w:pPr>
      <w:r w:rsidRPr="00631CF2">
        <w:rPr>
          <w:rFonts w:ascii="Times New Roman" w:hAnsi="Times New Roman" w:cs="Times New Roman"/>
          <w:b/>
          <w:bCs/>
          <w:sz w:val="24"/>
          <w:szCs w:val="24"/>
        </w:rPr>
        <w:t>Muir JP, Pitman WD, and Foster</w:t>
      </w:r>
      <w:r w:rsidR="000609DC" w:rsidRPr="00631CF2">
        <w:rPr>
          <w:rFonts w:ascii="Times New Roman" w:hAnsi="Times New Roman" w:cs="Times New Roman"/>
          <w:b/>
          <w:bCs/>
          <w:sz w:val="24"/>
          <w:szCs w:val="24"/>
        </w:rPr>
        <w:t xml:space="preserve"> </w:t>
      </w:r>
      <w:r w:rsidRPr="00631CF2">
        <w:rPr>
          <w:rFonts w:ascii="Times New Roman" w:hAnsi="Times New Roman" w:cs="Times New Roman"/>
          <w:b/>
          <w:bCs/>
          <w:sz w:val="24"/>
          <w:szCs w:val="24"/>
        </w:rPr>
        <w:t>JL</w:t>
      </w:r>
      <w:r w:rsidRPr="00631CF2">
        <w:rPr>
          <w:rFonts w:ascii="Times New Roman" w:hAnsi="Times New Roman" w:cs="Times New Roman"/>
          <w:sz w:val="24"/>
          <w:szCs w:val="24"/>
        </w:rPr>
        <w:t xml:space="preserve"> (2011) Sustainable, low-input, warm-season, grass–legume grassland mixtures: mission (nearly) </w:t>
      </w:r>
      <w:proofErr w:type="gramStart"/>
      <w:r w:rsidRPr="00631CF2">
        <w:rPr>
          <w:rFonts w:ascii="Times New Roman" w:hAnsi="Times New Roman" w:cs="Times New Roman"/>
          <w:sz w:val="24"/>
          <w:szCs w:val="24"/>
        </w:rPr>
        <w:t>impossible</w:t>
      </w:r>
      <w:r w:rsidRPr="00631CF2">
        <w:rPr>
          <w:rFonts w:ascii="Times New Roman" w:hAnsi="Times New Roman" w:cs="Times New Roman"/>
          <w:i/>
          <w:iCs/>
          <w:sz w:val="24"/>
          <w:szCs w:val="24"/>
        </w:rPr>
        <w:t>?.</w:t>
      </w:r>
      <w:proofErr w:type="gramEnd"/>
      <w:r w:rsidRPr="00631CF2">
        <w:rPr>
          <w:rFonts w:ascii="Times New Roman" w:hAnsi="Times New Roman" w:cs="Times New Roman"/>
          <w:i/>
          <w:iCs/>
          <w:sz w:val="24"/>
          <w:szCs w:val="24"/>
        </w:rPr>
        <w:t xml:space="preserve"> Grass and Forage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66</w:t>
      </w:r>
      <w:r w:rsidRPr="00631CF2">
        <w:rPr>
          <w:rFonts w:ascii="Times New Roman" w:hAnsi="Times New Roman" w:cs="Times New Roman"/>
          <w:sz w:val="24"/>
          <w:szCs w:val="24"/>
        </w:rPr>
        <w:t>: 301-315. </w:t>
      </w:r>
      <w:hyperlink r:id="rId13">
        <w:r w:rsidRPr="00631CF2">
          <w:rPr>
            <w:rStyle w:val="Hyperlink"/>
            <w:rFonts w:ascii="Times New Roman" w:hAnsi="Times New Roman" w:cs="Times New Roman"/>
            <w:sz w:val="24"/>
            <w:szCs w:val="24"/>
          </w:rPr>
          <w:t>https://doi.org/10.1111/j.1365-2494.2011.00806.x</w:t>
        </w:r>
      </w:hyperlink>
    </w:p>
    <w:p w14:paraId="752554C0" w14:textId="68B67C8E"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Ott J and Harnett D</w:t>
      </w:r>
      <w:r w:rsidRPr="00631CF2">
        <w:rPr>
          <w:rFonts w:ascii="Times New Roman" w:hAnsi="Times New Roman" w:cs="Times New Roman"/>
          <w:sz w:val="24"/>
          <w:szCs w:val="24"/>
        </w:rPr>
        <w:t xml:space="preserve"> (2015) Vegetative Reproduction and Bud Bank Dynamics of the Perennial Grass Andropogon gerardii in </w:t>
      </w:r>
      <w:proofErr w:type="spellStart"/>
      <w:r w:rsidRPr="00631CF2">
        <w:rPr>
          <w:rFonts w:ascii="Times New Roman" w:hAnsi="Times New Roman" w:cs="Times New Roman"/>
          <w:sz w:val="24"/>
          <w:szCs w:val="24"/>
        </w:rPr>
        <w:t>Mixedgrass</w:t>
      </w:r>
      <w:proofErr w:type="spellEnd"/>
      <w:r w:rsidRPr="00631CF2">
        <w:rPr>
          <w:rFonts w:ascii="Times New Roman" w:hAnsi="Times New Roman" w:cs="Times New Roman"/>
          <w:sz w:val="24"/>
          <w:szCs w:val="24"/>
        </w:rPr>
        <w:t xml:space="preserve"> and Tallgrass Prairie. </w:t>
      </w:r>
      <w:r w:rsidRPr="00631CF2">
        <w:rPr>
          <w:rFonts w:ascii="Times New Roman" w:hAnsi="Times New Roman" w:cs="Times New Roman"/>
          <w:i/>
          <w:iCs/>
          <w:sz w:val="24"/>
          <w:szCs w:val="24"/>
        </w:rPr>
        <w:t>The American Midland Naturalist</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174</w:t>
      </w:r>
      <w:r w:rsidRPr="00631CF2">
        <w:rPr>
          <w:rFonts w:ascii="Times New Roman" w:hAnsi="Times New Roman" w:cs="Times New Roman"/>
          <w:sz w:val="24"/>
          <w:szCs w:val="24"/>
        </w:rPr>
        <w:t>, 14–32.</w:t>
      </w:r>
    </w:p>
    <w:p w14:paraId="34314A41"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Parsons AJ, Harvey A and Johnson IR</w:t>
      </w:r>
      <w:r w:rsidRPr="00631CF2">
        <w:rPr>
          <w:rFonts w:ascii="Times New Roman" w:hAnsi="Times New Roman" w:cs="Times New Roman"/>
          <w:sz w:val="24"/>
          <w:szCs w:val="24"/>
        </w:rPr>
        <w:t xml:space="preserve"> (1991) Plant-Animal Interactions in a Continuously Grazed Mixture. II. The Role of Differences in the Physiology of Plant Growth and of Selective Grazing on the Performance and Stability of Species in a Mixture. </w:t>
      </w:r>
      <w:r w:rsidRPr="00631CF2">
        <w:rPr>
          <w:rFonts w:ascii="Times New Roman" w:hAnsi="Times New Roman" w:cs="Times New Roman"/>
          <w:i/>
          <w:iCs/>
          <w:sz w:val="24"/>
          <w:szCs w:val="24"/>
        </w:rPr>
        <w:t>The Journal of Applied Ecology</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28</w:t>
      </w:r>
      <w:r w:rsidRPr="00631CF2">
        <w:rPr>
          <w:rFonts w:ascii="Times New Roman" w:hAnsi="Times New Roman" w:cs="Times New Roman"/>
          <w:sz w:val="24"/>
          <w:szCs w:val="24"/>
        </w:rPr>
        <w:t>(2), 635. https://doi.org/10.2307/2404573.</w:t>
      </w:r>
    </w:p>
    <w:p w14:paraId="61FA66DE"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Pasari</w:t>
      </w:r>
      <w:proofErr w:type="spellEnd"/>
      <w:r w:rsidRPr="00631CF2">
        <w:rPr>
          <w:rFonts w:ascii="Times New Roman" w:hAnsi="Times New Roman" w:cs="Times New Roman"/>
          <w:b/>
          <w:bCs/>
          <w:sz w:val="24"/>
          <w:szCs w:val="24"/>
        </w:rPr>
        <w:t xml:space="preserve"> JR, Levi T, Zavaleta ES and Tilman D</w:t>
      </w:r>
      <w:r w:rsidRPr="00631CF2">
        <w:rPr>
          <w:rFonts w:ascii="Times New Roman" w:hAnsi="Times New Roman" w:cs="Times New Roman"/>
          <w:sz w:val="24"/>
          <w:szCs w:val="24"/>
        </w:rPr>
        <w:t xml:space="preserve"> (2013) Several scales of biodiversity affect ecosystem multifunctionality. </w:t>
      </w:r>
      <w:r w:rsidRPr="00631CF2">
        <w:rPr>
          <w:rFonts w:ascii="Times New Roman" w:hAnsi="Times New Roman" w:cs="Times New Roman"/>
          <w:i/>
          <w:iCs/>
          <w:sz w:val="24"/>
          <w:szCs w:val="24"/>
        </w:rPr>
        <w:t>Proceedings of the National Academy of Sciences</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110</w:t>
      </w:r>
      <w:r w:rsidRPr="00631CF2">
        <w:rPr>
          <w:rFonts w:ascii="Times New Roman" w:hAnsi="Times New Roman" w:cs="Times New Roman"/>
          <w:sz w:val="24"/>
          <w:szCs w:val="24"/>
        </w:rPr>
        <w:t>(25), 10219–10222. https://doi.org/10.1073/pnas.1220333110.</w:t>
      </w:r>
    </w:p>
    <w:p w14:paraId="5E4948E2"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Pembleton KG, Tozer KN, Edwards GR, Jacobs JL and Turner LR</w:t>
      </w:r>
      <w:r w:rsidRPr="00631CF2">
        <w:rPr>
          <w:rFonts w:ascii="Times New Roman" w:hAnsi="Times New Roman" w:cs="Times New Roman"/>
          <w:sz w:val="24"/>
          <w:szCs w:val="24"/>
        </w:rPr>
        <w:t xml:space="preserve"> (2015) Simple versus diverse pastures: opportunities and challenges in dairy systems. </w:t>
      </w:r>
      <w:r w:rsidRPr="00631CF2">
        <w:rPr>
          <w:rFonts w:ascii="Times New Roman" w:hAnsi="Times New Roman" w:cs="Times New Roman"/>
          <w:i/>
          <w:iCs/>
          <w:sz w:val="24"/>
          <w:szCs w:val="24"/>
        </w:rPr>
        <w:t>Animal Production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55</w:t>
      </w:r>
      <w:r w:rsidRPr="00631CF2">
        <w:rPr>
          <w:rFonts w:ascii="Times New Roman" w:hAnsi="Times New Roman" w:cs="Times New Roman"/>
          <w:sz w:val="24"/>
          <w:szCs w:val="24"/>
        </w:rPr>
        <w:t>(7), 893. https://doi.org/10.1071/AN14816.</w:t>
      </w:r>
    </w:p>
    <w:p w14:paraId="00FF7651" w14:textId="35589FD0" w:rsidR="000F6FE2" w:rsidRPr="00631CF2" w:rsidRDefault="00357477" w:rsidP="007F0193">
      <w:pPr>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Santos HG</w:t>
      </w:r>
      <w:r w:rsidR="007C3FFA" w:rsidRPr="00631CF2">
        <w:rPr>
          <w:rFonts w:ascii="Times New Roman" w:hAnsi="Times New Roman" w:cs="Times New Roman"/>
          <w:b/>
          <w:bCs/>
          <w:sz w:val="24"/>
          <w:szCs w:val="24"/>
        </w:rPr>
        <w:t>,</w:t>
      </w:r>
      <w:r w:rsidRPr="00631CF2">
        <w:rPr>
          <w:rFonts w:ascii="Times New Roman" w:hAnsi="Times New Roman" w:cs="Times New Roman"/>
          <w:b/>
          <w:bCs/>
          <w:sz w:val="24"/>
          <w:szCs w:val="24"/>
        </w:rPr>
        <w:t xml:space="preserve"> </w:t>
      </w:r>
      <w:r w:rsidR="009E5E04" w:rsidRPr="00631CF2">
        <w:rPr>
          <w:rFonts w:ascii="Times New Roman" w:hAnsi="Times New Roman" w:cs="Times New Roman"/>
          <w:b/>
          <w:bCs/>
          <w:sz w:val="24"/>
          <w:szCs w:val="24"/>
        </w:rPr>
        <w:t>J</w:t>
      </w:r>
      <w:r w:rsidRPr="00631CF2">
        <w:rPr>
          <w:rFonts w:ascii="Times New Roman" w:hAnsi="Times New Roman" w:cs="Times New Roman"/>
          <w:b/>
          <w:bCs/>
          <w:sz w:val="24"/>
          <w:szCs w:val="24"/>
        </w:rPr>
        <w:t>acomine</w:t>
      </w:r>
      <w:r w:rsidR="009E5E04" w:rsidRPr="00631CF2">
        <w:rPr>
          <w:rFonts w:ascii="Times New Roman" w:hAnsi="Times New Roman" w:cs="Times New Roman"/>
          <w:b/>
          <w:bCs/>
          <w:sz w:val="24"/>
          <w:szCs w:val="24"/>
        </w:rPr>
        <w:t xml:space="preserve"> PKT</w:t>
      </w:r>
      <w:r w:rsidR="007C3FFA" w:rsidRPr="00631CF2">
        <w:rPr>
          <w:rFonts w:ascii="Times New Roman" w:hAnsi="Times New Roman" w:cs="Times New Roman"/>
          <w:b/>
          <w:bCs/>
          <w:sz w:val="24"/>
          <w:szCs w:val="24"/>
        </w:rPr>
        <w:t>,</w:t>
      </w:r>
      <w:r w:rsidRPr="00631CF2">
        <w:rPr>
          <w:rFonts w:ascii="Times New Roman" w:hAnsi="Times New Roman" w:cs="Times New Roman"/>
          <w:b/>
          <w:bCs/>
          <w:sz w:val="24"/>
          <w:szCs w:val="24"/>
        </w:rPr>
        <w:t xml:space="preserve"> </w:t>
      </w:r>
      <w:r w:rsidR="009E5E04" w:rsidRPr="00631CF2">
        <w:rPr>
          <w:rFonts w:ascii="Times New Roman" w:hAnsi="Times New Roman" w:cs="Times New Roman"/>
          <w:b/>
          <w:bCs/>
          <w:sz w:val="24"/>
          <w:szCs w:val="24"/>
        </w:rPr>
        <w:t>A</w:t>
      </w:r>
      <w:r w:rsidRPr="00631CF2">
        <w:rPr>
          <w:rFonts w:ascii="Times New Roman" w:hAnsi="Times New Roman" w:cs="Times New Roman"/>
          <w:b/>
          <w:bCs/>
          <w:sz w:val="24"/>
          <w:szCs w:val="24"/>
        </w:rPr>
        <w:t xml:space="preserve">njos </w:t>
      </w:r>
      <w:r w:rsidR="009E5E04" w:rsidRPr="00631CF2">
        <w:rPr>
          <w:rFonts w:ascii="Times New Roman" w:hAnsi="Times New Roman" w:cs="Times New Roman"/>
          <w:b/>
          <w:bCs/>
          <w:sz w:val="24"/>
          <w:szCs w:val="24"/>
        </w:rPr>
        <w:t>LHC</w:t>
      </w:r>
      <w:r w:rsidR="007C3FFA" w:rsidRPr="00631CF2">
        <w:rPr>
          <w:rFonts w:ascii="Times New Roman" w:hAnsi="Times New Roman" w:cs="Times New Roman"/>
          <w:b/>
          <w:bCs/>
          <w:sz w:val="24"/>
          <w:szCs w:val="24"/>
        </w:rPr>
        <w:t>,</w:t>
      </w:r>
      <w:r w:rsidRPr="00631CF2">
        <w:rPr>
          <w:rFonts w:ascii="Times New Roman" w:hAnsi="Times New Roman" w:cs="Times New Roman"/>
          <w:b/>
          <w:bCs/>
          <w:sz w:val="24"/>
          <w:szCs w:val="24"/>
        </w:rPr>
        <w:t xml:space="preserve"> </w:t>
      </w:r>
      <w:r w:rsidR="007C3FFA" w:rsidRPr="00631CF2">
        <w:rPr>
          <w:rFonts w:ascii="Times New Roman" w:hAnsi="Times New Roman" w:cs="Times New Roman"/>
          <w:b/>
          <w:bCs/>
          <w:sz w:val="24"/>
          <w:szCs w:val="24"/>
        </w:rPr>
        <w:t>O</w:t>
      </w:r>
      <w:r w:rsidRPr="00631CF2">
        <w:rPr>
          <w:rFonts w:ascii="Times New Roman" w:hAnsi="Times New Roman" w:cs="Times New Roman"/>
          <w:b/>
          <w:bCs/>
          <w:sz w:val="24"/>
          <w:szCs w:val="24"/>
        </w:rPr>
        <w:t xml:space="preserve">liveira </w:t>
      </w:r>
      <w:r w:rsidR="007C3FFA" w:rsidRPr="00631CF2">
        <w:rPr>
          <w:rFonts w:ascii="Times New Roman" w:hAnsi="Times New Roman" w:cs="Times New Roman"/>
          <w:b/>
          <w:bCs/>
          <w:sz w:val="24"/>
          <w:szCs w:val="24"/>
        </w:rPr>
        <w:t>VA,</w:t>
      </w:r>
      <w:r w:rsidRPr="00631CF2">
        <w:rPr>
          <w:rFonts w:ascii="Times New Roman" w:hAnsi="Times New Roman" w:cs="Times New Roman"/>
          <w:b/>
          <w:bCs/>
          <w:sz w:val="24"/>
          <w:szCs w:val="24"/>
        </w:rPr>
        <w:t xml:space="preserve"> </w:t>
      </w:r>
      <w:r w:rsidR="007C3FFA" w:rsidRPr="00631CF2">
        <w:rPr>
          <w:rFonts w:ascii="Times New Roman" w:hAnsi="Times New Roman" w:cs="Times New Roman"/>
          <w:b/>
          <w:bCs/>
          <w:sz w:val="24"/>
          <w:szCs w:val="24"/>
        </w:rPr>
        <w:t>L</w:t>
      </w:r>
      <w:r w:rsidRPr="00631CF2">
        <w:rPr>
          <w:rFonts w:ascii="Times New Roman" w:hAnsi="Times New Roman" w:cs="Times New Roman"/>
          <w:b/>
          <w:bCs/>
          <w:sz w:val="24"/>
          <w:szCs w:val="24"/>
        </w:rPr>
        <w:t>umbreras</w:t>
      </w:r>
      <w:r w:rsidR="007C3FFA" w:rsidRPr="00631CF2">
        <w:rPr>
          <w:rFonts w:ascii="Times New Roman" w:hAnsi="Times New Roman" w:cs="Times New Roman"/>
          <w:b/>
          <w:bCs/>
          <w:sz w:val="24"/>
          <w:szCs w:val="24"/>
        </w:rPr>
        <w:t xml:space="preserve"> JF</w:t>
      </w:r>
      <w:r w:rsidR="00F64FFD" w:rsidRPr="00631CF2">
        <w:rPr>
          <w:rFonts w:ascii="Times New Roman" w:hAnsi="Times New Roman" w:cs="Times New Roman"/>
          <w:b/>
          <w:bCs/>
          <w:sz w:val="24"/>
          <w:szCs w:val="24"/>
        </w:rPr>
        <w:t>,</w:t>
      </w:r>
      <w:r w:rsidRPr="00631CF2">
        <w:rPr>
          <w:rFonts w:ascii="Times New Roman" w:hAnsi="Times New Roman" w:cs="Times New Roman"/>
          <w:b/>
          <w:bCs/>
          <w:sz w:val="24"/>
          <w:szCs w:val="24"/>
        </w:rPr>
        <w:t xml:space="preserve"> </w:t>
      </w:r>
      <w:proofErr w:type="spellStart"/>
      <w:r w:rsidR="00F64FFD" w:rsidRPr="00631CF2">
        <w:rPr>
          <w:rFonts w:ascii="Times New Roman" w:hAnsi="Times New Roman" w:cs="Times New Roman"/>
          <w:b/>
          <w:bCs/>
          <w:sz w:val="24"/>
          <w:szCs w:val="24"/>
        </w:rPr>
        <w:t>C</w:t>
      </w:r>
      <w:r w:rsidRPr="00631CF2">
        <w:rPr>
          <w:rFonts w:ascii="Times New Roman" w:hAnsi="Times New Roman" w:cs="Times New Roman"/>
          <w:b/>
          <w:bCs/>
          <w:sz w:val="24"/>
          <w:szCs w:val="24"/>
        </w:rPr>
        <w:t>oelho</w:t>
      </w:r>
      <w:r w:rsidR="00F64FFD" w:rsidRPr="00631CF2">
        <w:rPr>
          <w:rFonts w:ascii="Times New Roman" w:hAnsi="Times New Roman" w:cs="Times New Roman"/>
          <w:b/>
          <w:bCs/>
          <w:sz w:val="24"/>
          <w:szCs w:val="24"/>
        </w:rPr>
        <w:t>MR</w:t>
      </w:r>
      <w:proofErr w:type="spellEnd"/>
      <w:r w:rsidR="00F64FFD" w:rsidRPr="00631CF2">
        <w:rPr>
          <w:rFonts w:ascii="Times New Roman" w:hAnsi="Times New Roman" w:cs="Times New Roman"/>
          <w:b/>
          <w:bCs/>
          <w:sz w:val="24"/>
          <w:szCs w:val="24"/>
        </w:rPr>
        <w:t>,</w:t>
      </w:r>
      <w:r w:rsidRPr="00631CF2">
        <w:rPr>
          <w:rFonts w:ascii="Times New Roman" w:hAnsi="Times New Roman" w:cs="Times New Roman"/>
          <w:b/>
          <w:bCs/>
          <w:sz w:val="24"/>
          <w:szCs w:val="24"/>
        </w:rPr>
        <w:t xml:space="preserve"> </w:t>
      </w:r>
      <w:r w:rsidR="00F64FFD" w:rsidRPr="00631CF2">
        <w:rPr>
          <w:rFonts w:ascii="Times New Roman" w:hAnsi="Times New Roman" w:cs="Times New Roman"/>
          <w:b/>
          <w:bCs/>
          <w:sz w:val="24"/>
          <w:szCs w:val="24"/>
        </w:rPr>
        <w:t>A</w:t>
      </w:r>
      <w:r w:rsidRPr="00631CF2">
        <w:rPr>
          <w:rFonts w:ascii="Times New Roman" w:hAnsi="Times New Roman" w:cs="Times New Roman"/>
          <w:b/>
          <w:bCs/>
          <w:sz w:val="24"/>
          <w:szCs w:val="24"/>
        </w:rPr>
        <w:t>lmeida</w:t>
      </w:r>
      <w:r w:rsidR="00F64FFD" w:rsidRPr="00631CF2">
        <w:rPr>
          <w:rFonts w:ascii="Times New Roman" w:hAnsi="Times New Roman" w:cs="Times New Roman"/>
          <w:b/>
          <w:bCs/>
          <w:sz w:val="24"/>
          <w:szCs w:val="24"/>
        </w:rPr>
        <w:t xml:space="preserve"> JÁ, A</w:t>
      </w:r>
      <w:r w:rsidRPr="00631CF2">
        <w:rPr>
          <w:rFonts w:ascii="Times New Roman" w:hAnsi="Times New Roman" w:cs="Times New Roman"/>
          <w:b/>
          <w:bCs/>
          <w:sz w:val="24"/>
          <w:szCs w:val="24"/>
        </w:rPr>
        <w:t xml:space="preserve">raujo </w:t>
      </w:r>
      <w:proofErr w:type="spellStart"/>
      <w:r w:rsidRPr="00631CF2">
        <w:rPr>
          <w:rFonts w:ascii="Times New Roman" w:hAnsi="Times New Roman" w:cs="Times New Roman"/>
          <w:b/>
          <w:bCs/>
          <w:sz w:val="24"/>
          <w:szCs w:val="24"/>
        </w:rPr>
        <w:t>filho</w:t>
      </w:r>
      <w:proofErr w:type="spellEnd"/>
      <w:r w:rsidR="00F64FFD" w:rsidRPr="00631CF2">
        <w:rPr>
          <w:rFonts w:ascii="Times New Roman" w:hAnsi="Times New Roman" w:cs="Times New Roman"/>
          <w:b/>
          <w:bCs/>
          <w:sz w:val="24"/>
          <w:szCs w:val="24"/>
        </w:rPr>
        <w:t xml:space="preserve"> JC, O</w:t>
      </w:r>
      <w:r w:rsidRPr="00631CF2">
        <w:rPr>
          <w:rFonts w:ascii="Times New Roman" w:hAnsi="Times New Roman" w:cs="Times New Roman"/>
          <w:b/>
          <w:bCs/>
          <w:sz w:val="24"/>
          <w:szCs w:val="24"/>
        </w:rPr>
        <w:t>liveira</w:t>
      </w:r>
      <w:r w:rsidR="00F64FFD" w:rsidRPr="00631CF2">
        <w:rPr>
          <w:rFonts w:ascii="Times New Roman" w:hAnsi="Times New Roman" w:cs="Times New Roman"/>
          <w:b/>
          <w:bCs/>
          <w:sz w:val="24"/>
          <w:szCs w:val="24"/>
        </w:rPr>
        <w:t xml:space="preserve"> JB,</w:t>
      </w:r>
      <w:r w:rsidRPr="00631CF2">
        <w:rPr>
          <w:rFonts w:ascii="Times New Roman" w:hAnsi="Times New Roman" w:cs="Times New Roman"/>
          <w:b/>
          <w:bCs/>
          <w:sz w:val="24"/>
          <w:szCs w:val="24"/>
        </w:rPr>
        <w:t xml:space="preserve"> </w:t>
      </w:r>
      <w:r w:rsidR="00F64FFD" w:rsidRPr="00631CF2">
        <w:rPr>
          <w:rFonts w:ascii="Times New Roman" w:hAnsi="Times New Roman" w:cs="Times New Roman"/>
          <w:b/>
          <w:bCs/>
          <w:sz w:val="24"/>
          <w:szCs w:val="24"/>
        </w:rPr>
        <w:t>C</w:t>
      </w:r>
      <w:r w:rsidRPr="00631CF2">
        <w:rPr>
          <w:rFonts w:ascii="Times New Roman" w:hAnsi="Times New Roman" w:cs="Times New Roman"/>
          <w:b/>
          <w:bCs/>
          <w:sz w:val="24"/>
          <w:szCs w:val="24"/>
        </w:rPr>
        <w:t xml:space="preserve">unha </w:t>
      </w:r>
      <w:r w:rsidR="00F64FFD" w:rsidRPr="00631CF2">
        <w:rPr>
          <w:rFonts w:ascii="Times New Roman" w:hAnsi="Times New Roman" w:cs="Times New Roman"/>
          <w:b/>
          <w:bCs/>
          <w:sz w:val="24"/>
          <w:szCs w:val="24"/>
        </w:rPr>
        <w:t>TJF</w:t>
      </w:r>
      <w:r w:rsidR="00F64FFD" w:rsidRPr="00631CF2">
        <w:rPr>
          <w:rFonts w:ascii="Times New Roman" w:hAnsi="Times New Roman" w:cs="Times New Roman"/>
          <w:sz w:val="24"/>
          <w:szCs w:val="24"/>
        </w:rPr>
        <w:t xml:space="preserve"> (</w:t>
      </w:r>
      <w:r w:rsidR="00A309F0" w:rsidRPr="00631CF2">
        <w:rPr>
          <w:rFonts w:ascii="Times New Roman" w:hAnsi="Times New Roman" w:cs="Times New Roman"/>
          <w:sz w:val="24"/>
          <w:szCs w:val="24"/>
        </w:rPr>
        <w:t>2018</w:t>
      </w:r>
      <w:r w:rsidR="00F64FFD" w:rsidRPr="00631CF2">
        <w:rPr>
          <w:rFonts w:ascii="Times New Roman" w:hAnsi="Times New Roman" w:cs="Times New Roman"/>
          <w:sz w:val="24"/>
          <w:szCs w:val="24"/>
        </w:rPr>
        <w:t>)</w:t>
      </w:r>
      <w:r w:rsidRPr="00631CF2">
        <w:rPr>
          <w:rFonts w:ascii="Times New Roman" w:hAnsi="Times New Roman" w:cs="Times New Roman"/>
          <w:sz w:val="24"/>
          <w:szCs w:val="24"/>
        </w:rPr>
        <w:t xml:space="preserve"> Sistema Brasileiro de </w:t>
      </w:r>
      <w:proofErr w:type="spellStart"/>
      <w:r w:rsidRPr="00631CF2">
        <w:rPr>
          <w:rFonts w:ascii="Times New Roman" w:hAnsi="Times New Roman" w:cs="Times New Roman"/>
          <w:sz w:val="24"/>
          <w:szCs w:val="24"/>
        </w:rPr>
        <w:t>Classificação</w:t>
      </w:r>
      <w:proofErr w:type="spellEnd"/>
      <w:r w:rsidRPr="00631CF2">
        <w:rPr>
          <w:rFonts w:ascii="Times New Roman" w:hAnsi="Times New Roman" w:cs="Times New Roman"/>
          <w:sz w:val="24"/>
          <w:szCs w:val="24"/>
        </w:rPr>
        <w:t xml:space="preserve"> de Solos. 5. ed. rev. e </w:t>
      </w:r>
      <w:proofErr w:type="spellStart"/>
      <w:r w:rsidRPr="00631CF2">
        <w:rPr>
          <w:rFonts w:ascii="Times New Roman" w:hAnsi="Times New Roman" w:cs="Times New Roman"/>
          <w:sz w:val="24"/>
          <w:szCs w:val="24"/>
        </w:rPr>
        <w:t>ampl</w:t>
      </w:r>
      <w:proofErr w:type="spellEnd"/>
      <w:r w:rsidRPr="00631CF2">
        <w:rPr>
          <w:rFonts w:ascii="Times New Roman" w:hAnsi="Times New Roman" w:cs="Times New Roman"/>
          <w:sz w:val="24"/>
          <w:szCs w:val="24"/>
        </w:rPr>
        <w:t xml:space="preserve">. Brasília, DF: </w:t>
      </w:r>
      <w:proofErr w:type="spellStart"/>
      <w:r w:rsidRPr="00631CF2">
        <w:rPr>
          <w:rFonts w:ascii="Times New Roman" w:hAnsi="Times New Roman" w:cs="Times New Roman"/>
          <w:sz w:val="24"/>
          <w:szCs w:val="24"/>
        </w:rPr>
        <w:t>Embrapa</w:t>
      </w:r>
      <w:proofErr w:type="spellEnd"/>
      <w:r w:rsidRPr="00631CF2">
        <w:rPr>
          <w:rFonts w:ascii="Times New Roman" w:hAnsi="Times New Roman" w:cs="Times New Roman"/>
          <w:sz w:val="24"/>
          <w:szCs w:val="24"/>
        </w:rPr>
        <w:t xml:space="preserve">, 2018. </w:t>
      </w:r>
      <w:proofErr w:type="spellStart"/>
      <w:r w:rsidRPr="00631CF2">
        <w:rPr>
          <w:rFonts w:ascii="Times New Roman" w:hAnsi="Times New Roman" w:cs="Times New Roman"/>
          <w:sz w:val="24"/>
          <w:szCs w:val="24"/>
        </w:rPr>
        <w:t>Embrapa</w:t>
      </w:r>
      <w:proofErr w:type="spellEnd"/>
      <w:r w:rsidRPr="00631CF2">
        <w:rPr>
          <w:rFonts w:ascii="Times New Roman" w:hAnsi="Times New Roman" w:cs="Times New Roman"/>
          <w:sz w:val="24"/>
          <w:szCs w:val="24"/>
        </w:rPr>
        <w:t xml:space="preserve"> </w:t>
      </w:r>
      <w:proofErr w:type="spellStart"/>
      <w:r w:rsidRPr="00631CF2">
        <w:rPr>
          <w:rFonts w:ascii="Times New Roman" w:hAnsi="Times New Roman" w:cs="Times New Roman"/>
          <w:sz w:val="24"/>
          <w:szCs w:val="24"/>
        </w:rPr>
        <w:t>Semiárido</w:t>
      </w:r>
      <w:proofErr w:type="spellEnd"/>
      <w:r w:rsidR="00A309F0" w:rsidRPr="00631CF2">
        <w:rPr>
          <w:rFonts w:ascii="Times New Roman" w:hAnsi="Times New Roman" w:cs="Times New Roman"/>
          <w:sz w:val="24"/>
          <w:szCs w:val="24"/>
        </w:rPr>
        <w:t>.</w:t>
      </w:r>
      <w:r w:rsidRPr="00631CF2">
        <w:rPr>
          <w:rFonts w:ascii="Times New Roman" w:hAnsi="Times New Roman" w:cs="Times New Roman"/>
          <w:sz w:val="24"/>
          <w:szCs w:val="24"/>
        </w:rPr>
        <w:t xml:space="preserve"> </w:t>
      </w:r>
      <w:proofErr w:type="spellStart"/>
      <w:r w:rsidRPr="00631CF2">
        <w:rPr>
          <w:rFonts w:ascii="Times New Roman" w:hAnsi="Times New Roman" w:cs="Times New Roman"/>
          <w:sz w:val="24"/>
          <w:szCs w:val="24"/>
        </w:rPr>
        <w:t>Embrapa</w:t>
      </w:r>
      <w:proofErr w:type="spellEnd"/>
      <w:r w:rsidRPr="00631CF2">
        <w:rPr>
          <w:rFonts w:ascii="Times New Roman" w:hAnsi="Times New Roman" w:cs="Times New Roman"/>
          <w:sz w:val="24"/>
          <w:szCs w:val="24"/>
        </w:rPr>
        <w:t xml:space="preserve"> Solos.</w:t>
      </w:r>
    </w:p>
    <w:p w14:paraId="3C7DF811"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lastRenderedPageBreak/>
        <w:t>Sbrissia AF and Silva SCD</w:t>
      </w:r>
      <w:r w:rsidRPr="00631CF2">
        <w:rPr>
          <w:rFonts w:ascii="Times New Roman" w:hAnsi="Times New Roman" w:cs="Times New Roman"/>
          <w:sz w:val="24"/>
          <w:szCs w:val="24"/>
        </w:rPr>
        <w:t xml:space="preserve"> (2008) </w:t>
      </w:r>
      <w:proofErr w:type="spellStart"/>
      <w:r w:rsidRPr="00631CF2">
        <w:rPr>
          <w:rFonts w:ascii="Times New Roman" w:hAnsi="Times New Roman" w:cs="Times New Roman"/>
          <w:sz w:val="24"/>
          <w:szCs w:val="24"/>
        </w:rPr>
        <w:t>Comparação</w:t>
      </w:r>
      <w:proofErr w:type="spellEnd"/>
      <w:r w:rsidRPr="00631CF2">
        <w:rPr>
          <w:rFonts w:ascii="Times New Roman" w:hAnsi="Times New Roman" w:cs="Times New Roman"/>
          <w:sz w:val="24"/>
          <w:szCs w:val="24"/>
        </w:rPr>
        <w:t xml:space="preserve"> de </w:t>
      </w:r>
      <w:proofErr w:type="spellStart"/>
      <w:r w:rsidRPr="00631CF2">
        <w:rPr>
          <w:rFonts w:ascii="Times New Roman" w:hAnsi="Times New Roman" w:cs="Times New Roman"/>
          <w:sz w:val="24"/>
          <w:szCs w:val="24"/>
        </w:rPr>
        <w:t>três</w:t>
      </w:r>
      <w:proofErr w:type="spellEnd"/>
      <w:r w:rsidRPr="00631CF2">
        <w:rPr>
          <w:rFonts w:ascii="Times New Roman" w:hAnsi="Times New Roman" w:cs="Times New Roman"/>
          <w:sz w:val="24"/>
          <w:szCs w:val="24"/>
        </w:rPr>
        <w:t xml:space="preserve"> </w:t>
      </w:r>
      <w:proofErr w:type="spellStart"/>
      <w:r w:rsidRPr="00631CF2">
        <w:rPr>
          <w:rFonts w:ascii="Times New Roman" w:hAnsi="Times New Roman" w:cs="Times New Roman"/>
          <w:sz w:val="24"/>
          <w:szCs w:val="24"/>
        </w:rPr>
        <w:t>métodos</w:t>
      </w:r>
      <w:proofErr w:type="spellEnd"/>
      <w:r w:rsidRPr="00631CF2">
        <w:rPr>
          <w:rFonts w:ascii="Times New Roman" w:hAnsi="Times New Roman" w:cs="Times New Roman"/>
          <w:sz w:val="24"/>
          <w:szCs w:val="24"/>
        </w:rPr>
        <w:t xml:space="preserve"> para </w:t>
      </w:r>
      <w:proofErr w:type="spellStart"/>
      <w:r w:rsidRPr="00631CF2">
        <w:rPr>
          <w:rFonts w:ascii="Times New Roman" w:hAnsi="Times New Roman" w:cs="Times New Roman"/>
          <w:sz w:val="24"/>
          <w:szCs w:val="24"/>
        </w:rPr>
        <w:t>estimativa</w:t>
      </w:r>
      <w:proofErr w:type="spellEnd"/>
      <w:r w:rsidRPr="00631CF2">
        <w:rPr>
          <w:rFonts w:ascii="Times New Roman" w:hAnsi="Times New Roman" w:cs="Times New Roman"/>
          <w:sz w:val="24"/>
          <w:szCs w:val="24"/>
        </w:rPr>
        <w:t xml:space="preserve"> do </w:t>
      </w:r>
      <w:proofErr w:type="spellStart"/>
      <w:r w:rsidRPr="00631CF2">
        <w:rPr>
          <w:rFonts w:ascii="Times New Roman" w:hAnsi="Times New Roman" w:cs="Times New Roman"/>
          <w:sz w:val="24"/>
          <w:szCs w:val="24"/>
        </w:rPr>
        <w:t>índice</w:t>
      </w:r>
      <w:proofErr w:type="spellEnd"/>
      <w:r w:rsidRPr="00631CF2">
        <w:rPr>
          <w:rFonts w:ascii="Times New Roman" w:hAnsi="Times New Roman" w:cs="Times New Roman"/>
          <w:sz w:val="24"/>
          <w:szCs w:val="24"/>
        </w:rPr>
        <w:t xml:space="preserve"> de </w:t>
      </w:r>
      <w:proofErr w:type="spellStart"/>
      <w:r w:rsidRPr="00631CF2">
        <w:rPr>
          <w:rFonts w:ascii="Times New Roman" w:hAnsi="Times New Roman" w:cs="Times New Roman"/>
          <w:sz w:val="24"/>
          <w:szCs w:val="24"/>
        </w:rPr>
        <w:t>área</w:t>
      </w:r>
      <w:proofErr w:type="spellEnd"/>
      <w:r w:rsidRPr="00631CF2">
        <w:rPr>
          <w:rFonts w:ascii="Times New Roman" w:hAnsi="Times New Roman" w:cs="Times New Roman"/>
          <w:sz w:val="24"/>
          <w:szCs w:val="24"/>
        </w:rPr>
        <w:t xml:space="preserve"> foliar </w:t>
      </w:r>
      <w:proofErr w:type="spellStart"/>
      <w:r w:rsidRPr="00631CF2">
        <w:rPr>
          <w:rFonts w:ascii="Times New Roman" w:hAnsi="Times New Roman" w:cs="Times New Roman"/>
          <w:sz w:val="24"/>
          <w:szCs w:val="24"/>
        </w:rPr>
        <w:t>em</w:t>
      </w:r>
      <w:proofErr w:type="spellEnd"/>
      <w:r w:rsidRPr="00631CF2">
        <w:rPr>
          <w:rFonts w:ascii="Times New Roman" w:hAnsi="Times New Roman" w:cs="Times New Roman"/>
          <w:sz w:val="24"/>
          <w:szCs w:val="24"/>
        </w:rPr>
        <w:t xml:space="preserve"> </w:t>
      </w:r>
      <w:proofErr w:type="spellStart"/>
      <w:r w:rsidRPr="00631CF2">
        <w:rPr>
          <w:rFonts w:ascii="Times New Roman" w:hAnsi="Times New Roman" w:cs="Times New Roman"/>
          <w:sz w:val="24"/>
          <w:szCs w:val="24"/>
        </w:rPr>
        <w:t>pastos</w:t>
      </w:r>
      <w:proofErr w:type="spellEnd"/>
      <w:r w:rsidRPr="00631CF2">
        <w:rPr>
          <w:rFonts w:ascii="Times New Roman" w:hAnsi="Times New Roman" w:cs="Times New Roman"/>
          <w:sz w:val="24"/>
          <w:szCs w:val="24"/>
        </w:rPr>
        <w:t xml:space="preserve"> de </w:t>
      </w:r>
      <w:proofErr w:type="spellStart"/>
      <w:r w:rsidRPr="00631CF2">
        <w:rPr>
          <w:rFonts w:ascii="Times New Roman" w:hAnsi="Times New Roman" w:cs="Times New Roman"/>
          <w:sz w:val="24"/>
          <w:szCs w:val="24"/>
        </w:rPr>
        <w:t>capim-marandu</w:t>
      </w:r>
      <w:proofErr w:type="spellEnd"/>
      <w:r w:rsidRPr="00631CF2">
        <w:rPr>
          <w:rFonts w:ascii="Times New Roman" w:hAnsi="Times New Roman" w:cs="Times New Roman"/>
          <w:sz w:val="24"/>
          <w:szCs w:val="24"/>
        </w:rPr>
        <w:t xml:space="preserve"> sob </w:t>
      </w:r>
      <w:proofErr w:type="spellStart"/>
      <w:r w:rsidRPr="00631CF2">
        <w:rPr>
          <w:rFonts w:ascii="Times New Roman" w:hAnsi="Times New Roman" w:cs="Times New Roman"/>
          <w:sz w:val="24"/>
          <w:szCs w:val="24"/>
        </w:rPr>
        <w:t>lotação</w:t>
      </w:r>
      <w:proofErr w:type="spellEnd"/>
      <w:r w:rsidRPr="00631CF2">
        <w:rPr>
          <w:rFonts w:ascii="Times New Roman" w:hAnsi="Times New Roman" w:cs="Times New Roman"/>
          <w:sz w:val="24"/>
          <w:szCs w:val="24"/>
        </w:rPr>
        <w:t xml:space="preserve"> </w:t>
      </w:r>
      <w:proofErr w:type="spellStart"/>
      <w:r w:rsidRPr="00631CF2">
        <w:rPr>
          <w:rFonts w:ascii="Times New Roman" w:hAnsi="Times New Roman" w:cs="Times New Roman"/>
          <w:sz w:val="24"/>
          <w:szCs w:val="24"/>
        </w:rPr>
        <w:t>contínua</w:t>
      </w:r>
      <w:proofErr w:type="spellEnd"/>
      <w:r w:rsidRPr="00631CF2">
        <w:rPr>
          <w:rFonts w:ascii="Times New Roman" w:hAnsi="Times New Roman" w:cs="Times New Roman"/>
          <w:sz w:val="24"/>
          <w:szCs w:val="24"/>
        </w:rPr>
        <w:t xml:space="preserve">. </w:t>
      </w:r>
      <w:proofErr w:type="spellStart"/>
      <w:r w:rsidRPr="00631CF2">
        <w:rPr>
          <w:rFonts w:ascii="Times New Roman" w:hAnsi="Times New Roman" w:cs="Times New Roman"/>
          <w:i/>
          <w:iCs/>
          <w:sz w:val="24"/>
          <w:szCs w:val="24"/>
        </w:rPr>
        <w:t>Revista</w:t>
      </w:r>
      <w:proofErr w:type="spellEnd"/>
      <w:r w:rsidRPr="00631CF2">
        <w:rPr>
          <w:rFonts w:ascii="Times New Roman" w:hAnsi="Times New Roman" w:cs="Times New Roman"/>
          <w:i/>
          <w:iCs/>
          <w:sz w:val="24"/>
          <w:szCs w:val="24"/>
        </w:rPr>
        <w:t xml:space="preserve"> Brasileira de </w:t>
      </w:r>
      <w:proofErr w:type="spellStart"/>
      <w:r w:rsidRPr="00631CF2">
        <w:rPr>
          <w:rFonts w:ascii="Times New Roman" w:hAnsi="Times New Roman" w:cs="Times New Roman"/>
          <w:i/>
          <w:iCs/>
          <w:sz w:val="24"/>
          <w:szCs w:val="24"/>
        </w:rPr>
        <w:t>Zootecnia</w:t>
      </w:r>
      <w:proofErr w:type="spellEnd"/>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37</w:t>
      </w:r>
      <w:r w:rsidRPr="00631CF2">
        <w:rPr>
          <w:rFonts w:ascii="Times New Roman" w:hAnsi="Times New Roman" w:cs="Times New Roman"/>
          <w:sz w:val="24"/>
          <w:szCs w:val="24"/>
        </w:rPr>
        <w:t>(2), 212–220. https://doi.org/10.1590/S1516-35982008000200006.</w:t>
      </w:r>
    </w:p>
    <w:p w14:paraId="47A28894"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 xml:space="preserve">Sbrissia AF, Silva SCD, Carvalho CABD, </w:t>
      </w:r>
      <w:proofErr w:type="spellStart"/>
      <w:r w:rsidRPr="00631CF2">
        <w:rPr>
          <w:rFonts w:ascii="Times New Roman" w:hAnsi="Times New Roman" w:cs="Times New Roman"/>
          <w:b/>
          <w:bCs/>
          <w:sz w:val="24"/>
          <w:szCs w:val="24"/>
        </w:rPr>
        <w:t>Carnevalli</w:t>
      </w:r>
      <w:proofErr w:type="spellEnd"/>
      <w:r w:rsidRPr="00631CF2">
        <w:rPr>
          <w:rFonts w:ascii="Times New Roman" w:hAnsi="Times New Roman" w:cs="Times New Roman"/>
          <w:b/>
          <w:bCs/>
          <w:sz w:val="24"/>
          <w:szCs w:val="24"/>
        </w:rPr>
        <w:t xml:space="preserve"> RA, Pinto LFDM, Fagundes JL and Pedreira CGS</w:t>
      </w:r>
      <w:r w:rsidRPr="00631CF2">
        <w:rPr>
          <w:rFonts w:ascii="Times New Roman" w:hAnsi="Times New Roman" w:cs="Times New Roman"/>
          <w:sz w:val="24"/>
          <w:szCs w:val="24"/>
        </w:rPr>
        <w:t xml:space="preserve"> (2001) Tiller size/population density compensation in grazed </w:t>
      </w:r>
      <w:proofErr w:type="spellStart"/>
      <w:r w:rsidRPr="00631CF2">
        <w:rPr>
          <w:rFonts w:ascii="Times New Roman" w:hAnsi="Times New Roman" w:cs="Times New Roman"/>
          <w:sz w:val="24"/>
          <w:szCs w:val="24"/>
        </w:rPr>
        <w:t>Coastcross</w:t>
      </w:r>
      <w:proofErr w:type="spellEnd"/>
      <w:r w:rsidRPr="00631CF2">
        <w:rPr>
          <w:rFonts w:ascii="Times New Roman" w:hAnsi="Times New Roman" w:cs="Times New Roman"/>
          <w:sz w:val="24"/>
          <w:szCs w:val="24"/>
        </w:rPr>
        <w:t xml:space="preserve"> bermudagrass swards. </w:t>
      </w:r>
      <w:r w:rsidRPr="00631CF2">
        <w:rPr>
          <w:rFonts w:ascii="Times New Roman" w:hAnsi="Times New Roman" w:cs="Times New Roman"/>
          <w:i/>
          <w:iCs/>
          <w:sz w:val="24"/>
          <w:szCs w:val="24"/>
        </w:rPr>
        <w:t>Scientia Agricola</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58</w:t>
      </w:r>
      <w:r w:rsidRPr="00631CF2">
        <w:rPr>
          <w:rFonts w:ascii="Times New Roman" w:hAnsi="Times New Roman" w:cs="Times New Roman"/>
          <w:sz w:val="24"/>
          <w:szCs w:val="24"/>
        </w:rPr>
        <w:t>(4), 655–665. https://doi.org/10.1590/S0103-90162001000400002.</w:t>
      </w:r>
    </w:p>
    <w:p w14:paraId="415E7EE4"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Scheneiter</w:t>
      </w:r>
      <w:proofErr w:type="spellEnd"/>
      <w:r w:rsidRPr="00631CF2">
        <w:rPr>
          <w:rFonts w:ascii="Times New Roman" w:hAnsi="Times New Roman" w:cs="Times New Roman"/>
          <w:b/>
          <w:bCs/>
          <w:sz w:val="24"/>
          <w:szCs w:val="24"/>
        </w:rPr>
        <w:t xml:space="preserve"> JO, </w:t>
      </w:r>
      <w:proofErr w:type="spellStart"/>
      <w:r w:rsidRPr="00631CF2">
        <w:rPr>
          <w:rFonts w:ascii="Times New Roman" w:hAnsi="Times New Roman" w:cs="Times New Roman"/>
          <w:b/>
          <w:bCs/>
          <w:sz w:val="24"/>
          <w:szCs w:val="24"/>
        </w:rPr>
        <w:t>Camarasa</w:t>
      </w:r>
      <w:proofErr w:type="spellEnd"/>
      <w:r w:rsidRPr="00631CF2">
        <w:rPr>
          <w:rFonts w:ascii="Times New Roman" w:hAnsi="Times New Roman" w:cs="Times New Roman"/>
          <w:b/>
          <w:bCs/>
          <w:sz w:val="24"/>
          <w:szCs w:val="24"/>
        </w:rPr>
        <w:t xml:space="preserve"> JN, </w:t>
      </w:r>
      <w:proofErr w:type="spellStart"/>
      <w:r w:rsidRPr="00631CF2">
        <w:rPr>
          <w:rFonts w:ascii="Times New Roman" w:hAnsi="Times New Roman" w:cs="Times New Roman"/>
          <w:b/>
          <w:bCs/>
          <w:sz w:val="24"/>
          <w:szCs w:val="24"/>
        </w:rPr>
        <w:t>Aperlo</w:t>
      </w:r>
      <w:proofErr w:type="spellEnd"/>
      <w:r w:rsidRPr="00631CF2">
        <w:rPr>
          <w:rFonts w:ascii="Times New Roman" w:hAnsi="Times New Roman" w:cs="Times New Roman"/>
          <w:b/>
          <w:bCs/>
          <w:sz w:val="24"/>
          <w:szCs w:val="24"/>
        </w:rPr>
        <w:t xml:space="preserve"> D, Ferrari MA, </w:t>
      </w:r>
      <w:proofErr w:type="spellStart"/>
      <w:r w:rsidRPr="00631CF2">
        <w:rPr>
          <w:rFonts w:ascii="Times New Roman" w:hAnsi="Times New Roman" w:cs="Times New Roman"/>
          <w:b/>
          <w:bCs/>
          <w:sz w:val="24"/>
          <w:szCs w:val="24"/>
        </w:rPr>
        <w:t>Nalino</w:t>
      </w:r>
      <w:proofErr w:type="spellEnd"/>
      <w:r w:rsidRPr="00631CF2">
        <w:rPr>
          <w:rFonts w:ascii="Times New Roman" w:hAnsi="Times New Roman" w:cs="Times New Roman"/>
          <w:b/>
          <w:bCs/>
          <w:sz w:val="24"/>
          <w:szCs w:val="24"/>
        </w:rPr>
        <w:t xml:space="preserve"> M and Beribe MJ</w:t>
      </w:r>
      <w:r w:rsidRPr="00631CF2">
        <w:rPr>
          <w:rFonts w:ascii="Times New Roman" w:hAnsi="Times New Roman" w:cs="Times New Roman"/>
          <w:sz w:val="24"/>
          <w:szCs w:val="24"/>
        </w:rPr>
        <w:t xml:space="preserve"> (2019) Post‐grazing cutting management in tall fescue affects the sward structure, forage and liveweight production. </w:t>
      </w:r>
      <w:r w:rsidRPr="00631CF2">
        <w:rPr>
          <w:rFonts w:ascii="Times New Roman" w:hAnsi="Times New Roman" w:cs="Times New Roman"/>
          <w:i/>
          <w:iCs/>
          <w:sz w:val="24"/>
          <w:szCs w:val="24"/>
        </w:rPr>
        <w:t>Grass and Forage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74</w:t>
      </w:r>
      <w:r w:rsidRPr="00631CF2">
        <w:rPr>
          <w:rFonts w:ascii="Times New Roman" w:hAnsi="Times New Roman" w:cs="Times New Roman"/>
          <w:sz w:val="24"/>
          <w:szCs w:val="24"/>
        </w:rPr>
        <w:t>(4), 661–669. https://doi.org/10.1111/gfs.12447.</w:t>
      </w:r>
    </w:p>
    <w:p w14:paraId="6136C499" w14:textId="5DF99D04"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proofErr w:type="spellStart"/>
      <w:r w:rsidRPr="00631CF2">
        <w:rPr>
          <w:rFonts w:ascii="Times New Roman" w:hAnsi="Times New Roman" w:cs="Times New Roman"/>
          <w:b/>
          <w:bCs/>
          <w:sz w:val="24"/>
          <w:szCs w:val="24"/>
        </w:rPr>
        <w:t>Scheneiter</w:t>
      </w:r>
      <w:proofErr w:type="spellEnd"/>
      <w:r w:rsidRPr="00631CF2">
        <w:rPr>
          <w:rFonts w:ascii="Times New Roman" w:hAnsi="Times New Roman" w:cs="Times New Roman"/>
          <w:b/>
          <w:bCs/>
          <w:sz w:val="24"/>
          <w:szCs w:val="24"/>
        </w:rPr>
        <w:t xml:space="preserve"> O and Améndola C</w:t>
      </w:r>
      <w:r w:rsidRPr="00631CF2">
        <w:rPr>
          <w:rFonts w:ascii="Times New Roman" w:hAnsi="Times New Roman" w:cs="Times New Roman"/>
          <w:sz w:val="24"/>
          <w:szCs w:val="24"/>
        </w:rPr>
        <w:t xml:space="preserve"> (2012) Tiller demography in tall fescue (</w:t>
      </w:r>
      <w:r w:rsidRPr="00631CF2">
        <w:rPr>
          <w:rFonts w:ascii="Times New Roman" w:hAnsi="Times New Roman" w:cs="Times New Roman"/>
          <w:i/>
          <w:iCs/>
          <w:sz w:val="24"/>
          <w:szCs w:val="24"/>
        </w:rPr>
        <w:t xml:space="preserve">Festuca </w:t>
      </w:r>
      <w:proofErr w:type="spellStart"/>
      <w:r w:rsidRPr="00631CF2">
        <w:rPr>
          <w:rFonts w:ascii="Times New Roman" w:hAnsi="Times New Roman" w:cs="Times New Roman"/>
          <w:i/>
          <w:iCs/>
          <w:sz w:val="24"/>
          <w:szCs w:val="24"/>
        </w:rPr>
        <w:t>arundinacea</w:t>
      </w:r>
      <w:proofErr w:type="spellEnd"/>
      <w:r w:rsidRPr="00631CF2">
        <w:rPr>
          <w:rFonts w:ascii="Times New Roman" w:hAnsi="Times New Roman" w:cs="Times New Roman"/>
          <w:sz w:val="24"/>
          <w:szCs w:val="24"/>
        </w:rPr>
        <w:t xml:space="preserve">) swards as influenced by nitrogen fertilization, sowing method and grazing management. </w:t>
      </w:r>
      <w:r w:rsidRPr="00631CF2">
        <w:rPr>
          <w:rFonts w:ascii="Times New Roman" w:hAnsi="Times New Roman" w:cs="Times New Roman"/>
          <w:i/>
          <w:iCs/>
          <w:sz w:val="24"/>
          <w:szCs w:val="24"/>
        </w:rPr>
        <w:t>Grass and Forage Science</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67</w:t>
      </w:r>
      <w:r w:rsidRPr="00631CF2">
        <w:rPr>
          <w:rFonts w:ascii="Times New Roman" w:hAnsi="Times New Roman" w:cs="Times New Roman"/>
          <w:sz w:val="24"/>
          <w:szCs w:val="24"/>
        </w:rPr>
        <w:t>(3), 426–436. https://doi.org/10.1111/j.1365-2494.2012.00861.x.</w:t>
      </w:r>
    </w:p>
    <w:p w14:paraId="0D20FE46"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 xml:space="preserve">Schulte RPO, Lantinga EA and </w:t>
      </w:r>
      <w:proofErr w:type="spellStart"/>
      <w:r w:rsidRPr="00631CF2">
        <w:rPr>
          <w:rFonts w:ascii="Times New Roman" w:hAnsi="Times New Roman" w:cs="Times New Roman"/>
          <w:b/>
          <w:bCs/>
          <w:sz w:val="24"/>
          <w:szCs w:val="24"/>
        </w:rPr>
        <w:t>Struik</w:t>
      </w:r>
      <w:proofErr w:type="spellEnd"/>
      <w:r w:rsidRPr="00631CF2">
        <w:rPr>
          <w:rFonts w:ascii="Times New Roman" w:hAnsi="Times New Roman" w:cs="Times New Roman"/>
          <w:b/>
          <w:bCs/>
          <w:sz w:val="24"/>
          <w:szCs w:val="24"/>
        </w:rPr>
        <w:t xml:space="preserve"> PC</w:t>
      </w:r>
      <w:r w:rsidRPr="00631CF2">
        <w:rPr>
          <w:rFonts w:ascii="Times New Roman" w:hAnsi="Times New Roman" w:cs="Times New Roman"/>
          <w:sz w:val="24"/>
          <w:szCs w:val="24"/>
        </w:rPr>
        <w:t xml:space="preserve"> (2003) Analysis of the production stability of mixed grasslands. </w:t>
      </w:r>
      <w:r w:rsidRPr="00631CF2">
        <w:rPr>
          <w:rFonts w:ascii="Times New Roman" w:hAnsi="Times New Roman" w:cs="Times New Roman"/>
          <w:i/>
          <w:iCs/>
          <w:sz w:val="24"/>
          <w:szCs w:val="24"/>
        </w:rPr>
        <w:t>Ecological Modelling</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159</w:t>
      </w:r>
      <w:r w:rsidRPr="00631CF2">
        <w:rPr>
          <w:rFonts w:ascii="Times New Roman" w:hAnsi="Times New Roman" w:cs="Times New Roman"/>
          <w:sz w:val="24"/>
          <w:szCs w:val="24"/>
        </w:rPr>
        <w:t>(1), 43–69. https://doi.org/10.1016/S0304-3800(02)00261-2.</w:t>
      </w:r>
    </w:p>
    <w:p w14:paraId="45C76AFE" w14:textId="3533F6C9"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Seabloom EW</w:t>
      </w:r>
      <w:r w:rsidRPr="00631CF2">
        <w:rPr>
          <w:rFonts w:ascii="Times New Roman" w:hAnsi="Times New Roman" w:cs="Times New Roman"/>
          <w:sz w:val="24"/>
          <w:szCs w:val="24"/>
        </w:rPr>
        <w:t xml:space="preserve"> (2007) </w:t>
      </w:r>
      <w:r w:rsidR="0051365D" w:rsidRPr="00631CF2">
        <w:rPr>
          <w:rFonts w:ascii="Times New Roman" w:hAnsi="Times New Roman" w:cs="Times New Roman"/>
        </w:rPr>
        <w:t>Compensation and the stability of restored grassland communities</w:t>
      </w:r>
      <w:r w:rsidRPr="00631CF2">
        <w:rPr>
          <w:rFonts w:ascii="Times New Roman" w:hAnsi="Times New Roman" w:cs="Times New Roman"/>
          <w:sz w:val="24"/>
          <w:szCs w:val="24"/>
        </w:rPr>
        <w:t xml:space="preserve">. </w:t>
      </w:r>
      <w:r w:rsidRPr="00631CF2">
        <w:rPr>
          <w:rFonts w:ascii="Times New Roman" w:hAnsi="Times New Roman" w:cs="Times New Roman"/>
          <w:i/>
          <w:iCs/>
          <w:sz w:val="24"/>
          <w:szCs w:val="24"/>
        </w:rPr>
        <w:t>Ecological Applications</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17</w:t>
      </w:r>
      <w:r w:rsidRPr="00631CF2">
        <w:rPr>
          <w:rFonts w:ascii="Times New Roman" w:hAnsi="Times New Roman" w:cs="Times New Roman"/>
          <w:sz w:val="24"/>
          <w:szCs w:val="24"/>
        </w:rPr>
        <w:t>(7), 1876–1885. https://doi.org/10.1890/06-0409.1.</w:t>
      </w:r>
    </w:p>
    <w:p w14:paraId="0E606885" w14:textId="77777777" w:rsidR="00B414B3" w:rsidRPr="00631CF2" w:rsidRDefault="00B414B3"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Turchin P</w:t>
      </w:r>
      <w:r w:rsidRPr="00631CF2">
        <w:rPr>
          <w:rFonts w:ascii="Times New Roman" w:hAnsi="Times New Roman" w:cs="Times New Roman"/>
          <w:sz w:val="24"/>
          <w:szCs w:val="24"/>
        </w:rPr>
        <w:t xml:space="preserve"> (2001) Does population ecology have general laws? </w:t>
      </w:r>
      <w:r w:rsidRPr="00631CF2">
        <w:rPr>
          <w:rFonts w:ascii="Times New Roman" w:hAnsi="Times New Roman" w:cs="Times New Roman"/>
          <w:i/>
          <w:iCs/>
          <w:sz w:val="24"/>
          <w:szCs w:val="24"/>
        </w:rPr>
        <w:t>Oikos</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94</w:t>
      </w:r>
      <w:r w:rsidRPr="00631CF2">
        <w:rPr>
          <w:rFonts w:ascii="Times New Roman" w:hAnsi="Times New Roman" w:cs="Times New Roman"/>
          <w:sz w:val="24"/>
          <w:szCs w:val="24"/>
        </w:rPr>
        <w:t>(1), 17–26. https://doi.org/10.1034/j.1600-0706.2001.11310.x.</w:t>
      </w:r>
    </w:p>
    <w:p w14:paraId="5666A131" w14:textId="67730EF3" w:rsidR="00DB7230" w:rsidRPr="00631CF2" w:rsidRDefault="00DB7230" w:rsidP="007F0193">
      <w:pPr>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 xml:space="preserve">Yoda K, Kira T, Ogawa H, </w:t>
      </w:r>
      <w:proofErr w:type="spellStart"/>
      <w:r w:rsidRPr="00631CF2">
        <w:rPr>
          <w:rFonts w:ascii="Times New Roman" w:hAnsi="Times New Roman" w:cs="Times New Roman"/>
          <w:b/>
          <w:bCs/>
          <w:sz w:val="24"/>
          <w:szCs w:val="24"/>
        </w:rPr>
        <w:t>Hozumi</w:t>
      </w:r>
      <w:proofErr w:type="spellEnd"/>
      <w:r w:rsidRPr="00631CF2">
        <w:rPr>
          <w:rFonts w:ascii="Times New Roman" w:hAnsi="Times New Roman" w:cs="Times New Roman"/>
          <w:b/>
          <w:bCs/>
          <w:sz w:val="24"/>
          <w:szCs w:val="24"/>
        </w:rPr>
        <w:t xml:space="preserve"> K</w:t>
      </w:r>
      <w:r w:rsidRPr="00631CF2">
        <w:rPr>
          <w:rFonts w:ascii="Times New Roman" w:hAnsi="Times New Roman" w:cs="Times New Roman"/>
          <w:sz w:val="24"/>
          <w:szCs w:val="24"/>
        </w:rPr>
        <w:t xml:space="preserve"> (1963) Intraspecific competition among higher plants. XI Self-thinning in overcrowded pure stands under cultivated and natural conditions. </w:t>
      </w:r>
      <w:r w:rsidRPr="00631CF2">
        <w:rPr>
          <w:rFonts w:ascii="Times New Roman" w:hAnsi="Times New Roman" w:cs="Times New Roman"/>
          <w:i/>
          <w:iCs/>
          <w:sz w:val="24"/>
          <w:szCs w:val="24"/>
        </w:rPr>
        <w:t>Journal of Institute of Polytechnics,</w:t>
      </w:r>
      <w:r w:rsidRPr="00631CF2">
        <w:rPr>
          <w:rFonts w:ascii="Times New Roman" w:hAnsi="Times New Roman" w:cs="Times New Roman"/>
          <w:sz w:val="24"/>
          <w:szCs w:val="24"/>
        </w:rPr>
        <w:t xml:space="preserve"> v.14, p.107129.</w:t>
      </w:r>
    </w:p>
    <w:p w14:paraId="5BBEF08A" w14:textId="3E0B3AC7" w:rsidR="5096BBF4" w:rsidRPr="00631CF2" w:rsidRDefault="4389DBB5"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b/>
          <w:bCs/>
          <w:sz w:val="24"/>
          <w:szCs w:val="24"/>
        </w:rPr>
        <w:t>Weller DE</w:t>
      </w:r>
      <w:r w:rsidRPr="00631CF2">
        <w:rPr>
          <w:rFonts w:ascii="Times New Roman" w:hAnsi="Times New Roman" w:cs="Times New Roman"/>
          <w:sz w:val="24"/>
          <w:szCs w:val="24"/>
        </w:rPr>
        <w:t xml:space="preserve"> (1987) Self‐Thinning Exponent Correlated with Allometric Measures of Plant Geometry. </w:t>
      </w:r>
      <w:r w:rsidRPr="00631CF2">
        <w:rPr>
          <w:rFonts w:ascii="Times New Roman" w:hAnsi="Times New Roman" w:cs="Times New Roman"/>
          <w:i/>
          <w:iCs/>
          <w:sz w:val="24"/>
          <w:szCs w:val="24"/>
        </w:rPr>
        <w:t>Ecology</w:t>
      </w:r>
      <w:r w:rsidRPr="00631CF2">
        <w:rPr>
          <w:rFonts w:ascii="Times New Roman" w:hAnsi="Times New Roman" w:cs="Times New Roman"/>
          <w:sz w:val="24"/>
          <w:szCs w:val="24"/>
        </w:rPr>
        <w:t xml:space="preserve"> </w:t>
      </w:r>
      <w:r w:rsidRPr="00631CF2">
        <w:rPr>
          <w:rFonts w:ascii="Times New Roman" w:hAnsi="Times New Roman" w:cs="Times New Roman"/>
          <w:b/>
          <w:bCs/>
          <w:sz w:val="24"/>
          <w:szCs w:val="24"/>
        </w:rPr>
        <w:t>68</w:t>
      </w:r>
      <w:r w:rsidRPr="00631CF2">
        <w:rPr>
          <w:rFonts w:ascii="Times New Roman" w:hAnsi="Times New Roman" w:cs="Times New Roman"/>
          <w:sz w:val="24"/>
          <w:szCs w:val="24"/>
        </w:rPr>
        <w:t>(4), 813–821. https://doi.org/10.2307/1938352.</w:t>
      </w:r>
    </w:p>
    <w:p w14:paraId="74391860" w14:textId="28A2134D" w:rsidR="00C63CED" w:rsidRPr="00631CF2" w:rsidRDefault="20C23309" w:rsidP="007F0193">
      <w:pPr>
        <w:pStyle w:val="Bibliography"/>
        <w:widowControl w:val="0"/>
        <w:spacing w:after="0" w:line="480" w:lineRule="auto"/>
        <w:ind w:left="450" w:hanging="450"/>
        <w:jc w:val="both"/>
        <w:rPr>
          <w:rFonts w:ascii="Times New Roman" w:eastAsia="Times New Roman" w:hAnsi="Times New Roman" w:cs="Times New Roman"/>
          <w:color w:val="000000" w:themeColor="text1"/>
          <w:sz w:val="24"/>
          <w:szCs w:val="24"/>
        </w:rPr>
      </w:pPr>
      <w:r w:rsidRPr="00631CF2">
        <w:rPr>
          <w:rFonts w:ascii="Times New Roman" w:eastAsia="Times New Roman" w:hAnsi="Times New Roman" w:cs="Times New Roman"/>
          <w:b/>
          <w:bCs/>
          <w:sz w:val="24"/>
          <w:szCs w:val="24"/>
        </w:rPr>
        <w:t>Winter F</w:t>
      </w:r>
      <w:r w:rsidR="47E86FE7" w:rsidRPr="00631CF2">
        <w:rPr>
          <w:rFonts w:ascii="Times New Roman" w:eastAsia="Times New Roman" w:hAnsi="Times New Roman" w:cs="Times New Roman"/>
          <w:b/>
          <w:bCs/>
          <w:sz w:val="24"/>
          <w:szCs w:val="24"/>
        </w:rPr>
        <w:t>L</w:t>
      </w:r>
      <w:r w:rsidR="47E86FE7" w:rsidRPr="00631CF2">
        <w:rPr>
          <w:rFonts w:ascii="Times New Roman" w:eastAsia="Times New Roman" w:hAnsi="Times New Roman" w:cs="Times New Roman"/>
          <w:b/>
          <w:bCs/>
          <w:color w:val="000000" w:themeColor="text1"/>
          <w:sz w:val="24"/>
          <w:szCs w:val="24"/>
        </w:rPr>
        <w:t>, Pittaro</w:t>
      </w:r>
      <w:r w:rsidR="1499CC02" w:rsidRPr="00631CF2">
        <w:rPr>
          <w:rFonts w:ascii="Times New Roman" w:eastAsia="Times New Roman" w:hAnsi="Times New Roman" w:cs="Times New Roman"/>
          <w:b/>
          <w:bCs/>
          <w:color w:val="000000" w:themeColor="text1"/>
          <w:sz w:val="24"/>
          <w:szCs w:val="24"/>
        </w:rPr>
        <w:t xml:space="preserve"> MG, </w:t>
      </w:r>
      <w:r w:rsidR="47E86FE7" w:rsidRPr="00631CF2">
        <w:rPr>
          <w:rFonts w:ascii="Times New Roman" w:eastAsia="Times New Roman" w:hAnsi="Times New Roman" w:cs="Times New Roman"/>
          <w:b/>
          <w:bCs/>
          <w:color w:val="000000" w:themeColor="text1"/>
          <w:sz w:val="24"/>
          <w:szCs w:val="24"/>
        </w:rPr>
        <w:t>Schmitt</w:t>
      </w:r>
      <w:r w:rsidR="412EB62B" w:rsidRPr="00631CF2">
        <w:rPr>
          <w:rFonts w:ascii="Times New Roman" w:eastAsia="Times New Roman" w:hAnsi="Times New Roman" w:cs="Times New Roman"/>
          <w:b/>
          <w:bCs/>
          <w:color w:val="000000" w:themeColor="text1"/>
          <w:sz w:val="24"/>
          <w:szCs w:val="24"/>
        </w:rPr>
        <w:t xml:space="preserve"> D,</w:t>
      </w:r>
      <w:r w:rsidR="47E86FE7" w:rsidRPr="00631CF2">
        <w:rPr>
          <w:rFonts w:ascii="Times New Roman" w:eastAsia="Times New Roman" w:hAnsi="Times New Roman" w:cs="Times New Roman"/>
          <w:b/>
          <w:bCs/>
          <w:color w:val="000000" w:themeColor="text1"/>
          <w:sz w:val="24"/>
          <w:szCs w:val="24"/>
        </w:rPr>
        <w:t xml:space="preserve"> Moncada</w:t>
      </w:r>
      <w:r w:rsidR="4C8D6DAC" w:rsidRPr="00631CF2">
        <w:rPr>
          <w:rFonts w:ascii="Times New Roman" w:eastAsia="Times New Roman" w:hAnsi="Times New Roman" w:cs="Times New Roman"/>
          <w:b/>
          <w:bCs/>
          <w:color w:val="000000" w:themeColor="text1"/>
          <w:sz w:val="24"/>
          <w:szCs w:val="24"/>
        </w:rPr>
        <w:t xml:space="preserve"> VYM,</w:t>
      </w:r>
      <w:r w:rsidR="00DC172B" w:rsidRPr="00631CF2">
        <w:rPr>
          <w:rFonts w:ascii="Times New Roman" w:eastAsia="Times New Roman" w:hAnsi="Times New Roman" w:cs="Times New Roman"/>
          <w:b/>
          <w:bCs/>
          <w:color w:val="000000" w:themeColor="text1"/>
          <w:sz w:val="24"/>
          <w:szCs w:val="24"/>
        </w:rPr>
        <w:t xml:space="preserve"> </w:t>
      </w:r>
      <w:r w:rsidR="47E86FE7" w:rsidRPr="00631CF2">
        <w:rPr>
          <w:rFonts w:ascii="Times New Roman" w:eastAsia="Times New Roman" w:hAnsi="Times New Roman" w:cs="Times New Roman"/>
          <w:b/>
          <w:bCs/>
          <w:color w:val="000000" w:themeColor="text1"/>
          <w:sz w:val="24"/>
          <w:szCs w:val="24"/>
        </w:rPr>
        <w:t>de Mello</w:t>
      </w:r>
      <w:r w:rsidR="32D820B0" w:rsidRPr="00631CF2">
        <w:rPr>
          <w:rFonts w:ascii="Times New Roman" w:eastAsia="Times New Roman" w:hAnsi="Times New Roman" w:cs="Times New Roman"/>
          <w:b/>
          <w:bCs/>
          <w:color w:val="000000" w:themeColor="text1"/>
          <w:sz w:val="24"/>
          <w:szCs w:val="24"/>
        </w:rPr>
        <w:t xml:space="preserve"> GR</w:t>
      </w:r>
      <w:r w:rsidR="47E86FE7" w:rsidRPr="00631CF2">
        <w:rPr>
          <w:rFonts w:ascii="Times New Roman" w:eastAsia="Times New Roman" w:hAnsi="Times New Roman" w:cs="Times New Roman"/>
          <w:b/>
          <w:bCs/>
          <w:color w:val="000000" w:themeColor="text1"/>
          <w:sz w:val="24"/>
          <w:szCs w:val="24"/>
        </w:rPr>
        <w:t xml:space="preserve">, </w:t>
      </w:r>
      <w:proofErr w:type="spellStart"/>
      <w:r w:rsidR="47E86FE7" w:rsidRPr="00631CF2">
        <w:rPr>
          <w:rFonts w:ascii="Times New Roman" w:eastAsia="Times New Roman" w:hAnsi="Times New Roman" w:cs="Times New Roman"/>
          <w:b/>
          <w:bCs/>
          <w:color w:val="000000" w:themeColor="text1"/>
          <w:sz w:val="24"/>
          <w:szCs w:val="24"/>
        </w:rPr>
        <w:t>Miqueloto</w:t>
      </w:r>
      <w:proofErr w:type="spellEnd"/>
      <w:r w:rsidR="19ECE853" w:rsidRPr="00631CF2">
        <w:rPr>
          <w:rFonts w:ascii="Times New Roman" w:eastAsia="Times New Roman" w:hAnsi="Times New Roman" w:cs="Times New Roman"/>
          <w:b/>
          <w:bCs/>
          <w:color w:val="000000" w:themeColor="text1"/>
          <w:sz w:val="24"/>
          <w:szCs w:val="24"/>
        </w:rPr>
        <w:t xml:space="preserve"> T,</w:t>
      </w:r>
      <w:r w:rsidR="47E86FE7" w:rsidRPr="00631CF2">
        <w:rPr>
          <w:rFonts w:ascii="Times New Roman" w:eastAsia="Times New Roman" w:hAnsi="Times New Roman" w:cs="Times New Roman"/>
          <w:b/>
          <w:bCs/>
          <w:color w:val="000000" w:themeColor="text1"/>
          <w:sz w:val="24"/>
          <w:szCs w:val="24"/>
        </w:rPr>
        <w:t xml:space="preserve"> Bernardo</w:t>
      </w:r>
      <w:r w:rsidR="0029C203" w:rsidRPr="00631CF2">
        <w:rPr>
          <w:rFonts w:ascii="Times New Roman" w:eastAsia="Times New Roman" w:hAnsi="Times New Roman" w:cs="Times New Roman"/>
          <w:b/>
          <w:bCs/>
          <w:color w:val="000000" w:themeColor="text1"/>
          <w:sz w:val="24"/>
          <w:szCs w:val="24"/>
        </w:rPr>
        <w:t xml:space="preserve"> A, </w:t>
      </w:r>
      <w:proofErr w:type="spellStart"/>
      <w:r w:rsidR="47E86FE7" w:rsidRPr="00631CF2">
        <w:rPr>
          <w:rFonts w:ascii="Times New Roman" w:eastAsia="Times New Roman" w:hAnsi="Times New Roman" w:cs="Times New Roman"/>
          <w:b/>
          <w:bCs/>
          <w:color w:val="000000" w:themeColor="text1"/>
          <w:sz w:val="24"/>
          <w:szCs w:val="24"/>
        </w:rPr>
        <w:t>Barreta</w:t>
      </w:r>
      <w:proofErr w:type="spellEnd"/>
      <w:r w:rsidR="156689D7" w:rsidRPr="00631CF2">
        <w:rPr>
          <w:rFonts w:ascii="Times New Roman" w:eastAsia="Times New Roman" w:hAnsi="Times New Roman" w:cs="Times New Roman"/>
          <w:b/>
          <w:bCs/>
          <w:color w:val="000000" w:themeColor="text1"/>
          <w:sz w:val="24"/>
          <w:szCs w:val="24"/>
        </w:rPr>
        <w:t xml:space="preserve"> DA,</w:t>
      </w:r>
      <w:r w:rsidR="0FD7C399" w:rsidRPr="00631CF2">
        <w:rPr>
          <w:rFonts w:ascii="Times New Roman" w:eastAsia="Times New Roman" w:hAnsi="Times New Roman" w:cs="Times New Roman"/>
          <w:b/>
          <w:bCs/>
          <w:color w:val="000000" w:themeColor="text1"/>
          <w:sz w:val="24"/>
          <w:szCs w:val="24"/>
        </w:rPr>
        <w:t xml:space="preserve"> </w:t>
      </w:r>
      <w:r w:rsidR="47E86FE7" w:rsidRPr="00631CF2">
        <w:rPr>
          <w:rFonts w:ascii="Times New Roman" w:eastAsia="Times New Roman" w:hAnsi="Times New Roman" w:cs="Times New Roman"/>
          <w:b/>
          <w:bCs/>
          <w:color w:val="000000" w:themeColor="text1"/>
          <w:sz w:val="24"/>
          <w:szCs w:val="24"/>
        </w:rPr>
        <w:t>Garzón-Camacho</w:t>
      </w:r>
      <w:r w:rsidR="68C4FAB9" w:rsidRPr="00631CF2">
        <w:rPr>
          <w:rFonts w:ascii="Times New Roman" w:eastAsia="Times New Roman" w:hAnsi="Times New Roman" w:cs="Times New Roman"/>
          <w:b/>
          <w:bCs/>
          <w:color w:val="000000" w:themeColor="text1"/>
          <w:sz w:val="24"/>
          <w:szCs w:val="24"/>
        </w:rPr>
        <w:t xml:space="preserve"> PA,</w:t>
      </w:r>
      <w:r w:rsidR="47E86FE7" w:rsidRPr="00631CF2">
        <w:rPr>
          <w:rFonts w:ascii="Times New Roman" w:eastAsia="Times New Roman" w:hAnsi="Times New Roman" w:cs="Times New Roman"/>
          <w:b/>
          <w:bCs/>
          <w:color w:val="000000" w:themeColor="text1"/>
          <w:sz w:val="24"/>
          <w:szCs w:val="24"/>
        </w:rPr>
        <w:t xml:space="preserve"> Sbrissia</w:t>
      </w:r>
      <w:r w:rsidR="3B7AF2EA" w:rsidRPr="00631CF2">
        <w:rPr>
          <w:rFonts w:ascii="Times New Roman" w:eastAsia="Times New Roman" w:hAnsi="Times New Roman" w:cs="Times New Roman"/>
          <w:b/>
          <w:bCs/>
          <w:color w:val="000000" w:themeColor="text1"/>
          <w:sz w:val="24"/>
          <w:szCs w:val="24"/>
        </w:rPr>
        <w:t xml:space="preserve"> AF </w:t>
      </w:r>
      <w:r w:rsidR="3B7AF2EA" w:rsidRPr="00631CF2">
        <w:rPr>
          <w:rFonts w:ascii="Times New Roman" w:eastAsia="Times New Roman" w:hAnsi="Times New Roman" w:cs="Times New Roman"/>
          <w:color w:val="000000" w:themeColor="text1"/>
          <w:sz w:val="24"/>
          <w:szCs w:val="24"/>
        </w:rPr>
        <w:t>(202</w:t>
      </w:r>
      <w:r w:rsidR="00A90E97" w:rsidRPr="00631CF2">
        <w:rPr>
          <w:rFonts w:ascii="Times New Roman" w:eastAsia="Times New Roman" w:hAnsi="Times New Roman" w:cs="Times New Roman"/>
          <w:color w:val="000000" w:themeColor="text1"/>
          <w:sz w:val="24"/>
          <w:szCs w:val="24"/>
        </w:rPr>
        <w:t>5</w:t>
      </w:r>
      <w:r w:rsidR="3B7AF2EA" w:rsidRPr="00631CF2">
        <w:rPr>
          <w:rFonts w:ascii="Times New Roman" w:eastAsia="Times New Roman" w:hAnsi="Times New Roman" w:cs="Times New Roman"/>
          <w:color w:val="000000" w:themeColor="text1"/>
          <w:sz w:val="24"/>
          <w:szCs w:val="24"/>
        </w:rPr>
        <w:t>)</w:t>
      </w:r>
      <w:r w:rsidR="47E86FE7" w:rsidRPr="00631CF2">
        <w:rPr>
          <w:rFonts w:ascii="Times New Roman" w:eastAsia="Times New Roman" w:hAnsi="Times New Roman" w:cs="Times New Roman"/>
          <w:color w:val="000000" w:themeColor="text1"/>
          <w:sz w:val="24"/>
          <w:szCs w:val="24"/>
        </w:rPr>
        <w:t xml:space="preserve"> Forage Production in Tall Fescue and </w:t>
      </w:r>
      <w:proofErr w:type="spellStart"/>
      <w:r w:rsidR="47E86FE7" w:rsidRPr="00631CF2">
        <w:rPr>
          <w:rFonts w:ascii="Times New Roman" w:eastAsia="Times New Roman" w:hAnsi="Times New Roman" w:cs="Times New Roman"/>
          <w:color w:val="000000" w:themeColor="text1"/>
          <w:sz w:val="24"/>
          <w:szCs w:val="24"/>
        </w:rPr>
        <w:t>Kikuyugrass</w:t>
      </w:r>
      <w:proofErr w:type="spellEnd"/>
      <w:r w:rsidR="47E86FE7" w:rsidRPr="00631CF2">
        <w:rPr>
          <w:rFonts w:ascii="Times New Roman" w:eastAsia="Times New Roman" w:hAnsi="Times New Roman" w:cs="Times New Roman"/>
          <w:color w:val="000000" w:themeColor="text1"/>
          <w:sz w:val="24"/>
          <w:szCs w:val="24"/>
        </w:rPr>
        <w:t xml:space="preserve"> Mixed Swards Subjected to Different Defoliation Strategies</w:t>
      </w:r>
      <w:r w:rsidR="541E0ED6" w:rsidRPr="00631CF2">
        <w:rPr>
          <w:rFonts w:ascii="Times New Roman" w:eastAsia="Times New Roman" w:hAnsi="Times New Roman" w:cs="Times New Roman"/>
          <w:color w:val="000000" w:themeColor="text1"/>
          <w:sz w:val="24"/>
          <w:szCs w:val="24"/>
        </w:rPr>
        <w:t>. Crop Science</w:t>
      </w:r>
      <w:r w:rsidR="1B6E081F" w:rsidRPr="00631CF2">
        <w:rPr>
          <w:rFonts w:ascii="Times New Roman" w:eastAsia="Times New Roman" w:hAnsi="Times New Roman" w:cs="Times New Roman"/>
          <w:b/>
          <w:bCs/>
          <w:color w:val="000000" w:themeColor="text1"/>
          <w:sz w:val="24"/>
          <w:szCs w:val="24"/>
        </w:rPr>
        <w:t xml:space="preserve"> </w:t>
      </w:r>
      <w:r w:rsidR="004D336C" w:rsidRPr="00631CF2">
        <w:rPr>
          <w:rFonts w:ascii="Times New Roman" w:eastAsia="Times New Roman" w:hAnsi="Times New Roman" w:cs="Times New Roman"/>
          <w:b/>
          <w:bCs/>
          <w:color w:val="000000" w:themeColor="text1"/>
          <w:sz w:val="24"/>
          <w:szCs w:val="24"/>
        </w:rPr>
        <w:t>65</w:t>
      </w:r>
      <w:r w:rsidR="1B6E081F" w:rsidRPr="00631CF2">
        <w:rPr>
          <w:rFonts w:ascii="Times New Roman" w:eastAsia="Times New Roman" w:hAnsi="Times New Roman" w:cs="Times New Roman"/>
          <w:color w:val="000000" w:themeColor="text1"/>
          <w:sz w:val="24"/>
          <w:szCs w:val="24"/>
        </w:rPr>
        <w:t>(</w:t>
      </w:r>
      <w:r w:rsidR="004D336C" w:rsidRPr="00631CF2">
        <w:rPr>
          <w:rFonts w:ascii="Times New Roman" w:eastAsia="Times New Roman" w:hAnsi="Times New Roman" w:cs="Times New Roman"/>
          <w:color w:val="000000" w:themeColor="text1"/>
          <w:sz w:val="24"/>
          <w:szCs w:val="24"/>
        </w:rPr>
        <w:t>1</w:t>
      </w:r>
      <w:r w:rsidR="1B6E081F" w:rsidRPr="00631CF2">
        <w:rPr>
          <w:rFonts w:ascii="Times New Roman" w:eastAsia="Times New Roman" w:hAnsi="Times New Roman" w:cs="Times New Roman"/>
          <w:color w:val="000000" w:themeColor="text1"/>
          <w:sz w:val="24"/>
          <w:szCs w:val="24"/>
        </w:rPr>
        <w:t>)</w:t>
      </w:r>
      <w:r w:rsidR="006C1E71" w:rsidRPr="00631CF2">
        <w:rPr>
          <w:rFonts w:ascii="Times New Roman" w:eastAsia="Times New Roman" w:hAnsi="Times New Roman" w:cs="Times New Roman"/>
          <w:color w:val="000000" w:themeColor="text1"/>
          <w:sz w:val="24"/>
          <w:szCs w:val="24"/>
        </w:rPr>
        <w:t xml:space="preserve">, </w:t>
      </w:r>
      <w:r w:rsidR="00BA47FB" w:rsidRPr="00631CF2">
        <w:rPr>
          <w:rFonts w:ascii="Times New Roman" w:eastAsia="Times New Roman" w:hAnsi="Times New Roman" w:cs="Times New Roman"/>
          <w:color w:val="000000" w:themeColor="text1"/>
          <w:sz w:val="24"/>
          <w:szCs w:val="24"/>
        </w:rPr>
        <w:t>e21427</w:t>
      </w:r>
      <w:r w:rsidR="006C1E71" w:rsidRPr="00631CF2">
        <w:rPr>
          <w:rFonts w:ascii="Times New Roman" w:eastAsia="Times New Roman" w:hAnsi="Times New Roman" w:cs="Times New Roman"/>
          <w:color w:val="000000" w:themeColor="text1"/>
          <w:sz w:val="24"/>
          <w:szCs w:val="24"/>
        </w:rPr>
        <w:t>.</w:t>
      </w:r>
      <w:r w:rsidR="00BA47FB" w:rsidRPr="00631CF2">
        <w:rPr>
          <w:rFonts w:ascii="Times New Roman" w:eastAsia="Times New Roman" w:hAnsi="Times New Roman" w:cs="Times New Roman"/>
          <w:color w:val="000000" w:themeColor="text1"/>
          <w:sz w:val="24"/>
          <w:szCs w:val="24"/>
        </w:rPr>
        <w:t xml:space="preserve"> </w:t>
      </w:r>
      <w:r w:rsidR="00C63CED" w:rsidRPr="00631CF2">
        <w:rPr>
          <w:rFonts w:ascii="Times New Roman" w:eastAsia="Times New Roman" w:hAnsi="Times New Roman" w:cs="Times New Roman"/>
          <w:sz w:val="24"/>
          <w:szCs w:val="24"/>
        </w:rPr>
        <w:t>https://doi.org/10.1002/csc2.21427</w:t>
      </w:r>
    </w:p>
    <w:p w14:paraId="5BAA7436" w14:textId="65A416E7" w:rsidR="009060BA" w:rsidRPr="00631CF2" w:rsidRDefault="5096BBF4" w:rsidP="007F0193">
      <w:pPr>
        <w:pStyle w:val="Bibliography"/>
        <w:widowControl w:val="0"/>
        <w:spacing w:after="0" w:line="480" w:lineRule="auto"/>
        <w:ind w:left="450" w:hanging="450"/>
        <w:jc w:val="both"/>
        <w:rPr>
          <w:rFonts w:ascii="Times New Roman" w:hAnsi="Times New Roman" w:cs="Times New Roman"/>
          <w:sz w:val="24"/>
          <w:szCs w:val="24"/>
        </w:rPr>
      </w:pPr>
      <w:r w:rsidRPr="00631CF2">
        <w:rPr>
          <w:rFonts w:ascii="Times New Roman" w:hAnsi="Times New Roman" w:cs="Times New Roman"/>
          <w:sz w:val="24"/>
          <w:szCs w:val="24"/>
        </w:rPr>
        <w:fldChar w:fldCharType="end"/>
      </w:r>
    </w:p>
    <w:p w14:paraId="125CE4DF" w14:textId="77777777" w:rsidR="009060BA" w:rsidRPr="00631CF2" w:rsidRDefault="009060BA" w:rsidP="007F0193">
      <w:pPr>
        <w:widowControl w:val="0"/>
        <w:spacing w:after="0" w:line="480" w:lineRule="auto"/>
        <w:rPr>
          <w:rFonts w:ascii="Times New Roman" w:hAnsi="Times New Roman" w:cs="Times New Roman"/>
          <w:sz w:val="24"/>
          <w:szCs w:val="24"/>
        </w:rPr>
      </w:pPr>
      <w:r w:rsidRPr="00631CF2">
        <w:rPr>
          <w:rFonts w:ascii="Times New Roman" w:hAnsi="Times New Roman" w:cs="Times New Roman"/>
          <w:sz w:val="24"/>
          <w:szCs w:val="24"/>
        </w:rPr>
        <w:br w:type="page"/>
      </w:r>
    </w:p>
    <w:p w14:paraId="6FA2C667" w14:textId="2CB12196" w:rsidR="005B60B4" w:rsidRPr="00631CF2" w:rsidRDefault="005B60B4" w:rsidP="007F0193">
      <w:pPr>
        <w:widowControl w:val="0"/>
        <w:spacing w:after="0" w:line="480" w:lineRule="auto"/>
        <w:jc w:val="both"/>
        <w:rPr>
          <w:rFonts w:ascii="Times New Roman" w:hAnsi="Times New Roman" w:cs="Times New Roman"/>
          <w:sz w:val="24"/>
          <w:szCs w:val="24"/>
        </w:rPr>
      </w:pPr>
      <w:r w:rsidRPr="00631CF2">
        <w:rPr>
          <w:rFonts w:ascii="Times New Roman" w:hAnsi="Times New Roman" w:cs="Times New Roman"/>
          <w:b/>
          <w:bCs/>
          <w:sz w:val="24"/>
          <w:szCs w:val="24"/>
        </w:rPr>
        <w:lastRenderedPageBreak/>
        <w:t>Table 1.</w:t>
      </w:r>
      <w:r w:rsidRPr="00631CF2">
        <w:rPr>
          <w:rFonts w:ascii="Times New Roman" w:hAnsi="Times New Roman" w:cs="Times New Roman"/>
          <w:sz w:val="24"/>
          <w:szCs w:val="24"/>
        </w:rPr>
        <w:t xml:space="preserve"> Seasonal demographic traits and tiller weight of </w:t>
      </w:r>
      <w:r w:rsidRPr="00631CF2">
        <w:rPr>
          <w:rFonts w:ascii="Times New Roman" w:hAnsi="Times New Roman" w:cs="Times New Roman"/>
          <w:i/>
          <w:iCs/>
          <w:sz w:val="24"/>
          <w:szCs w:val="24"/>
        </w:rPr>
        <w:t xml:space="preserve">Lolium </w:t>
      </w:r>
      <w:proofErr w:type="spellStart"/>
      <w:r w:rsidRPr="00631CF2">
        <w:rPr>
          <w:rFonts w:ascii="Times New Roman" w:hAnsi="Times New Roman" w:cs="Times New Roman"/>
          <w:i/>
          <w:iCs/>
          <w:sz w:val="24"/>
          <w:szCs w:val="24"/>
        </w:rPr>
        <w:t>arundinaceum</w:t>
      </w:r>
      <w:proofErr w:type="spellEnd"/>
      <w:r w:rsidRPr="00631CF2">
        <w:rPr>
          <w:rFonts w:ascii="Times New Roman" w:hAnsi="Times New Roman" w:cs="Times New Roman"/>
          <w:sz w:val="24"/>
          <w:szCs w:val="24"/>
        </w:rPr>
        <w:t xml:space="preserve"> and </w:t>
      </w:r>
      <w:r w:rsidR="004E62AF" w:rsidRPr="00631CF2">
        <w:rPr>
          <w:rFonts w:ascii="Times New Roman" w:hAnsi="Times New Roman" w:cs="Times New Roman"/>
          <w:i/>
          <w:iCs/>
          <w:color w:val="202020"/>
          <w:sz w:val="24"/>
          <w:szCs w:val="24"/>
          <w:shd w:val="clear" w:color="auto" w:fill="FFFFFF"/>
        </w:rPr>
        <w:t>Cenchrus</w:t>
      </w:r>
      <w:r w:rsidRPr="00631CF2">
        <w:rPr>
          <w:rFonts w:ascii="Times New Roman" w:hAnsi="Times New Roman" w:cs="Times New Roman"/>
          <w:i/>
          <w:iCs/>
          <w:sz w:val="24"/>
          <w:szCs w:val="24"/>
        </w:rPr>
        <w:t xml:space="preserve"> </w:t>
      </w:r>
      <w:proofErr w:type="spellStart"/>
      <w:r w:rsidRPr="00631CF2">
        <w:rPr>
          <w:rFonts w:ascii="Times New Roman" w:hAnsi="Times New Roman" w:cs="Times New Roman"/>
          <w:i/>
          <w:iCs/>
          <w:sz w:val="24"/>
          <w:szCs w:val="24"/>
        </w:rPr>
        <w:t>clandestinus</w:t>
      </w:r>
      <w:proofErr w:type="spellEnd"/>
      <w:r w:rsidRPr="00631CF2">
        <w:rPr>
          <w:rFonts w:ascii="Times New Roman" w:hAnsi="Times New Roman" w:cs="Times New Roman"/>
          <w:sz w:val="24"/>
          <w:szCs w:val="24"/>
        </w:rPr>
        <w:t xml:space="preserve"> under different grazing management treatments. Values represent means (n = 30) for tiller emergence (ET, tillers</w:t>
      </w:r>
      <w:r w:rsidR="00BF0A0B" w:rsidRPr="00631CF2">
        <w:rPr>
          <w:rFonts w:ascii="Times New Roman" w:hAnsi="Times New Roman" w:cs="Times New Roman"/>
          <w:sz w:val="24"/>
          <w:szCs w:val="24"/>
        </w:rPr>
        <w:t>/</w:t>
      </w:r>
      <w:r w:rsidRPr="00631CF2">
        <w:rPr>
          <w:rFonts w:ascii="Times New Roman" w:hAnsi="Times New Roman" w:cs="Times New Roman"/>
          <w:sz w:val="24"/>
          <w:szCs w:val="24"/>
        </w:rPr>
        <w:t>m²), tiller weight (TW, g</w:t>
      </w:r>
      <w:r w:rsidR="00BF0A0B" w:rsidRPr="00631CF2">
        <w:rPr>
          <w:rFonts w:ascii="Times New Roman" w:hAnsi="Times New Roman" w:cs="Times New Roman"/>
          <w:sz w:val="24"/>
          <w:szCs w:val="24"/>
        </w:rPr>
        <w:t>/</w:t>
      </w:r>
      <w:r w:rsidRPr="00631CF2">
        <w:rPr>
          <w:rFonts w:ascii="Times New Roman" w:hAnsi="Times New Roman" w:cs="Times New Roman"/>
          <w:sz w:val="24"/>
          <w:szCs w:val="24"/>
        </w:rPr>
        <w:t>tiller¹), tiller population density (TPD, tillers</w:t>
      </w:r>
      <w:r w:rsidR="00BF0A0B" w:rsidRPr="00631CF2">
        <w:rPr>
          <w:rFonts w:ascii="Times New Roman" w:hAnsi="Times New Roman" w:cs="Times New Roman"/>
          <w:sz w:val="24"/>
          <w:szCs w:val="24"/>
        </w:rPr>
        <w:t>/</w:t>
      </w:r>
      <w:r w:rsidRPr="00631CF2">
        <w:rPr>
          <w:rFonts w:ascii="Times New Roman" w:hAnsi="Times New Roman" w:cs="Times New Roman"/>
          <w:sz w:val="24"/>
          <w:szCs w:val="24"/>
        </w:rPr>
        <w:t>m²), and tiller lifespan (TLS, days) across summer, winter, and spring. Treatments included two pre-grazing heights (H: 15 cm and 20 cm) with or without hard spring grazing (HSG). Significance levels: ns = not significant for main effects of height (H), HSG, and their interaction (H × HSG).</w:t>
      </w:r>
    </w:p>
    <w:tbl>
      <w:tblPr>
        <w:tblW w:w="9140" w:type="dxa"/>
        <w:tblCellMar>
          <w:left w:w="70" w:type="dxa"/>
          <w:right w:w="70" w:type="dxa"/>
        </w:tblCellMar>
        <w:tblLook w:val="04A0" w:firstRow="1" w:lastRow="0" w:firstColumn="1" w:lastColumn="0" w:noHBand="0" w:noVBand="1"/>
      </w:tblPr>
      <w:tblGrid>
        <w:gridCol w:w="701"/>
        <w:gridCol w:w="954"/>
        <w:gridCol w:w="985"/>
        <w:gridCol w:w="985"/>
        <w:gridCol w:w="985"/>
        <w:gridCol w:w="985"/>
        <w:gridCol w:w="1185"/>
        <w:gridCol w:w="1180"/>
        <w:gridCol w:w="1180"/>
      </w:tblGrid>
      <w:tr w:rsidR="00AA74ED" w:rsidRPr="00631CF2" w14:paraId="36A510F4" w14:textId="77777777" w:rsidTr="00BC5D67">
        <w:trPr>
          <w:trHeight w:val="855"/>
        </w:trPr>
        <w:tc>
          <w:tcPr>
            <w:tcW w:w="640" w:type="dxa"/>
            <w:tcBorders>
              <w:top w:val="single" w:sz="4" w:space="0" w:color="auto"/>
              <w:left w:val="nil"/>
              <w:bottom w:val="single" w:sz="4" w:space="0" w:color="auto"/>
              <w:right w:val="single" w:sz="4" w:space="0" w:color="auto"/>
            </w:tcBorders>
            <w:shd w:val="clear" w:color="auto" w:fill="auto"/>
            <w:vAlign w:val="center"/>
            <w:hideMark/>
          </w:tcPr>
          <w:p w14:paraId="129C4DC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Traits</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60F2E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Season</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5394C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 cm</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7FA91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 cm HSG</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8637B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 cm</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150E7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 cm HSG</w:t>
            </w: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D9165E"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w:t>
            </w: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3BE8E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200" w:type="dxa"/>
            <w:tcBorders>
              <w:top w:val="single" w:sz="4" w:space="0" w:color="auto"/>
              <w:left w:val="single" w:sz="4" w:space="0" w:color="auto"/>
              <w:bottom w:val="single" w:sz="4" w:space="0" w:color="auto"/>
              <w:right w:val="nil"/>
            </w:tcBorders>
            <w:shd w:val="clear" w:color="auto" w:fill="auto"/>
            <w:vAlign w:val="center"/>
            <w:hideMark/>
          </w:tcPr>
          <w:p w14:paraId="76625D6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 x HSG</w:t>
            </w:r>
          </w:p>
        </w:tc>
      </w:tr>
      <w:tr w:rsidR="00AA74ED" w:rsidRPr="00631CF2" w14:paraId="42451BA7" w14:textId="77777777" w:rsidTr="00BC5D67">
        <w:trPr>
          <w:trHeight w:val="285"/>
        </w:trPr>
        <w:tc>
          <w:tcPr>
            <w:tcW w:w="1540" w:type="dxa"/>
            <w:gridSpan w:val="2"/>
            <w:tcBorders>
              <w:top w:val="single" w:sz="4" w:space="0" w:color="auto"/>
              <w:left w:val="nil"/>
              <w:bottom w:val="single" w:sz="4" w:space="0" w:color="auto"/>
              <w:right w:val="nil"/>
            </w:tcBorders>
            <w:shd w:val="clear" w:color="auto" w:fill="auto"/>
            <w:vAlign w:val="center"/>
            <w:hideMark/>
          </w:tcPr>
          <w:p w14:paraId="75883BD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w:t>
            </w:r>
          </w:p>
        </w:tc>
        <w:tc>
          <w:tcPr>
            <w:tcW w:w="4000" w:type="dxa"/>
            <w:gridSpan w:val="4"/>
            <w:tcBorders>
              <w:top w:val="single" w:sz="4" w:space="0" w:color="auto"/>
              <w:left w:val="nil"/>
              <w:bottom w:val="single" w:sz="4" w:space="0" w:color="auto"/>
              <w:right w:val="single" w:sz="4" w:space="0" w:color="auto"/>
            </w:tcBorders>
            <w:shd w:val="clear" w:color="auto" w:fill="auto"/>
            <w:vAlign w:val="center"/>
            <w:hideMark/>
          </w:tcPr>
          <w:p w14:paraId="066C1008"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 xml:space="preserve">L. </w:t>
            </w:r>
            <w:proofErr w:type="spellStart"/>
            <w:r w:rsidRPr="00631CF2">
              <w:rPr>
                <w:rFonts w:ascii="Times New Roman" w:eastAsia="Times New Roman" w:hAnsi="Times New Roman" w:cs="Times New Roman"/>
                <w:b/>
                <w:bCs/>
                <w:i/>
                <w:iCs/>
                <w:color w:val="000000"/>
                <w:sz w:val="24"/>
                <w:szCs w:val="24"/>
                <w:lang w:eastAsia="es-ES"/>
              </w:rPr>
              <w:t>arundinaceum</w:t>
            </w:r>
            <w:proofErr w:type="spellEnd"/>
          </w:p>
        </w:tc>
        <w:tc>
          <w:tcPr>
            <w:tcW w:w="3600" w:type="dxa"/>
            <w:gridSpan w:val="3"/>
            <w:tcBorders>
              <w:top w:val="single" w:sz="4" w:space="0" w:color="auto"/>
              <w:left w:val="single" w:sz="4" w:space="0" w:color="auto"/>
              <w:bottom w:val="single" w:sz="4" w:space="0" w:color="auto"/>
              <w:right w:val="nil"/>
            </w:tcBorders>
            <w:shd w:val="clear" w:color="auto" w:fill="auto"/>
            <w:vAlign w:val="center"/>
            <w:hideMark/>
          </w:tcPr>
          <w:p w14:paraId="7AAFB87A"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Significance</w:t>
            </w:r>
          </w:p>
        </w:tc>
      </w:tr>
      <w:tr w:rsidR="00AA74ED" w:rsidRPr="00631CF2" w14:paraId="2C3A2D46" w14:textId="77777777" w:rsidTr="00BC5D67">
        <w:trPr>
          <w:trHeight w:val="285"/>
        </w:trPr>
        <w:tc>
          <w:tcPr>
            <w:tcW w:w="640" w:type="dxa"/>
            <w:tcBorders>
              <w:top w:val="single" w:sz="4" w:space="0" w:color="auto"/>
              <w:left w:val="nil"/>
              <w:bottom w:val="nil"/>
              <w:right w:val="nil"/>
            </w:tcBorders>
            <w:shd w:val="clear" w:color="auto" w:fill="auto"/>
            <w:vAlign w:val="center"/>
            <w:hideMark/>
          </w:tcPr>
          <w:p w14:paraId="7042AEE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ET</w:t>
            </w:r>
          </w:p>
        </w:tc>
        <w:tc>
          <w:tcPr>
            <w:tcW w:w="9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93CE0EF"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Summer</w:t>
            </w:r>
          </w:p>
        </w:tc>
        <w:tc>
          <w:tcPr>
            <w:tcW w:w="1000" w:type="dxa"/>
            <w:tcBorders>
              <w:top w:val="single" w:sz="4" w:space="0" w:color="auto"/>
              <w:left w:val="nil"/>
              <w:bottom w:val="nil"/>
              <w:right w:val="nil"/>
            </w:tcBorders>
            <w:shd w:val="clear" w:color="auto" w:fill="auto"/>
            <w:vAlign w:val="center"/>
            <w:hideMark/>
          </w:tcPr>
          <w:p w14:paraId="3F8E04F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239</w:t>
            </w:r>
          </w:p>
        </w:tc>
        <w:tc>
          <w:tcPr>
            <w:tcW w:w="1000" w:type="dxa"/>
            <w:tcBorders>
              <w:top w:val="single" w:sz="4" w:space="0" w:color="auto"/>
              <w:left w:val="nil"/>
              <w:bottom w:val="nil"/>
              <w:right w:val="nil"/>
            </w:tcBorders>
            <w:shd w:val="clear" w:color="auto" w:fill="auto"/>
            <w:vAlign w:val="center"/>
            <w:hideMark/>
          </w:tcPr>
          <w:p w14:paraId="4661774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141</w:t>
            </w:r>
          </w:p>
        </w:tc>
        <w:tc>
          <w:tcPr>
            <w:tcW w:w="1000" w:type="dxa"/>
            <w:tcBorders>
              <w:top w:val="single" w:sz="4" w:space="0" w:color="auto"/>
              <w:left w:val="nil"/>
              <w:bottom w:val="nil"/>
              <w:right w:val="nil"/>
            </w:tcBorders>
            <w:shd w:val="clear" w:color="auto" w:fill="auto"/>
            <w:vAlign w:val="center"/>
            <w:hideMark/>
          </w:tcPr>
          <w:p w14:paraId="2428FEA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126</w:t>
            </w:r>
          </w:p>
        </w:tc>
        <w:tc>
          <w:tcPr>
            <w:tcW w:w="1000" w:type="dxa"/>
            <w:tcBorders>
              <w:top w:val="single" w:sz="4" w:space="0" w:color="auto"/>
              <w:left w:val="nil"/>
              <w:bottom w:val="nil"/>
              <w:right w:val="single" w:sz="4" w:space="0" w:color="auto"/>
            </w:tcBorders>
            <w:shd w:val="clear" w:color="auto" w:fill="auto"/>
            <w:vAlign w:val="center"/>
            <w:hideMark/>
          </w:tcPr>
          <w:p w14:paraId="53BE718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149</w:t>
            </w:r>
          </w:p>
        </w:tc>
        <w:tc>
          <w:tcPr>
            <w:tcW w:w="1200" w:type="dxa"/>
            <w:tcBorders>
              <w:top w:val="single" w:sz="4" w:space="0" w:color="auto"/>
              <w:left w:val="single" w:sz="4" w:space="0" w:color="auto"/>
              <w:bottom w:val="nil"/>
              <w:right w:val="nil"/>
            </w:tcBorders>
            <w:shd w:val="clear" w:color="auto" w:fill="auto"/>
            <w:vAlign w:val="center"/>
            <w:hideMark/>
          </w:tcPr>
          <w:p w14:paraId="4C15797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6EE0CF7F"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4185271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AA74ED" w:rsidRPr="00631CF2" w14:paraId="7BC3EBD2" w14:textId="77777777" w:rsidTr="00BC5D67">
        <w:trPr>
          <w:trHeight w:val="285"/>
        </w:trPr>
        <w:tc>
          <w:tcPr>
            <w:tcW w:w="640" w:type="dxa"/>
            <w:tcBorders>
              <w:top w:val="nil"/>
              <w:left w:val="nil"/>
              <w:bottom w:val="nil"/>
              <w:right w:val="nil"/>
            </w:tcBorders>
            <w:shd w:val="clear" w:color="auto" w:fill="auto"/>
            <w:vAlign w:val="center"/>
            <w:hideMark/>
          </w:tcPr>
          <w:p w14:paraId="4EE7909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TLS</w:t>
            </w:r>
          </w:p>
        </w:tc>
        <w:tc>
          <w:tcPr>
            <w:tcW w:w="900" w:type="dxa"/>
            <w:vMerge/>
            <w:tcBorders>
              <w:top w:val="nil"/>
              <w:left w:val="single" w:sz="4" w:space="0" w:color="auto"/>
              <w:bottom w:val="single" w:sz="4" w:space="0" w:color="000000"/>
              <w:right w:val="single" w:sz="4" w:space="0" w:color="auto"/>
            </w:tcBorders>
            <w:vAlign w:val="center"/>
            <w:hideMark/>
          </w:tcPr>
          <w:p w14:paraId="24A22F72"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nil"/>
              <w:bottom w:val="nil"/>
              <w:right w:val="nil"/>
            </w:tcBorders>
            <w:shd w:val="clear" w:color="auto" w:fill="auto"/>
            <w:vAlign w:val="center"/>
            <w:hideMark/>
          </w:tcPr>
          <w:p w14:paraId="7D02EC4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68.3</w:t>
            </w:r>
          </w:p>
        </w:tc>
        <w:tc>
          <w:tcPr>
            <w:tcW w:w="1000" w:type="dxa"/>
            <w:tcBorders>
              <w:top w:val="nil"/>
              <w:left w:val="nil"/>
              <w:bottom w:val="nil"/>
              <w:right w:val="nil"/>
            </w:tcBorders>
            <w:shd w:val="clear" w:color="auto" w:fill="auto"/>
            <w:vAlign w:val="center"/>
            <w:hideMark/>
          </w:tcPr>
          <w:p w14:paraId="74300F2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100</w:t>
            </w:r>
          </w:p>
        </w:tc>
        <w:tc>
          <w:tcPr>
            <w:tcW w:w="1000" w:type="dxa"/>
            <w:tcBorders>
              <w:top w:val="nil"/>
              <w:left w:val="nil"/>
              <w:bottom w:val="nil"/>
              <w:right w:val="nil"/>
            </w:tcBorders>
            <w:shd w:val="clear" w:color="auto" w:fill="auto"/>
            <w:vAlign w:val="center"/>
            <w:hideMark/>
          </w:tcPr>
          <w:p w14:paraId="72C31D0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101</w:t>
            </w:r>
          </w:p>
        </w:tc>
        <w:tc>
          <w:tcPr>
            <w:tcW w:w="1000" w:type="dxa"/>
            <w:tcBorders>
              <w:top w:val="nil"/>
              <w:left w:val="nil"/>
              <w:bottom w:val="nil"/>
              <w:right w:val="single" w:sz="4" w:space="0" w:color="auto"/>
            </w:tcBorders>
            <w:shd w:val="clear" w:color="auto" w:fill="auto"/>
            <w:vAlign w:val="center"/>
            <w:hideMark/>
          </w:tcPr>
          <w:p w14:paraId="423D236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106</w:t>
            </w:r>
          </w:p>
        </w:tc>
        <w:tc>
          <w:tcPr>
            <w:tcW w:w="1200" w:type="dxa"/>
            <w:tcBorders>
              <w:top w:val="nil"/>
              <w:left w:val="single" w:sz="4" w:space="0" w:color="auto"/>
              <w:bottom w:val="nil"/>
              <w:right w:val="nil"/>
            </w:tcBorders>
            <w:shd w:val="clear" w:color="auto" w:fill="auto"/>
            <w:vAlign w:val="center"/>
            <w:hideMark/>
          </w:tcPr>
          <w:p w14:paraId="3E84177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&lt;0.01</w:t>
            </w:r>
          </w:p>
        </w:tc>
        <w:tc>
          <w:tcPr>
            <w:tcW w:w="1200" w:type="dxa"/>
            <w:tcBorders>
              <w:top w:val="nil"/>
              <w:left w:val="nil"/>
              <w:bottom w:val="nil"/>
              <w:right w:val="nil"/>
            </w:tcBorders>
            <w:shd w:val="clear" w:color="auto" w:fill="auto"/>
            <w:vAlign w:val="center"/>
            <w:hideMark/>
          </w:tcPr>
          <w:p w14:paraId="6C85CD8E"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&lt;0.01</w:t>
            </w:r>
          </w:p>
        </w:tc>
        <w:tc>
          <w:tcPr>
            <w:tcW w:w="1200" w:type="dxa"/>
            <w:tcBorders>
              <w:top w:val="nil"/>
              <w:left w:val="nil"/>
              <w:bottom w:val="nil"/>
              <w:right w:val="nil"/>
            </w:tcBorders>
            <w:shd w:val="clear" w:color="auto" w:fill="auto"/>
            <w:vAlign w:val="center"/>
            <w:hideMark/>
          </w:tcPr>
          <w:p w14:paraId="642BB4C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&lt;0.05</w:t>
            </w:r>
          </w:p>
        </w:tc>
      </w:tr>
      <w:tr w:rsidR="00AA74ED" w:rsidRPr="00631CF2" w14:paraId="2F86140A" w14:textId="77777777" w:rsidTr="00BC5D67">
        <w:trPr>
          <w:trHeight w:val="285"/>
        </w:trPr>
        <w:tc>
          <w:tcPr>
            <w:tcW w:w="640" w:type="dxa"/>
            <w:tcBorders>
              <w:top w:val="nil"/>
              <w:left w:val="nil"/>
              <w:bottom w:val="nil"/>
              <w:right w:val="nil"/>
            </w:tcBorders>
            <w:shd w:val="clear" w:color="auto" w:fill="auto"/>
            <w:vAlign w:val="center"/>
            <w:hideMark/>
          </w:tcPr>
          <w:p w14:paraId="263ABED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TW</w:t>
            </w:r>
          </w:p>
        </w:tc>
        <w:tc>
          <w:tcPr>
            <w:tcW w:w="900" w:type="dxa"/>
            <w:vMerge/>
            <w:tcBorders>
              <w:top w:val="nil"/>
              <w:left w:val="single" w:sz="4" w:space="0" w:color="auto"/>
              <w:bottom w:val="single" w:sz="4" w:space="0" w:color="000000"/>
              <w:right w:val="single" w:sz="4" w:space="0" w:color="auto"/>
            </w:tcBorders>
            <w:vAlign w:val="center"/>
            <w:hideMark/>
          </w:tcPr>
          <w:p w14:paraId="36B81925"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nil"/>
              <w:bottom w:val="nil"/>
              <w:right w:val="nil"/>
            </w:tcBorders>
            <w:shd w:val="clear" w:color="auto" w:fill="auto"/>
            <w:vAlign w:val="center"/>
            <w:hideMark/>
          </w:tcPr>
          <w:p w14:paraId="4FA96E8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0.11</w:t>
            </w:r>
          </w:p>
        </w:tc>
        <w:tc>
          <w:tcPr>
            <w:tcW w:w="1000" w:type="dxa"/>
            <w:tcBorders>
              <w:top w:val="nil"/>
              <w:left w:val="nil"/>
              <w:bottom w:val="nil"/>
              <w:right w:val="nil"/>
            </w:tcBorders>
            <w:shd w:val="clear" w:color="auto" w:fill="auto"/>
            <w:vAlign w:val="center"/>
            <w:hideMark/>
          </w:tcPr>
          <w:p w14:paraId="3201A22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0.11</w:t>
            </w:r>
          </w:p>
        </w:tc>
        <w:tc>
          <w:tcPr>
            <w:tcW w:w="1000" w:type="dxa"/>
            <w:tcBorders>
              <w:top w:val="nil"/>
              <w:left w:val="nil"/>
              <w:bottom w:val="nil"/>
              <w:right w:val="nil"/>
            </w:tcBorders>
            <w:shd w:val="clear" w:color="auto" w:fill="auto"/>
            <w:vAlign w:val="center"/>
            <w:hideMark/>
          </w:tcPr>
          <w:p w14:paraId="03B5C69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0.16</w:t>
            </w:r>
          </w:p>
        </w:tc>
        <w:tc>
          <w:tcPr>
            <w:tcW w:w="1000" w:type="dxa"/>
            <w:tcBorders>
              <w:top w:val="nil"/>
              <w:left w:val="nil"/>
              <w:bottom w:val="nil"/>
              <w:right w:val="single" w:sz="4" w:space="0" w:color="auto"/>
            </w:tcBorders>
            <w:shd w:val="clear" w:color="auto" w:fill="auto"/>
            <w:vAlign w:val="center"/>
            <w:hideMark/>
          </w:tcPr>
          <w:p w14:paraId="6F8FAF2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0.14</w:t>
            </w:r>
          </w:p>
        </w:tc>
        <w:tc>
          <w:tcPr>
            <w:tcW w:w="1200" w:type="dxa"/>
            <w:tcBorders>
              <w:top w:val="nil"/>
              <w:left w:val="single" w:sz="4" w:space="0" w:color="auto"/>
              <w:bottom w:val="nil"/>
              <w:right w:val="nil"/>
            </w:tcBorders>
            <w:shd w:val="clear" w:color="auto" w:fill="auto"/>
            <w:vAlign w:val="center"/>
            <w:hideMark/>
          </w:tcPr>
          <w:p w14:paraId="7640068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&lt;0.001</w:t>
            </w:r>
          </w:p>
        </w:tc>
        <w:tc>
          <w:tcPr>
            <w:tcW w:w="1200" w:type="dxa"/>
            <w:tcBorders>
              <w:top w:val="nil"/>
              <w:left w:val="nil"/>
              <w:bottom w:val="nil"/>
              <w:right w:val="nil"/>
            </w:tcBorders>
            <w:shd w:val="clear" w:color="auto" w:fill="auto"/>
            <w:vAlign w:val="center"/>
            <w:hideMark/>
          </w:tcPr>
          <w:p w14:paraId="1148018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nil"/>
              <w:right w:val="nil"/>
            </w:tcBorders>
            <w:shd w:val="clear" w:color="auto" w:fill="auto"/>
            <w:vAlign w:val="center"/>
            <w:hideMark/>
          </w:tcPr>
          <w:p w14:paraId="126E60D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AA74ED" w:rsidRPr="00631CF2" w14:paraId="38B1FFB6" w14:textId="77777777" w:rsidTr="00BC5D67">
        <w:trPr>
          <w:trHeight w:val="285"/>
        </w:trPr>
        <w:tc>
          <w:tcPr>
            <w:tcW w:w="640" w:type="dxa"/>
            <w:tcBorders>
              <w:top w:val="nil"/>
              <w:left w:val="nil"/>
              <w:bottom w:val="nil"/>
              <w:right w:val="nil"/>
            </w:tcBorders>
            <w:shd w:val="clear" w:color="auto" w:fill="auto"/>
            <w:vAlign w:val="center"/>
            <w:hideMark/>
          </w:tcPr>
          <w:p w14:paraId="45BB87BE"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TPD</w:t>
            </w:r>
          </w:p>
        </w:tc>
        <w:tc>
          <w:tcPr>
            <w:tcW w:w="900" w:type="dxa"/>
            <w:vMerge/>
            <w:tcBorders>
              <w:top w:val="nil"/>
              <w:left w:val="single" w:sz="4" w:space="0" w:color="auto"/>
              <w:bottom w:val="single" w:sz="4" w:space="0" w:color="000000"/>
              <w:right w:val="single" w:sz="4" w:space="0" w:color="auto"/>
            </w:tcBorders>
            <w:vAlign w:val="center"/>
            <w:hideMark/>
          </w:tcPr>
          <w:p w14:paraId="46536222"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nil"/>
              <w:bottom w:val="single" w:sz="4" w:space="0" w:color="auto"/>
              <w:right w:val="nil"/>
            </w:tcBorders>
            <w:shd w:val="clear" w:color="auto" w:fill="auto"/>
            <w:vAlign w:val="center"/>
            <w:hideMark/>
          </w:tcPr>
          <w:p w14:paraId="07E8919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862</w:t>
            </w:r>
          </w:p>
        </w:tc>
        <w:tc>
          <w:tcPr>
            <w:tcW w:w="1000" w:type="dxa"/>
            <w:tcBorders>
              <w:top w:val="nil"/>
              <w:left w:val="nil"/>
              <w:bottom w:val="single" w:sz="4" w:space="0" w:color="auto"/>
              <w:right w:val="nil"/>
            </w:tcBorders>
            <w:shd w:val="clear" w:color="auto" w:fill="auto"/>
            <w:vAlign w:val="center"/>
            <w:hideMark/>
          </w:tcPr>
          <w:p w14:paraId="0025FC2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724</w:t>
            </w:r>
          </w:p>
        </w:tc>
        <w:tc>
          <w:tcPr>
            <w:tcW w:w="1000" w:type="dxa"/>
            <w:tcBorders>
              <w:top w:val="nil"/>
              <w:left w:val="nil"/>
              <w:bottom w:val="single" w:sz="4" w:space="0" w:color="auto"/>
              <w:right w:val="nil"/>
            </w:tcBorders>
            <w:shd w:val="clear" w:color="auto" w:fill="auto"/>
            <w:vAlign w:val="center"/>
            <w:hideMark/>
          </w:tcPr>
          <w:p w14:paraId="4C47947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954</w:t>
            </w:r>
          </w:p>
        </w:tc>
        <w:tc>
          <w:tcPr>
            <w:tcW w:w="1000" w:type="dxa"/>
            <w:tcBorders>
              <w:top w:val="nil"/>
              <w:left w:val="nil"/>
              <w:bottom w:val="single" w:sz="4" w:space="0" w:color="auto"/>
              <w:right w:val="single" w:sz="4" w:space="0" w:color="auto"/>
            </w:tcBorders>
            <w:shd w:val="clear" w:color="auto" w:fill="auto"/>
            <w:vAlign w:val="center"/>
            <w:hideMark/>
          </w:tcPr>
          <w:p w14:paraId="7117CF2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719</w:t>
            </w:r>
          </w:p>
        </w:tc>
        <w:tc>
          <w:tcPr>
            <w:tcW w:w="1200" w:type="dxa"/>
            <w:tcBorders>
              <w:top w:val="nil"/>
              <w:left w:val="single" w:sz="4" w:space="0" w:color="auto"/>
              <w:bottom w:val="single" w:sz="4" w:space="0" w:color="auto"/>
              <w:right w:val="nil"/>
            </w:tcBorders>
            <w:shd w:val="clear" w:color="auto" w:fill="auto"/>
            <w:vAlign w:val="center"/>
            <w:hideMark/>
          </w:tcPr>
          <w:p w14:paraId="39731AA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single" w:sz="4" w:space="0" w:color="auto"/>
              <w:right w:val="nil"/>
            </w:tcBorders>
            <w:shd w:val="clear" w:color="auto" w:fill="auto"/>
            <w:vAlign w:val="center"/>
            <w:hideMark/>
          </w:tcPr>
          <w:p w14:paraId="0FD272E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&lt;0.01</w:t>
            </w:r>
          </w:p>
        </w:tc>
        <w:tc>
          <w:tcPr>
            <w:tcW w:w="1200" w:type="dxa"/>
            <w:tcBorders>
              <w:top w:val="nil"/>
              <w:left w:val="nil"/>
              <w:bottom w:val="single" w:sz="4" w:space="0" w:color="auto"/>
              <w:right w:val="nil"/>
            </w:tcBorders>
            <w:shd w:val="clear" w:color="auto" w:fill="auto"/>
            <w:vAlign w:val="center"/>
            <w:hideMark/>
          </w:tcPr>
          <w:p w14:paraId="178DDF0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AA74ED" w:rsidRPr="00631CF2" w14:paraId="4B1ADEDA" w14:textId="77777777" w:rsidTr="00BC5D67">
        <w:trPr>
          <w:trHeight w:val="285"/>
        </w:trPr>
        <w:tc>
          <w:tcPr>
            <w:tcW w:w="640" w:type="dxa"/>
            <w:tcBorders>
              <w:top w:val="nil"/>
              <w:left w:val="nil"/>
              <w:bottom w:val="nil"/>
              <w:right w:val="nil"/>
            </w:tcBorders>
            <w:shd w:val="clear" w:color="auto" w:fill="auto"/>
            <w:vAlign w:val="center"/>
            <w:hideMark/>
          </w:tcPr>
          <w:p w14:paraId="1FABBFB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p>
        </w:tc>
        <w:tc>
          <w:tcPr>
            <w:tcW w:w="900" w:type="dxa"/>
            <w:vMerge/>
            <w:tcBorders>
              <w:top w:val="nil"/>
              <w:left w:val="single" w:sz="4" w:space="0" w:color="auto"/>
              <w:bottom w:val="single" w:sz="4" w:space="0" w:color="000000"/>
              <w:right w:val="single" w:sz="4" w:space="0" w:color="auto"/>
            </w:tcBorders>
            <w:vAlign w:val="center"/>
            <w:hideMark/>
          </w:tcPr>
          <w:p w14:paraId="1AE7683D"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4000" w:type="dxa"/>
            <w:gridSpan w:val="4"/>
            <w:tcBorders>
              <w:top w:val="single" w:sz="4" w:space="0" w:color="auto"/>
              <w:left w:val="nil"/>
              <w:bottom w:val="single" w:sz="4" w:space="0" w:color="auto"/>
              <w:right w:val="single" w:sz="4" w:space="0" w:color="auto"/>
            </w:tcBorders>
            <w:shd w:val="clear" w:color="auto" w:fill="auto"/>
            <w:vAlign w:val="center"/>
            <w:hideMark/>
          </w:tcPr>
          <w:p w14:paraId="3A96B6F0"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 xml:space="preserve">C. </w:t>
            </w:r>
            <w:proofErr w:type="spellStart"/>
            <w:r w:rsidRPr="00631CF2">
              <w:rPr>
                <w:rFonts w:ascii="Times New Roman" w:eastAsia="Times New Roman" w:hAnsi="Times New Roman" w:cs="Times New Roman"/>
                <w:b/>
                <w:bCs/>
                <w:i/>
                <w:iCs/>
                <w:color w:val="000000"/>
                <w:sz w:val="24"/>
                <w:szCs w:val="24"/>
                <w:lang w:eastAsia="es-ES"/>
              </w:rPr>
              <w:t>clandestinus</w:t>
            </w:r>
            <w:proofErr w:type="spellEnd"/>
          </w:p>
        </w:tc>
        <w:tc>
          <w:tcPr>
            <w:tcW w:w="3600" w:type="dxa"/>
            <w:gridSpan w:val="3"/>
            <w:tcBorders>
              <w:top w:val="single" w:sz="4" w:space="0" w:color="auto"/>
              <w:left w:val="single" w:sz="4" w:space="0" w:color="auto"/>
              <w:bottom w:val="single" w:sz="4" w:space="0" w:color="auto"/>
              <w:right w:val="nil"/>
            </w:tcBorders>
            <w:shd w:val="clear" w:color="auto" w:fill="auto"/>
            <w:vAlign w:val="center"/>
            <w:hideMark/>
          </w:tcPr>
          <w:p w14:paraId="42F4F9AB"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Significance</w:t>
            </w:r>
          </w:p>
        </w:tc>
      </w:tr>
      <w:tr w:rsidR="00AA74ED" w:rsidRPr="00631CF2" w14:paraId="0B730F6B" w14:textId="77777777" w:rsidTr="00BC5D67">
        <w:trPr>
          <w:trHeight w:val="285"/>
        </w:trPr>
        <w:tc>
          <w:tcPr>
            <w:tcW w:w="640" w:type="dxa"/>
            <w:tcBorders>
              <w:top w:val="nil"/>
              <w:left w:val="nil"/>
              <w:bottom w:val="nil"/>
              <w:right w:val="nil"/>
            </w:tcBorders>
            <w:shd w:val="clear" w:color="auto" w:fill="auto"/>
            <w:vAlign w:val="center"/>
            <w:hideMark/>
          </w:tcPr>
          <w:p w14:paraId="60E420D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ET</w:t>
            </w:r>
          </w:p>
        </w:tc>
        <w:tc>
          <w:tcPr>
            <w:tcW w:w="900" w:type="dxa"/>
            <w:vMerge/>
            <w:tcBorders>
              <w:top w:val="nil"/>
              <w:left w:val="single" w:sz="4" w:space="0" w:color="auto"/>
              <w:bottom w:val="single" w:sz="4" w:space="0" w:color="000000"/>
              <w:right w:val="single" w:sz="4" w:space="0" w:color="auto"/>
            </w:tcBorders>
            <w:vAlign w:val="center"/>
            <w:hideMark/>
          </w:tcPr>
          <w:p w14:paraId="2ACCDB88"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single" w:sz="4" w:space="0" w:color="auto"/>
              <w:left w:val="nil"/>
              <w:bottom w:val="nil"/>
              <w:right w:val="nil"/>
            </w:tcBorders>
            <w:shd w:val="clear" w:color="auto" w:fill="auto"/>
            <w:vAlign w:val="center"/>
            <w:hideMark/>
          </w:tcPr>
          <w:p w14:paraId="100EBAD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976</w:t>
            </w:r>
          </w:p>
        </w:tc>
        <w:tc>
          <w:tcPr>
            <w:tcW w:w="1000" w:type="dxa"/>
            <w:tcBorders>
              <w:top w:val="single" w:sz="4" w:space="0" w:color="auto"/>
              <w:left w:val="nil"/>
              <w:bottom w:val="nil"/>
              <w:right w:val="nil"/>
            </w:tcBorders>
            <w:shd w:val="clear" w:color="auto" w:fill="auto"/>
            <w:vAlign w:val="center"/>
            <w:hideMark/>
          </w:tcPr>
          <w:p w14:paraId="20217F3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716</w:t>
            </w:r>
          </w:p>
        </w:tc>
        <w:tc>
          <w:tcPr>
            <w:tcW w:w="1000" w:type="dxa"/>
            <w:tcBorders>
              <w:top w:val="single" w:sz="4" w:space="0" w:color="auto"/>
              <w:left w:val="nil"/>
              <w:bottom w:val="nil"/>
              <w:right w:val="nil"/>
            </w:tcBorders>
            <w:shd w:val="clear" w:color="auto" w:fill="auto"/>
            <w:vAlign w:val="center"/>
            <w:hideMark/>
          </w:tcPr>
          <w:p w14:paraId="4019A5D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879</w:t>
            </w:r>
          </w:p>
        </w:tc>
        <w:tc>
          <w:tcPr>
            <w:tcW w:w="1000" w:type="dxa"/>
            <w:tcBorders>
              <w:top w:val="single" w:sz="4" w:space="0" w:color="auto"/>
              <w:left w:val="nil"/>
              <w:bottom w:val="nil"/>
              <w:right w:val="single" w:sz="4" w:space="0" w:color="auto"/>
            </w:tcBorders>
            <w:shd w:val="clear" w:color="auto" w:fill="auto"/>
            <w:vAlign w:val="center"/>
            <w:hideMark/>
          </w:tcPr>
          <w:p w14:paraId="32FCDD1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957</w:t>
            </w:r>
          </w:p>
        </w:tc>
        <w:tc>
          <w:tcPr>
            <w:tcW w:w="1200" w:type="dxa"/>
            <w:tcBorders>
              <w:top w:val="single" w:sz="4" w:space="0" w:color="auto"/>
              <w:left w:val="single" w:sz="4" w:space="0" w:color="auto"/>
              <w:bottom w:val="nil"/>
              <w:right w:val="nil"/>
            </w:tcBorders>
            <w:shd w:val="clear" w:color="auto" w:fill="auto"/>
            <w:vAlign w:val="center"/>
            <w:hideMark/>
          </w:tcPr>
          <w:p w14:paraId="29B9771F"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4B1B9E9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7DA0589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AA74ED" w:rsidRPr="00631CF2" w14:paraId="5F8037BB" w14:textId="77777777" w:rsidTr="00BC5D67">
        <w:trPr>
          <w:trHeight w:val="285"/>
        </w:trPr>
        <w:tc>
          <w:tcPr>
            <w:tcW w:w="640" w:type="dxa"/>
            <w:tcBorders>
              <w:top w:val="nil"/>
              <w:left w:val="nil"/>
              <w:bottom w:val="nil"/>
              <w:right w:val="nil"/>
            </w:tcBorders>
            <w:shd w:val="clear" w:color="auto" w:fill="auto"/>
            <w:vAlign w:val="center"/>
            <w:hideMark/>
          </w:tcPr>
          <w:p w14:paraId="582333D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TLS</w:t>
            </w:r>
          </w:p>
        </w:tc>
        <w:tc>
          <w:tcPr>
            <w:tcW w:w="900" w:type="dxa"/>
            <w:vMerge/>
            <w:tcBorders>
              <w:top w:val="nil"/>
              <w:left w:val="single" w:sz="4" w:space="0" w:color="auto"/>
              <w:bottom w:val="single" w:sz="4" w:space="0" w:color="000000"/>
              <w:right w:val="single" w:sz="4" w:space="0" w:color="auto"/>
            </w:tcBorders>
            <w:vAlign w:val="center"/>
            <w:hideMark/>
          </w:tcPr>
          <w:p w14:paraId="5988B33E"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nil"/>
              <w:bottom w:val="nil"/>
              <w:right w:val="nil"/>
            </w:tcBorders>
            <w:shd w:val="clear" w:color="auto" w:fill="auto"/>
            <w:vAlign w:val="center"/>
            <w:hideMark/>
          </w:tcPr>
          <w:p w14:paraId="6C51403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38</w:t>
            </w:r>
          </w:p>
        </w:tc>
        <w:tc>
          <w:tcPr>
            <w:tcW w:w="1000" w:type="dxa"/>
            <w:tcBorders>
              <w:top w:val="nil"/>
              <w:left w:val="nil"/>
              <w:bottom w:val="nil"/>
              <w:right w:val="nil"/>
            </w:tcBorders>
            <w:shd w:val="clear" w:color="auto" w:fill="auto"/>
            <w:vAlign w:val="center"/>
            <w:hideMark/>
          </w:tcPr>
          <w:p w14:paraId="04187C8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44.7</w:t>
            </w:r>
          </w:p>
        </w:tc>
        <w:tc>
          <w:tcPr>
            <w:tcW w:w="1000" w:type="dxa"/>
            <w:tcBorders>
              <w:top w:val="nil"/>
              <w:left w:val="nil"/>
              <w:bottom w:val="nil"/>
              <w:right w:val="nil"/>
            </w:tcBorders>
            <w:shd w:val="clear" w:color="auto" w:fill="auto"/>
            <w:vAlign w:val="center"/>
            <w:hideMark/>
          </w:tcPr>
          <w:p w14:paraId="3A6D3F8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43.1</w:t>
            </w:r>
          </w:p>
        </w:tc>
        <w:tc>
          <w:tcPr>
            <w:tcW w:w="1000" w:type="dxa"/>
            <w:tcBorders>
              <w:top w:val="nil"/>
              <w:left w:val="nil"/>
              <w:bottom w:val="nil"/>
              <w:right w:val="single" w:sz="4" w:space="0" w:color="auto"/>
            </w:tcBorders>
            <w:shd w:val="clear" w:color="auto" w:fill="auto"/>
            <w:vAlign w:val="center"/>
            <w:hideMark/>
          </w:tcPr>
          <w:p w14:paraId="0C29D4C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42.2</w:t>
            </w:r>
          </w:p>
        </w:tc>
        <w:tc>
          <w:tcPr>
            <w:tcW w:w="1200" w:type="dxa"/>
            <w:tcBorders>
              <w:top w:val="nil"/>
              <w:left w:val="single" w:sz="4" w:space="0" w:color="auto"/>
              <w:bottom w:val="nil"/>
              <w:right w:val="nil"/>
            </w:tcBorders>
            <w:shd w:val="clear" w:color="auto" w:fill="auto"/>
            <w:vAlign w:val="center"/>
            <w:hideMark/>
          </w:tcPr>
          <w:p w14:paraId="3BD5013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nil"/>
              <w:right w:val="nil"/>
            </w:tcBorders>
            <w:shd w:val="clear" w:color="auto" w:fill="auto"/>
            <w:vAlign w:val="center"/>
            <w:hideMark/>
          </w:tcPr>
          <w:p w14:paraId="759C0E1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nil"/>
              <w:right w:val="nil"/>
            </w:tcBorders>
            <w:shd w:val="clear" w:color="auto" w:fill="auto"/>
            <w:vAlign w:val="center"/>
            <w:hideMark/>
          </w:tcPr>
          <w:p w14:paraId="7ED57F4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AA74ED" w:rsidRPr="00631CF2" w14:paraId="121BFF29" w14:textId="77777777" w:rsidTr="00BC5D67">
        <w:trPr>
          <w:trHeight w:val="285"/>
        </w:trPr>
        <w:tc>
          <w:tcPr>
            <w:tcW w:w="640" w:type="dxa"/>
            <w:tcBorders>
              <w:top w:val="nil"/>
              <w:left w:val="nil"/>
              <w:bottom w:val="nil"/>
              <w:right w:val="nil"/>
            </w:tcBorders>
            <w:shd w:val="clear" w:color="auto" w:fill="auto"/>
            <w:vAlign w:val="center"/>
            <w:hideMark/>
          </w:tcPr>
          <w:p w14:paraId="54E6EDA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TW</w:t>
            </w:r>
          </w:p>
        </w:tc>
        <w:tc>
          <w:tcPr>
            <w:tcW w:w="900" w:type="dxa"/>
            <w:vMerge/>
            <w:tcBorders>
              <w:top w:val="nil"/>
              <w:left w:val="single" w:sz="4" w:space="0" w:color="auto"/>
              <w:bottom w:val="single" w:sz="4" w:space="0" w:color="000000"/>
              <w:right w:val="single" w:sz="4" w:space="0" w:color="auto"/>
            </w:tcBorders>
            <w:vAlign w:val="center"/>
            <w:hideMark/>
          </w:tcPr>
          <w:p w14:paraId="3A380F03"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nil"/>
              <w:bottom w:val="nil"/>
              <w:right w:val="nil"/>
            </w:tcBorders>
            <w:shd w:val="clear" w:color="auto" w:fill="auto"/>
            <w:vAlign w:val="center"/>
            <w:hideMark/>
          </w:tcPr>
          <w:p w14:paraId="13A4BCC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0.06</w:t>
            </w:r>
          </w:p>
        </w:tc>
        <w:tc>
          <w:tcPr>
            <w:tcW w:w="1000" w:type="dxa"/>
            <w:tcBorders>
              <w:top w:val="nil"/>
              <w:left w:val="nil"/>
              <w:bottom w:val="nil"/>
              <w:right w:val="nil"/>
            </w:tcBorders>
            <w:shd w:val="clear" w:color="auto" w:fill="auto"/>
            <w:vAlign w:val="center"/>
            <w:hideMark/>
          </w:tcPr>
          <w:p w14:paraId="31EB249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0.06</w:t>
            </w:r>
          </w:p>
        </w:tc>
        <w:tc>
          <w:tcPr>
            <w:tcW w:w="1000" w:type="dxa"/>
            <w:tcBorders>
              <w:top w:val="nil"/>
              <w:left w:val="nil"/>
              <w:bottom w:val="nil"/>
              <w:right w:val="nil"/>
            </w:tcBorders>
            <w:shd w:val="clear" w:color="auto" w:fill="auto"/>
            <w:vAlign w:val="center"/>
            <w:hideMark/>
          </w:tcPr>
          <w:p w14:paraId="24E6955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0.07</w:t>
            </w:r>
          </w:p>
        </w:tc>
        <w:tc>
          <w:tcPr>
            <w:tcW w:w="1000" w:type="dxa"/>
            <w:tcBorders>
              <w:top w:val="nil"/>
              <w:left w:val="nil"/>
              <w:bottom w:val="nil"/>
              <w:right w:val="single" w:sz="4" w:space="0" w:color="auto"/>
            </w:tcBorders>
            <w:shd w:val="clear" w:color="auto" w:fill="auto"/>
            <w:vAlign w:val="center"/>
            <w:hideMark/>
          </w:tcPr>
          <w:p w14:paraId="3CFBC2B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0.09</w:t>
            </w:r>
          </w:p>
        </w:tc>
        <w:tc>
          <w:tcPr>
            <w:tcW w:w="1200" w:type="dxa"/>
            <w:tcBorders>
              <w:top w:val="nil"/>
              <w:left w:val="single" w:sz="4" w:space="0" w:color="auto"/>
              <w:bottom w:val="nil"/>
              <w:right w:val="nil"/>
            </w:tcBorders>
            <w:shd w:val="clear" w:color="auto" w:fill="auto"/>
            <w:vAlign w:val="center"/>
            <w:hideMark/>
          </w:tcPr>
          <w:p w14:paraId="216A6C8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&lt;0.001</w:t>
            </w:r>
          </w:p>
        </w:tc>
        <w:tc>
          <w:tcPr>
            <w:tcW w:w="1200" w:type="dxa"/>
            <w:tcBorders>
              <w:top w:val="nil"/>
              <w:left w:val="nil"/>
              <w:bottom w:val="nil"/>
              <w:right w:val="nil"/>
            </w:tcBorders>
            <w:shd w:val="clear" w:color="auto" w:fill="auto"/>
            <w:vAlign w:val="center"/>
            <w:hideMark/>
          </w:tcPr>
          <w:p w14:paraId="0AD1724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&lt;0.05</w:t>
            </w:r>
          </w:p>
        </w:tc>
        <w:tc>
          <w:tcPr>
            <w:tcW w:w="1200" w:type="dxa"/>
            <w:tcBorders>
              <w:top w:val="nil"/>
              <w:left w:val="nil"/>
              <w:bottom w:val="nil"/>
              <w:right w:val="nil"/>
            </w:tcBorders>
            <w:shd w:val="clear" w:color="auto" w:fill="auto"/>
            <w:vAlign w:val="center"/>
            <w:hideMark/>
          </w:tcPr>
          <w:p w14:paraId="2019A00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AA74ED" w:rsidRPr="00631CF2" w14:paraId="3F3C83A9" w14:textId="77777777" w:rsidTr="00BC5D67">
        <w:trPr>
          <w:trHeight w:val="285"/>
        </w:trPr>
        <w:tc>
          <w:tcPr>
            <w:tcW w:w="640" w:type="dxa"/>
            <w:tcBorders>
              <w:top w:val="nil"/>
              <w:left w:val="nil"/>
              <w:bottom w:val="single" w:sz="4" w:space="0" w:color="auto"/>
              <w:right w:val="nil"/>
            </w:tcBorders>
            <w:shd w:val="clear" w:color="auto" w:fill="auto"/>
            <w:vAlign w:val="center"/>
            <w:hideMark/>
          </w:tcPr>
          <w:p w14:paraId="5718959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TPD</w:t>
            </w:r>
          </w:p>
        </w:tc>
        <w:tc>
          <w:tcPr>
            <w:tcW w:w="900" w:type="dxa"/>
            <w:vMerge/>
            <w:tcBorders>
              <w:top w:val="nil"/>
              <w:left w:val="single" w:sz="4" w:space="0" w:color="auto"/>
              <w:bottom w:val="single" w:sz="4" w:space="0" w:color="auto"/>
              <w:right w:val="single" w:sz="4" w:space="0" w:color="auto"/>
            </w:tcBorders>
            <w:vAlign w:val="center"/>
            <w:hideMark/>
          </w:tcPr>
          <w:p w14:paraId="652FCFEB"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nil"/>
              <w:bottom w:val="single" w:sz="4" w:space="0" w:color="auto"/>
              <w:right w:val="nil"/>
            </w:tcBorders>
            <w:shd w:val="clear" w:color="auto" w:fill="auto"/>
            <w:vAlign w:val="center"/>
            <w:hideMark/>
          </w:tcPr>
          <w:p w14:paraId="7648533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2759</w:t>
            </w:r>
          </w:p>
        </w:tc>
        <w:tc>
          <w:tcPr>
            <w:tcW w:w="1000" w:type="dxa"/>
            <w:tcBorders>
              <w:top w:val="nil"/>
              <w:left w:val="nil"/>
              <w:bottom w:val="single" w:sz="4" w:space="0" w:color="auto"/>
              <w:right w:val="nil"/>
            </w:tcBorders>
            <w:shd w:val="clear" w:color="auto" w:fill="auto"/>
            <w:vAlign w:val="center"/>
            <w:hideMark/>
          </w:tcPr>
          <w:p w14:paraId="4FAC836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2922</w:t>
            </w:r>
          </w:p>
        </w:tc>
        <w:tc>
          <w:tcPr>
            <w:tcW w:w="1000" w:type="dxa"/>
            <w:tcBorders>
              <w:top w:val="nil"/>
              <w:left w:val="nil"/>
              <w:bottom w:val="single" w:sz="4" w:space="0" w:color="auto"/>
              <w:right w:val="nil"/>
            </w:tcBorders>
            <w:shd w:val="clear" w:color="auto" w:fill="auto"/>
            <w:vAlign w:val="center"/>
            <w:hideMark/>
          </w:tcPr>
          <w:p w14:paraId="283AB38E"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1993</w:t>
            </w:r>
          </w:p>
        </w:tc>
        <w:tc>
          <w:tcPr>
            <w:tcW w:w="1000" w:type="dxa"/>
            <w:tcBorders>
              <w:top w:val="nil"/>
              <w:left w:val="nil"/>
              <w:bottom w:val="single" w:sz="4" w:space="0" w:color="auto"/>
              <w:right w:val="single" w:sz="4" w:space="0" w:color="auto"/>
            </w:tcBorders>
            <w:shd w:val="clear" w:color="auto" w:fill="auto"/>
            <w:vAlign w:val="center"/>
            <w:hideMark/>
          </w:tcPr>
          <w:p w14:paraId="6F0728F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2200</w:t>
            </w:r>
          </w:p>
        </w:tc>
        <w:tc>
          <w:tcPr>
            <w:tcW w:w="1200" w:type="dxa"/>
            <w:tcBorders>
              <w:top w:val="nil"/>
              <w:left w:val="single" w:sz="4" w:space="0" w:color="auto"/>
              <w:bottom w:val="single" w:sz="4" w:space="0" w:color="auto"/>
              <w:right w:val="nil"/>
            </w:tcBorders>
            <w:shd w:val="clear" w:color="auto" w:fill="auto"/>
            <w:vAlign w:val="center"/>
            <w:hideMark/>
          </w:tcPr>
          <w:p w14:paraId="00BACE5E"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&lt;0.001</w:t>
            </w:r>
          </w:p>
        </w:tc>
        <w:tc>
          <w:tcPr>
            <w:tcW w:w="1200" w:type="dxa"/>
            <w:tcBorders>
              <w:top w:val="nil"/>
              <w:left w:val="nil"/>
              <w:bottom w:val="single" w:sz="4" w:space="0" w:color="auto"/>
              <w:right w:val="nil"/>
            </w:tcBorders>
            <w:shd w:val="clear" w:color="auto" w:fill="auto"/>
            <w:vAlign w:val="center"/>
            <w:hideMark/>
          </w:tcPr>
          <w:p w14:paraId="198BA8C5"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single" w:sz="4" w:space="0" w:color="auto"/>
              <w:right w:val="nil"/>
            </w:tcBorders>
            <w:shd w:val="clear" w:color="auto" w:fill="auto"/>
            <w:vAlign w:val="center"/>
            <w:hideMark/>
          </w:tcPr>
          <w:p w14:paraId="1DD63F0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AA74ED" w:rsidRPr="00631CF2" w14:paraId="65CA042F" w14:textId="77777777" w:rsidTr="00BC5D67">
        <w:trPr>
          <w:trHeight w:val="285"/>
        </w:trPr>
        <w:tc>
          <w:tcPr>
            <w:tcW w:w="640" w:type="dxa"/>
            <w:tcBorders>
              <w:top w:val="single" w:sz="4" w:space="0" w:color="auto"/>
              <w:left w:val="nil"/>
              <w:bottom w:val="single" w:sz="4" w:space="0" w:color="auto"/>
              <w:right w:val="nil"/>
            </w:tcBorders>
            <w:shd w:val="clear" w:color="auto" w:fill="auto"/>
            <w:vAlign w:val="center"/>
            <w:hideMark/>
          </w:tcPr>
          <w:p w14:paraId="0F93CE9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w:t>
            </w:r>
          </w:p>
        </w:tc>
        <w:tc>
          <w:tcPr>
            <w:tcW w:w="900" w:type="dxa"/>
            <w:tcBorders>
              <w:top w:val="single" w:sz="4" w:space="0" w:color="auto"/>
              <w:left w:val="nil"/>
              <w:bottom w:val="single" w:sz="4" w:space="0" w:color="auto"/>
              <w:right w:val="nil"/>
            </w:tcBorders>
            <w:shd w:val="clear" w:color="auto" w:fill="auto"/>
            <w:vAlign w:val="center"/>
            <w:hideMark/>
          </w:tcPr>
          <w:p w14:paraId="346A2185"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w:t>
            </w:r>
          </w:p>
        </w:tc>
        <w:tc>
          <w:tcPr>
            <w:tcW w:w="4000" w:type="dxa"/>
            <w:gridSpan w:val="4"/>
            <w:tcBorders>
              <w:top w:val="single" w:sz="4" w:space="0" w:color="auto"/>
              <w:left w:val="nil"/>
              <w:bottom w:val="single" w:sz="4" w:space="0" w:color="auto"/>
              <w:right w:val="single" w:sz="4" w:space="0" w:color="auto"/>
            </w:tcBorders>
            <w:shd w:val="clear" w:color="auto" w:fill="auto"/>
            <w:vAlign w:val="center"/>
            <w:hideMark/>
          </w:tcPr>
          <w:p w14:paraId="6694C5E7"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 xml:space="preserve">L. </w:t>
            </w:r>
            <w:proofErr w:type="spellStart"/>
            <w:r w:rsidRPr="00631CF2">
              <w:rPr>
                <w:rFonts w:ascii="Times New Roman" w:eastAsia="Times New Roman" w:hAnsi="Times New Roman" w:cs="Times New Roman"/>
                <w:b/>
                <w:bCs/>
                <w:i/>
                <w:iCs/>
                <w:color w:val="000000"/>
                <w:sz w:val="24"/>
                <w:szCs w:val="24"/>
                <w:lang w:eastAsia="es-ES"/>
              </w:rPr>
              <w:t>arundinaceum</w:t>
            </w:r>
            <w:proofErr w:type="spellEnd"/>
          </w:p>
        </w:tc>
        <w:tc>
          <w:tcPr>
            <w:tcW w:w="3600" w:type="dxa"/>
            <w:gridSpan w:val="3"/>
            <w:tcBorders>
              <w:top w:val="single" w:sz="4" w:space="0" w:color="auto"/>
              <w:left w:val="single" w:sz="4" w:space="0" w:color="auto"/>
              <w:bottom w:val="single" w:sz="4" w:space="0" w:color="auto"/>
              <w:right w:val="nil"/>
            </w:tcBorders>
            <w:shd w:val="clear" w:color="auto" w:fill="auto"/>
            <w:vAlign w:val="center"/>
            <w:hideMark/>
          </w:tcPr>
          <w:p w14:paraId="74791FE8"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Significance</w:t>
            </w:r>
          </w:p>
        </w:tc>
      </w:tr>
      <w:tr w:rsidR="00BC5D67" w:rsidRPr="00631CF2" w14:paraId="52CAE422" w14:textId="77777777" w:rsidTr="00BC5D67">
        <w:trPr>
          <w:trHeight w:val="285"/>
        </w:trPr>
        <w:tc>
          <w:tcPr>
            <w:tcW w:w="640" w:type="dxa"/>
            <w:tcBorders>
              <w:top w:val="single" w:sz="4" w:space="0" w:color="auto"/>
              <w:left w:val="nil"/>
              <w:bottom w:val="nil"/>
              <w:right w:val="single" w:sz="4" w:space="0" w:color="auto"/>
            </w:tcBorders>
            <w:shd w:val="clear" w:color="auto" w:fill="auto"/>
            <w:vAlign w:val="center"/>
            <w:hideMark/>
          </w:tcPr>
          <w:p w14:paraId="120F777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ET</w:t>
            </w:r>
          </w:p>
        </w:tc>
        <w:tc>
          <w:tcPr>
            <w:tcW w:w="900" w:type="dxa"/>
            <w:vMerge w:val="restart"/>
            <w:tcBorders>
              <w:top w:val="single" w:sz="4" w:space="0" w:color="auto"/>
              <w:left w:val="single" w:sz="4" w:space="0" w:color="auto"/>
              <w:bottom w:val="nil"/>
              <w:right w:val="single" w:sz="4" w:space="0" w:color="auto"/>
            </w:tcBorders>
            <w:shd w:val="clear" w:color="auto" w:fill="auto"/>
            <w:vAlign w:val="center"/>
            <w:hideMark/>
          </w:tcPr>
          <w:p w14:paraId="7667A5E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Winter</w:t>
            </w:r>
          </w:p>
        </w:tc>
        <w:tc>
          <w:tcPr>
            <w:tcW w:w="1000" w:type="dxa"/>
            <w:tcBorders>
              <w:top w:val="single" w:sz="4" w:space="0" w:color="auto"/>
              <w:left w:val="single" w:sz="4" w:space="0" w:color="auto"/>
              <w:bottom w:val="nil"/>
              <w:right w:val="nil"/>
            </w:tcBorders>
            <w:shd w:val="clear" w:color="auto" w:fill="auto"/>
            <w:vAlign w:val="center"/>
            <w:hideMark/>
          </w:tcPr>
          <w:p w14:paraId="0154E1FF"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813</w:t>
            </w:r>
          </w:p>
        </w:tc>
        <w:tc>
          <w:tcPr>
            <w:tcW w:w="1000" w:type="dxa"/>
            <w:tcBorders>
              <w:top w:val="single" w:sz="4" w:space="0" w:color="auto"/>
              <w:left w:val="nil"/>
              <w:bottom w:val="nil"/>
              <w:right w:val="nil"/>
            </w:tcBorders>
            <w:shd w:val="clear" w:color="auto" w:fill="auto"/>
            <w:vAlign w:val="center"/>
            <w:hideMark/>
          </w:tcPr>
          <w:p w14:paraId="306E9AF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1229</w:t>
            </w:r>
          </w:p>
        </w:tc>
        <w:tc>
          <w:tcPr>
            <w:tcW w:w="1000" w:type="dxa"/>
            <w:tcBorders>
              <w:top w:val="single" w:sz="4" w:space="0" w:color="auto"/>
              <w:left w:val="nil"/>
              <w:bottom w:val="nil"/>
              <w:right w:val="nil"/>
            </w:tcBorders>
            <w:shd w:val="clear" w:color="auto" w:fill="auto"/>
            <w:vAlign w:val="center"/>
            <w:hideMark/>
          </w:tcPr>
          <w:p w14:paraId="1E3C2A2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1342</w:t>
            </w:r>
          </w:p>
        </w:tc>
        <w:tc>
          <w:tcPr>
            <w:tcW w:w="1000" w:type="dxa"/>
            <w:tcBorders>
              <w:top w:val="single" w:sz="4" w:space="0" w:color="auto"/>
              <w:left w:val="nil"/>
              <w:bottom w:val="nil"/>
              <w:right w:val="single" w:sz="4" w:space="0" w:color="auto"/>
            </w:tcBorders>
            <w:shd w:val="clear" w:color="auto" w:fill="auto"/>
            <w:vAlign w:val="center"/>
            <w:hideMark/>
          </w:tcPr>
          <w:p w14:paraId="052A34D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928</w:t>
            </w:r>
          </w:p>
        </w:tc>
        <w:tc>
          <w:tcPr>
            <w:tcW w:w="1200" w:type="dxa"/>
            <w:tcBorders>
              <w:top w:val="single" w:sz="4" w:space="0" w:color="auto"/>
              <w:left w:val="single" w:sz="4" w:space="0" w:color="auto"/>
              <w:bottom w:val="nil"/>
              <w:right w:val="nil"/>
            </w:tcBorders>
            <w:shd w:val="clear" w:color="auto" w:fill="auto"/>
            <w:vAlign w:val="center"/>
            <w:hideMark/>
          </w:tcPr>
          <w:p w14:paraId="3F3AA27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47779CD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52C7B72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BC5D67" w:rsidRPr="00631CF2" w14:paraId="4AA5A7E8" w14:textId="77777777" w:rsidTr="00BC5D67">
        <w:trPr>
          <w:trHeight w:val="285"/>
        </w:trPr>
        <w:tc>
          <w:tcPr>
            <w:tcW w:w="640" w:type="dxa"/>
            <w:tcBorders>
              <w:top w:val="nil"/>
              <w:left w:val="nil"/>
              <w:bottom w:val="nil"/>
              <w:right w:val="single" w:sz="4" w:space="0" w:color="auto"/>
            </w:tcBorders>
            <w:shd w:val="clear" w:color="auto" w:fill="auto"/>
            <w:vAlign w:val="center"/>
            <w:hideMark/>
          </w:tcPr>
          <w:p w14:paraId="4C9EBB5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TLS</w:t>
            </w:r>
          </w:p>
        </w:tc>
        <w:tc>
          <w:tcPr>
            <w:tcW w:w="900" w:type="dxa"/>
            <w:vMerge/>
            <w:tcBorders>
              <w:top w:val="nil"/>
              <w:left w:val="single" w:sz="4" w:space="0" w:color="auto"/>
              <w:bottom w:val="nil"/>
              <w:right w:val="single" w:sz="4" w:space="0" w:color="auto"/>
            </w:tcBorders>
            <w:vAlign w:val="center"/>
            <w:hideMark/>
          </w:tcPr>
          <w:p w14:paraId="00854A3B"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bottom w:val="nil"/>
              <w:right w:val="nil"/>
            </w:tcBorders>
            <w:shd w:val="clear" w:color="auto" w:fill="auto"/>
            <w:vAlign w:val="center"/>
            <w:hideMark/>
          </w:tcPr>
          <w:p w14:paraId="147D5C34" w14:textId="0E2F18ED"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84.</w:t>
            </w:r>
            <w:r w:rsidR="00BE10DC" w:rsidRPr="00631CF2">
              <w:rPr>
                <w:rFonts w:ascii="Times New Roman" w:eastAsia="Times New Roman" w:hAnsi="Times New Roman" w:cs="Times New Roman"/>
                <w:color w:val="000000"/>
                <w:sz w:val="24"/>
                <w:szCs w:val="24"/>
                <w:lang w:eastAsia="es-ES"/>
              </w:rPr>
              <w:t>2</w:t>
            </w:r>
          </w:p>
        </w:tc>
        <w:tc>
          <w:tcPr>
            <w:tcW w:w="1000" w:type="dxa"/>
            <w:tcBorders>
              <w:top w:val="nil"/>
              <w:left w:val="nil"/>
              <w:bottom w:val="nil"/>
              <w:right w:val="nil"/>
            </w:tcBorders>
            <w:shd w:val="clear" w:color="auto" w:fill="auto"/>
            <w:vAlign w:val="center"/>
            <w:hideMark/>
          </w:tcPr>
          <w:p w14:paraId="2846F529" w14:textId="6981B7A1"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95.6</w:t>
            </w:r>
          </w:p>
        </w:tc>
        <w:tc>
          <w:tcPr>
            <w:tcW w:w="1000" w:type="dxa"/>
            <w:tcBorders>
              <w:top w:val="nil"/>
              <w:left w:val="nil"/>
              <w:bottom w:val="nil"/>
              <w:right w:val="nil"/>
            </w:tcBorders>
            <w:shd w:val="clear" w:color="auto" w:fill="auto"/>
            <w:vAlign w:val="center"/>
            <w:hideMark/>
          </w:tcPr>
          <w:p w14:paraId="4537E2B3" w14:textId="165D3B6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89.0</w:t>
            </w:r>
          </w:p>
        </w:tc>
        <w:tc>
          <w:tcPr>
            <w:tcW w:w="1000" w:type="dxa"/>
            <w:tcBorders>
              <w:top w:val="nil"/>
              <w:left w:val="nil"/>
              <w:bottom w:val="nil"/>
              <w:right w:val="single" w:sz="4" w:space="0" w:color="auto"/>
            </w:tcBorders>
            <w:shd w:val="clear" w:color="auto" w:fill="auto"/>
            <w:vAlign w:val="center"/>
            <w:hideMark/>
          </w:tcPr>
          <w:p w14:paraId="0C00C31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84</w:t>
            </w:r>
          </w:p>
        </w:tc>
        <w:tc>
          <w:tcPr>
            <w:tcW w:w="1200" w:type="dxa"/>
            <w:tcBorders>
              <w:top w:val="nil"/>
              <w:left w:val="single" w:sz="4" w:space="0" w:color="auto"/>
              <w:bottom w:val="nil"/>
              <w:right w:val="nil"/>
            </w:tcBorders>
            <w:shd w:val="clear" w:color="auto" w:fill="auto"/>
            <w:vAlign w:val="center"/>
            <w:hideMark/>
          </w:tcPr>
          <w:p w14:paraId="1448DAE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nil"/>
              <w:right w:val="nil"/>
            </w:tcBorders>
            <w:shd w:val="clear" w:color="auto" w:fill="auto"/>
            <w:vAlign w:val="center"/>
            <w:hideMark/>
          </w:tcPr>
          <w:p w14:paraId="4A0223A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nil"/>
              <w:right w:val="nil"/>
            </w:tcBorders>
            <w:shd w:val="clear" w:color="auto" w:fill="auto"/>
            <w:vAlign w:val="center"/>
            <w:hideMark/>
          </w:tcPr>
          <w:p w14:paraId="4F1DF0A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BC5D67" w:rsidRPr="00631CF2" w14:paraId="139CF975" w14:textId="77777777" w:rsidTr="00BC5D67">
        <w:trPr>
          <w:trHeight w:val="285"/>
        </w:trPr>
        <w:tc>
          <w:tcPr>
            <w:tcW w:w="640" w:type="dxa"/>
            <w:tcBorders>
              <w:top w:val="nil"/>
              <w:left w:val="nil"/>
              <w:right w:val="single" w:sz="4" w:space="0" w:color="auto"/>
            </w:tcBorders>
            <w:shd w:val="clear" w:color="auto" w:fill="auto"/>
            <w:vAlign w:val="center"/>
            <w:hideMark/>
          </w:tcPr>
          <w:p w14:paraId="5027517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TW</w:t>
            </w:r>
          </w:p>
        </w:tc>
        <w:tc>
          <w:tcPr>
            <w:tcW w:w="900" w:type="dxa"/>
            <w:vMerge/>
            <w:tcBorders>
              <w:top w:val="nil"/>
              <w:left w:val="single" w:sz="4" w:space="0" w:color="auto"/>
              <w:right w:val="single" w:sz="4" w:space="0" w:color="auto"/>
            </w:tcBorders>
            <w:vAlign w:val="center"/>
            <w:hideMark/>
          </w:tcPr>
          <w:p w14:paraId="0F6C0D95"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right w:val="nil"/>
            </w:tcBorders>
            <w:shd w:val="clear" w:color="auto" w:fill="auto"/>
            <w:vAlign w:val="center"/>
            <w:hideMark/>
          </w:tcPr>
          <w:p w14:paraId="3F51C31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0.09</w:t>
            </w:r>
          </w:p>
        </w:tc>
        <w:tc>
          <w:tcPr>
            <w:tcW w:w="1000" w:type="dxa"/>
            <w:tcBorders>
              <w:top w:val="nil"/>
              <w:left w:val="nil"/>
              <w:right w:val="nil"/>
            </w:tcBorders>
            <w:shd w:val="clear" w:color="auto" w:fill="auto"/>
            <w:vAlign w:val="center"/>
            <w:hideMark/>
          </w:tcPr>
          <w:p w14:paraId="3EB5A7B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0.07</w:t>
            </w:r>
          </w:p>
        </w:tc>
        <w:tc>
          <w:tcPr>
            <w:tcW w:w="1000" w:type="dxa"/>
            <w:tcBorders>
              <w:top w:val="nil"/>
              <w:left w:val="nil"/>
              <w:right w:val="nil"/>
            </w:tcBorders>
            <w:shd w:val="clear" w:color="auto" w:fill="auto"/>
            <w:vAlign w:val="center"/>
            <w:hideMark/>
          </w:tcPr>
          <w:p w14:paraId="59EFDBF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0.11</w:t>
            </w:r>
          </w:p>
        </w:tc>
        <w:tc>
          <w:tcPr>
            <w:tcW w:w="1000" w:type="dxa"/>
            <w:tcBorders>
              <w:top w:val="nil"/>
              <w:left w:val="nil"/>
              <w:right w:val="single" w:sz="4" w:space="0" w:color="auto"/>
            </w:tcBorders>
            <w:shd w:val="clear" w:color="auto" w:fill="auto"/>
            <w:vAlign w:val="center"/>
            <w:hideMark/>
          </w:tcPr>
          <w:p w14:paraId="61D66D5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0.11</w:t>
            </w:r>
          </w:p>
        </w:tc>
        <w:tc>
          <w:tcPr>
            <w:tcW w:w="1200" w:type="dxa"/>
            <w:tcBorders>
              <w:top w:val="nil"/>
              <w:left w:val="single" w:sz="4" w:space="0" w:color="auto"/>
              <w:right w:val="nil"/>
            </w:tcBorders>
            <w:shd w:val="clear" w:color="auto" w:fill="auto"/>
            <w:vAlign w:val="center"/>
            <w:hideMark/>
          </w:tcPr>
          <w:p w14:paraId="7A2CAD6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&lt;0.001</w:t>
            </w:r>
          </w:p>
        </w:tc>
        <w:tc>
          <w:tcPr>
            <w:tcW w:w="1200" w:type="dxa"/>
            <w:tcBorders>
              <w:top w:val="nil"/>
              <w:left w:val="nil"/>
              <w:right w:val="nil"/>
            </w:tcBorders>
            <w:shd w:val="clear" w:color="auto" w:fill="auto"/>
            <w:vAlign w:val="center"/>
            <w:hideMark/>
          </w:tcPr>
          <w:p w14:paraId="1F05B86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right w:val="nil"/>
            </w:tcBorders>
            <w:shd w:val="clear" w:color="auto" w:fill="auto"/>
            <w:vAlign w:val="center"/>
            <w:hideMark/>
          </w:tcPr>
          <w:p w14:paraId="39808C8E"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BC5D67" w:rsidRPr="00631CF2" w14:paraId="32AC464B" w14:textId="77777777" w:rsidTr="00BC5D67">
        <w:trPr>
          <w:trHeight w:val="285"/>
        </w:trPr>
        <w:tc>
          <w:tcPr>
            <w:tcW w:w="640" w:type="dxa"/>
            <w:tcBorders>
              <w:top w:val="nil"/>
              <w:left w:val="nil"/>
              <w:bottom w:val="single" w:sz="4" w:space="0" w:color="auto"/>
              <w:right w:val="single" w:sz="4" w:space="0" w:color="auto"/>
            </w:tcBorders>
            <w:shd w:val="clear" w:color="auto" w:fill="auto"/>
            <w:vAlign w:val="center"/>
            <w:hideMark/>
          </w:tcPr>
          <w:p w14:paraId="081AB72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TPD</w:t>
            </w:r>
          </w:p>
        </w:tc>
        <w:tc>
          <w:tcPr>
            <w:tcW w:w="900" w:type="dxa"/>
            <w:vMerge/>
            <w:tcBorders>
              <w:top w:val="nil"/>
              <w:left w:val="single" w:sz="4" w:space="0" w:color="auto"/>
              <w:bottom w:val="single" w:sz="4" w:space="0" w:color="auto"/>
              <w:right w:val="single" w:sz="4" w:space="0" w:color="auto"/>
            </w:tcBorders>
            <w:vAlign w:val="center"/>
            <w:hideMark/>
          </w:tcPr>
          <w:p w14:paraId="03F01441"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bottom w:val="single" w:sz="4" w:space="0" w:color="auto"/>
              <w:right w:val="nil"/>
            </w:tcBorders>
            <w:shd w:val="clear" w:color="auto" w:fill="auto"/>
            <w:vAlign w:val="center"/>
            <w:hideMark/>
          </w:tcPr>
          <w:p w14:paraId="2C45BBFC"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1615</w:t>
            </w:r>
          </w:p>
        </w:tc>
        <w:tc>
          <w:tcPr>
            <w:tcW w:w="1000" w:type="dxa"/>
            <w:tcBorders>
              <w:top w:val="nil"/>
              <w:left w:val="nil"/>
              <w:bottom w:val="single" w:sz="4" w:space="0" w:color="auto"/>
              <w:right w:val="nil"/>
            </w:tcBorders>
            <w:shd w:val="clear" w:color="auto" w:fill="auto"/>
            <w:vAlign w:val="center"/>
            <w:hideMark/>
          </w:tcPr>
          <w:p w14:paraId="0A49792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2068</w:t>
            </w:r>
          </w:p>
        </w:tc>
        <w:tc>
          <w:tcPr>
            <w:tcW w:w="1000" w:type="dxa"/>
            <w:tcBorders>
              <w:top w:val="nil"/>
              <w:left w:val="nil"/>
              <w:bottom w:val="single" w:sz="4" w:space="0" w:color="auto"/>
              <w:right w:val="nil"/>
            </w:tcBorders>
            <w:shd w:val="clear" w:color="auto" w:fill="auto"/>
            <w:vAlign w:val="center"/>
            <w:hideMark/>
          </w:tcPr>
          <w:p w14:paraId="3FB8C4E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1776</w:t>
            </w:r>
          </w:p>
        </w:tc>
        <w:tc>
          <w:tcPr>
            <w:tcW w:w="1000" w:type="dxa"/>
            <w:tcBorders>
              <w:top w:val="nil"/>
              <w:left w:val="nil"/>
              <w:bottom w:val="single" w:sz="4" w:space="0" w:color="auto"/>
              <w:right w:val="single" w:sz="4" w:space="0" w:color="auto"/>
            </w:tcBorders>
            <w:shd w:val="clear" w:color="auto" w:fill="auto"/>
            <w:vAlign w:val="center"/>
            <w:hideMark/>
          </w:tcPr>
          <w:p w14:paraId="2E658FB5"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1724</w:t>
            </w:r>
          </w:p>
        </w:tc>
        <w:tc>
          <w:tcPr>
            <w:tcW w:w="1200" w:type="dxa"/>
            <w:tcBorders>
              <w:top w:val="nil"/>
              <w:left w:val="single" w:sz="4" w:space="0" w:color="auto"/>
              <w:bottom w:val="single" w:sz="4" w:space="0" w:color="auto"/>
              <w:right w:val="nil"/>
            </w:tcBorders>
            <w:shd w:val="clear" w:color="auto" w:fill="auto"/>
            <w:vAlign w:val="center"/>
            <w:hideMark/>
          </w:tcPr>
          <w:p w14:paraId="0946CD6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single" w:sz="4" w:space="0" w:color="auto"/>
              <w:right w:val="nil"/>
            </w:tcBorders>
            <w:shd w:val="clear" w:color="auto" w:fill="auto"/>
            <w:vAlign w:val="center"/>
            <w:hideMark/>
          </w:tcPr>
          <w:p w14:paraId="7C438AB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single" w:sz="4" w:space="0" w:color="auto"/>
              <w:right w:val="nil"/>
            </w:tcBorders>
            <w:shd w:val="clear" w:color="auto" w:fill="auto"/>
            <w:vAlign w:val="center"/>
            <w:hideMark/>
          </w:tcPr>
          <w:p w14:paraId="462C75B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&lt;0.05</w:t>
            </w:r>
          </w:p>
        </w:tc>
      </w:tr>
      <w:tr w:rsidR="00AA74ED" w:rsidRPr="00631CF2" w14:paraId="30EC553C" w14:textId="77777777" w:rsidTr="00BC5D67">
        <w:trPr>
          <w:trHeight w:val="285"/>
        </w:trPr>
        <w:tc>
          <w:tcPr>
            <w:tcW w:w="1540" w:type="dxa"/>
            <w:gridSpan w:val="2"/>
            <w:tcBorders>
              <w:top w:val="single" w:sz="4" w:space="0" w:color="auto"/>
              <w:right w:val="single" w:sz="4" w:space="0" w:color="auto"/>
            </w:tcBorders>
            <w:shd w:val="clear" w:color="auto" w:fill="auto"/>
            <w:vAlign w:val="center"/>
            <w:hideMark/>
          </w:tcPr>
          <w:p w14:paraId="1611852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w:t>
            </w:r>
          </w:p>
        </w:tc>
        <w:tc>
          <w:tcPr>
            <w:tcW w:w="400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92E4E89"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 xml:space="preserve">L. </w:t>
            </w:r>
            <w:proofErr w:type="spellStart"/>
            <w:r w:rsidRPr="00631CF2">
              <w:rPr>
                <w:rFonts w:ascii="Times New Roman" w:eastAsia="Times New Roman" w:hAnsi="Times New Roman" w:cs="Times New Roman"/>
                <w:b/>
                <w:bCs/>
                <w:i/>
                <w:iCs/>
                <w:color w:val="000000"/>
                <w:sz w:val="24"/>
                <w:szCs w:val="24"/>
                <w:lang w:eastAsia="es-ES"/>
              </w:rPr>
              <w:t>arundinaceum</w:t>
            </w:r>
            <w:proofErr w:type="spellEnd"/>
          </w:p>
        </w:tc>
        <w:tc>
          <w:tcPr>
            <w:tcW w:w="3600" w:type="dxa"/>
            <w:gridSpan w:val="3"/>
            <w:tcBorders>
              <w:top w:val="single" w:sz="4" w:space="0" w:color="auto"/>
              <w:left w:val="single" w:sz="4" w:space="0" w:color="auto"/>
              <w:bottom w:val="single" w:sz="4" w:space="0" w:color="auto"/>
              <w:right w:val="nil"/>
            </w:tcBorders>
            <w:shd w:val="clear" w:color="auto" w:fill="auto"/>
            <w:vAlign w:val="center"/>
            <w:hideMark/>
          </w:tcPr>
          <w:p w14:paraId="4087B30A"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Significance</w:t>
            </w:r>
          </w:p>
        </w:tc>
      </w:tr>
      <w:tr w:rsidR="00BC5D67" w:rsidRPr="00631CF2" w14:paraId="6F548C3A" w14:textId="77777777" w:rsidTr="0098215C">
        <w:trPr>
          <w:trHeight w:val="285"/>
        </w:trPr>
        <w:tc>
          <w:tcPr>
            <w:tcW w:w="640" w:type="dxa"/>
            <w:tcBorders>
              <w:top w:val="single" w:sz="4" w:space="0" w:color="auto"/>
              <w:left w:val="nil"/>
              <w:bottom w:val="nil"/>
              <w:right w:val="single" w:sz="4" w:space="0" w:color="auto"/>
            </w:tcBorders>
            <w:shd w:val="clear" w:color="auto" w:fill="auto"/>
            <w:vAlign w:val="center"/>
            <w:hideMark/>
          </w:tcPr>
          <w:p w14:paraId="758EA70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ET</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CAA954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Spring</w:t>
            </w:r>
          </w:p>
        </w:tc>
        <w:tc>
          <w:tcPr>
            <w:tcW w:w="1000" w:type="dxa"/>
            <w:tcBorders>
              <w:top w:val="single" w:sz="4" w:space="0" w:color="auto"/>
              <w:left w:val="single" w:sz="4" w:space="0" w:color="auto"/>
              <w:bottom w:val="nil"/>
              <w:right w:val="nil"/>
            </w:tcBorders>
            <w:shd w:val="clear" w:color="auto" w:fill="auto"/>
            <w:vAlign w:val="center"/>
            <w:hideMark/>
          </w:tcPr>
          <w:p w14:paraId="372DA7A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685</w:t>
            </w:r>
          </w:p>
        </w:tc>
        <w:tc>
          <w:tcPr>
            <w:tcW w:w="1000" w:type="dxa"/>
            <w:tcBorders>
              <w:top w:val="single" w:sz="4" w:space="0" w:color="auto"/>
              <w:left w:val="nil"/>
              <w:bottom w:val="nil"/>
              <w:right w:val="nil"/>
            </w:tcBorders>
            <w:shd w:val="clear" w:color="auto" w:fill="auto"/>
            <w:vAlign w:val="center"/>
            <w:hideMark/>
          </w:tcPr>
          <w:p w14:paraId="6D846F1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220</w:t>
            </w:r>
          </w:p>
        </w:tc>
        <w:tc>
          <w:tcPr>
            <w:tcW w:w="1000" w:type="dxa"/>
            <w:tcBorders>
              <w:top w:val="single" w:sz="4" w:space="0" w:color="auto"/>
              <w:left w:val="nil"/>
              <w:bottom w:val="nil"/>
              <w:right w:val="nil"/>
            </w:tcBorders>
            <w:shd w:val="clear" w:color="auto" w:fill="auto"/>
            <w:vAlign w:val="center"/>
            <w:hideMark/>
          </w:tcPr>
          <w:p w14:paraId="0CA636D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300</w:t>
            </w:r>
          </w:p>
        </w:tc>
        <w:tc>
          <w:tcPr>
            <w:tcW w:w="1000" w:type="dxa"/>
            <w:tcBorders>
              <w:top w:val="single" w:sz="4" w:space="0" w:color="auto"/>
              <w:left w:val="nil"/>
              <w:bottom w:val="nil"/>
              <w:right w:val="single" w:sz="4" w:space="0" w:color="auto"/>
            </w:tcBorders>
            <w:shd w:val="clear" w:color="auto" w:fill="auto"/>
            <w:vAlign w:val="center"/>
            <w:hideMark/>
          </w:tcPr>
          <w:p w14:paraId="5F91E72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241</w:t>
            </w:r>
          </w:p>
        </w:tc>
        <w:tc>
          <w:tcPr>
            <w:tcW w:w="1200" w:type="dxa"/>
            <w:tcBorders>
              <w:top w:val="single" w:sz="4" w:space="0" w:color="auto"/>
              <w:left w:val="single" w:sz="4" w:space="0" w:color="auto"/>
              <w:bottom w:val="nil"/>
              <w:right w:val="nil"/>
            </w:tcBorders>
            <w:shd w:val="clear" w:color="auto" w:fill="auto"/>
            <w:vAlign w:val="center"/>
            <w:hideMark/>
          </w:tcPr>
          <w:p w14:paraId="7B5D032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3A4FD0E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230E1BF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&lt;0.05</w:t>
            </w:r>
          </w:p>
        </w:tc>
      </w:tr>
      <w:tr w:rsidR="00BC5D67" w:rsidRPr="00631CF2" w14:paraId="3E0C0C61" w14:textId="77777777" w:rsidTr="0098215C">
        <w:trPr>
          <w:trHeight w:val="285"/>
        </w:trPr>
        <w:tc>
          <w:tcPr>
            <w:tcW w:w="640" w:type="dxa"/>
            <w:tcBorders>
              <w:top w:val="nil"/>
              <w:left w:val="nil"/>
              <w:bottom w:val="nil"/>
              <w:right w:val="single" w:sz="4" w:space="0" w:color="auto"/>
            </w:tcBorders>
            <w:shd w:val="clear" w:color="auto" w:fill="auto"/>
            <w:vAlign w:val="center"/>
            <w:hideMark/>
          </w:tcPr>
          <w:p w14:paraId="19948CA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TLS</w:t>
            </w:r>
          </w:p>
        </w:tc>
        <w:tc>
          <w:tcPr>
            <w:tcW w:w="900" w:type="dxa"/>
            <w:vMerge/>
            <w:tcBorders>
              <w:top w:val="nil"/>
              <w:left w:val="single" w:sz="4" w:space="0" w:color="auto"/>
              <w:bottom w:val="single" w:sz="4" w:space="0" w:color="auto"/>
              <w:right w:val="single" w:sz="4" w:space="0" w:color="auto"/>
            </w:tcBorders>
            <w:vAlign w:val="center"/>
            <w:hideMark/>
          </w:tcPr>
          <w:p w14:paraId="72E58935"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bottom w:val="nil"/>
              <w:right w:val="nil"/>
            </w:tcBorders>
            <w:shd w:val="clear" w:color="auto" w:fill="auto"/>
            <w:vAlign w:val="center"/>
            <w:hideMark/>
          </w:tcPr>
          <w:p w14:paraId="6ACDB79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40.2</w:t>
            </w:r>
          </w:p>
        </w:tc>
        <w:tc>
          <w:tcPr>
            <w:tcW w:w="1000" w:type="dxa"/>
            <w:tcBorders>
              <w:top w:val="nil"/>
              <w:left w:val="nil"/>
              <w:bottom w:val="nil"/>
              <w:right w:val="nil"/>
            </w:tcBorders>
            <w:shd w:val="clear" w:color="auto" w:fill="auto"/>
            <w:vAlign w:val="center"/>
            <w:hideMark/>
          </w:tcPr>
          <w:p w14:paraId="7108966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89.9</w:t>
            </w:r>
          </w:p>
        </w:tc>
        <w:tc>
          <w:tcPr>
            <w:tcW w:w="1000" w:type="dxa"/>
            <w:tcBorders>
              <w:top w:val="nil"/>
              <w:left w:val="nil"/>
              <w:bottom w:val="nil"/>
              <w:right w:val="nil"/>
            </w:tcBorders>
            <w:shd w:val="clear" w:color="auto" w:fill="auto"/>
            <w:vAlign w:val="center"/>
            <w:hideMark/>
          </w:tcPr>
          <w:p w14:paraId="717E23E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61.4</w:t>
            </w:r>
          </w:p>
        </w:tc>
        <w:tc>
          <w:tcPr>
            <w:tcW w:w="1000" w:type="dxa"/>
            <w:tcBorders>
              <w:top w:val="nil"/>
              <w:left w:val="nil"/>
              <w:bottom w:val="nil"/>
              <w:right w:val="single" w:sz="4" w:space="0" w:color="auto"/>
            </w:tcBorders>
            <w:shd w:val="clear" w:color="auto" w:fill="auto"/>
            <w:vAlign w:val="center"/>
            <w:hideMark/>
          </w:tcPr>
          <w:p w14:paraId="0F349AA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70.3</w:t>
            </w:r>
          </w:p>
        </w:tc>
        <w:tc>
          <w:tcPr>
            <w:tcW w:w="1200" w:type="dxa"/>
            <w:tcBorders>
              <w:top w:val="nil"/>
              <w:left w:val="single" w:sz="4" w:space="0" w:color="auto"/>
              <w:bottom w:val="nil"/>
              <w:right w:val="nil"/>
            </w:tcBorders>
            <w:shd w:val="clear" w:color="auto" w:fill="auto"/>
            <w:vAlign w:val="center"/>
            <w:hideMark/>
          </w:tcPr>
          <w:p w14:paraId="701DDFFE"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nil"/>
              <w:right w:val="nil"/>
            </w:tcBorders>
            <w:shd w:val="clear" w:color="auto" w:fill="auto"/>
            <w:vAlign w:val="center"/>
            <w:hideMark/>
          </w:tcPr>
          <w:p w14:paraId="4526FF9F"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&lt;0.01</w:t>
            </w:r>
          </w:p>
        </w:tc>
        <w:tc>
          <w:tcPr>
            <w:tcW w:w="1200" w:type="dxa"/>
            <w:tcBorders>
              <w:top w:val="nil"/>
              <w:left w:val="nil"/>
              <w:bottom w:val="nil"/>
              <w:right w:val="nil"/>
            </w:tcBorders>
            <w:shd w:val="clear" w:color="auto" w:fill="auto"/>
            <w:vAlign w:val="center"/>
            <w:hideMark/>
          </w:tcPr>
          <w:p w14:paraId="0429436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BC5D67" w:rsidRPr="00631CF2" w14:paraId="24255FC5" w14:textId="77777777" w:rsidTr="0098215C">
        <w:trPr>
          <w:trHeight w:val="285"/>
        </w:trPr>
        <w:tc>
          <w:tcPr>
            <w:tcW w:w="640" w:type="dxa"/>
            <w:tcBorders>
              <w:top w:val="nil"/>
              <w:left w:val="nil"/>
              <w:bottom w:val="nil"/>
              <w:right w:val="single" w:sz="4" w:space="0" w:color="auto"/>
            </w:tcBorders>
            <w:shd w:val="clear" w:color="auto" w:fill="auto"/>
            <w:vAlign w:val="center"/>
            <w:hideMark/>
          </w:tcPr>
          <w:p w14:paraId="6F43BB0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TW</w:t>
            </w:r>
          </w:p>
        </w:tc>
        <w:tc>
          <w:tcPr>
            <w:tcW w:w="900" w:type="dxa"/>
            <w:vMerge/>
            <w:tcBorders>
              <w:top w:val="nil"/>
              <w:left w:val="single" w:sz="4" w:space="0" w:color="auto"/>
              <w:bottom w:val="single" w:sz="4" w:space="0" w:color="auto"/>
              <w:right w:val="single" w:sz="4" w:space="0" w:color="auto"/>
            </w:tcBorders>
            <w:vAlign w:val="center"/>
            <w:hideMark/>
          </w:tcPr>
          <w:p w14:paraId="146AFAED"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right w:val="nil"/>
            </w:tcBorders>
            <w:shd w:val="clear" w:color="auto" w:fill="auto"/>
            <w:vAlign w:val="center"/>
            <w:hideMark/>
          </w:tcPr>
          <w:p w14:paraId="6729017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0.11</w:t>
            </w:r>
          </w:p>
        </w:tc>
        <w:tc>
          <w:tcPr>
            <w:tcW w:w="1000" w:type="dxa"/>
            <w:tcBorders>
              <w:top w:val="nil"/>
              <w:left w:val="nil"/>
              <w:right w:val="nil"/>
            </w:tcBorders>
            <w:shd w:val="clear" w:color="auto" w:fill="auto"/>
            <w:vAlign w:val="center"/>
            <w:hideMark/>
          </w:tcPr>
          <w:p w14:paraId="2B2AAC0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0.11</w:t>
            </w:r>
          </w:p>
        </w:tc>
        <w:tc>
          <w:tcPr>
            <w:tcW w:w="1000" w:type="dxa"/>
            <w:tcBorders>
              <w:top w:val="nil"/>
              <w:left w:val="nil"/>
              <w:right w:val="nil"/>
            </w:tcBorders>
            <w:shd w:val="clear" w:color="auto" w:fill="auto"/>
            <w:vAlign w:val="center"/>
            <w:hideMark/>
          </w:tcPr>
          <w:p w14:paraId="1F16EC1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0.13</w:t>
            </w:r>
          </w:p>
        </w:tc>
        <w:tc>
          <w:tcPr>
            <w:tcW w:w="1000" w:type="dxa"/>
            <w:tcBorders>
              <w:top w:val="nil"/>
              <w:left w:val="nil"/>
              <w:right w:val="single" w:sz="4" w:space="0" w:color="auto"/>
            </w:tcBorders>
            <w:shd w:val="clear" w:color="auto" w:fill="auto"/>
            <w:vAlign w:val="center"/>
            <w:hideMark/>
          </w:tcPr>
          <w:p w14:paraId="4D6C6D9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0.15</w:t>
            </w:r>
          </w:p>
        </w:tc>
        <w:tc>
          <w:tcPr>
            <w:tcW w:w="1200" w:type="dxa"/>
            <w:tcBorders>
              <w:top w:val="nil"/>
              <w:left w:val="single" w:sz="4" w:space="0" w:color="auto"/>
              <w:right w:val="nil"/>
            </w:tcBorders>
            <w:shd w:val="clear" w:color="auto" w:fill="auto"/>
            <w:vAlign w:val="center"/>
            <w:hideMark/>
          </w:tcPr>
          <w:p w14:paraId="53B468D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&lt;0.01</w:t>
            </w:r>
          </w:p>
        </w:tc>
        <w:tc>
          <w:tcPr>
            <w:tcW w:w="1200" w:type="dxa"/>
            <w:tcBorders>
              <w:top w:val="nil"/>
              <w:left w:val="nil"/>
              <w:right w:val="nil"/>
            </w:tcBorders>
            <w:shd w:val="clear" w:color="auto" w:fill="auto"/>
            <w:vAlign w:val="center"/>
            <w:hideMark/>
          </w:tcPr>
          <w:p w14:paraId="4B278C3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right w:val="nil"/>
            </w:tcBorders>
            <w:shd w:val="clear" w:color="auto" w:fill="auto"/>
            <w:vAlign w:val="center"/>
            <w:hideMark/>
          </w:tcPr>
          <w:p w14:paraId="473A56E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BC5D67" w:rsidRPr="00631CF2" w14:paraId="76B28B7D" w14:textId="77777777" w:rsidTr="0098215C">
        <w:trPr>
          <w:trHeight w:val="285"/>
        </w:trPr>
        <w:tc>
          <w:tcPr>
            <w:tcW w:w="640" w:type="dxa"/>
            <w:tcBorders>
              <w:top w:val="nil"/>
              <w:left w:val="nil"/>
              <w:bottom w:val="nil"/>
              <w:right w:val="single" w:sz="4" w:space="0" w:color="auto"/>
            </w:tcBorders>
            <w:shd w:val="clear" w:color="auto" w:fill="auto"/>
            <w:vAlign w:val="center"/>
            <w:hideMark/>
          </w:tcPr>
          <w:p w14:paraId="48D7DFB5"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TPD</w:t>
            </w:r>
          </w:p>
        </w:tc>
        <w:tc>
          <w:tcPr>
            <w:tcW w:w="900" w:type="dxa"/>
            <w:vMerge/>
            <w:tcBorders>
              <w:top w:val="nil"/>
              <w:left w:val="single" w:sz="4" w:space="0" w:color="auto"/>
              <w:bottom w:val="single" w:sz="4" w:space="0" w:color="auto"/>
              <w:right w:val="single" w:sz="4" w:space="0" w:color="auto"/>
            </w:tcBorders>
            <w:vAlign w:val="center"/>
            <w:hideMark/>
          </w:tcPr>
          <w:p w14:paraId="1CAE061C"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bottom w:val="single" w:sz="4" w:space="0" w:color="auto"/>
              <w:right w:val="nil"/>
            </w:tcBorders>
            <w:shd w:val="clear" w:color="auto" w:fill="auto"/>
            <w:vAlign w:val="center"/>
            <w:hideMark/>
          </w:tcPr>
          <w:p w14:paraId="5B2D347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1257</w:t>
            </w:r>
          </w:p>
        </w:tc>
        <w:tc>
          <w:tcPr>
            <w:tcW w:w="1000" w:type="dxa"/>
            <w:tcBorders>
              <w:top w:val="nil"/>
              <w:left w:val="nil"/>
              <w:bottom w:val="single" w:sz="4" w:space="0" w:color="auto"/>
              <w:right w:val="nil"/>
            </w:tcBorders>
            <w:shd w:val="clear" w:color="auto" w:fill="auto"/>
            <w:vAlign w:val="center"/>
            <w:hideMark/>
          </w:tcPr>
          <w:p w14:paraId="7042A05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1086</w:t>
            </w:r>
          </w:p>
        </w:tc>
        <w:tc>
          <w:tcPr>
            <w:tcW w:w="1000" w:type="dxa"/>
            <w:tcBorders>
              <w:top w:val="nil"/>
              <w:left w:val="nil"/>
              <w:bottom w:val="single" w:sz="4" w:space="0" w:color="auto"/>
              <w:right w:val="nil"/>
            </w:tcBorders>
            <w:shd w:val="clear" w:color="auto" w:fill="auto"/>
            <w:vAlign w:val="center"/>
            <w:hideMark/>
          </w:tcPr>
          <w:p w14:paraId="470DB45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1516</w:t>
            </w:r>
          </w:p>
        </w:tc>
        <w:tc>
          <w:tcPr>
            <w:tcW w:w="1000" w:type="dxa"/>
            <w:tcBorders>
              <w:top w:val="nil"/>
              <w:left w:val="nil"/>
              <w:bottom w:val="single" w:sz="4" w:space="0" w:color="auto"/>
              <w:right w:val="single" w:sz="4" w:space="0" w:color="auto"/>
            </w:tcBorders>
            <w:shd w:val="clear" w:color="auto" w:fill="auto"/>
            <w:vAlign w:val="center"/>
            <w:hideMark/>
          </w:tcPr>
          <w:p w14:paraId="73CB86B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1179</w:t>
            </w:r>
          </w:p>
        </w:tc>
        <w:tc>
          <w:tcPr>
            <w:tcW w:w="1200" w:type="dxa"/>
            <w:tcBorders>
              <w:top w:val="nil"/>
              <w:left w:val="single" w:sz="4" w:space="0" w:color="auto"/>
              <w:bottom w:val="single" w:sz="4" w:space="0" w:color="auto"/>
              <w:right w:val="nil"/>
            </w:tcBorders>
            <w:shd w:val="clear" w:color="auto" w:fill="auto"/>
            <w:vAlign w:val="center"/>
            <w:hideMark/>
          </w:tcPr>
          <w:p w14:paraId="61FC7EB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single" w:sz="4" w:space="0" w:color="auto"/>
              <w:right w:val="nil"/>
            </w:tcBorders>
            <w:shd w:val="clear" w:color="auto" w:fill="auto"/>
            <w:vAlign w:val="center"/>
            <w:hideMark/>
          </w:tcPr>
          <w:p w14:paraId="2E95F0BF"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single" w:sz="4" w:space="0" w:color="auto"/>
              <w:right w:val="nil"/>
            </w:tcBorders>
            <w:shd w:val="clear" w:color="auto" w:fill="auto"/>
            <w:vAlign w:val="center"/>
            <w:hideMark/>
          </w:tcPr>
          <w:p w14:paraId="4941A70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BC5D67" w:rsidRPr="00631CF2" w14:paraId="5E83EA6E" w14:textId="77777777" w:rsidTr="0098215C">
        <w:trPr>
          <w:trHeight w:val="285"/>
        </w:trPr>
        <w:tc>
          <w:tcPr>
            <w:tcW w:w="640" w:type="dxa"/>
            <w:tcBorders>
              <w:top w:val="nil"/>
              <w:left w:val="nil"/>
              <w:bottom w:val="nil"/>
              <w:right w:val="single" w:sz="4" w:space="0" w:color="auto"/>
            </w:tcBorders>
            <w:shd w:val="clear" w:color="auto" w:fill="auto"/>
            <w:vAlign w:val="center"/>
            <w:hideMark/>
          </w:tcPr>
          <w:p w14:paraId="3A9E3E9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w:t>
            </w:r>
          </w:p>
        </w:tc>
        <w:tc>
          <w:tcPr>
            <w:tcW w:w="900" w:type="dxa"/>
            <w:vMerge/>
            <w:tcBorders>
              <w:top w:val="nil"/>
              <w:left w:val="single" w:sz="4" w:space="0" w:color="auto"/>
              <w:bottom w:val="single" w:sz="4" w:space="0" w:color="auto"/>
              <w:right w:val="single" w:sz="4" w:space="0" w:color="auto"/>
            </w:tcBorders>
            <w:vAlign w:val="center"/>
            <w:hideMark/>
          </w:tcPr>
          <w:p w14:paraId="63D3C3DA"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400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4E0D6759"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 xml:space="preserve">C. </w:t>
            </w:r>
            <w:proofErr w:type="spellStart"/>
            <w:r w:rsidRPr="00631CF2">
              <w:rPr>
                <w:rFonts w:ascii="Times New Roman" w:eastAsia="Times New Roman" w:hAnsi="Times New Roman" w:cs="Times New Roman"/>
                <w:b/>
                <w:bCs/>
                <w:i/>
                <w:iCs/>
                <w:color w:val="000000"/>
                <w:sz w:val="24"/>
                <w:szCs w:val="24"/>
                <w:lang w:eastAsia="es-ES"/>
              </w:rPr>
              <w:t>clandestinus</w:t>
            </w:r>
            <w:proofErr w:type="spellEnd"/>
          </w:p>
        </w:tc>
        <w:tc>
          <w:tcPr>
            <w:tcW w:w="3600" w:type="dxa"/>
            <w:gridSpan w:val="3"/>
            <w:tcBorders>
              <w:top w:val="single" w:sz="4" w:space="0" w:color="auto"/>
              <w:left w:val="single" w:sz="4" w:space="0" w:color="auto"/>
              <w:bottom w:val="single" w:sz="4" w:space="0" w:color="auto"/>
              <w:right w:val="nil"/>
            </w:tcBorders>
            <w:shd w:val="clear" w:color="auto" w:fill="auto"/>
            <w:vAlign w:val="center"/>
            <w:hideMark/>
          </w:tcPr>
          <w:p w14:paraId="7342A369" w14:textId="77777777" w:rsidR="00AA74ED" w:rsidRPr="00631CF2" w:rsidRDefault="00AA74ED" w:rsidP="00E0750F">
            <w:pPr>
              <w:widowControl w:val="0"/>
              <w:spacing w:after="0" w:line="36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Significance</w:t>
            </w:r>
          </w:p>
        </w:tc>
      </w:tr>
      <w:tr w:rsidR="00BC5D67" w:rsidRPr="00631CF2" w14:paraId="073438AD" w14:textId="77777777" w:rsidTr="0098215C">
        <w:trPr>
          <w:trHeight w:val="285"/>
        </w:trPr>
        <w:tc>
          <w:tcPr>
            <w:tcW w:w="640" w:type="dxa"/>
            <w:tcBorders>
              <w:top w:val="nil"/>
              <w:left w:val="nil"/>
              <w:bottom w:val="nil"/>
              <w:right w:val="single" w:sz="4" w:space="0" w:color="auto"/>
            </w:tcBorders>
            <w:shd w:val="clear" w:color="auto" w:fill="auto"/>
            <w:vAlign w:val="center"/>
            <w:hideMark/>
          </w:tcPr>
          <w:p w14:paraId="05C55E6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ET</w:t>
            </w:r>
          </w:p>
        </w:tc>
        <w:tc>
          <w:tcPr>
            <w:tcW w:w="900" w:type="dxa"/>
            <w:vMerge/>
            <w:tcBorders>
              <w:top w:val="nil"/>
              <w:left w:val="single" w:sz="4" w:space="0" w:color="auto"/>
              <w:bottom w:val="single" w:sz="4" w:space="0" w:color="auto"/>
              <w:right w:val="single" w:sz="4" w:space="0" w:color="auto"/>
            </w:tcBorders>
            <w:vAlign w:val="center"/>
            <w:hideMark/>
          </w:tcPr>
          <w:p w14:paraId="7FC319C3"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single" w:sz="4" w:space="0" w:color="auto"/>
              <w:left w:val="single" w:sz="4" w:space="0" w:color="auto"/>
              <w:bottom w:val="nil"/>
              <w:right w:val="nil"/>
            </w:tcBorders>
            <w:shd w:val="clear" w:color="auto" w:fill="auto"/>
            <w:vAlign w:val="center"/>
            <w:hideMark/>
          </w:tcPr>
          <w:p w14:paraId="7AC03C35"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1085</w:t>
            </w:r>
          </w:p>
        </w:tc>
        <w:tc>
          <w:tcPr>
            <w:tcW w:w="1000" w:type="dxa"/>
            <w:tcBorders>
              <w:top w:val="single" w:sz="4" w:space="0" w:color="auto"/>
              <w:left w:val="nil"/>
              <w:bottom w:val="nil"/>
              <w:right w:val="nil"/>
            </w:tcBorders>
            <w:shd w:val="clear" w:color="auto" w:fill="auto"/>
            <w:vAlign w:val="center"/>
            <w:hideMark/>
          </w:tcPr>
          <w:p w14:paraId="3BD2AC8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404</w:t>
            </w:r>
          </w:p>
        </w:tc>
        <w:tc>
          <w:tcPr>
            <w:tcW w:w="1000" w:type="dxa"/>
            <w:tcBorders>
              <w:top w:val="single" w:sz="4" w:space="0" w:color="auto"/>
              <w:left w:val="nil"/>
              <w:bottom w:val="nil"/>
              <w:right w:val="nil"/>
            </w:tcBorders>
            <w:shd w:val="clear" w:color="auto" w:fill="auto"/>
            <w:vAlign w:val="center"/>
            <w:hideMark/>
          </w:tcPr>
          <w:p w14:paraId="1C31607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615</w:t>
            </w:r>
          </w:p>
        </w:tc>
        <w:tc>
          <w:tcPr>
            <w:tcW w:w="1000" w:type="dxa"/>
            <w:tcBorders>
              <w:top w:val="single" w:sz="4" w:space="0" w:color="auto"/>
              <w:left w:val="nil"/>
              <w:bottom w:val="nil"/>
              <w:right w:val="single" w:sz="4" w:space="0" w:color="auto"/>
            </w:tcBorders>
            <w:shd w:val="clear" w:color="auto" w:fill="auto"/>
            <w:vAlign w:val="center"/>
            <w:hideMark/>
          </w:tcPr>
          <w:p w14:paraId="2D4F135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824</w:t>
            </w:r>
          </w:p>
        </w:tc>
        <w:tc>
          <w:tcPr>
            <w:tcW w:w="1200" w:type="dxa"/>
            <w:tcBorders>
              <w:top w:val="single" w:sz="4" w:space="0" w:color="auto"/>
              <w:left w:val="single" w:sz="4" w:space="0" w:color="auto"/>
              <w:bottom w:val="nil"/>
              <w:right w:val="nil"/>
            </w:tcBorders>
            <w:shd w:val="clear" w:color="auto" w:fill="auto"/>
            <w:vAlign w:val="center"/>
            <w:hideMark/>
          </w:tcPr>
          <w:p w14:paraId="4DA4F2F3"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4C093D07"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single" w:sz="4" w:space="0" w:color="auto"/>
              <w:left w:val="nil"/>
              <w:bottom w:val="nil"/>
              <w:right w:val="nil"/>
            </w:tcBorders>
            <w:shd w:val="clear" w:color="auto" w:fill="auto"/>
            <w:vAlign w:val="center"/>
            <w:hideMark/>
          </w:tcPr>
          <w:p w14:paraId="19770CD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&lt;0.01</w:t>
            </w:r>
          </w:p>
        </w:tc>
      </w:tr>
      <w:tr w:rsidR="00BC5D67" w:rsidRPr="00631CF2" w14:paraId="11B9FF51" w14:textId="77777777" w:rsidTr="0098215C">
        <w:trPr>
          <w:trHeight w:val="285"/>
        </w:trPr>
        <w:tc>
          <w:tcPr>
            <w:tcW w:w="640" w:type="dxa"/>
            <w:tcBorders>
              <w:top w:val="nil"/>
              <w:left w:val="nil"/>
              <w:bottom w:val="nil"/>
              <w:right w:val="single" w:sz="4" w:space="0" w:color="auto"/>
            </w:tcBorders>
            <w:shd w:val="clear" w:color="auto" w:fill="auto"/>
            <w:vAlign w:val="center"/>
            <w:hideMark/>
          </w:tcPr>
          <w:p w14:paraId="796EEA89"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TLS</w:t>
            </w:r>
          </w:p>
        </w:tc>
        <w:tc>
          <w:tcPr>
            <w:tcW w:w="900" w:type="dxa"/>
            <w:vMerge/>
            <w:tcBorders>
              <w:top w:val="nil"/>
              <w:left w:val="single" w:sz="4" w:space="0" w:color="auto"/>
              <w:bottom w:val="single" w:sz="4" w:space="0" w:color="auto"/>
              <w:right w:val="single" w:sz="4" w:space="0" w:color="auto"/>
            </w:tcBorders>
            <w:vAlign w:val="center"/>
            <w:hideMark/>
          </w:tcPr>
          <w:p w14:paraId="2F28719F"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bottom w:val="nil"/>
              <w:right w:val="nil"/>
            </w:tcBorders>
            <w:shd w:val="clear" w:color="auto" w:fill="auto"/>
            <w:vAlign w:val="center"/>
            <w:hideMark/>
          </w:tcPr>
          <w:p w14:paraId="3D9BB14F"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41</w:t>
            </w:r>
          </w:p>
        </w:tc>
        <w:tc>
          <w:tcPr>
            <w:tcW w:w="1000" w:type="dxa"/>
            <w:tcBorders>
              <w:top w:val="nil"/>
              <w:left w:val="nil"/>
              <w:bottom w:val="nil"/>
              <w:right w:val="nil"/>
            </w:tcBorders>
            <w:shd w:val="clear" w:color="auto" w:fill="auto"/>
            <w:vAlign w:val="center"/>
            <w:hideMark/>
          </w:tcPr>
          <w:p w14:paraId="18EE07A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36.5</w:t>
            </w:r>
          </w:p>
        </w:tc>
        <w:tc>
          <w:tcPr>
            <w:tcW w:w="1000" w:type="dxa"/>
            <w:tcBorders>
              <w:top w:val="nil"/>
              <w:left w:val="nil"/>
              <w:bottom w:val="nil"/>
              <w:right w:val="nil"/>
            </w:tcBorders>
            <w:shd w:val="clear" w:color="auto" w:fill="auto"/>
            <w:vAlign w:val="center"/>
            <w:hideMark/>
          </w:tcPr>
          <w:p w14:paraId="7EA8775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39.8</w:t>
            </w:r>
          </w:p>
        </w:tc>
        <w:tc>
          <w:tcPr>
            <w:tcW w:w="1000" w:type="dxa"/>
            <w:tcBorders>
              <w:top w:val="nil"/>
              <w:left w:val="nil"/>
              <w:bottom w:val="nil"/>
              <w:right w:val="single" w:sz="4" w:space="0" w:color="auto"/>
            </w:tcBorders>
            <w:shd w:val="clear" w:color="auto" w:fill="auto"/>
            <w:vAlign w:val="center"/>
            <w:hideMark/>
          </w:tcPr>
          <w:p w14:paraId="1FF7577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36.9</w:t>
            </w:r>
          </w:p>
        </w:tc>
        <w:tc>
          <w:tcPr>
            <w:tcW w:w="1200" w:type="dxa"/>
            <w:tcBorders>
              <w:top w:val="nil"/>
              <w:left w:val="single" w:sz="4" w:space="0" w:color="auto"/>
              <w:bottom w:val="nil"/>
              <w:right w:val="nil"/>
            </w:tcBorders>
            <w:shd w:val="clear" w:color="auto" w:fill="auto"/>
            <w:vAlign w:val="center"/>
            <w:hideMark/>
          </w:tcPr>
          <w:p w14:paraId="6EE34AA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nil"/>
              <w:right w:val="nil"/>
            </w:tcBorders>
            <w:shd w:val="clear" w:color="auto" w:fill="auto"/>
            <w:vAlign w:val="center"/>
            <w:hideMark/>
          </w:tcPr>
          <w:p w14:paraId="20B4652E"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nil"/>
              <w:right w:val="nil"/>
            </w:tcBorders>
            <w:shd w:val="clear" w:color="auto" w:fill="auto"/>
            <w:vAlign w:val="center"/>
            <w:hideMark/>
          </w:tcPr>
          <w:p w14:paraId="439A4E48"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BC5D67" w:rsidRPr="00631CF2" w14:paraId="41DD90DD" w14:textId="77777777" w:rsidTr="0098215C">
        <w:trPr>
          <w:trHeight w:val="285"/>
        </w:trPr>
        <w:tc>
          <w:tcPr>
            <w:tcW w:w="640" w:type="dxa"/>
            <w:tcBorders>
              <w:top w:val="nil"/>
              <w:left w:val="nil"/>
              <w:right w:val="single" w:sz="4" w:space="0" w:color="auto"/>
            </w:tcBorders>
            <w:shd w:val="clear" w:color="auto" w:fill="auto"/>
            <w:vAlign w:val="center"/>
            <w:hideMark/>
          </w:tcPr>
          <w:p w14:paraId="2784942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TW</w:t>
            </w:r>
          </w:p>
        </w:tc>
        <w:tc>
          <w:tcPr>
            <w:tcW w:w="900" w:type="dxa"/>
            <w:vMerge/>
            <w:tcBorders>
              <w:top w:val="nil"/>
              <w:left w:val="single" w:sz="4" w:space="0" w:color="auto"/>
              <w:bottom w:val="single" w:sz="4" w:space="0" w:color="auto"/>
              <w:right w:val="single" w:sz="4" w:space="0" w:color="auto"/>
            </w:tcBorders>
            <w:vAlign w:val="center"/>
            <w:hideMark/>
          </w:tcPr>
          <w:p w14:paraId="24337754"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right w:val="nil"/>
            </w:tcBorders>
            <w:shd w:val="clear" w:color="auto" w:fill="auto"/>
            <w:vAlign w:val="center"/>
            <w:hideMark/>
          </w:tcPr>
          <w:p w14:paraId="657593FA"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0.04</w:t>
            </w:r>
          </w:p>
        </w:tc>
        <w:tc>
          <w:tcPr>
            <w:tcW w:w="1000" w:type="dxa"/>
            <w:tcBorders>
              <w:top w:val="nil"/>
              <w:left w:val="nil"/>
              <w:right w:val="nil"/>
            </w:tcBorders>
            <w:shd w:val="clear" w:color="auto" w:fill="auto"/>
            <w:vAlign w:val="center"/>
            <w:hideMark/>
          </w:tcPr>
          <w:p w14:paraId="6ABABC1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0.04</w:t>
            </w:r>
          </w:p>
        </w:tc>
        <w:tc>
          <w:tcPr>
            <w:tcW w:w="1000" w:type="dxa"/>
            <w:tcBorders>
              <w:top w:val="nil"/>
              <w:left w:val="nil"/>
              <w:right w:val="nil"/>
            </w:tcBorders>
            <w:shd w:val="clear" w:color="auto" w:fill="auto"/>
            <w:vAlign w:val="center"/>
            <w:hideMark/>
          </w:tcPr>
          <w:p w14:paraId="18CE387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0.07</w:t>
            </w:r>
          </w:p>
        </w:tc>
        <w:tc>
          <w:tcPr>
            <w:tcW w:w="1000" w:type="dxa"/>
            <w:tcBorders>
              <w:top w:val="nil"/>
              <w:left w:val="nil"/>
              <w:right w:val="single" w:sz="4" w:space="0" w:color="auto"/>
            </w:tcBorders>
            <w:shd w:val="clear" w:color="auto" w:fill="auto"/>
            <w:vAlign w:val="center"/>
            <w:hideMark/>
          </w:tcPr>
          <w:p w14:paraId="3A57ED1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0.07</w:t>
            </w:r>
          </w:p>
        </w:tc>
        <w:tc>
          <w:tcPr>
            <w:tcW w:w="1200" w:type="dxa"/>
            <w:tcBorders>
              <w:top w:val="nil"/>
              <w:left w:val="single" w:sz="4" w:space="0" w:color="auto"/>
              <w:right w:val="nil"/>
            </w:tcBorders>
            <w:shd w:val="clear" w:color="auto" w:fill="auto"/>
            <w:vAlign w:val="center"/>
            <w:hideMark/>
          </w:tcPr>
          <w:p w14:paraId="5A3055DD"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&lt;0.001</w:t>
            </w:r>
          </w:p>
        </w:tc>
        <w:tc>
          <w:tcPr>
            <w:tcW w:w="1200" w:type="dxa"/>
            <w:tcBorders>
              <w:top w:val="nil"/>
              <w:left w:val="nil"/>
              <w:right w:val="nil"/>
            </w:tcBorders>
            <w:shd w:val="clear" w:color="auto" w:fill="auto"/>
            <w:vAlign w:val="center"/>
            <w:hideMark/>
          </w:tcPr>
          <w:p w14:paraId="0B5AE17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right w:val="nil"/>
            </w:tcBorders>
            <w:shd w:val="clear" w:color="auto" w:fill="auto"/>
            <w:vAlign w:val="center"/>
            <w:hideMark/>
          </w:tcPr>
          <w:p w14:paraId="388783F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BC5D67" w:rsidRPr="00631CF2" w14:paraId="59C970E6" w14:textId="77777777" w:rsidTr="0098215C">
        <w:trPr>
          <w:trHeight w:val="285"/>
        </w:trPr>
        <w:tc>
          <w:tcPr>
            <w:tcW w:w="640" w:type="dxa"/>
            <w:tcBorders>
              <w:top w:val="nil"/>
              <w:left w:val="nil"/>
              <w:bottom w:val="single" w:sz="4" w:space="0" w:color="auto"/>
              <w:right w:val="single" w:sz="4" w:space="0" w:color="auto"/>
            </w:tcBorders>
            <w:shd w:val="clear" w:color="auto" w:fill="auto"/>
            <w:vAlign w:val="center"/>
            <w:hideMark/>
          </w:tcPr>
          <w:p w14:paraId="6C0B3FBB"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TPD</w:t>
            </w:r>
          </w:p>
        </w:tc>
        <w:tc>
          <w:tcPr>
            <w:tcW w:w="900" w:type="dxa"/>
            <w:vMerge/>
            <w:tcBorders>
              <w:top w:val="nil"/>
              <w:left w:val="single" w:sz="4" w:space="0" w:color="auto"/>
              <w:bottom w:val="single" w:sz="4" w:space="0" w:color="auto"/>
              <w:right w:val="single" w:sz="4" w:space="0" w:color="auto"/>
            </w:tcBorders>
            <w:vAlign w:val="center"/>
            <w:hideMark/>
          </w:tcPr>
          <w:p w14:paraId="0698D3C9" w14:textId="77777777" w:rsidR="00AA74ED" w:rsidRPr="00631CF2" w:rsidRDefault="00AA74ED" w:rsidP="00E0750F">
            <w:pPr>
              <w:widowControl w:val="0"/>
              <w:spacing w:after="0" w:line="360" w:lineRule="auto"/>
              <w:rPr>
                <w:rFonts w:ascii="Times New Roman" w:eastAsia="Times New Roman" w:hAnsi="Times New Roman" w:cs="Times New Roman"/>
                <w:color w:val="000000"/>
                <w:sz w:val="24"/>
                <w:szCs w:val="24"/>
                <w:lang w:eastAsia="es-ES"/>
              </w:rPr>
            </w:pPr>
          </w:p>
        </w:tc>
        <w:tc>
          <w:tcPr>
            <w:tcW w:w="1000" w:type="dxa"/>
            <w:tcBorders>
              <w:top w:val="nil"/>
              <w:left w:val="single" w:sz="4" w:space="0" w:color="auto"/>
              <w:bottom w:val="single" w:sz="4" w:space="0" w:color="auto"/>
              <w:right w:val="nil"/>
            </w:tcBorders>
            <w:shd w:val="clear" w:color="auto" w:fill="auto"/>
            <w:vAlign w:val="center"/>
            <w:hideMark/>
          </w:tcPr>
          <w:p w14:paraId="30017A65"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1566</w:t>
            </w:r>
          </w:p>
        </w:tc>
        <w:tc>
          <w:tcPr>
            <w:tcW w:w="1000" w:type="dxa"/>
            <w:tcBorders>
              <w:top w:val="nil"/>
              <w:left w:val="nil"/>
              <w:bottom w:val="single" w:sz="4" w:space="0" w:color="auto"/>
              <w:right w:val="nil"/>
            </w:tcBorders>
            <w:shd w:val="clear" w:color="auto" w:fill="auto"/>
            <w:vAlign w:val="center"/>
            <w:hideMark/>
          </w:tcPr>
          <w:p w14:paraId="43C14D42"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1899</w:t>
            </w:r>
          </w:p>
        </w:tc>
        <w:tc>
          <w:tcPr>
            <w:tcW w:w="1000" w:type="dxa"/>
            <w:tcBorders>
              <w:top w:val="nil"/>
              <w:left w:val="nil"/>
              <w:bottom w:val="single" w:sz="4" w:space="0" w:color="auto"/>
              <w:right w:val="nil"/>
            </w:tcBorders>
            <w:shd w:val="clear" w:color="auto" w:fill="auto"/>
            <w:vAlign w:val="center"/>
            <w:hideMark/>
          </w:tcPr>
          <w:p w14:paraId="69BDAB46"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991</w:t>
            </w:r>
          </w:p>
        </w:tc>
        <w:tc>
          <w:tcPr>
            <w:tcW w:w="1000" w:type="dxa"/>
            <w:tcBorders>
              <w:top w:val="nil"/>
              <w:left w:val="nil"/>
              <w:bottom w:val="single" w:sz="4" w:space="0" w:color="auto"/>
              <w:right w:val="single" w:sz="4" w:space="0" w:color="auto"/>
            </w:tcBorders>
            <w:shd w:val="clear" w:color="auto" w:fill="auto"/>
            <w:vAlign w:val="center"/>
            <w:hideMark/>
          </w:tcPr>
          <w:p w14:paraId="2C609584"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1260</w:t>
            </w:r>
          </w:p>
        </w:tc>
        <w:tc>
          <w:tcPr>
            <w:tcW w:w="1200" w:type="dxa"/>
            <w:tcBorders>
              <w:top w:val="nil"/>
              <w:left w:val="single" w:sz="4" w:space="0" w:color="auto"/>
              <w:bottom w:val="single" w:sz="4" w:space="0" w:color="auto"/>
              <w:right w:val="nil"/>
            </w:tcBorders>
            <w:shd w:val="clear" w:color="auto" w:fill="auto"/>
            <w:vAlign w:val="center"/>
            <w:hideMark/>
          </w:tcPr>
          <w:p w14:paraId="1054B0D0"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&lt;0.01</w:t>
            </w:r>
          </w:p>
        </w:tc>
        <w:tc>
          <w:tcPr>
            <w:tcW w:w="1200" w:type="dxa"/>
            <w:tcBorders>
              <w:top w:val="nil"/>
              <w:left w:val="nil"/>
              <w:bottom w:val="single" w:sz="4" w:space="0" w:color="auto"/>
              <w:right w:val="nil"/>
            </w:tcBorders>
            <w:shd w:val="clear" w:color="auto" w:fill="auto"/>
            <w:vAlign w:val="center"/>
            <w:hideMark/>
          </w:tcPr>
          <w:p w14:paraId="1C0FD675"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c>
          <w:tcPr>
            <w:tcW w:w="1200" w:type="dxa"/>
            <w:tcBorders>
              <w:top w:val="nil"/>
              <w:left w:val="nil"/>
              <w:bottom w:val="single" w:sz="4" w:space="0" w:color="auto"/>
              <w:right w:val="nil"/>
            </w:tcBorders>
            <w:shd w:val="clear" w:color="auto" w:fill="auto"/>
            <w:vAlign w:val="center"/>
            <w:hideMark/>
          </w:tcPr>
          <w:p w14:paraId="26A31781" w14:textId="77777777" w:rsidR="00AA74ED" w:rsidRPr="00631CF2" w:rsidRDefault="00AA74ED" w:rsidP="00E0750F">
            <w:pPr>
              <w:widowControl w:val="0"/>
              <w:spacing w:after="0" w:line="36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bl>
    <w:p w14:paraId="07F001D0" w14:textId="77777777" w:rsidR="005B60B4" w:rsidRPr="00631CF2" w:rsidRDefault="005B60B4" w:rsidP="007F0193">
      <w:pPr>
        <w:widowControl w:val="0"/>
        <w:spacing w:after="0" w:line="480" w:lineRule="auto"/>
        <w:jc w:val="both"/>
        <w:rPr>
          <w:rFonts w:ascii="Times New Roman" w:eastAsia="Times New Roman" w:hAnsi="Times New Roman" w:cs="Times New Roman"/>
          <w:i/>
          <w:iCs/>
          <w:color w:val="70AD47" w:themeColor="accent6"/>
          <w:sz w:val="24"/>
          <w:szCs w:val="24"/>
        </w:rPr>
      </w:pPr>
    </w:p>
    <w:p w14:paraId="267EB035" w14:textId="77777777" w:rsidR="005B60B4" w:rsidRPr="00631CF2" w:rsidRDefault="005B60B4" w:rsidP="007F0193">
      <w:pPr>
        <w:widowControl w:val="0"/>
        <w:spacing w:after="0" w:line="480" w:lineRule="auto"/>
        <w:rPr>
          <w:rFonts w:ascii="Times New Roman" w:hAnsi="Times New Roman" w:cs="Times New Roman"/>
        </w:rPr>
      </w:pPr>
    </w:p>
    <w:p w14:paraId="2E6A2BC8" w14:textId="77777777" w:rsidR="007F0193" w:rsidRPr="00631CF2" w:rsidRDefault="007F0193" w:rsidP="007F0193">
      <w:pPr>
        <w:widowControl w:val="0"/>
        <w:spacing w:after="0" w:line="480" w:lineRule="auto"/>
        <w:rPr>
          <w:rFonts w:ascii="Times New Roman" w:hAnsi="Times New Roman" w:cs="Times New Roman"/>
        </w:rPr>
      </w:pPr>
      <w:r w:rsidRPr="00631CF2">
        <w:rPr>
          <w:rFonts w:ascii="Times New Roman" w:hAnsi="Times New Roman" w:cs="Times New Roman"/>
        </w:rPr>
        <w:br w:type="page"/>
      </w:r>
    </w:p>
    <w:p w14:paraId="314CF321" w14:textId="68E82F44" w:rsidR="005B60B4" w:rsidRPr="00631CF2" w:rsidRDefault="7C0226D9" w:rsidP="007F0193">
      <w:pPr>
        <w:widowControl w:val="0"/>
        <w:spacing w:after="0" w:line="480" w:lineRule="auto"/>
        <w:rPr>
          <w:rStyle w:val="eop"/>
          <w:rFonts w:ascii="Times New Roman" w:hAnsi="Times New Roman" w:cs="Times New Roman"/>
          <w:color w:val="000000" w:themeColor="text1"/>
          <w:sz w:val="24"/>
          <w:szCs w:val="24"/>
        </w:rPr>
      </w:pPr>
      <w:r w:rsidRPr="00631CF2">
        <w:rPr>
          <w:rStyle w:val="normaltextrun"/>
          <w:rFonts w:ascii="Times New Roman" w:hAnsi="Times New Roman" w:cs="Times New Roman"/>
          <w:b/>
          <w:bCs/>
          <w:color w:val="000000" w:themeColor="text1"/>
          <w:sz w:val="24"/>
          <w:szCs w:val="24"/>
        </w:rPr>
        <w:lastRenderedPageBreak/>
        <w:t xml:space="preserve">Table </w:t>
      </w:r>
      <w:r w:rsidR="00001B8C" w:rsidRPr="00631CF2">
        <w:rPr>
          <w:rStyle w:val="normaltextrun"/>
          <w:rFonts w:ascii="Times New Roman" w:hAnsi="Times New Roman" w:cs="Times New Roman"/>
          <w:b/>
          <w:bCs/>
          <w:color w:val="000000" w:themeColor="text1"/>
          <w:sz w:val="24"/>
          <w:szCs w:val="24"/>
        </w:rPr>
        <w:t>2</w:t>
      </w:r>
      <w:r w:rsidRPr="00631CF2">
        <w:rPr>
          <w:rStyle w:val="normaltextrun"/>
          <w:rFonts w:ascii="Times New Roman" w:hAnsi="Times New Roman" w:cs="Times New Roman"/>
          <w:b/>
          <w:bCs/>
          <w:color w:val="000000" w:themeColor="text1"/>
          <w:sz w:val="24"/>
          <w:szCs w:val="24"/>
        </w:rPr>
        <w:t>.</w:t>
      </w:r>
      <w:r w:rsidRPr="00631CF2">
        <w:rPr>
          <w:rStyle w:val="normaltextrun"/>
          <w:rFonts w:ascii="Times New Roman" w:hAnsi="Times New Roman" w:cs="Times New Roman"/>
          <w:color w:val="000000" w:themeColor="text1"/>
          <w:sz w:val="24"/>
          <w:szCs w:val="24"/>
        </w:rPr>
        <w:t xml:space="preserve"> </w:t>
      </w:r>
      <w:r w:rsidR="000D7D93" w:rsidRPr="00631CF2">
        <w:rPr>
          <w:rStyle w:val="normaltextrun"/>
          <w:rFonts w:ascii="Times New Roman" w:hAnsi="Times New Roman" w:cs="Times New Roman"/>
          <w:color w:val="000000" w:themeColor="text1"/>
          <w:sz w:val="24"/>
          <w:szCs w:val="24"/>
        </w:rPr>
        <w:t>Seasonal demographic stability indices (SI ± SE) of mixed pasture and for individual species (</w:t>
      </w:r>
      <w:r w:rsidR="000D7D93" w:rsidRPr="00631CF2">
        <w:rPr>
          <w:rStyle w:val="normaltextrun"/>
          <w:rFonts w:ascii="Times New Roman" w:hAnsi="Times New Roman" w:cs="Times New Roman"/>
          <w:i/>
          <w:iCs/>
          <w:color w:val="000000" w:themeColor="text1"/>
          <w:sz w:val="24"/>
          <w:szCs w:val="24"/>
        </w:rPr>
        <w:t xml:space="preserve">L. </w:t>
      </w:r>
      <w:proofErr w:type="spellStart"/>
      <w:r w:rsidR="000D7D93" w:rsidRPr="00631CF2">
        <w:rPr>
          <w:rStyle w:val="normaltextrun"/>
          <w:rFonts w:ascii="Times New Roman" w:hAnsi="Times New Roman" w:cs="Times New Roman"/>
          <w:i/>
          <w:iCs/>
          <w:color w:val="000000" w:themeColor="text1"/>
          <w:sz w:val="24"/>
          <w:szCs w:val="24"/>
        </w:rPr>
        <w:t>arundinaceum</w:t>
      </w:r>
      <w:proofErr w:type="spellEnd"/>
      <w:r w:rsidR="000D7D93" w:rsidRPr="00631CF2">
        <w:rPr>
          <w:rStyle w:val="normaltextrun"/>
          <w:rFonts w:ascii="Times New Roman" w:hAnsi="Times New Roman" w:cs="Times New Roman"/>
          <w:color w:val="000000" w:themeColor="text1"/>
          <w:sz w:val="24"/>
          <w:szCs w:val="24"/>
        </w:rPr>
        <w:t xml:space="preserve"> and </w:t>
      </w:r>
      <w:r w:rsidR="000D7D93" w:rsidRPr="00631CF2">
        <w:rPr>
          <w:rStyle w:val="normaltextrun"/>
          <w:rFonts w:ascii="Times New Roman" w:hAnsi="Times New Roman" w:cs="Times New Roman"/>
          <w:i/>
          <w:iCs/>
          <w:color w:val="000000" w:themeColor="text1"/>
          <w:sz w:val="24"/>
          <w:szCs w:val="24"/>
        </w:rPr>
        <w:t xml:space="preserve">C. </w:t>
      </w:r>
      <w:proofErr w:type="spellStart"/>
      <w:r w:rsidR="000D7D93" w:rsidRPr="00631CF2">
        <w:rPr>
          <w:rStyle w:val="normaltextrun"/>
          <w:rFonts w:ascii="Times New Roman" w:hAnsi="Times New Roman" w:cs="Times New Roman"/>
          <w:i/>
          <w:iCs/>
          <w:color w:val="000000" w:themeColor="text1"/>
          <w:sz w:val="24"/>
          <w:szCs w:val="24"/>
        </w:rPr>
        <w:t>clandestinus</w:t>
      </w:r>
      <w:proofErr w:type="spellEnd"/>
      <w:r w:rsidR="000D7D93" w:rsidRPr="00631CF2">
        <w:rPr>
          <w:rStyle w:val="normaltextrun"/>
          <w:rFonts w:ascii="Times New Roman" w:hAnsi="Times New Roman" w:cs="Times New Roman"/>
          <w:color w:val="000000" w:themeColor="text1"/>
          <w:sz w:val="24"/>
          <w:szCs w:val="24"/>
        </w:rPr>
        <w:t>) under different grazing height treatments (15 cm and 20 cm) with and without spring hard grazing (HSG</w:t>
      </w:r>
      <w:r w:rsidR="00BC668F" w:rsidRPr="00631CF2">
        <w:rPr>
          <w:rStyle w:val="normaltextrun"/>
          <w:rFonts w:ascii="Times New Roman" w:hAnsi="Times New Roman" w:cs="Times New Roman"/>
          <w:color w:val="000000" w:themeColor="text1"/>
          <w:sz w:val="24"/>
          <w:szCs w:val="24"/>
        </w:rPr>
        <w:t xml:space="preserve">; </w:t>
      </w:r>
      <w:r w:rsidR="000D7D93" w:rsidRPr="00631CF2">
        <w:rPr>
          <w:rStyle w:val="normaltextrun"/>
          <w:rFonts w:ascii="Times New Roman" w:hAnsi="Times New Roman" w:cs="Times New Roman"/>
          <w:color w:val="000000" w:themeColor="text1"/>
          <w:sz w:val="24"/>
          <w:szCs w:val="24"/>
        </w:rPr>
        <w:t xml:space="preserve">n = 19). SI values &gt; 1 indicate population growth, while SI values &lt; 1 indicate population </w:t>
      </w:r>
      <w:r w:rsidR="00BC668F" w:rsidRPr="00631CF2">
        <w:rPr>
          <w:rStyle w:val="normaltextrun"/>
          <w:rFonts w:ascii="Times New Roman" w:hAnsi="Times New Roman" w:cs="Times New Roman"/>
          <w:color w:val="000000" w:themeColor="text1"/>
          <w:sz w:val="24"/>
          <w:szCs w:val="24"/>
        </w:rPr>
        <w:t>instability</w:t>
      </w:r>
      <w:r w:rsidR="000D7D93" w:rsidRPr="00631CF2">
        <w:rPr>
          <w:rStyle w:val="normaltextrun"/>
          <w:rFonts w:ascii="Times New Roman" w:hAnsi="Times New Roman" w:cs="Times New Roman"/>
          <w:color w:val="000000" w:themeColor="text1"/>
          <w:sz w:val="24"/>
          <w:szCs w:val="24"/>
        </w:rPr>
        <w:t>.</w:t>
      </w:r>
    </w:p>
    <w:tbl>
      <w:tblPr>
        <w:tblW w:w="8495" w:type="dxa"/>
        <w:tblCellMar>
          <w:left w:w="70" w:type="dxa"/>
          <w:right w:w="70" w:type="dxa"/>
        </w:tblCellMar>
        <w:tblLook w:val="04A0" w:firstRow="1" w:lastRow="0" w:firstColumn="1" w:lastColumn="0" w:noHBand="0" w:noVBand="1"/>
      </w:tblPr>
      <w:tblGrid>
        <w:gridCol w:w="1560"/>
        <w:gridCol w:w="1275"/>
        <w:gridCol w:w="1843"/>
        <w:gridCol w:w="1985"/>
        <w:gridCol w:w="1832"/>
      </w:tblGrid>
      <w:tr w:rsidR="00641FB5" w:rsidRPr="00631CF2" w14:paraId="16E447A0" w14:textId="77777777" w:rsidTr="00A90E97">
        <w:trPr>
          <w:trHeight w:val="315"/>
        </w:trPr>
        <w:tc>
          <w:tcPr>
            <w:tcW w:w="1560" w:type="dxa"/>
            <w:tcBorders>
              <w:top w:val="single" w:sz="8" w:space="0" w:color="auto"/>
              <w:bottom w:val="single" w:sz="4" w:space="0" w:color="auto"/>
              <w:right w:val="nil"/>
            </w:tcBorders>
            <w:shd w:val="clear" w:color="auto" w:fill="auto"/>
            <w:vAlign w:val="center"/>
            <w:hideMark/>
          </w:tcPr>
          <w:p w14:paraId="693D5D61" w14:textId="77777777" w:rsidR="00641FB5" w:rsidRPr="00631CF2" w:rsidRDefault="00641FB5" w:rsidP="007F0193">
            <w:pPr>
              <w:widowControl w:val="0"/>
              <w:spacing w:after="0" w:line="480" w:lineRule="auto"/>
              <w:rPr>
                <w:rFonts w:ascii="Times New Roman" w:eastAsia="Times New Roman" w:hAnsi="Times New Roman" w:cs="Times New Roman"/>
                <w:b/>
                <w:bCs/>
                <w:color w:val="000000"/>
                <w:sz w:val="24"/>
                <w:szCs w:val="24"/>
                <w:lang w:eastAsia="es-ES"/>
              </w:rPr>
            </w:pPr>
            <w:r w:rsidRPr="00631CF2">
              <w:rPr>
                <w:rFonts w:ascii="Times New Roman" w:eastAsia="Times New Roman" w:hAnsi="Times New Roman" w:cs="Times New Roman"/>
                <w:b/>
                <w:bCs/>
                <w:color w:val="000000"/>
                <w:sz w:val="24"/>
                <w:szCs w:val="24"/>
                <w:lang w:eastAsia="es-ES"/>
              </w:rPr>
              <w:t>Treatments</w:t>
            </w:r>
          </w:p>
        </w:tc>
        <w:tc>
          <w:tcPr>
            <w:tcW w:w="1275" w:type="dxa"/>
            <w:tcBorders>
              <w:top w:val="single" w:sz="8" w:space="0" w:color="auto"/>
              <w:left w:val="single" w:sz="4" w:space="0" w:color="auto"/>
              <w:bottom w:val="single" w:sz="4" w:space="0" w:color="auto"/>
              <w:right w:val="single" w:sz="4" w:space="0" w:color="auto"/>
            </w:tcBorders>
            <w:shd w:val="clear" w:color="000000" w:fill="FFFFFF"/>
            <w:vAlign w:val="center"/>
            <w:hideMark/>
          </w:tcPr>
          <w:p w14:paraId="72343045" w14:textId="04C58EE2" w:rsidR="00641FB5" w:rsidRPr="00631CF2" w:rsidRDefault="00641FB5" w:rsidP="007F0193">
            <w:pPr>
              <w:widowControl w:val="0"/>
              <w:spacing w:after="0" w:line="480" w:lineRule="auto"/>
              <w:jc w:val="center"/>
              <w:rPr>
                <w:rFonts w:ascii="Times New Roman" w:eastAsia="Times New Roman" w:hAnsi="Times New Roman" w:cs="Times New Roman"/>
                <w:b/>
                <w:bCs/>
                <w:color w:val="000000"/>
                <w:sz w:val="24"/>
                <w:szCs w:val="24"/>
                <w:lang w:eastAsia="es-ES"/>
              </w:rPr>
            </w:pPr>
            <w:r w:rsidRPr="00631CF2">
              <w:rPr>
                <w:rFonts w:ascii="Times New Roman" w:eastAsia="Times New Roman" w:hAnsi="Times New Roman" w:cs="Times New Roman"/>
                <w:b/>
                <w:bCs/>
                <w:color w:val="000000"/>
                <w:sz w:val="24"/>
                <w:szCs w:val="24"/>
                <w:lang w:eastAsia="es-ES"/>
              </w:rPr>
              <w:t>Season</w:t>
            </w:r>
          </w:p>
        </w:tc>
        <w:tc>
          <w:tcPr>
            <w:tcW w:w="1843" w:type="dxa"/>
            <w:tcBorders>
              <w:top w:val="single" w:sz="8" w:space="0" w:color="auto"/>
              <w:left w:val="nil"/>
              <w:bottom w:val="single" w:sz="4" w:space="0" w:color="auto"/>
              <w:right w:val="single" w:sz="4" w:space="0" w:color="auto"/>
            </w:tcBorders>
            <w:shd w:val="clear" w:color="000000" w:fill="FFFFFF"/>
            <w:vAlign w:val="center"/>
            <w:hideMark/>
          </w:tcPr>
          <w:p w14:paraId="572CC5B2" w14:textId="120B33E2" w:rsidR="00641FB5" w:rsidRPr="00631CF2" w:rsidRDefault="00641FB5" w:rsidP="007F0193">
            <w:pPr>
              <w:widowControl w:val="0"/>
              <w:spacing w:after="0" w:line="480" w:lineRule="auto"/>
              <w:jc w:val="center"/>
              <w:rPr>
                <w:rFonts w:ascii="Times New Roman" w:eastAsia="Times New Roman" w:hAnsi="Times New Roman" w:cs="Times New Roman"/>
                <w:b/>
                <w:bCs/>
                <w:color w:val="000000"/>
                <w:sz w:val="24"/>
                <w:szCs w:val="24"/>
                <w:lang w:eastAsia="es-ES"/>
              </w:rPr>
            </w:pPr>
            <w:r w:rsidRPr="00631CF2">
              <w:rPr>
                <w:rFonts w:ascii="Times New Roman" w:eastAsia="Times New Roman" w:hAnsi="Times New Roman" w:cs="Times New Roman"/>
                <w:b/>
                <w:bCs/>
                <w:color w:val="000000"/>
                <w:sz w:val="24"/>
                <w:szCs w:val="24"/>
                <w:lang w:eastAsia="es-ES"/>
              </w:rPr>
              <w:t>Mix</w:t>
            </w:r>
            <w:r w:rsidR="000D7D93" w:rsidRPr="00631CF2">
              <w:rPr>
                <w:rFonts w:ascii="Times New Roman" w:eastAsia="Times New Roman" w:hAnsi="Times New Roman" w:cs="Times New Roman"/>
                <w:b/>
                <w:bCs/>
                <w:color w:val="000000"/>
                <w:sz w:val="24"/>
                <w:szCs w:val="24"/>
                <w:lang w:eastAsia="es-ES"/>
              </w:rPr>
              <w:t>ed</w:t>
            </w:r>
            <w:r w:rsidRPr="00631CF2">
              <w:rPr>
                <w:rFonts w:ascii="Times New Roman" w:eastAsia="Times New Roman" w:hAnsi="Times New Roman" w:cs="Times New Roman"/>
                <w:b/>
                <w:bCs/>
                <w:color w:val="000000"/>
                <w:sz w:val="24"/>
                <w:szCs w:val="24"/>
                <w:lang w:eastAsia="es-ES"/>
              </w:rPr>
              <w:t xml:space="preserve"> Pasture</w:t>
            </w:r>
          </w:p>
        </w:tc>
        <w:tc>
          <w:tcPr>
            <w:tcW w:w="1985" w:type="dxa"/>
            <w:tcBorders>
              <w:top w:val="single" w:sz="8" w:space="0" w:color="auto"/>
              <w:left w:val="nil"/>
              <w:bottom w:val="single" w:sz="4" w:space="0" w:color="auto"/>
              <w:right w:val="nil"/>
            </w:tcBorders>
            <w:shd w:val="clear" w:color="000000" w:fill="FFFFFF"/>
            <w:vAlign w:val="center"/>
            <w:hideMark/>
          </w:tcPr>
          <w:p w14:paraId="6BA9169A" w14:textId="165FCDE5" w:rsidR="00641FB5" w:rsidRPr="00631CF2" w:rsidRDefault="00641FB5" w:rsidP="007F0193">
            <w:pPr>
              <w:widowControl w:val="0"/>
              <w:spacing w:after="0" w:line="48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 xml:space="preserve">L. </w:t>
            </w:r>
            <w:proofErr w:type="spellStart"/>
            <w:r w:rsidRPr="00631CF2">
              <w:rPr>
                <w:rFonts w:ascii="Times New Roman" w:eastAsia="Times New Roman" w:hAnsi="Times New Roman" w:cs="Times New Roman"/>
                <w:b/>
                <w:bCs/>
                <w:i/>
                <w:iCs/>
                <w:color w:val="000000"/>
                <w:sz w:val="24"/>
                <w:szCs w:val="24"/>
                <w:lang w:eastAsia="es-ES"/>
              </w:rPr>
              <w:t>arundinace</w:t>
            </w:r>
            <w:r w:rsidR="000D7D93" w:rsidRPr="00631CF2">
              <w:rPr>
                <w:rFonts w:ascii="Times New Roman" w:eastAsia="Times New Roman" w:hAnsi="Times New Roman" w:cs="Times New Roman"/>
                <w:b/>
                <w:bCs/>
                <w:i/>
                <w:iCs/>
                <w:color w:val="000000"/>
                <w:sz w:val="24"/>
                <w:szCs w:val="24"/>
                <w:lang w:eastAsia="es-ES"/>
              </w:rPr>
              <w:t>um</w:t>
            </w:r>
            <w:proofErr w:type="spellEnd"/>
          </w:p>
        </w:tc>
        <w:tc>
          <w:tcPr>
            <w:tcW w:w="1832" w:type="dxa"/>
            <w:tcBorders>
              <w:top w:val="single" w:sz="8" w:space="0" w:color="auto"/>
              <w:left w:val="single" w:sz="4" w:space="0" w:color="auto"/>
              <w:bottom w:val="single" w:sz="4" w:space="0" w:color="auto"/>
            </w:tcBorders>
            <w:shd w:val="clear" w:color="000000" w:fill="FFFFFF"/>
            <w:vAlign w:val="center"/>
            <w:hideMark/>
          </w:tcPr>
          <w:p w14:paraId="50D50316" w14:textId="6DC4FD52" w:rsidR="00641FB5" w:rsidRPr="00631CF2" w:rsidRDefault="000D7D93" w:rsidP="007F0193">
            <w:pPr>
              <w:widowControl w:val="0"/>
              <w:spacing w:after="0" w:line="480" w:lineRule="auto"/>
              <w:jc w:val="center"/>
              <w:rPr>
                <w:rFonts w:ascii="Times New Roman" w:eastAsia="Times New Roman" w:hAnsi="Times New Roman" w:cs="Times New Roman"/>
                <w:b/>
                <w:bCs/>
                <w:i/>
                <w:iCs/>
                <w:color w:val="000000"/>
                <w:sz w:val="24"/>
                <w:szCs w:val="24"/>
                <w:lang w:eastAsia="es-ES"/>
              </w:rPr>
            </w:pPr>
            <w:r w:rsidRPr="00631CF2">
              <w:rPr>
                <w:rFonts w:ascii="Times New Roman" w:eastAsia="Times New Roman" w:hAnsi="Times New Roman" w:cs="Times New Roman"/>
                <w:b/>
                <w:bCs/>
                <w:i/>
                <w:iCs/>
                <w:color w:val="000000"/>
                <w:sz w:val="24"/>
                <w:szCs w:val="24"/>
                <w:lang w:eastAsia="es-ES"/>
              </w:rPr>
              <w:t>C</w:t>
            </w:r>
            <w:r w:rsidR="00641FB5" w:rsidRPr="00631CF2">
              <w:rPr>
                <w:rFonts w:ascii="Times New Roman" w:eastAsia="Times New Roman" w:hAnsi="Times New Roman" w:cs="Times New Roman"/>
                <w:b/>
                <w:bCs/>
                <w:i/>
                <w:iCs/>
                <w:color w:val="000000"/>
                <w:sz w:val="24"/>
                <w:szCs w:val="24"/>
                <w:lang w:eastAsia="es-ES"/>
              </w:rPr>
              <w:t xml:space="preserve">. </w:t>
            </w:r>
            <w:proofErr w:type="spellStart"/>
            <w:r w:rsidRPr="00631CF2">
              <w:rPr>
                <w:rFonts w:ascii="Times New Roman" w:eastAsia="Times New Roman" w:hAnsi="Times New Roman" w:cs="Times New Roman"/>
                <w:b/>
                <w:bCs/>
                <w:i/>
                <w:iCs/>
                <w:color w:val="000000"/>
                <w:sz w:val="24"/>
                <w:szCs w:val="24"/>
                <w:lang w:eastAsia="es-ES"/>
              </w:rPr>
              <w:t>c</w:t>
            </w:r>
            <w:r w:rsidR="00641FB5" w:rsidRPr="00631CF2">
              <w:rPr>
                <w:rFonts w:ascii="Times New Roman" w:eastAsia="Times New Roman" w:hAnsi="Times New Roman" w:cs="Times New Roman"/>
                <w:b/>
                <w:bCs/>
                <w:i/>
                <w:iCs/>
                <w:color w:val="000000"/>
                <w:sz w:val="24"/>
                <w:szCs w:val="24"/>
                <w:lang w:eastAsia="es-ES"/>
              </w:rPr>
              <w:t>landestinu</w:t>
            </w:r>
            <w:r w:rsidRPr="00631CF2">
              <w:rPr>
                <w:rFonts w:ascii="Times New Roman" w:eastAsia="Times New Roman" w:hAnsi="Times New Roman" w:cs="Times New Roman"/>
                <w:b/>
                <w:bCs/>
                <w:i/>
                <w:iCs/>
                <w:color w:val="000000"/>
                <w:sz w:val="24"/>
                <w:szCs w:val="24"/>
                <w:lang w:eastAsia="es-ES"/>
              </w:rPr>
              <w:t>s</w:t>
            </w:r>
            <w:proofErr w:type="spellEnd"/>
          </w:p>
        </w:tc>
      </w:tr>
      <w:tr w:rsidR="00641FB5" w:rsidRPr="00631CF2" w14:paraId="6BDF1F49" w14:textId="77777777" w:rsidTr="00A90E97">
        <w:trPr>
          <w:trHeight w:val="315"/>
        </w:trPr>
        <w:tc>
          <w:tcPr>
            <w:tcW w:w="1560" w:type="dxa"/>
            <w:vMerge w:val="restart"/>
            <w:tcBorders>
              <w:top w:val="nil"/>
              <w:left w:val="nil"/>
              <w:bottom w:val="single" w:sz="4" w:space="0" w:color="000000"/>
              <w:right w:val="nil"/>
            </w:tcBorders>
            <w:shd w:val="clear" w:color="auto" w:fill="auto"/>
            <w:noWrap/>
            <w:vAlign w:val="center"/>
            <w:hideMark/>
          </w:tcPr>
          <w:p w14:paraId="4E9C766D"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 cm</w:t>
            </w:r>
          </w:p>
        </w:tc>
        <w:tc>
          <w:tcPr>
            <w:tcW w:w="1275" w:type="dxa"/>
            <w:tcBorders>
              <w:top w:val="nil"/>
              <w:left w:val="single" w:sz="4" w:space="0" w:color="auto"/>
              <w:bottom w:val="nil"/>
              <w:right w:val="single" w:sz="4" w:space="0" w:color="auto"/>
            </w:tcBorders>
            <w:shd w:val="clear" w:color="auto" w:fill="auto"/>
            <w:noWrap/>
            <w:vAlign w:val="bottom"/>
            <w:hideMark/>
          </w:tcPr>
          <w:p w14:paraId="6378215E" w14:textId="5B4B2BA7"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w:t>
            </w:r>
            <w:r w:rsidR="00641FB5" w:rsidRPr="00631CF2">
              <w:rPr>
                <w:rFonts w:ascii="Times New Roman" w:eastAsia="Times New Roman" w:hAnsi="Times New Roman" w:cs="Times New Roman"/>
                <w:color w:val="000000"/>
                <w:sz w:val="24"/>
                <w:szCs w:val="24"/>
                <w:lang w:eastAsia="es-ES"/>
              </w:rPr>
              <w:t>inter</w:t>
            </w:r>
          </w:p>
        </w:tc>
        <w:tc>
          <w:tcPr>
            <w:tcW w:w="1843" w:type="dxa"/>
            <w:tcBorders>
              <w:top w:val="nil"/>
              <w:left w:val="nil"/>
              <w:bottom w:val="nil"/>
              <w:right w:val="single" w:sz="4" w:space="0" w:color="auto"/>
            </w:tcBorders>
            <w:shd w:val="clear" w:color="auto" w:fill="auto"/>
            <w:noWrap/>
            <w:vAlign w:val="bottom"/>
            <w:hideMark/>
          </w:tcPr>
          <w:p w14:paraId="12A4F0F6"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1.02 ± 0.17</w:t>
            </w:r>
          </w:p>
        </w:tc>
        <w:tc>
          <w:tcPr>
            <w:tcW w:w="1985" w:type="dxa"/>
            <w:tcBorders>
              <w:top w:val="nil"/>
              <w:left w:val="nil"/>
              <w:bottom w:val="nil"/>
              <w:right w:val="nil"/>
            </w:tcBorders>
            <w:shd w:val="clear" w:color="auto" w:fill="auto"/>
            <w:noWrap/>
            <w:vAlign w:val="bottom"/>
            <w:hideMark/>
          </w:tcPr>
          <w:p w14:paraId="5CBCD0BA"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1.43 ± 0.08</w:t>
            </w:r>
          </w:p>
        </w:tc>
        <w:tc>
          <w:tcPr>
            <w:tcW w:w="1832" w:type="dxa"/>
            <w:tcBorders>
              <w:top w:val="single" w:sz="4" w:space="0" w:color="auto"/>
              <w:left w:val="single" w:sz="4" w:space="0" w:color="auto"/>
              <w:bottom w:val="nil"/>
            </w:tcBorders>
            <w:shd w:val="clear" w:color="auto" w:fill="auto"/>
            <w:noWrap/>
            <w:vAlign w:val="bottom"/>
            <w:hideMark/>
          </w:tcPr>
          <w:p w14:paraId="52A054B9"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0.81 ± 0.12</w:t>
            </w:r>
          </w:p>
        </w:tc>
      </w:tr>
      <w:tr w:rsidR="00641FB5" w:rsidRPr="00631CF2" w14:paraId="637C9968" w14:textId="77777777" w:rsidTr="00A90E97">
        <w:trPr>
          <w:trHeight w:val="315"/>
        </w:trPr>
        <w:tc>
          <w:tcPr>
            <w:tcW w:w="1560" w:type="dxa"/>
            <w:vMerge/>
            <w:tcBorders>
              <w:top w:val="nil"/>
              <w:left w:val="nil"/>
              <w:bottom w:val="single" w:sz="4" w:space="0" w:color="000000"/>
              <w:right w:val="nil"/>
            </w:tcBorders>
            <w:vAlign w:val="center"/>
            <w:hideMark/>
          </w:tcPr>
          <w:p w14:paraId="69C02ACE" w14:textId="77777777" w:rsidR="00641FB5" w:rsidRPr="00631CF2" w:rsidRDefault="00641FB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275" w:type="dxa"/>
            <w:tcBorders>
              <w:top w:val="nil"/>
              <w:left w:val="single" w:sz="4" w:space="0" w:color="auto"/>
              <w:bottom w:val="nil"/>
              <w:right w:val="single" w:sz="4" w:space="0" w:color="auto"/>
            </w:tcBorders>
            <w:shd w:val="clear" w:color="auto" w:fill="auto"/>
            <w:noWrap/>
            <w:vAlign w:val="bottom"/>
            <w:hideMark/>
          </w:tcPr>
          <w:p w14:paraId="0C370146" w14:textId="5947D2D9"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w:t>
            </w:r>
            <w:r w:rsidR="00641FB5" w:rsidRPr="00631CF2">
              <w:rPr>
                <w:rFonts w:ascii="Times New Roman" w:eastAsia="Times New Roman" w:hAnsi="Times New Roman" w:cs="Times New Roman"/>
                <w:color w:val="000000"/>
                <w:sz w:val="24"/>
                <w:szCs w:val="24"/>
                <w:lang w:eastAsia="es-ES"/>
              </w:rPr>
              <w:t>pring</w:t>
            </w:r>
          </w:p>
        </w:tc>
        <w:tc>
          <w:tcPr>
            <w:tcW w:w="1843" w:type="dxa"/>
            <w:tcBorders>
              <w:top w:val="nil"/>
              <w:left w:val="nil"/>
              <w:bottom w:val="nil"/>
              <w:right w:val="single" w:sz="4" w:space="0" w:color="auto"/>
            </w:tcBorders>
            <w:shd w:val="clear" w:color="auto" w:fill="auto"/>
            <w:noWrap/>
            <w:vAlign w:val="bottom"/>
            <w:hideMark/>
          </w:tcPr>
          <w:p w14:paraId="35388524"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0.89 ± 0.08</w:t>
            </w:r>
          </w:p>
        </w:tc>
        <w:tc>
          <w:tcPr>
            <w:tcW w:w="1985" w:type="dxa"/>
            <w:tcBorders>
              <w:top w:val="nil"/>
              <w:left w:val="nil"/>
              <w:bottom w:val="nil"/>
              <w:right w:val="nil"/>
            </w:tcBorders>
            <w:shd w:val="clear" w:color="auto" w:fill="auto"/>
            <w:noWrap/>
            <w:vAlign w:val="bottom"/>
            <w:hideMark/>
          </w:tcPr>
          <w:p w14:paraId="54587E15"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0.77 ± 0.06</w:t>
            </w:r>
          </w:p>
        </w:tc>
        <w:tc>
          <w:tcPr>
            <w:tcW w:w="1832" w:type="dxa"/>
            <w:tcBorders>
              <w:top w:val="nil"/>
              <w:left w:val="single" w:sz="4" w:space="0" w:color="auto"/>
              <w:bottom w:val="nil"/>
            </w:tcBorders>
            <w:shd w:val="clear" w:color="auto" w:fill="auto"/>
            <w:noWrap/>
            <w:vAlign w:val="bottom"/>
            <w:hideMark/>
          </w:tcPr>
          <w:p w14:paraId="61E9DAD2"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1.31 ± 0.15</w:t>
            </w:r>
          </w:p>
        </w:tc>
      </w:tr>
      <w:tr w:rsidR="00641FB5" w:rsidRPr="00631CF2" w14:paraId="0A80EB7D" w14:textId="77777777" w:rsidTr="00A90E97">
        <w:trPr>
          <w:trHeight w:val="315"/>
        </w:trPr>
        <w:tc>
          <w:tcPr>
            <w:tcW w:w="1560" w:type="dxa"/>
            <w:vMerge/>
            <w:tcBorders>
              <w:top w:val="nil"/>
              <w:left w:val="nil"/>
              <w:bottom w:val="single" w:sz="4" w:space="0" w:color="000000"/>
              <w:right w:val="nil"/>
            </w:tcBorders>
            <w:vAlign w:val="center"/>
            <w:hideMark/>
          </w:tcPr>
          <w:p w14:paraId="3E1612EF" w14:textId="77777777" w:rsidR="00641FB5" w:rsidRPr="00631CF2" w:rsidRDefault="00641FB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14:paraId="6FE120BB" w14:textId="33983B65"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w:t>
            </w:r>
            <w:r w:rsidR="00641FB5" w:rsidRPr="00631CF2">
              <w:rPr>
                <w:rFonts w:ascii="Times New Roman" w:eastAsia="Times New Roman" w:hAnsi="Times New Roman" w:cs="Times New Roman"/>
                <w:color w:val="000000"/>
                <w:sz w:val="24"/>
                <w:szCs w:val="24"/>
                <w:lang w:eastAsia="es-ES"/>
              </w:rPr>
              <w:t>ummer</w:t>
            </w:r>
          </w:p>
        </w:tc>
        <w:tc>
          <w:tcPr>
            <w:tcW w:w="1843" w:type="dxa"/>
            <w:tcBorders>
              <w:top w:val="nil"/>
              <w:left w:val="nil"/>
              <w:bottom w:val="single" w:sz="4" w:space="0" w:color="auto"/>
              <w:right w:val="single" w:sz="4" w:space="0" w:color="auto"/>
            </w:tcBorders>
            <w:shd w:val="clear" w:color="auto" w:fill="auto"/>
            <w:noWrap/>
            <w:vAlign w:val="bottom"/>
            <w:hideMark/>
          </w:tcPr>
          <w:p w14:paraId="2AB191D5" w14:textId="58B249B0"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0.9</w:t>
            </w:r>
            <w:r w:rsidR="00150505" w:rsidRPr="00631CF2">
              <w:rPr>
                <w:rFonts w:ascii="Times New Roman" w:eastAsia="Times New Roman" w:hAnsi="Times New Roman" w:cs="Times New Roman"/>
                <w:color w:val="000000"/>
                <w:sz w:val="24"/>
                <w:szCs w:val="24"/>
                <w:lang w:eastAsia="es-ES"/>
              </w:rPr>
              <w:t xml:space="preserve"> </w:t>
            </w:r>
            <w:r w:rsidRPr="00631CF2">
              <w:rPr>
                <w:rFonts w:ascii="Times New Roman" w:eastAsia="Times New Roman" w:hAnsi="Times New Roman" w:cs="Times New Roman"/>
                <w:color w:val="000000"/>
                <w:sz w:val="24"/>
                <w:szCs w:val="24"/>
                <w:lang w:eastAsia="es-ES"/>
              </w:rPr>
              <w:t>±</w:t>
            </w:r>
            <w:r w:rsidR="00150505" w:rsidRPr="00631CF2">
              <w:rPr>
                <w:rFonts w:ascii="Times New Roman" w:eastAsia="Times New Roman" w:hAnsi="Times New Roman" w:cs="Times New Roman"/>
                <w:color w:val="000000"/>
                <w:sz w:val="24"/>
                <w:szCs w:val="24"/>
                <w:lang w:eastAsia="es-ES"/>
              </w:rPr>
              <w:t xml:space="preserve"> </w:t>
            </w:r>
            <w:r w:rsidRPr="00631CF2">
              <w:rPr>
                <w:rFonts w:ascii="Times New Roman" w:eastAsia="Times New Roman" w:hAnsi="Times New Roman" w:cs="Times New Roman"/>
                <w:color w:val="000000"/>
                <w:sz w:val="24"/>
                <w:szCs w:val="24"/>
                <w:lang w:eastAsia="es-ES"/>
              </w:rPr>
              <w:t>0.05</w:t>
            </w:r>
          </w:p>
        </w:tc>
        <w:tc>
          <w:tcPr>
            <w:tcW w:w="1985" w:type="dxa"/>
            <w:tcBorders>
              <w:top w:val="nil"/>
              <w:left w:val="nil"/>
              <w:bottom w:val="single" w:sz="4" w:space="0" w:color="auto"/>
              <w:right w:val="nil"/>
            </w:tcBorders>
            <w:shd w:val="clear" w:color="auto" w:fill="auto"/>
            <w:noWrap/>
            <w:vAlign w:val="bottom"/>
            <w:hideMark/>
          </w:tcPr>
          <w:p w14:paraId="7934616E"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0.84 ± 0.03</w:t>
            </w:r>
          </w:p>
        </w:tc>
        <w:tc>
          <w:tcPr>
            <w:tcW w:w="1832" w:type="dxa"/>
            <w:tcBorders>
              <w:top w:val="nil"/>
              <w:left w:val="single" w:sz="4" w:space="0" w:color="auto"/>
              <w:bottom w:val="single" w:sz="4" w:space="0" w:color="auto"/>
            </w:tcBorders>
            <w:shd w:val="clear" w:color="auto" w:fill="auto"/>
            <w:noWrap/>
            <w:vAlign w:val="bottom"/>
            <w:hideMark/>
          </w:tcPr>
          <w:p w14:paraId="698ABCFB"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0.97 ± 0.06</w:t>
            </w:r>
          </w:p>
        </w:tc>
      </w:tr>
      <w:tr w:rsidR="00641FB5" w:rsidRPr="00631CF2" w14:paraId="0ABE4764" w14:textId="77777777" w:rsidTr="00A90E97">
        <w:trPr>
          <w:trHeight w:val="315"/>
        </w:trPr>
        <w:tc>
          <w:tcPr>
            <w:tcW w:w="1560" w:type="dxa"/>
            <w:vMerge w:val="restart"/>
            <w:tcBorders>
              <w:top w:val="nil"/>
              <w:left w:val="nil"/>
              <w:bottom w:val="single" w:sz="4" w:space="0" w:color="000000"/>
              <w:right w:val="nil"/>
            </w:tcBorders>
            <w:shd w:val="clear" w:color="auto" w:fill="auto"/>
            <w:noWrap/>
            <w:vAlign w:val="center"/>
            <w:hideMark/>
          </w:tcPr>
          <w:p w14:paraId="0ED6C905"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xml:space="preserve"> 15 cm HSG</w:t>
            </w:r>
          </w:p>
        </w:tc>
        <w:tc>
          <w:tcPr>
            <w:tcW w:w="1275" w:type="dxa"/>
            <w:tcBorders>
              <w:top w:val="nil"/>
              <w:left w:val="single" w:sz="4" w:space="0" w:color="auto"/>
              <w:bottom w:val="nil"/>
              <w:right w:val="single" w:sz="4" w:space="0" w:color="auto"/>
            </w:tcBorders>
            <w:shd w:val="clear" w:color="auto" w:fill="auto"/>
            <w:noWrap/>
            <w:vAlign w:val="bottom"/>
            <w:hideMark/>
          </w:tcPr>
          <w:p w14:paraId="60EA778B" w14:textId="722B56C6"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w:t>
            </w:r>
            <w:r w:rsidR="00641FB5" w:rsidRPr="00631CF2">
              <w:rPr>
                <w:rFonts w:ascii="Times New Roman" w:eastAsia="Times New Roman" w:hAnsi="Times New Roman" w:cs="Times New Roman"/>
                <w:color w:val="000000"/>
                <w:sz w:val="24"/>
                <w:szCs w:val="24"/>
                <w:lang w:eastAsia="es-ES"/>
              </w:rPr>
              <w:t>inter</w:t>
            </w:r>
          </w:p>
        </w:tc>
        <w:tc>
          <w:tcPr>
            <w:tcW w:w="1843" w:type="dxa"/>
            <w:tcBorders>
              <w:top w:val="nil"/>
              <w:left w:val="nil"/>
              <w:bottom w:val="nil"/>
              <w:right w:val="single" w:sz="4" w:space="0" w:color="auto"/>
            </w:tcBorders>
            <w:shd w:val="clear" w:color="auto" w:fill="auto"/>
            <w:noWrap/>
            <w:vAlign w:val="bottom"/>
            <w:hideMark/>
          </w:tcPr>
          <w:p w14:paraId="1DF8E837"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1.14 ± 0.19</w:t>
            </w:r>
          </w:p>
        </w:tc>
        <w:tc>
          <w:tcPr>
            <w:tcW w:w="1985" w:type="dxa"/>
            <w:tcBorders>
              <w:top w:val="nil"/>
              <w:left w:val="nil"/>
              <w:bottom w:val="nil"/>
              <w:right w:val="nil"/>
            </w:tcBorders>
            <w:shd w:val="clear" w:color="auto" w:fill="auto"/>
            <w:noWrap/>
            <w:vAlign w:val="bottom"/>
            <w:hideMark/>
          </w:tcPr>
          <w:p w14:paraId="70F13BDA"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1.53 ± 0.08</w:t>
            </w:r>
          </w:p>
        </w:tc>
        <w:tc>
          <w:tcPr>
            <w:tcW w:w="1832" w:type="dxa"/>
            <w:tcBorders>
              <w:top w:val="nil"/>
              <w:left w:val="single" w:sz="4" w:space="0" w:color="auto"/>
              <w:bottom w:val="nil"/>
            </w:tcBorders>
            <w:shd w:val="clear" w:color="auto" w:fill="auto"/>
            <w:noWrap/>
            <w:vAlign w:val="bottom"/>
            <w:hideMark/>
          </w:tcPr>
          <w:p w14:paraId="71920B09"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0.64 ± 0.13</w:t>
            </w:r>
          </w:p>
        </w:tc>
      </w:tr>
      <w:tr w:rsidR="00641FB5" w:rsidRPr="00631CF2" w14:paraId="5B5A85A4" w14:textId="77777777" w:rsidTr="00A90E97">
        <w:trPr>
          <w:trHeight w:val="315"/>
        </w:trPr>
        <w:tc>
          <w:tcPr>
            <w:tcW w:w="1560" w:type="dxa"/>
            <w:vMerge/>
            <w:tcBorders>
              <w:top w:val="nil"/>
              <w:left w:val="nil"/>
              <w:bottom w:val="single" w:sz="4" w:space="0" w:color="000000"/>
              <w:right w:val="nil"/>
            </w:tcBorders>
            <w:vAlign w:val="center"/>
            <w:hideMark/>
          </w:tcPr>
          <w:p w14:paraId="40C58931" w14:textId="77777777" w:rsidR="00641FB5" w:rsidRPr="00631CF2" w:rsidRDefault="00641FB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275" w:type="dxa"/>
            <w:tcBorders>
              <w:top w:val="nil"/>
              <w:left w:val="single" w:sz="4" w:space="0" w:color="auto"/>
              <w:bottom w:val="nil"/>
              <w:right w:val="single" w:sz="4" w:space="0" w:color="auto"/>
            </w:tcBorders>
            <w:shd w:val="clear" w:color="auto" w:fill="auto"/>
            <w:noWrap/>
            <w:vAlign w:val="bottom"/>
            <w:hideMark/>
          </w:tcPr>
          <w:p w14:paraId="752CE9AD" w14:textId="6C90ACF5"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w:t>
            </w:r>
            <w:r w:rsidR="00641FB5" w:rsidRPr="00631CF2">
              <w:rPr>
                <w:rFonts w:ascii="Times New Roman" w:eastAsia="Times New Roman" w:hAnsi="Times New Roman" w:cs="Times New Roman"/>
                <w:color w:val="000000"/>
                <w:sz w:val="24"/>
                <w:szCs w:val="24"/>
                <w:lang w:eastAsia="es-ES"/>
              </w:rPr>
              <w:t>pring</w:t>
            </w:r>
          </w:p>
        </w:tc>
        <w:tc>
          <w:tcPr>
            <w:tcW w:w="1843" w:type="dxa"/>
            <w:tcBorders>
              <w:top w:val="nil"/>
              <w:left w:val="nil"/>
              <w:bottom w:val="nil"/>
              <w:right w:val="single" w:sz="4" w:space="0" w:color="auto"/>
            </w:tcBorders>
            <w:shd w:val="clear" w:color="auto" w:fill="auto"/>
            <w:noWrap/>
            <w:vAlign w:val="bottom"/>
            <w:hideMark/>
          </w:tcPr>
          <w:p w14:paraId="570D799F"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0.85 ± 0.05</w:t>
            </w:r>
          </w:p>
        </w:tc>
        <w:tc>
          <w:tcPr>
            <w:tcW w:w="1985" w:type="dxa"/>
            <w:tcBorders>
              <w:top w:val="nil"/>
              <w:left w:val="nil"/>
              <w:bottom w:val="nil"/>
              <w:right w:val="nil"/>
            </w:tcBorders>
            <w:shd w:val="clear" w:color="auto" w:fill="auto"/>
            <w:noWrap/>
            <w:vAlign w:val="bottom"/>
            <w:hideMark/>
          </w:tcPr>
          <w:p w14:paraId="3AFFB8A1"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0.76 ± 0.05</w:t>
            </w:r>
          </w:p>
        </w:tc>
        <w:tc>
          <w:tcPr>
            <w:tcW w:w="1832" w:type="dxa"/>
            <w:tcBorders>
              <w:top w:val="nil"/>
              <w:left w:val="single" w:sz="4" w:space="0" w:color="auto"/>
              <w:bottom w:val="nil"/>
            </w:tcBorders>
            <w:shd w:val="clear" w:color="auto" w:fill="auto"/>
            <w:noWrap/>
            <w:vAlign w:val="bottom"/>
            <w:hideMark/>
          </w:tcPr>
          <w:p w14:paraId="7F5AD998"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1.4 ± 0.22</w:t>
            </w:r>
          </w:p>
        </w:tc>
      </w:tr>
      <w:tr w:rsidR="00641FB5" w:rsidRPr="00631CF2" w14:paraId="2AA222BF" w14:textId="77777777" w:rsidTr="00A90E97">
        <w:trPr>
          <w:trHeight w:val="315"/>
        </w:trPr>
        <w:tc>
          <w:tcPr>
            <w:tcW w:w="1560" w:type="dxa"/>
            <w:vMerge/>
            <w:tcBorders>
              <w:top w:val="nil"/>
              <w:left w:val="nil"/>
              <w:bottom w:val="single" w:sz="4" w:space="0" w:color="000000"/>
              <w:right w:val="nil"/>
            </w:tcBorders>
            <w:vAlign w:val="center"/>
            <w:hideMark/>
          </w:tcPr>
          <w:p w14:paraId="3AC5D44C" w14:textId="77777777" w:rsidR="00641FB5" w:rsidRPr="00631CF2" w:rsidRDefault="00641FB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14:paraId="526E3AC7" w14:textId="3046D4FC"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w:t>
            </w:r>
            <w:r w:rsidR="00641FB5" w:rsidRPr="00631CF2">
              <w:rPr>
                <w:rFonts w:ascii="Times New Roman" w:eastAsia="Times New Roman" w:hAnsi="Times New Roman" w:cs="Times New Roman"/>
                <w:color w:val="000000"/>
                <w:sz w:val="24"/>
                <w:szCs w:val="24"/>
                <w:lang w:eastAsia="es-ES"/>
              </w:rPr>
              <w:t>ummer</w:t>
            </w:r>
          </w:p>
        </w:tc>
        <w:tc>
          <w:tcPr>
            <w:tcW w:w="1843" w:type="dxa"/>
            <w:tcBorders>
              <w:top w:val="nil"/>
              <w:left w:val="nil"/>
              <w:bottom w:val="single" w:sz="4" w:space="0" w:color="auto"/>
              <w:right w:val="single" w:sz="4" w:space="0" w:color="auto"/>
            </w:tcBorders>
            <w:shd w:val="clear" w:color="auto" w:fill="auto"/>
            <w:noWrap/>
            <w:vAlign w:val="bottom"/>
            <w:hideMark/>
          </w:tcPr>
          <w:p w14:paraId="69D1D5F5"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0.9 ± 0.05</w:t>
            </w:r>
          </w:p>
        </w:tc>
        <w:tc>
          <w:tcPr>
            <w:tcW w:w="1985" w:type="dxa"/>
            <w:tcBorders>
              <w:top w:val="nil"/>
              <w:left w:val="nil"/>
              <w:bottom w:val="single" w:sz="4" w:space="0" w:color="auto"/>
              <w:right w:val="nil"/>
            </w:tcBorders>
            <w:shd w:val="clear" w:color="auto" w:fill="auto"/>
            <w:noWrap/>
            <w:vAlign w:val="bottom"/>
            <w:hideMark/>
          </w:tcPr>
          <w:p w14:paraId="320A06E6"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0.87 ± 0.03</w:t>
            </w:r>
          </w:p>
        </w:tc>
        <w:tc>
          <w:tcPr>
            <w:tcW w:w="1832" w:type="dxa"/>
            <w:tcBorders>
              <w:top w:val="nil"/>
              <w:left w:val="single" w:sz="4" w:space="0" w:color="auto"/>
              <w:bottom w:val="single" w:sz="4" w:space="0" w:color="auto"/>
            </w:tcBorders>
            <w:shd w:val="clear" w:color="auto" w:fill="auto"/>
            <w:noWrap/>
            <w:vAlign w:val="bottom"/>
            <w:hideMark/>
          </w:tcPr>
          <w:p w14:paraId="45B778CD"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1.03 ± 0.07</w:t>
            </w:r>
          </w:p>
        </w:tc>
      </w:tr>
      <w:tr w:rsidR="00641FB5" w:rsidRPr="00631CF2" w14:paraId="446A5A76" w14:textId="77777777" w:rsidTr="00A90E97">
        <w:trPr>
          <w:trHeight w:val="315"/>
        </w:trPr>
        <w:tc>
          <w:tcPr>
            <w:tcW w:w="1560" w:type="dxa"/>
            <w:vMerge w:val="restart"/>
            <w:tcBorders>
              <w:top w:val="nil"/>
              <w:left w:val="nil"/>
              <w:bottom w:val="single" w:sz="4" w:space="0" w:color="000000"/>
              <w:right w:val="nil"/>
            </w:tcBorders>
            <w:shd w:val="clear" w:color="auto" w:fill="auto"/>
            <w:noWrap/>
            <w:vAlign w:val="center"/>
            <w:hideMark/>
          </w:tcPr>
          <w:p w14:paraId="291BBDCC"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xml:space="preserve"> 20 cm</w:t>
            </w:r>
          </w:p>
        </w:tc>
        <w:tc>
          <w:tcPr>
            <w:tcW w:w="1275" w:type="dxa"/>
            <w:tcBorders>
              <w:top w:val="nil"/>
              <w:left w:val="single" w:sz="4" w:space="0" w:color="auto"/>
              <w:bottom w:val="nil"/>
              <w:right w:val="single" w:sz="4" w:space="0" w:color="auto"/>
            </w:tcBorders>
            <w:shd w:val="clear" w:color="auto" w:fill="auto"/>
            <w:noWrap/>
            <w:vAlign w:val="bottom"/>
            <w:hideMark/>
          </w:tcPr>
          <w:p w14:paraId="284D0EBB" w14:textId="46DEDAAF"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w:t>
            </w:r>
            <w:r w:rsidR="00641FB5" w:rsidRPr="00631CF2">
              <w:rPr>
                <w:rFonts w:ascii="Times New Roman" w:eastAsia="Times New Roman" w:hAnsi="Times New Roman" w:cs="Times New Roman"/>
                <w:color w:val="000000"/>
                <w:sz w:val="24"/>
                <w:szCs w:val="24"/>
                <w:lang w:eastAsia="es-ES"/>
              </w:rPr>
              <w:t>inter</w:t>
            </w:r>
          </w:p>
        </w:tc>
        <w:tc>
          <w:tcPr>
            <w:tcW w:w="1843" w:type="dxa"/>
            <w:tcBorders>
              <w:top w:val="nil"/>
              <w:left w:val="nil"/>
              <w:bottom w:val="nil"/>
              <w:right w:val="single" w:sz="4" w:space="0" w:color="auto"/>
            </w:tcBorders>
            <w:shd w:val="clear" w:color="auto" w:fill="auto"/>
            <w:noWrap/>
            <w:vAlign w:val="bottom"/>
            <w:hideMark/>
          </w:tcPr>
          <w:p w14:paraId="2F3AEAAF"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1.08 ± 0.19</w:t>
            </w:r>
          </w:p>
        </w:tc>
        <w:tc>
          <w:tcPr>
            <w:tcW w:w="1985" w:type="dxa"/>
            <w:tcBorders>
              <w:top w:val="nil"/>
              <w:left w:val="nil"/>
              <w:bottom w:val="nil"/>
              <w:right w:val="nil"/>
            </w:tcBorders>
            <w:shd w:val="clear" w:color="auto" w:fill="auto"/>
            <w:noWrap/>
            <w:vAlign w:val="bottom"/>
            <w:hideMark/>
          </w:tcPr>
          <w:p w14:paraId="024A11BF"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1.31 ± 0.08</w:t>
            </w:r>
          </w:p>
        </w:tc>
        <w:tc>
          <w:tcPr>
            <w:tcW w:w="1832" w:type="dxa"/>
            <w:tcBorders>
              <w:top w:val="nil"/>
              <w:left w:val="single" w:sz="4" w:space="0" w:color="auto"/>
              <w:bottom w:val="nil"/>
            </w:tcBorders>
            <w:shd w:val="clear" w:color="auto" w:fill="auto"/>
            <w:noWrap/>
            <w:vAlign w:val="bottom"/>
            <w:hideMark/>
          </w:tcPr>
          <w:p w14:paraId="6E977B84"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0.71 ± 0.16</w:t>
            </w:r>
          </w:p>
        </w:tc>
      </w:tr>
      <w:tr w:rsidR="00641FB5" w:rsidRPr="00631CF2" w14:paraId="19CE2F2E" w14:textId="77777777" w:rsidTr="00A90E97">
        <w:trPr>
          <w:trHeight w:val="315"/>
        </w:trPr>
        <w:tc>
          <w:tcPr>
            <w:tcW w:w="1560" w:type="dxa"/>
            <w:vMerge/>
            <w:tcBorders>
              <w:top w:val="nil"/>
              <w:left w:val="nil"/>
              <w:bottom w:val="single" w:sz="4" w:space="0" w:color="000000"/>
              <w:right w:val="nil"/>
            </w:tcBorders>
            <w:vAlign w:val="center"/>
            <w:hideMark/>
          </w:tcPr>
          <w:p w14:paraId="3F1D33D0" w14:textId="77777777" w:rsidR="00641FB5" w:rsidRPr="00631CF2" w:rsidRDefault="00641FB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275" w:type="dxa"/>
            <w:tcBorders>
              <w:top w:val="nil"/>
              <w:left w:val="single" w:sz="4" w:space="0" w:color="auto"/>
              <w:bottom w:val="nil"/>
              <w:right w:val="single" w:sz="4" w:space="0" w:color="auto"/>
            </w:tcBorders>
            <w:shd w:val="clear" w:color="auto" w:fill="auto"/>
            <w:noWrap/>
            <w:vAlign w:val="bottom"/>
            <w:hideMark/>
          </w:tcPr>
          <w:p w14:paraId="5E598F52" w14:textId="3FA578CB"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w:t>
            </w:r>
            <w:r w:rsidR="00641FB5" w:rsidRPr="00631CF2">
              <w:rPr>
                <w:rFonts w:ascii="Times New Roman" w:eastAsia="Times New Roman" w:hAnsi="Times New Roman" w:cs="Times New Roman"/>
                <w:color w:val="000000"/>
                <w:sz w:val="24"/>
                <w:szCs w:val="24"/>
                <w:lang w:eastAsia="es-ES"/>
              </w:rPr>
              <w:t>pring</w:t>
            </w:r>
          </w:p>
        </w:tc>
        <w:tc>
          <w:tcPr>
            <w:tcW w:w="1843" w:type="dxa"/>
            <w:tcBorders>
              <w:top w:val="nil"/>
              <w:left w:val="nil"/>
              <w:bottom w:val="nil"/>
              <w:right w:val="single" w:sz="4" w:space="0" w:color="auto"/>
            </w:tcBorders>
            <w:shd w:val="clear" w:color="auto" w:fill="auto"/>
            <w:noWrap/>
            <w:vAlign w:val="bottom"/>
            <w:hideMark/>
          </w:tcPr>
          <w:p w14:paraId="2CDC380C"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0.85 ± 0.05</w:t>
            </w:r>
          </w:p>
        </w:tc>
        <w:tc>
          <w:tcPr>
            <w:tcW w:w="1985" w:type="dxa"/>
            <w:tcBorders>
              <w:top w:val="nil"/>
              <w:left w:val="nil"/>
              <w:bottom w:val="nil"/>
              <w:right w:val="nil"/>
            </w:tcBorders>
            <w:shd w:val="clear" w:color="auto" w:fill="auto"/>
            <w:noWrap/>
            <w:vAlign w:val="bottom"/>
            <w:hideMark/>
          </w:tcPr>
          <w:p w14:paraId="175EF67C"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0.73 ± 0.04</w:t>
            </w:r>
          </w:p>
        </w:tc>
        <w:tc>
          <w:tcPr>
            <w:tcW w:w="1832" w:type="dxa"/>
            <w:tcBorders>
              <w:top w:val="nil"/>
              <w:left w:val="single" w:sz="4" w:space="0" w:color="auto"/>
              <w:bottom w:val="nil"/>
            </w:tcBorders>
            <w:shd w:val="clear" w:color="auto" w:fill="auto"/>
            <w:noWrap/>
            <w:vAlign w:val="bottom"/>
            <w:hideMark/>
          </w:tcPr>
          <w:p w14:paraId="3122A985"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1.39 ± 0.17</w:t>
            </w:r>
          </w:p>
        </w:tc>
      </w:tr>
      <w:tr w:rsidR="00641FB5" w:rsidRPr="00631CF2" w14:paraId="069E3553" w14:textId="77777777" w:rsidTr="00A90E97">
        <w:trPr>
          <w:trHeight w:val="315"/>
        </w:trPr>
        <w:tc>
          <w:tcPr>
            <w:tcW w:w="1560" w:type="dxa"/>
            <w:vMerge/>
            <w:tcBorders>
              <w:top w:val="nil"/>
              <w:left w:val="nil"/>
              <w:bottom w:val="single" w:sz="4" w:space="0" w:color="000000"/>
              <w:right w:val="nil"/>
            </w:tcBorders>
            <w:vAlign w:val="center"/>
            <w:hideMark/>
          </w:tcPr>
          <w:p w14:paraId="15F4C5B7" w14:textId="77777777" w:rsidR="00641FB5" w:rsidRPr="00631CF2" w:rsidRDefault="00641FB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14:paraId="6A51B453" w14:textId="4A17E29B"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w:t>
            </w:r>
            <w:r w:rsidR="00641FB5" w:rsidRPr="00631CF2">
              <w:rPr>
                <w:rFonts w:ascii="Times New Roman" w:eastAsia="Times New Roman" w:hAnsi="Times New Roman" w:cs="Times New Roman"/>
                <w:color w:val="000000"/>
                <w:sz w:val="24"/>
                <w:szCs w:val="24"/>
                <w:lang w:eastAsia="es-ES"/>
              </w:rPr>
              <w:t>ummer</w:t>
            </w:r>
          </w:p>
        </w:tc>
        <w:tc>
          <w:tcPr>
            <w:tcW w:w="1843" w:type="dxa"/>
            <w:tcBorders>
              <w:top w:val="nil"/>
              <w:left w:val="nil"/>
              <w:bottom w:val="single" w:sz="4" w:space="0" w:color="auto"/>
              <w:right w:val="single" w:sz="4" w:space="0" w:color="auto"/>
            </w:tcBorders>
            <w:shd w:val="clear" w:color="auto" w:fill="auto"/>
            <w:noWrap/>
            <w:vAlign w:val="bottom"/>
            <w:hideMark/>
          </w:tcPr>
          <w:p w14:paraId="5B7FD2DB" w14:textId="3B47346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xml:space="preserve">0.97 </w:t>
            </w:r>
            <w:r w:rsidR="008B658B" w:rsidRPr="00631CF2">
              <w:rPr>
                <w:rFonts w:ascii="Times New Roman" w:eastAsia="Times New Roman" w:hAnsi="Times New Roman" w:cs="Times New Roman"/>
                <w:color w:val="000000"/>
                <w:sz w:val="24"/>
                <w:szCs w:val="24"/>
                <w:lang w:eastAsia="es-ES"/>
              </w:rPr>
              <w:t>±</w:t>
            </w:r>
            <w:r w:rsidRPr="00631CF2">
              <w:rPr>
                <w:rFonts w:ascii="Times New Roman" w:eastAsia="Times New Roman" w:hAnsi="Times New Roman" w:cs="Times New Roman"/>
                <w:color w:val="000000"/>
                <w:sz w:val="24"/>
                <w:szCs w:val="24"/>
                <w:lang w:eastAsia="es-ES"/>
              </w:rPr>
              <w:t xml:space="preserve"> 0.03</w:t>
            </w:r>
          </w:p>
        </w:tc>
        <w:tc>
          <w:tcPr>
            <w:tcW w:w="1985" w:type="dxa"/>
            <w:tcBorders>
              <w:top w:val="nil"/>
              <w:left w:val="nil"/>
              <w:bottom w:val="single" w:sz="4" w:space="0" w:color="auto"/>
              <w:right w:val="nil"/>
            </w:tcBorders>
            <w:shd w:val="clear" w:color="auto" w:fill="auto"/>
            <w:noWrap/>
            <w:vAlign w:val="bottom"/>
            <w:hideMark/>
          </w:tcPr>
          <w:p w14:paraId="51C8FB51"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0.92 ± 0.02</w:t>
            </w:r>
          </w:p>
        </w:tc>
        <w:tc>
          <w:tcPr>
            <w:tcW w:w="1832" w:type="dxa"/>
            <w:tcBorders>
              <w:top w:val="nil"/>
              <w:left w:val="single" w:sz="4" w:space="0" w:color="auto"/>
              <w:bottom w:val="single" w:sz="4" w:space="0" w:color="auto"/>
            </w:tcBorders>
            <w:shd w:val="clear" w:color="auto" w:fill="auto"/>
            <w:noWrap/>
            <w:vAlign w:val="bottom"/>
            <w:hideMark/>
          </w:tcPr>
          <w:p w14:paraId="265E3183"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0.99 ± 0.05</w:t>
            </w:r>
          </w:p>
        </w:tc>
      </w:tr>
      <w:tr w:rsidR="00641FB5" w:rsidRPr="00631CF2" w14:paraId="2234B402" w14:textId="77777777" w:rsidTr="00A90E97">
        <w:trPr>
          <w:trHeight w:val="315"/>
        </w:trPr>
        <w:tc>
          <w:tcPr>
            <w:tcW w:w="1560" w:type="dxa"/>
            <w:vMerge w:val="restart"/>
            <w:tcBorders>
              <w:top w:val="nil"/>
              <w:left w:val="nil"/>
              <w:bottom w:val="single" w:sz="4" w:space="0" w:color="000000"/>
              <w:right w:val="nil"/>
            </w:tcBorders>
            <w:shd w:val="clear" w:color="auto" w:fill="auto"/>
            <w:noWrap/>
            <w:vAlign w:val="center"/>
            <w:hideMark/>
          </w:tcPr>
          <w:p w14:paraId="7E70769B"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 xml:space="preserve"> 20 cm HSG</w:t>
            </w:r>
          </w:p>
        </w:tc>
        <w:tc>
          <w:tcPr>
            <w:tcW w:w="1275" w:type="dxa"/>
            <w:tcBorders>
              <w:top w:val="nil"/>
              <w:left w:val="single" w:sz="4" w:space="0" w:color="auto"/>
              <w:bottom w:val="nil"/>
              <w:right w:val="single" w:sz="4" w:space="0" w:color="auto"/>
            </w:tcBorders>
            <w:shd w:val="clear" w:color="auto" w:fill="auto"/>
            <w:noWrap/>
            <w:vAlign w:val="bottom"/>
            <w:hideMark/>
          </w:tcPr>
          <w:p w14:paraId="3B83271F" w14:textId="20E5C3C1"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w:t>
            </w:r>
            <w:r w:rsidR="00641FB5" w:rsidRPr="00631CF2">
              <w:rPr>
                <w:rFonts w:ascii="Times New Roman" w:eastAsia="Times New Roman" w:hAnsi="Times New Roman" w:cs="Times New Roman"/>
                <w:color w:val="000000"/>
                <w:sz w:val="24"/>
                <w:szCs w:val="24"/>
                <w:lang w:eastAsia="es-ES"/>
              </w:rPr>
              <w:t>inter</w:t>
            </w:r>
          </w:p>
        </w:tc>
        <w:tc>
          <w:tcPr>
            <w:tcW w:w="1843" w:type="dxa"/>
            <w:tcBorders>
              <w:top w:val="nil"/>
              <w:left w:val="nil"/>
              <w:bottom w:val="nil"/>
              <w:right w:val="single" w:sz="4" w:space="0" w:color="auto"/>
            </w:tcBorders>
            <w:shd w:val="clear" w:color="auto" w:fill="auto"/>
            <w:noWrap/>
            <w:vAlign w:val="bottom"/>
            <w:hideMark/>
          </w:tcPr>
          <w:p w14:paraId="3180B232"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1.1 ± 0.19</w:t>
            </w:r>
          </w:p>
        </w:tc>
        <w:tc>
          <w:tcPr>
            <w:tcW w:w="1985" w:type="dxa"/>
            <w:tcBorders>
              <w:top w:val="nil"/>
              <w:left w:val="nil"/>
              <w:bottom w:val="nil"/>
              <w:right w:val="nil"/>
            </w:tcBorders>
            <w:shd w:val="clear" w:color="auto" w:fill="auto"/>
            <w:noWrap/>
            <w:vAlign w:val="bottom"/>
            <w:hideMark/>
          </w:tcPr>
          <w:p w14:paraId="3140EB27"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1.34 ± 0.07</w:t>
            </w:r>
          </w:p>
        </w:tc>
        <w:tc>
          <w:tcPr>
            <w:tcW w:w="1832" w:type="dxa"/>
            <w:tcBorders>
              <w:top w:val="nil"/>
              <w:left w:val="single" w:sz="4" w:space="0" w:color="auto"/>
              <w:bottom w:val="nil"/>
            </w:tcBorders>
            <w:shd w:val="clear" w:color="auto" w:fill="auto"/>
            <w:noWrap/>
            <w:vAlign w:val="bottom"/>
            <w:hideMark/>
          </w:tcPr>
          <w:p w14:paraId="2289F97B"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0.73 ± 0.14</w:t>
            </w:r>
          </w:p>
        </w:tc>
      </w:tr>
      <w:tr w:rsidR="00641FB5" w:rsidRPr="00631CF2" w14:paraId="7A8F809A" w14:textId="77777777" w:rsidTr="00A90E97">
        <w:trPr>
          <w:trHeight w:val="315"/>
        </w:trPr>
        <w:tc>
          <w:tcPr>
            <w:tcW w:w="1560" w:type="dxa"/>
            <w:vMerge/>
            <w:tcBorders>
              <w:top w:val="nil"/>
              <w:left w:val="nil"/>
              <w:bottom w:val="single" w:sz="4" w:space="0" w:color="000000"/>
              <w:right w:val="nil"/>
            </w:tcBorders>
            <w:vAlign w:val="center"/>
            <w:hideMark/>
          </w:tcPr>
          <w:p w14:paraId="5AEA7FC6" w14:textId="77777777" w:rsidR="00641FB5" w:rsidRPr="00631CF2" w:rsidRDefault="00641FB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275" w:type="dxa"/>
            <w:tcBorders>
              <w:top w:val="nil"/>
              <w:left w:val="single" w:sz="4" w:space="0" w:color="auto"/>
              <w:bottom w:val="nil"/>
              <w:right w:val="single" w:sz="4" w:space="0" w:color="auto"/>
            </w:tcBorders>
            <w:shd w:val="clear" w:color="auto" w:fill="auto"/>
            <w:noWrap/>
            <w:vAlign w:val="bottom"/>
            <w:hideMark/>
          </w:tcPr>
          <w:p w14:paraId="7134C0F8" w14:textId="1DEDD158"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w:t>
            </w:r>
            <w:r w:rsidR="00641FB5" w:rsidRPr="00631CF2">
              <w:rPr>
                <w:rFonts w:ascii="Times New Roman" w:eastAsia="Times New Roman" w:hAnsi="Times New Roman" w:cs="Times New Roman"/>
                <w:color w:val="000000"/>
                <w:sz w:val="24"/>
                <w:szCs w:val="24"/>
                <w:lang w:eastAsia="es-ES"/>
              </w:rPr>
              <w:t>pring</w:t>
            </w:r>
          </w:p>
        </w:tc>
        <w:tc>
          <w:tcPr>
            <w:tcW w:w="1843" w:type="dxa"/>
            <w:tcBorders>
              <w:top w:val="nil"/>
              <w:left w:val="nil"/>
              <w:bottom w:val="nil"/>
              <w:right w:val="single" w:sz="4" w:space="0" w:color="auto"/>
            </w:tcBorders>
            <w:shd w:val="clear" w:color="auto" w:fill="auto"/>
            <w:noWrap/>
            <w:vAlign w:val="bottom"/>
            <w:hideMark/>
          </w:tcPr>
          <w:p w14:paraId="0FDBD578"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0.88 ± 0.07</w:t>
            </w:r>
          </w:p>
        </w:tc>
        <w:tc>
          <w:tcPr>
            <w:tcW w:w="1985" w:type="dxa"/>
            <w:tcBorders>
              <w:top w:val="nil"/>
              <w:left w:val="nil"/>
              <w:bottom w:val="nil"/>
              <w:right w:val="nil"/>
            </w:tcBorders>
            <w:shd w:val="clear" w:color="auto" w:fill="auto"/>
            <w:noWrap/>
            <w:vAlign w:val="bottom"/>
            <w:hideMark/>
          </w:tcPr>
          <w:p w14:paraId="7F991B4E"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0.83 ± 0.05</w:t>
            </w:r>
          </w:p>
        </w:tc>
        <w:tc>
          <w:tcPr>
            <w:tcW w:w="1832" w:type="dxa"/>
            <w:tcBorders>
              <w:top w:val="nil"/>
              <w:left w:val="single" w:sz="4" w:space="0" w:color="auto"/>
              <w:bottom w:val="nil"/>
            </w:tcBorders>
            <w:shd w:val="clear" w:color="auto" w:fill="auto"/>
            <w:noWrap/>
            <w:vAlign w:val="bottom"/>
            <w:hideMark/>
          </w:tcPr>
          <w:p w14:paraId="2FB980D0"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1.44 ± 0.17</w:t>
            </w:r>
          </w:p>
        </w:tc>
      </w:tr>
      <w:tr w:rsidR="00641FB5" w:rsidRPr="00631CF2" w14:paraId="5C621E40" w14:textId="77777777" w:rsidTr="00A90E97">
        <w:trPr>
          <w:trHeight w:val="315"/>
        </w:trPr>
        <w:tc>
          <w:tcPr>
            <w:tcW w:w="1560" w:type="dxa"/>
            <w:vMerge/>
            <w:tcBorders>
              <w:top w:val="nil"/>
              <w:left w:val="nil"/>
              <w:bottom w:val="single" w:sz="4" w:space="0" w:color="000000"/>
              <w:right w:val="nil"/>
            </w:tcBorders>
            <w:vAlign w:val="center"/>
            <w:hideMark/>
          </w:tcPr>
          <w:p w14:paraId="6E459A5D" w14:textId="77777777" w:rsidR="00641FB5" w:rsidRPr="00631CF2" w:rsidRDefault="00641FB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14:paraId="7F3FDCE4" w14:textId="672F3E12" w:rsidR="00641FB5" w:rsidRPr="00631CF2" w:rsidRDefault="000D7D93"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w:t>
            </w:r>
            <w:r w:rsidR="00641FB5" w:rsidRPr="00631CF2">
              <w:rPr>
                <w:rFonts w:ascii="Times New Roman" w:eastAsia="Times New Roman" w:hAnsi="Times New Roman" w:cs="Times New Roman"/>
                <w:color w:val="000000"/>
                <w:sz w:val="24"/>
                <w:szCs w:val="24"/>
                <w:lang w:eastAsia="es-ES"/>
              </w:rPr>
              <w:t>ummer</w:t>
            </w:r>
          </w:p>
        </w:tc>
        <w:tc>
          <w:tcPr>
            <w:tcW w:w="1843" w:type="dxa"/>
            <w:tcBorders>
              <w:top w:val="nil"/>
              <w:left w:val="nil"/>
              <w:bottom w:val="single" w:sz="4" w:space="0" w:color="auto"/>
              <w:right w:val="single" w:sz="4" w:space="0" w:color="auto"/>
            </w:tcBorders>
            <w:shd w:val="clear" w:color="auto" w:fill="auto"/>
            <w:noWrap/>
            <w:vAlign w:val="bottom"/>
            <w:hideMark/>
          </w:tcPr>
          <w:p w14:paraId="500A0173"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0.9 ± 0.03</w:t>
            </w:r>
          </w:p>
        </w:tc>
        <w:tc>
          <w:tcPr>
            <w:tcW w:w="1985" w:type="dxa"/>
            <w:tcBorders>
              <w:top w:val="nil"/>
              <w:left w:val="nil"/>
              <w:bottom w:val="single" w:sz="4" w:space="0" w:color="auto"/>
              <w:right w:val="nil"/>
            </w:tcBorders>
            <w:shd w:val="clear" w:color="auto" w:fill="auto"/>
            <w:noWrap/>
            <w:vAlign w:val="bottom"/>
            <w:hideMark/>
          </w:tcPr>
          <w:p w14:paraId="2AE684E7"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0.86 ± 0.03</w:t>
            </w:r>
          </w:p>
        </w:tc>
        <w:tc>
          <w:tcPr>
            <w:tcW w:w="1832" w:type="dxa"/>
            <w:tcBorders>
              <w:top w:val="nil"/>
              <w:left w:val="single" w:sz="4" w:space="0" w:color="auto"/>
              <w:bottom w:val="single" w:sz="4" w:space="0" w:color="auto"/>
            </w:tcBorders>
            <w:shd w:val="clear" w:color="auto" w:fill="auto"/>
            <w:noWrap/>
            <w:vAlign w:val="bottom"/>
            <w:hideMark/>
          </w:tcPr>
          <w:p w14:paraId="68854983" w14:textId="77777777" w:rsidR="00641FB5" w:rsidRPr="00631CF2" w:rsidRDefault="00641FB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0.92 ± 0.04</w:t>
            </w:r>
          </w:p>
        </w:tc>
      </w:tr>
    </w:tbl>
    <w:p w14:paraId="6091A5D0" w14:textId="3C4490E2" w:rsidR="005B60B4" w:rsidRPr="00631CF2" w:rsidRDefault="005B60B4" w:rsidP="007F0193">
      <w:pPr>
        <w:widowControl w:val="0"/>
        <w:spacing w:after="0" w:line="480" w:lineRule="auto"/>
        <w:rPr>
          <w:rFonts w:ascii="Times New Roman" w:hAnsi="Times New Roman" w:cs="Times New Roman"/>
        </w:rPr>
      </w:pPr>
    </w:p>
    <w:p w14:paraId="385199EF" w14:textId="1FB0D610" w:rsidR="005B60B4" w:rsidRPr="00631CF2" w:rsidRDefault="005B60B4" w:rsidP="007F0193">
      <w:pPr>
        <w:widowControl w:val="0"/>
        <w:spacing w:after="0" w:line="480" w:lineRule="auto"/>
        <w:rPr>
          <w:rFonts w:ascii="Times New Roman" w:hAnsi="Times New Roman" w:cs="Times New Roman"/>
        </w:rPr>
      </w:pPr>
    </w:p>
    <w:p w14:paraId="6AC84BFA" w14:textId="77777777" w:rsidR="005B60B4" w:rsidRPr="00631CF2" w:rsidRDefault="005B60B4" w:rsidP="007F0193">
      <w:pPr>
        <w:widowControl w:val="0"/>
        <w:spacing w:after="0" w:line="480" w:lineRule="auto"/>
        <w:rPr>
          <w:rFonts w:ascii="Times New Roman" w:hAnsi="Times New Roman" w:cs="Times New Roman"/>
        </w:rPr>
      </w:pPr>
    </w:p>
    <w:p w14:paraId="35118D82" w14:textId="77777777" w:rsidR="007F0193" w:rsidRPr="00631CF2" w:rsidRDefault="007F0193" w:rsidP="007F0193">
      <w:pPr>
        <w:widowControl w:val="0"/>
        <w:spacing w:after="0" w:line="480" w:lineRule="auto"/>
        <w:rPr>
          <w:rFonts w:ascii="Times New Roman" w:hAnsi="Times New Roman" w:cs="Times New Roman"/>
        </w:rPr>
      </w:pPr>
      <w:r w:rsidRPr="00631CF2">
        <w:rPr>
          <w:rFonts w:ascii="Times New Roman" w:hAnsi="Times New Roman" w:cs="Times New Roman"/>
        </w:rPr>
        <w:br w:type="page"/>
      </w:r>
    </w:p>
    <w:p w14:paraId="23A63115" w14:textId="167F84AD" w:rsidR="00001B8C" w:rsidRPr="00631CF2" w:rsidRDefault="00001B8C" w:rsidP="007F0193">
      <w:pPr>
        <w:widowControl w:val="0"/>
        <w:spacing w:after="0" w:line="480" w:lineRule="auto"/>
        <w:jc w:val="both"/>
        <w:rPr>
          <w:rFonts w:ascii="Times New Roman" w:eastAsia="Times New Roman" w:hAnsi="Times New Roman" w:cs="Times New Roman"/>
          <w:sz w:val="24"/>
          <w:szCs w:val="24"/>
        </w:rPr>
      </w:pPr>
      <w:r w:rsidRPr="00631CF2">
        <w:rPr>
          <w:rFonts w:ascii="Times New Roman" w:hAnsi="Times New Roman" w:cs="Times New Roman"/>
          <w:b/>
          <w:bCs/>
          <w:sz w:val="24"/>
          <w:szCs w:val="24"/>
        </w:rPr>
        <w:lastRenderedPageBreak/>
        <w:t>Table 3.</w:t>
      </w:r>
      <w:r w:rsidRPr="00631CF2">
        <w:rPr>
          <w:rFonts w:ascii="Times New Roman" w:hAnsi="Times New Roman" w:cs="Times New Roman"/>
          <w:sz w:val="24"/>
          <w:szCs w:val="24"/>
        </w:rPr>
        <w:t xml:space="preserve"> Deviations from theoretical self-thinning relationship in mixed pastures under different grazing managements. Values represent mean </w:t>
      </w:r>
      <w:r w:rsidRPr="00631CF2">
        <w:rPr>
          <w:rStyle w:val="normaltextrun"/>
          <w:rFonts w:ascii="Times New Roman" w:hAnsi="Times New Roman" w:cs="Times New Roman"/>
          <w:color w:val="000000"/>
          <w:sz w:val="24"/>
          <w:szCs w:val="24"/>
          <w:shd w:val="clear" w:color="auto" w:fill="FFFFFF"/>
        </w:rPr>
        <w:t xml:space="preserve">± standard error (SE) of the </w:t>
      </w:r>
      <w:r w:rsidRPr="00631CF2">
        <w:rPr>
          <w:rFonts w:ascii="Times New Roman" w:hAnsi="Times New Roman" w:cs="Times New Roman"/>
          <w:sz w:val="24"/>
          <w:szCs w:val="24"/>
        </w:rPr>
        <w:t xml:space="preserve">distance between linear regressions of the relationship between log₁₀-transformed tiller weight and tiller population density and the theoretical self-thinning line (slope = -3/2). Data collected across three seasons under four grazing treatments: two pre-grazing heights (15 or 20 cm) with or without hard spring grazing (HSG) (n = 3). Treatment effects tested for grazing height (H), HSG, and their interaction (H × HSG). Significance levels: ns = not significant. </w:t>
      </w:r>
    </w:p>
    <w:tbl>
      <w:tblPr>
        <w:tblW w:w="7920" w:type="dxa"/>
        <w:tblCellMar>
          <w:left w:w="70" w:type="dxa"/>
          <w:right w:w="70" w:type="dxa"/>
        </w:tblCellMar>
        <w:tblLook w:val="04A0" w:firstRow="1" w:lastRow="0" w:firstColumn="1" w:lastColumn="0" w:noHBand="0" w:noVBand="1"/>
      </w:tblPr>
      <w:tblGrid>
        <w:gridCol w:w="1308"/>
        <w:gridCol w:w="1297"/>
        <w:gridCol w:w="1302"/>
        <w:gridCol w:w="1306"/>
        <w:gridCol w:w="1327"/>
        <w:gridCol w:w="1380"/>
      </w:tblGrid>
      <w:tr w:rsidR="00150505" w:rsidRPr="00631CF2" w14:paraId="2D2D13C9" w14:textId="77777777" w:rsidTr="00150505">
        <w:trPr>
          <w:trHeight w:val="330"/>
        </w:trPr>
        <w:tc>
          <w:tcPr>
            <w:tcW w:w="1320" w:type="dxa"/>
            <w:tcBorders>
              <w:top w:val="single" w:sz="4" w:space="0" w:color="auto"/>
              <w:left w:val="nil"/>
              <w:bottom w:val="single" w:sz="4" w:space="0" w:color="auto"/>
              <w:right w:val="nil"/>
            </w:tcBorders>
            <w:shd w:val="clear" w:color="auto" w:fill="auto"/>
            <w:vAlign w:val="center"/>
            <w:hideMark/>
          </w:tcPr>
          <w:p w14:paraId="63DA850A" w14:textId="77777777" w:rsidR="00150505" w:rsidRPr="00631CF2" w:rsidRDefault="00150505" w:rsidP="007F0193">
            <w:pPr>
              <w:widowControl w:val="0"/>
              <w:spacing w:after="0" w:line="480" w:lineRule="auto"/>
              <w:jc w:val="center"/>
              <w:rPr>
                <w:rFonts w:ascii="Times New Roman" w:eastAsia="Times New Roman" w:hAnsi="Times New Roman" w:cs="Times New Roman"/>
                <w:b/>
                <w:bCs/>
                <w:color w:val="000000"/>
                <w:sz w:val="24"/>
                <w:szCs w:val="24"/>
                <w:lang w:eastAsia="es-ES"/>
              </w:rPr>
            </w:pPr>
            <w:r w:rsidRPr="00631CF2">
              <w:rPr>
                <w:rFonts w:ascii="Times New Roman" w:eastAsia="Times New Roman" w:hAnsi="Times New Roman" w:cs="Times New Roman"/>
                <w:b/>
                <w:bCs/>
                <w:color w:val="000000"/>
                <w:sz w:val="24"/>
                <w:szCs w:val="24"/>
                <w:lang w:eastAsia="es-ES"/>
              </w:rPr>
              <w:t>Season</w:t>
            </w:r>
          </w:p>
        </w:tc>
        <w:tc>
          <w:tcPr>
            <w:tcW w:w="26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512ECA9E" w14:textId="77777777" w:rsidR="00150505" w:rsidRPr="00631CF2" w:rsidRDefault="00150505" w:rsidP="007F0193">
            <w:pPr>
              <w:widowControl w:val="0"/>
              <w:spacing w:after="0" w:line="480" w:lineRule="auto"/>
              <w:jc w:val="center"/>
              <w:rPr>
                <w:rFonts w:ascii="Times New Roman" w:eastAsia="Times New Roman" w:hAnsi="Times New Roman" w:cs="Times New Roman"/>
                <w:b/>
                <w:bCs/>
                <w:color w:val="000000"/>
                <w:sz w:val="24"/>
                <w:szCs w:val="24"/>
                <w:lang w:eastAsia="es-ES"/>
              </w:rPr>
            </w:pPr>
            <w:r w:rsidRPr="00631CF2">
              <w:rPr>
                <w:rFonts w:ascii="Times New Roman" w:eastAsia="Times New Roman" w:hAnsi="Times New Roman" w:cs="Times New Roman"/>
                <w:b/>
                <w:bCs/>
                <w:color w:val="000000"/>
                <w:sz w:val="24"/>
                <w:szCs w:val="24"/>
                <w:lang w:eastAsia="es-ES"/>
              </w:rPr>
              <w:t>Treatments</w:t>
            </w:r>
          </w:p>
        </w:tc>
        <w:tc>
          <w:tcPr>
            <w:tcW w:w="1320" w:type="dxa"/>
            <w:tcBorders>
              <w:top w:val="single" w:sz="4" w:space="0" w:color="auto"/>
              <w:left w:val="nil"/>
              <w:bottom w:val="single" w:sz="4" w:space="0" w:color="auto"/>
              <w:right w:val="nil"/>
            </w:tcBorders>
            <w:shd w:val="clear" w:color="auto" w:fill="auto"/>
            <w:vAlign w:val="center"/>
            <w:hideMark/>
          </w:tcPr>
          <w:p w14:paraId="0B1FDE27" w14:textId="77777777" w:rsidR="00150505" w:rsidRPr="00631CF2" w:rsidRDefault="00150505" w:rsidP="007F0193">
            <w:pPr>
              <w:widowControl w:val="0"/>
              <w:spacing w:after="0" w:line="480" w:lineRule="auto"/>
              <w:jc w:val="center"/>
              <w:rPr>
                <w:rFonts w:ascii="Times New Roman" w:eastAsia="Times New Roman" w:hAnsi="Times New Roman" w:cs="Times New Roman"/>
                <w:b/>
                <w:bCs/>
                <w:color w:val="000000"/>
                <w:sz w:val="24"/>
                <w:szCs w:val="24"/>
                <w:lang w:eastAsia="es-ES"/>
              </w:rPr>
            </w:pPr>
            <w:r w:rsidRPr="00631CF2">
              <w:rPr>
                <w:rFonts w:ascii="Times New Roman" w:eastAsia="Times New Roman" w:hAnsi="Times New Roman" w:cs="Times New Roman"/>
                <w:b/>
                <w:bCs/>
                <w:color w:val="000000"/>
                <w:sz w:val="24"/>
                <w:szCs w:val="24"/>
                <w:lang w:eastAsia="es-ES"/>
              </w:rPr>
              <w:t>Mean± SE</w:t>
            </w:r>
          </w:p>
        </w:tc>
        <w:tc>
          <w:tcPr>
            <w:tcW w:w="1320" w:type="dxa"/>
            <w:tcBorders>
              <w:top w:val="single" w:sz="4" w:space="0" w:color="auto"/>
              <w:left w:val="single" w:sz="4" w:space="0" w:color="auto"/>
              <w:bottom w:val="single" w:sz="4" w:space="0" w:color="auto"/>
              <w:right w:val="nil"/>
            </w:tcBorders>
            <w:shd w:val="clear" w:color="auto" w:fill="auto"/>
            <w:vAlign w:val="center"/>
            <w:hideMark/>
          </w:tcPr>
          <w:p w14:paraId="609A2DF8" w14:textId="77777777" w:rsidR="00150505" w:rsidRPr="00631CF2" w:rsidRDefault="00150505" w:rsidP="007F0193">
            <w:pPr>
              <w:widowControl w:val="0"/>
              <w:spacing w:after="0" w:line="480" w:lineRule="auto"/>
              <w:jc w:val="center"/>
              <w:rPr>
                <w:rFonts w:ascii="Times New Roman" w:eastAsia="Times New Roman" w:hAnsi="Times New Roman" w:cs="Times New Roman"/>
                <w:b/>
                <w:bCs/>
                <w:color w:val="000000"/>
                <w:sz w:val="24"/>
                <w:szCs w:val="24"/>
                <w:lang w:eastAsia="es-ES"/>
              </w:rPr>
            </w:pPr>
            <w:r w:rsidRPr="00631CF2">
              <w:rPr>
                <w:rFonts w:ascii="Times New Roman" w:eastAsia="Times New Roman" w:hAnsi="Times New Roman" w:cs="Times New Roman"/>
                <w:b/>
                <w:bCs/>
                <w:color w:val="000000"/>
                <w:sz w:val="24"/>
                <w:szCs w:val="24"/>
                <w:lang w:eastAsia="es-ES"/>
              </w:rPr>
              <w:t>Treatments</w:t>
            </w:r>
          </w:p>
        </w:tc>
        <w:tc>
          <w:tcPr>
            <w:tcW w:w="1320" w:type="dxa"/>
            <w:tcBorders>
              <w:top w:val="single" w:sz="4" w:space="0" w:color="auto"/>
              <w:left w:val="single" w:sz="4" w:space="0" w:color="auto"/>
              <w:bottom w:val="single" w:sz="4" w:space="0" w:color="auto"/>
              <w:right w:val="nil"/>
            </w:tcBorders>
            <w:shd w:val="clear" w:color="auto" w:fill="auto"/>
            <w:vAlign w:val="center"/>
            <w:hideMark/>
          </w:tcPr>
          <w:p w14:paraId="15E27EF4" w14:textId="77777777" w:rsidR="00150505" w:rsidRPr="00631CF2" w:rsidRDefault="00150505" w:rsidP="007F0193">
            <w:pPr>
              <w:widowControl w:val="0"/>
              <w:spacing w:after="0" w:line="480" w:lineRule="auto"/>
              <w:jc w:val="center"/>
              <w:rPr>
                <w:rFonts w:ascii="Times New Roman" w:eastAsia="Times New Roman" w:hAnsi="Times New Roman" w:cs="Times New Roman"/>
                <w:b/>
                <w:bCs/>
                <w:color w:val="000000"/>
                <w:sz w:val="24"/>
                <w:szCs w:val="24"/>
                <w:lang w:eastAsia="es-ES"/>
              </w:rPr>
            </w:pPr>
            <w:r w:rsidRPr="00631CF2">
              <w:rPr>
                <w:rFonts w:ascii="Times New Roman" w:eastAsia="Times New Roman" w:hAnsi="Times New Roman" w:cs="Times New Roman"/>
                <w:b/>
                <w:bCs/>
                <w:color w:val="000000"/>
                <w:sz w:val="24"/>
                <w:szCs w:val="24"/>
                <w:lang w:eastAsia="es-ES"/>
              </w:rPr>
              <w:t>Significance</w:t>
            </w:r>
          </w:p>
        </w:tc>
      </w:tr>
      <w:tr w:rsidR="00150505" w:rsidRPr="00631CF2" w14:paraId="24A766F3" w14:textId="77777777" w:rsidTr="00150505">
        <w:trPr>
          <w:trHeight w:val="315"/>
        </w:trPr>
        <w:tc>
          <w:tcPr>
            <w:tcW w:w="1320" w:type="dxa"/>
            <w:vMerge w:val="restart"/>
            <w:tcBorders>
              <w:top w:val="nil"/>
              <w:left w:val="nil"/>
              <w:bottom w:val="single" w:sz="4" w:space="0" w:color="000000"/>
              <w:right w:val="nil"/>
            </w:tcBorders>
            <w:shd w:val="clear" w:color="auto" w:fill="auto"/>
            <w:vAlign w:val="center"/>
            <w:hideMark/>
          </w:tcPr>
          <w:p w14:paraId="355CC1E3"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Winter</w:t>
            </w:r>
          </w:p>
        </w:tc>
        <w:tc>
          <w:tcPr>
            <w:tcW w:w="1320" w:type="dxa"/>
            <w:vMerge w:val="restart"/>
            <w:tcBorders>
              <w:top w:val="nil"/>
              <w:left w:val="single" w:sz="4" w:space="0" w:color="auto"/>
              <w:bottom w:val="single" w:sz="4" w:space="0" w:color="000000"/>
              <w:right w:val="single" w:sz="4" w:space="0" w:color="auto"/>
            </w:tcBorders>
            <w:shd w:val="clear" w:color="auto" w:fill="auto"/>
            <w:vAlign w:val="center"/>
            <w:hideMark/>
          </w:tcPr>
          <w:p w14:paraId="42870053"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 cm</w:t>
            </w:r>
          </w:p>
        </w:tc>
        <w:tc>
          <w:tcPr>
            <w:tcW w:w="1320" w:type="dxa"/>
            <w:tcBorders>
              <w:top w:val="nil"/>
              <w:left w:val="nil"/>
              <w:bottom w:val="nil"/>
              <w:right w:val="nil"/>
            </w:tcBorders>
            <w:shd w:val="clear" w:color="auto" w:fill="auto"/>
            <w:vAlign w:val="center"/>
            <w:hideMark/>
          </w:tcPr>
          <w:p w14:paraId="50244858"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t>
            </w:r>
          </w:p>
        </w:tc>
        <w:tc>
          <w:tcPr>
            <w:tcW w:w="1320" w:type="dxa"/>
            <w:tcBorders>
              <w:top w:val="nil"/>
              <w:left w:val="single" w:sz="4" w:space="0" w:color="auto"/>
              <w:bottom w:val="nil"/>
              <w:right w:val="single" w:sz="4" w:space="0" w:color="auto"/>
            </w:tcBorders>
            <w:shd w:val="clear" w:color="auto" w:fill="auto"/>
            <w:vAlign w:val="center"/>
            <w:hideMark/>
          </w:tcPr>
          <w:p w14:paraId="1AF829CB"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1.97 ± 0.01</w:t>
            </w:r>
          </w:p>
        </w:tc>
        <w:tc>
          <w:tcPr>
            <w:tcW w:w="1320" w:type="dxa"/>
            <w:tcBorders>
              <w:top w:val="nil"/>
              <w:left w:val="nil"/>
              <w:bottom w:val="nil"/>
              <w:right w:val="single" w:sz="4" w:space="0" w:color="auto"/>
            </w:tcBorders>
            <w:shd w:val="clear" w:color="auto" w:fill="auto"/>
            <w:vAlign w:val="center"/>
            <w:hideMark/>
          </w:tcPr>
          <w:p w14:paraId="3D6811B6"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lang w:eastAsia="es-ES"/>
              </w:rPr>
            </w:pPr>
            <w:r w:rsidRPr="00631CF2">
              <w:rPr>
                <w:rFonts w:ascii="Times New Roman" w:eastAsia="Times New Roman" w:hAnsi="Times New Roman" w:cs="Times New Roman"/>
                <w:color w:val="000000"/>
                <w:lang w:eastAsia="es-ES"/>
              </w:rPr>
              <w:t> </w:t>
            </w:r>
          </w:p>
        </w:tc>
        <w:tc>
          <w:tcPr>
            <w:tcW w:w="1320" w:type="dxa"/>
            <w:tcBorders>
              <w:top w:val="nil"/>
              <w:left w:val="nil"/>
              <w:bottom w:val="nil"/>
              <w:right w:val="nil"/>
            </w:tcBorders>
            <w:shd w:val="clear" w:color="auto" w:fill="auto"/>
            <w:vAlign w:val="center"/>
            <w:hideMark/>
          </w:tcPr>
          <w:p w14:paraId="5C7C3919" w14:textId="77777777" w:rsidR="00150505" w:rsidRPr="00631CF2" w:rsidRDefault="00150505" w:rsidP="007F0193">
            <w:pPr>
              <w:widowControl w:val="0"/>
              <w:spacing w:after="0" w:line="480" w:lineRule="auto"/>
              <w:rPr>
                <w:rFonts w:ascii="Times New Roman" w:eastAsia="Times New Roman" w:hAnsi="Times New Roman" w:cs="Times New Roman"/>
                <w:color w:val="000000"/>
                <w:lang w:eastAsia="es-ES"/>
              </w:rPr>
            </w:pPr>
            <w:r w:rsidRPr="00631CF2">
              <w:rPr>
                <w:rFonts w:ascii="Times New Roman" w:eastAsia="Times New Roman" w:hAnsi="Times New Roman" w:cs="Times New Roman"/>
                <w:color w:val="000000"/>
                <w:lang w:eastAsia="es-ES"/>
              </w:rPr>
              <w:t> </w:t>
            </w:r>
          </w:p>
        </w:tc>
      </w:tr>
      <w:tr w:rsidR="00150505" w:rsidRPr="00631CF2" w14:paraId="2D290216" w14:textId="77777777" w:rsidTr="00150505">
        <w:trPr>
          <w:trHeight w:val="330"/>
        </w:trPr>
        <w:tc>
          <w:tcPr>
            <w:tcW w:w="1320" w:type="dxa"/>
            <w:vMerge/>
            <w:tcBorders>
              <w:top w:val="nil"/>
              <w:left w:val="nil"/>
              <w:bottom w:val="single" w:sz="4" w:space="0" w:color="000000"/>
              <w:right w:val="nil"/>
            </w:tcBorders>
            <w:vAlign w:val="center"/>
            <w:hideMark/>
          </w:tcPr>
          <w:p w14:paraId="45253D36"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tcBorders>
              <w:top w:val="nil"/>
              <w:left w:val="single" w:sz="4" w:space="0" w:color="auto"/>
              <w:bottom w:val="single" w:sz="4" w:space="0" w:color="000000"/>
              <w:right w:val="single" w:sz="4" w:space="0" w:color="auto"/>
            </w:tcBorders>
            <w:vAlign w:val="center"/>
            <w:hideMark/>
          </w:tcPr>
          <w:p w14:paraId="40AA1EA7"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tcBorders>
              <w:top w:val="nil"/>
              <w:left w:val="nil"/>
              <w:bottom w:val="single" w:sz="4" w:space="0" w:color="auto"/>
              <w:right w:val="nil"/>
            </w:tcBorders>
            <w:shd w:val="clear" w:color="auto" w:fill="auto"/>
            <w:vAlign w:val="center"/>
            <w:hideMark/>
          </w:tcPr>
          <w:p w14:paraId="5966C4EF"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single" w:sz="4" w:space="0" w:color="auto"/>
              <w:bottom w:val="single" w:sz="4" w:space="0" w:color="auto"/>
              <w:right w:val="single" w:sz="4" w:space="0" w:color="auto"/>
            </w:tcBorders>
            <w:shd w:val="clear" w:color="auto" w:fill="auto"/>
            <w:vAlign w:val="center"/>
            <w:hideMark/>
          </w:tcPr>
          <w:p w14:paraId="569DDD9D"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2.05 ± 0.03</w:t>
            </w:r>
          </w:p>
        </w:tc>
        <w:tc>
          <w:tcPr>
            <w:tcW w:w="1320" w:type="dxa"/>
            <w:tcBorders>
              <w:top w:val="nil"/>
              <w:left w:val="nil"/>
              <w:bottom w:val="nil"/>
              <w:right w:val="single" w:sz="4" w:space="0" w:color="auto"/>
            </w:tcBorders>
            <w:shd w:val="clear" w:color="auto" w:fill="auto"/>
            <w:vAlign w:val="center"/>
            <w:hideMark/>
          </w:tcPr>
          <w:p w14:paraId="014BB33F"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Height (H)</w:t>
            </w:r>
          </w:p>
        </w:tc>
        <w:tc>
          <w:tcPr>
            <w:tcW w:w="1320" w:type="dxa"/>
            <w:tcBorders>
              <w:top w:val="nil"/>
              <w:left w:val="nil"/>
              <w:bottom w:val="nil"/>
              <w:right w:val="nil"/>
            </w:tcBorders>
            <w:shd w:val="clear" w:color="auto" w:fill="auto"/>
            <w:vAlign w:val="center"/>
            <w:hideMark/>
          </w:tcPr>
          <w:p w14:paraId="502817E1"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150505" w:rsidRPr="00631CF2" w14:paraId="6346F61B" w14:textId="77777777" w:rsidTr="00150505">
        <w:trPr>
          <w:trHeight w:val="315"/>
        </w:trPr>
        <w:tc>
          <w:tcPr>
            <w:tcW w:w="1320" w:type="dxa"/>
            <w:vMerge/>
            <w:tcBorders>
              <w:top w:val="nil"/>
              <w:left w:val="nil"/>
              <w:bottom w:val="single" w:sz="4" w:space="0" w:color="000000"/>
              <w:right w:val="nil"/>
            </w:tcBorders>
            <w:vAlign w:val="center"/>
            <w:hideMark/>
          </w:tcPr>
          <w:p w14:paraId="1941C1CA"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val="restart"/>
            <w:tcBorders>
              <w:top w:val="nil"/>
              <w:left w:val="single" w:sz="4" w:space="0" w:color="auto"/>
              <w:bottom w:val="single" w:sz="4" w:space="0" w:color="000000"/>
              <w:right w:val="single" w:sz="4" w:space="0" w:color="auto"/>
            </w:tcBorders>
            <w:shd w:val="clear" w:color="auto" w:fill="auto"/>
            <w:vAlign w:val="center"/>
            <w:hideMark/>
          </w:tcPr>
          <w:p w14:paraId="0AB413EA"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 cm</w:t>
            </w:r>
          </w:p>
        </w:tc>
        <w:tc>
          <w:tcPr>
            <w:tcW w:w="1320" w:type="dxa"/>
            <w:tcBorders>
              <w:top w:val="nil"/>
              <w:left w:val="nil"/>
              <w:bottom w:val="nil"/>
              <w:right w:val="nil"/>
            </w:tcBorders>
            <w:shd w:val="clear" w:color="auto" w:fill="auto"/>
            <w:vAlign w:val="center"/>
            <w:hideMark/>
          </w:tcPr>
          <w:p w14:paraId="396CADF5"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t>
            </w:r>
          </w:p>
        </w:tc>
        <w:tc>
          <w:tcPr>
            <w:tcW w:w="1320" w:type="dxa"/>
            <w:tcBorders>
              <w:top w:val="nil"/>
              <w:left w:val="single" w:sz="4" w:space="0" w:color="auto"/>
              <w:bottom w:val="nil"/>
              <w:right w:val="single" w:sz="4" w:space="0" w:color="auto"/>
            </w:tcBorders>
            <w:shd w:val="clear" w:color="auto" w:fill="auto"/>
            <w:vAlign w:val="center"/>
            <w:hideMark/>
          </w:tcPr>
          <w:p w14:paraId="195A6174"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1.96 ± 0.05</w:t>
            </w:r>
          </w:p>
        </w:tc>
        <w:tc>
          <w:tcPr>
            <w:tcW w:w="1320" w:type="dxa"/>
            <w:tcBorders>
              <w:top w:val="nil"/>
              <w:left w:val="nil"/>
              <w:bottom w:val="nil"/>
              <w:right w:val="single" w:sz="4" w:space="0" w:color="auto"/>
            </w:tcBorders>
            <w:shd w:val="clear" w:color="auto" w:fill="auto"/>
            <w:vAlign w:val="center"/>
            <w:hideMark/>
          </w:tcPr>
          <w:p w14:paraId="3B5963A0"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nil"/>
              <w:bottom w:val="nil"/>
              <w:right w:val="nil"/>
            </w:tcBorders>
            <w:shd w:val="clear" w:color="auto" w:fill="auto"/>
            <w:vAlign w:val="center"/>
            <w:hideMark/>
          </w:tcPr>
          <w:p w14:paraId="6F4FCBB6"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150505" w:rsidRPr="00631CF2" w14:paraId="2EF9E2D2" w14:textId="77777777" w:rsidTr="00150505">
        <w:trPr>
          <w:trHeight w:val="330"/>
        </w:trPr>
        <w:tc>
          <w:tcPr>
            <w:tcW w:w="1320" w:type="dxa"/>
            <w:vMerge/>
            <w:tcBorders>
              <w:top w:val="nil"/>
              <w:left w:val="nil"/>
              <w:bottom w:val="single" w:sz="4" w:space="0" w:color="000000"/>
              <w:right w:val="nil"/>
            </w:tcBorders>
            <w:vAlign w:val="center"/>
            <w:hideMark/>
          </w:tcPr>
          <w:p w14:paraId="345C66B7"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tcBorders>
              <w:top w:val="nil"/>
              <w:left w:val="single" w:sz="4" w:space="0" w:color="auto"/>
              <w:bottom w:val="single" w:sz="4" w:space="0" w:color="000000"/>
              <w:right w:val="single" w:sz="4" w:space="0" w:color="auto"/>
            </w:tcBorders>
            <w:vAlign w:val="center"/>
            <w:hideMark/>
          </w:tcPr>
          <w:p w14:paraId="57DD4C73"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tcBorders>
              <w:top w:val="nil"/>
              <w:left w:val="nil"/>
              <w:bottom w:val="single" w:sz="4" w:space="0" w:color="auto"/>
              <w:right w:val="nil"/>
            </w:tcBorders>
            <w:shd w:val="clear" w:color="auto" w:fill="auto"/>
            <w:vAlign w:val="center"/>
            <w:hideMark/>
          </w:tcPr>
          <w:p w14:paraId="5FCACD0A"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single" w:sz="4" w:space="0" w:color="auto"/>
              <w:bottom w:val="single" w:sz="4" w:space="0" w:color="auto"/>
              <w:right w:val="single" w:sz="4" w:space="0" w:color="auto"/>
            </w:tcBorders>
            <w:shd w:val="clear" w:color="auto" w:fill="auto"/>
            <w:vAlign w:val="center"/>
            <w:hideMark/>
          </w:tcPr>
          <w:p w14:paraId="0228DCBE"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1.94 ± 0.05</w:t>
            </w:r>
          </w:p>
        </w:tc>
        <w:tc>
          <w:tcPr>
            <w:tcW w:w="1320" w:type="dxa"/>
            <w:tcBorders>
              <w:top w:val="nil"/>
              <w:left w:val="nil"/>
              <w:bottom w:val="single" w:sz="4" w:space="0" w:color="auto"/>
              <w:right w:val="single" w:sz="4" w:space="0" w:color="auto"/>
            </w:tcBorders>
            <w:shd w:val="clear" w:color="auto" w:fill="auto"/>
            <w:vAlign w:val="center"/>
            <w:hideMark/>
          </w:tcPr>
          <w:p w14:paraId="74A90BE9"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H*HSG</w:t>
            </w:r>
          </w:p>
        </w:tc>
        <w:tc>
          <w:tcPr>
            <w:tcW w:w="1320" w:type="dxa"/>
            <w:tcBorders>
              <w:top w:val="nil"/>
              <w:left w:val="nil"/>
              <w:bottom w:val="single" w:sz="4" w:space="0" w:color="auto"/>
              <w:right w:val="nil"/>
            </w:tcBorders>
            <w:shd w:val="clear" w:color="auto" w:fill="auto"/>
            <w:vAlign w:val="center"/>
            <w:hideMark/>
          </w:tcPr>
          <w:p w14:paraId="143ACDE7"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150505" w:rsidRPr="00631CF2" w14:paraId="3F59279F" w14:textId="77777777" w:rsidTr="00150505">
        <w:trPr>
          <w:trHeight w:val="315"/>
        </w:trPr>
        <w:tc>
          <w:tcPr>
            <w:tcW w:w="1320" w:type="dxa"/>
            <w:vMerge w:val="restart"/>
            <w:tcBorders>
              <w:top w:val="nil"/>
              <w:left w:val="nil"/>
              <w:bottom w:val="single" w:sz="4" w:space="0" w:color="000000"/>
              <w:right w:val="nil"/>
            </w:tcBorders>
            <w:shd w:val="clear" w:color="auto" w:fill="auto"/>
            <w:vAlign w:val="center"/>
            <w:hideMark/>
          </w:tcPr>
          <w:p w14:paraId="437F6C34"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Spring</w:t>
            </w:r>
          </w:p>
        </w:tc>
        <w:tc>
          <w:tcPr>
            <w:tcW w:w="1320" w:type="dxa"/>
            <w:vMerge w:val="restart"/>
            <w:tcBorders>
              <w:top w:val="nil"/>
              <w:left w:val="single" w:sz="4" w:space="0" w:color="auto"/>
              <w:bottom w:val="single" w:sz="4" w:space="0" w:color="000000"/>
              <w:right w:val="single" w:sz="4" w:space="0" w:color="auto"/>
            </w:tcBorders>
            <w:shd w:val="clear" w:color="auto" w:fill="auto"/>
            <w:vAlign w:val="center"/>
            <w:hideMark/>
          </w:tcPr>
          <w:p w14:paraId="0A66DF89"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 cm</w:t>
            </w:r>
          </w:p>
        </w:tc>
        <w:tc>
          <w:tcPr>
            <w:tcW w:w="1320" w:type="dxa"/>
            <w:tcBorders>
              <w:top w:val="nil"/>
              <w:left w:val="nil"/>
              <w:bottom w:val="nil"/>
              <w:right w:val="nil"/>
            </w:tcBorders>
            <w:shd w:val="clear" w:color="auto" w:fill="auto"/>
            <w:vAlign w:val="center"/>
            <w:hideMark/>
          </w:tcPr>
          <w:p w14:paraId="279A39AD"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t>
            </w:r>
          </w:p>
        </w:tc>
        <w:tc>
          <w:tcPr>
            <w:tcW w:w="1320" w:type="dxa"/>
            <w:tcBorders>
              <w:top w:val="nil"/>
              <w:left w:val="single" w:sz="4" w:space="0" w:color="auto"/>
              <w:bottom w:val="nil"/>
              <w:right w:val="single" w:sz="4" w:space="0" w:color="auto"/>
            </w:tcBorders>
            <w:shd w:val="clear" w:color="auto" w:fill="auto"/>
            <w:vAlign w:val="center"/>
            <w:hideMark/>
          </w:tcPr>
          <w:p w14:paraId="62A37072"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2.12 ± 0.1</w:t>
            </w:r>
          </w:p>
        </w:tc>
        <w:tc>
          <w:tcPr>
            <w:tcW w:w="1320" w:type="dxa"/>
            <w:tcBorders>
              <w:top w:val="nil"/>
              <w:left w:val="nil"/>
              <w:bottom w:val="nil"/>
              <w:right w:val="single" w:sz="4" w:space="0" w:color="auto"/>
            </w:tcBorders>
            <w:shd w:val="clear" w:color="auto" w:fill="auto"/>
            <w:vAlign w:val="center"/>
            <w:hideMark/>
          </w:tcPr>
          <w:p w14:paraId="331DB402"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lang w:eastAsia="es-ES"/>
              </w:rPr>
            </w:pPr>
            <w:r w:rsidRPr="00631CF2">
              <w:rPr>
                <w:rFonts w:ascii="Times New Roman" w:eastAsia="Times New Roman" w:hAnsi="Times New Roman" w:cs="Times New Roman"/>
                <w:color w:val="000000"/>
                <w:lang w:eastAsia="es-ES"/>
              </w:rPr>
              <w:t> </w:t>
            </w:r>
          </w:p>
        </w:tc>
        <w:tc>
          <w:tcPr>
            <w:tcW w:w="1320" w:type="dxa"/>
            <w:tcBorders>
              <w:top w:val="nil"/>
              <w:left w:val="nil"/>
              <w:bottom w:val="nil"/>
              <w:right w:val="nil"/>
            </w:tcBorders>
            <w:shd w:val="clear" w:color="auto" w:fill="auto"/>
            <w:vAlign w:val="center"/>
            <w:hideMark/>
          </w:tcPr>
          <w:p w14:paraId="158F8E77"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lang w:eastAsia="es-ES"/>
              </w:rPr>
            </w:pPr>
          </w:p>
        </w:tc>
      </w:tr>
      <w:tr w:rsidR="00150505" w:rsidRPr="00631CF2" w14:paraId="4885CF0C" w14:textId="77777777" w:rsidTr="00150505">
        <w:trPr>
          <w:trHeight w:val="330"/>
        </w:trPr>
        <w:tc>
          <w:tcPr>
            <w:tcW w:w="1320" w:type="dxa"/>
            <w:vMerge/>
            <w:tcBorders>
              <w:top w:val="nil"/>
              <w:left w:val="nil"/>
              <w:bottom w:val="single" w:sz="4" w:space="0" w:color="000000"/>
              <w:right w:val="nil"/>
            </w:tcBorders>
            <w:vAlign w:val="center"/>
            <w:hideMark/>
          </w:tcPr>
          <w:p w14:paraId="5A51E809"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tcBorders>
              <w:top w:val="nil"/>
              <w:left w:val="single" w:sz="4" w:space="0" w:color="auto"/>
              <w:bottom w:val="single" w:sz="4" w:space="0" w:color="000000"/>
              <w:right w:val="single" w:sz="4" w:space="0" w:color="auto"/>
            </w:tcBorders>
            <w:vAlign w:val="center"/>
            <w:hideMark/>
          </w:tcPr>
          <w:p w14:paraId="133F82FB"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tcBorders>
              <w:top w:val="nil"/>
              <w:left w:val="nil"/>
              <w:bottom w:val="single" w:sz="4" w:space="0" w:color="auto"/>
              <w:right w:val="nil"/>
            </w:tcBorders>
            <w:shd w:val="clear" w:color="auto" w:fill="auto"/>
            <w:vAlign w:val="center"/>
            <w:hideMark/>
          </w:tcPr>
          <w:p w14:paraId="06908545"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single" w:sz="4" w:space="0" w:color="auto"/>
              <w:bottom w:val="single" w:sz="4" w:space="0" w:color="auto"/>
              <w:right w:val="nil"/>
            </w:tcBorders>
            <w:shd w:val="clear" w:color="auto" w:fill="auto"/>
            <w:vAlign w:val="center"/>
            <w:hideMark/>
          </w:tcPr>
          <w:p w14:paraId="71555060"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2.1 ± 0.11</w:t>
            </w:r>
          </w:p>
        </w:tc>
        <w:tc>
          <w:tcPr>
            <w:tcW w:w="1320" w:type="dxa"/>
            <w:tcBorders>
              <w:top w:val="nil"/>
              <w:left w:val="single" w:sz="4" w:space="0" w:color="auto"/>
              <w:bottom w:val="nil"/>
              <w:right w:val="single" w:sz="4" w:space="0" w:color="auto"/>
            </w:tcBorders>
            <w:shd w:val="clear" w:color="auto" w:fill="auto"/>
            <w:vAlign w:val="center"/>
            <w:hideMark/>
          </w:tcPr>
          <w:p w14:paraId="70F9686F"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Height (H)</w:t>
            </w:r>
          </w:p>
        </w:tc>
        <w:tc>
          <w:tcPr>
            <w:tcW w:w="1320" w:type="dxa"/>
            <w:tcBorders>
              <w:top w:val="nil"/>
              <w:left w:val="nil"/>
              <w:bottom w:val="nil"/>
              <w:right w:val="nil"/>
            </w:tcBorders>
            <w:shd w:val="clear" w:color="auto" w:fill="auto"/>
            <w:vAlign w:val="center"/>
            <w:hideMark/>
          </w:tcPr>
          <w:p w14:paraId="2B286A61"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150505" w:rsidRPr="00631CF2" w14:paraId="289C8CBB" w14:textId="77777777" w:rsidTr="00150505">
        <w:trPr>
          <w:trHeight w:val="315"/>
        </w:trPr>
        <w:tc>
          <w:tcPr>
            <w:tcW w:w="1320" w:type="dxa"/>
            <w:vMerge/>
            <w:tcBorders>
              <w:top w:val="nil"/>
              <w:left w:val="nil"/>
              <w:bottom w:val="single" w:sz="4" w:space="0" w:color="000000"/>
              <w:right w:val="nil"/>
            </w:tcBorders>
            <w:vAlign w:val="center"/>
            <w:hideMark/>
          </w:tcPr>
          <w:p w14:paraId="5064E7F5"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val="restart"/>
            <w:tcBorders>
              <w:top w:val="nil"/>
              <w:left w:val="single" w:sz="4" w:space="0" w:color="auto"/>
              <w:bottom w:val="single" w:sz="4" w:space="0" w:color="000000"/>
              <w:right w:val="single" w:sz="4" w:space="0" w:color="auto"/>
            </w:tcBorders>
            <w:shd w:val="clear" w:color="auto" w:fill="auto"/>
            <w:vAlign w:val="center"/>
            <w:hideMark/>
          </w:tcPr>
          <w:p w14:paraId="4A2391B9"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 cm</w:t>
            </w:r>
          </w:p>
        </w:tc>
        <w:tc>
          <w:tcPr>
            <w:tcW w:w="1320" w:type="dxa"/>
            <w:tcBorders>
              <w:top w:val="nil"/>
              <w:left w:val="nil"/>
              <w:bottom w:val="nil"/>
              <w:right w:val="nil"/>
            </w:tcBorders>
            <w:shd w:val="clear" w:color="auto" w:fill="auto"/>
            <w:vAlign w:val="center"/>
            <w:hideMark/>
          </w:tcPr>
          <w:p w14:paraId="519A3960"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t>
            </w:r>
          </w:p>
        </w:tc>
        <w:tc>
          <w:tcPr>
            <w:tcW w:w="1320" w:type="dxa"/>
            <w:tcBorders>
              <w:top w:val="nil"/>
              <w:left w:val="single" w:sz="4" w:space="0" w:color="auto"/>
              <w:bottom w:val="nil"/>
              <w:right w:val="single" w:sz="4" w:space="0" w:color="auto"/>
            </w:tcBorders>
            <w:shd w:val="clear" w:color="auto" w:fill="auto"/>
            <w:vAlign w:val="center"/>
            <w:hideMark/>
          </w:tcPr>
          <w:p w14:paraId="2498098B"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1.99 ± 0.04</w:t>
            </w:r>
          </w:p>
        </w:tc>
        <w:tc>
          <w:tcPr>
            <w:tcW w:w="1320" w:type="dxa"/>
            <w:tcBorders>
              <w:top w:val="nil"/>
              <w:left w:val="nil"/>
              <w:bottom w:val="nil"/>
              <w:right w:val="single" w:sz="4" w:space="0" w:color="auto"/>
            </w:tcBorders>
            <w:shd w:val="clear" w:color="auto" w:fill="auto"/>
            <w:vAlign w:val="center"/>
            <w:hideMark/>
          </w:tcPr>
          <w:p w14:paraId="77B2E206"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nil"/>
              <w:bottom w:val="nil"/>
              <w:right w:val="nil"/>
            </w:tcBorders>
            <w:shd w:val="clear" w:color="auto" w:fill="auto"/>
            <w:vAlign w:val="center"/>
            <w:hideMark/>
          </w:tcPr>
          <w:p w14:paraId="2495F9CA"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150505" w:rsidRPr="00631CF2" w14:paraId="6F58D911" w14:textId="77777777" w:rsidTr="00150505">
        <w:trPr>
          <w:trHeight w:val="330"/>
        </w:trPr>
        <w:tc>
          <w:tcPr>
            <w:tcW w:w="1320" w:type="dxa"/>
            <w:vMerge/>
            <w:tcBorders>
              <w:top w:val="nil"/>
              <w:left w:val="nil"/>
              <w:bottom w:val="single" w:sz="4" w:space="0" w:color="000000"/>
              <w:right w:val="nil"/>
            </w:tcBorders>
            <w:vAlign w:val="center"/>
            <w:hideMark/>
          </w:tcPr>
          <w:p w14:paraId="18CFAD50"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tcBorders>
              <w:top w:val="nil"/>
              <w:left w:val="single" w:sz="4" w:space="0" w:color="auto"/>
              <w:bottom w:val="single" w:sz="4" w:space="0" w:color="000000"/>
              <w:right w:val="single" w:sz="4" w:space="0" w:color="auto"/>
            </w:tcBorders>
            <w:vAlign w:val="center"/>
            <w:hideMark/>
          </w:tcPr>
          <w:p w14:paraId="7238A58F"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tcBorders>
              <w:top w:val="nil"/>
              <w:left w:val="nil"/>
              <w:bottom w:val="single" w:sz="4" w:space="0" w:color="auto"/>
              <w:right w:val="nil"/>
            </w:tcBorders>
            <w:shd w:val="clear" w:color="auto" w:fill="auto"/>
            <w:vAlign w:val="center"/>
            <w:hideMark/>
          </w:tcPr>
          <w:p w14:paraId="02345471"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single" w:sz="4" w:space="0" w:color="auto"/>
              <w:bottom w:val="single" w:sz="4" w:space="0" w:color="auto"/>
              <w:right w:val="single" w:sz="4" w:space="0" w:color="auto"/>
            </w:tcBorders>
            <w:shd w:val="clear" w:color="auto" w:fill="auto"/>
            <w:vAlign w:val="center"/>
            <w:hideMark/>
          </w:tcPr>
          <w:p w14:paraId="2C981F56"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2.01 ± 0.07</w:t>
            </w:r>
          </w:p>
        </w:tc>
        <w:tc>
          <w:tcPr>
            <w:tcW w:w="1320" w:type="dxa"/>
            <w:tcBorders>
              <w:top w:val="nil"/>
              <w:left w:val="nil"/>
              <w:bottom w:val="single" w:sz="4" w:space="0" w:color="auto"/>
              <w:right w:val="single" w:sz="4" w:space="0" w:color="auto"/>
            </w:tcBorders>
            <w:shd w:val="clear" w:color="auto" w:fill="auto"/>
            <w:vAlign w:val="center"/>
            <w:hideMark/>
          </w:tcPr>
          <w:p w14:paraId="62F6E721"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H*HSG</w:t>
            </w:r>
          </w:p>
        </w:tc>
        <w:tc>
          <w:tcPr>
            <w:tcW w:w="1320" w:type="dxa"/>
            <w:tcBorders>
              <w:top w:val="nil"/>
              <w:left w:val="nil"/>
              <w:bottom w:val="single" w:sz="4" w:space="0" w:color="auto"/>
              <w:right w:val="nil"/>
            </w:tcBorders>
            <w:shd w:val="clear" w:color="auto" w:fill="auto"/>
            <w:vAlign w:val="center"/>
            <w:hideMark/>
          </w:tcPr>
          <w:p w14:paraId="350DD95F"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150505" w:rsidRPr="00631CF2" w14:paraId="09B7F65E" w14:textId="77777777" w:rsidTr="00150505">
        <w:trPr>
          <w:trHeight w:val="315"/>
        </w:trPr>
        <w:tc>
          <w:tcPr>
            <w:tcW w:w="1320" w:type="dxa"/>
            <w:vMerge w:val="restart"/>
            <w:tcBorders>
              <w:top w:val="nil"/>
              <w:left w:val="nil"/>
              <w:bottom w:val="single" w:sz="4" w:space="0" w:color="000000"/>
              <w:right w:val="nil"/>
            </w:tcBorders>
            <w:shd w:val="clear" w:color="auto" w:fill="auto"/>
            <w:vAlign w:val="center"/>
            <w:hideMark/>
          </w:tcPr>
          <w:p w14:paraId="3E8C4CEC"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Summer</w:t>
            </w:r>
          </w:p>
        </w:tc>
        <w:tc>
          <w:tcPr>
            <w:tcW w:w="1320" w:type="dxa"/>
            <w:vMerge w:val="restart"/>
            <w:tcBorders>
              <w:top w:val="nil"/>
              <w:left w:val="single" w:sz="4" w:space="0" w:color="auto"/>
              <w:bottom w:val="single" w:sz="4" w:space="0" w:color="000000"/>
              <w:right w:val="single" w:sz="4" w:space="0" w:color="auto"/>
            </w:tcBorders>
            <w:shd w:val="clear" w:color="auto" w:fill="auto"/>
            <w:vAlign w:val="center"/>
            <w:hideMark/>
          </w:tcPr>
          <w:p w14:paraId="276FDB5E"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15 cm</w:t>
            </w:r>
          </w:p>
        </w:tc>
        <w:tc>
          <w:tcPr>
            <w:tcW w:w="1320" w:type="dxa"/>
            <w:tcBorders>
              <w:top w:val="nil"/>
              <w:left w:val="nil"/>
              <w:bottom w:val="nil"/>
              <w:right w:val="nil"/>
            </w:tcBorders>
            <w:shd w:val="clear" w:color="auto" w:fill="auto"/>
            <w:vAlign w:val="center"/>
            <w:hideMark/>
          </w:tcPr>
          <w:p w14:paraId="093F72A1"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t>
            </w:r>
          </w:p>
        </w:tc>
        <w:tc>
          <w:tcPr>
            <w:tcW w:w="1320" w:type="dxa"/>
            <w:tcBorders>
              <w:top w:val="nil"/>
              <w:left w:val="single" w:sz="4" w:space="0" w:color="auto"/>
              <w:bottom w:val="nil"/>
              <w:right w:val="single" w:sz="4" w:space="0" w:color="auto"/>
            </w:tcBorders>
            <w:shd w:val="clear" w:color="auto" w:fill="auto"/>
            <w:vAlign w:val="center"/>
            <w:hideMark/>
          </w:tcPr>
          <w:p w14:paraId="621D36EB"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2.27 ± 0.06</w:t>
            </w:r>
          </w:p>
        </w:tc>
        <w:tc>
          <w:tcPr>
            <w:tcW w:w="1320" w:type="dxa"/>
            <w:tcBorders>
              <w:top w:val="nil"/>
              <w:left w:val="nil"/>
              <w:bottom w:val="nil"/>
              <w:right w:val="single" w:sz="4" w:space="0" w:color="auto"/>
            </w:tcBorders>
            <w:shd w:val="clear" w:color="auto" w:fill="auto"/>
            <w:vAlign w:val="center"/>
            <w:hideMark/>
          </w:tcPr>
          <w:p w14:paraId="15D0CA90"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lang w:eastAsia="es-ES"/>
              </w:rPr>
            </w:pPr>
            <w:r w:rsidRPr="00631CF2">
              <w:rPr>
                <w:rFonts w:ascii="Times New Roman" w:eastAsia="Times New Roman" w:hAnsi="Times New Roman" w:cs="Times New Roman"/>
                <w:color w:val="000000"/>
                <w:lang w:eastAsia="es-ES"/>
              </w:rPr>
              <w:t> </w:t>
            </w:r>
          </w:p>
        </w:tc>
        <w:tc>
          <w:tcPr>
            <w:tcW w:w="1320" w:type="dxa"/>
            <w:tcBorders>
              <w:top w:val="nil"/>
              <w:left w:val="nil"/>
              <w:bottom w:val="nil"/>
              <w:right w:val="nil"/>
            </w:tcBorders>
            <w:shd w:val="clear" w:color="auto" w:fill="auto"/>
            <w:vAlign w:val="center"/>
            <w:hideMark/>
          </w:tcPr>
          <w:p w14:paraId="05F7AD17"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lang w:eastAsia="es-ES"/>
              </w:rPr>
            </w:pPr>
          </w:p>
        </w:tc>
      </w:tr>
      <w:tr w:rsidR="00150505" w:rsidRPr="00631CF2" w14:paraId="568CCBC5" w14:textId="77777777" w:rsidTr="00150505">
        <w:trPr>
          <w:trHeight w:val="330"/>
        </w:trPr>
        <w:tc>
          <w:tcPr>
            <w:tcW w:w="1320" w:type="dxa"/>
            <w:vMerge/>
            <w:tcBorders>
              <w:top w:val="nil"/>
              <w:left w:val="nil"/>
              <w:bottom w:val="single" w:sz="4" w:space="0" w:color="000000"/>
              <w:right w:val="nil"/>
            </w:tcBorders>
            <w:vAlign w:val="center"/>
            <w:hideMark/>
          </w:tcPr>
          <w:p w14:paraId="717331A9"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tcBorders>
              <w:top w:val="nil"/>
              <w:left w:val="single" w:sz="4" w:space="0" w:color="auto"/>
              <w:bottom w:val="single" w:sz="4" w:space="0" w:color="000000"/>
              <w:right w:val="single" w:sz="4" w:space="0" w:color="auto"/>
            </w:tcBorders>
            <w:vAlign w:val="center"/>
            <w:hideMark/>
          </w:tcPr>
          <w:p w14:paraId="6B452577"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tcBorders>
              <w:top w:val="nil"/>
              <w:left w:val="nil"/>
              <w:bottom w:val="single" w:sz="4" w:space="0" w:color="auto"/>
              <w:right w:val="nil"/>
            </w:tcBorders>
            <w:shd w:val="clear" w:color="auto" w:fill="auto"/>
            <w:vAlign w:val="center"/>
            <w:hideMark/>
          </w:tcPr>
          <w:p w14:paraId="56BB36D9"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single" w:sz="4" w:space="0" w:color="auto"/>
              <w:bottom w:val="single" w:sz="4" w:space="0" w:color="auto"/>
              <w:right w:val="single" w:sz="4" w:space="0" w:color="auto"/>
            </w:tcBorders>
            <w:shd w:val="clear" w:color="auto" w:fill="auto"/>
            <w:vAlign w:val="center"/>
            <w:hideMark/>
          </w:tcPr>
          <w:p w14:paraId="6733FCF8"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2.34 ± 0.1</w:t>
            </w:r>
          </w:p>
        </w:tc>
        <w:tc>
          <w:tcPr>
            <w:tcW w:w="1320" w:type="dxa"/>
            <w:tcBorders>
              <w:top w:val="nil"/>
              <w:left w:val="nil"/>
              <w:bottom w:val="nil"/>
              <w:right w:val="single" w:sz="4" w:space="0" w:color="auto"/>
            </w:tcBorders>
            <w:shd w:val="clear" w:color="auto" w:fill="auto"/>
            <w:vAlign w:val="center"/>
            <w:hideMark/>
          </w:tcPr>
          <w:p w14:paraId="507CA3A3"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Height (H)</w:t>
            </w:r>
          </w:p>
        </w:tc>
        <w:tc>
          <w:tcPr>
            <w:tcW w:w="1320" w:type="dxa"/>
            <w:tcBorders>
              <w:top w:val="nil"/>
              <w:left w:val="nil"/>
              <w:bottom w:val="nil"/>
              <w:right w:val="nil"/>
            </w:tcBorders>
            <w:shd w:val="clear" w:color="auto" w:fill="auto"/>
            <w:vAlign w:val="center"/>
            <w:hideMark/>
          </w:tcPr>
          <w:p w14:paraId="589E937B"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150505" w:rsidRPr="00631CF2" w14:paraId="2DFC4426" w14:textId="77777777" w:rsidTr="00150505">
        <w:trPr>
          <w:trHeight w:val="315"/>
        </w:trPr>
        <w:tc>
          <w:tcPr>
            <w:tcW w:w="1320" w:type="dxa"/>
            <w:vMerge/>
            <w:tcBorders>
              <w:top w:val="nil"/>
              <w:left w:val="nil"/>
              <w:bottom w:val="single" w:sz="4" w:space="0" w:color="000000"/>
              <w:right w:val="nil"/>
            </w:tcBorders>
            <w:vAlign w:val="center"/>
            <w:hideMark/>
          </w:tcPr>
          <w:p w14:paraId="72722898"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val="restart"/>
            <w:tcBorders>
              <w:top w:val="nil"/>
              <w:left w:val="single" w:sz="4" w:space="0" w:color="auto"/>
              <w:bottom w:val="single" w:sz="4" w:space="0" w:color="000000"/>
              <w:right w:val="single" w:sz="4" w:space="0" w:color="auto"/>
            </w:tcBorders>
            <w:shd w:val="clear" w:color="auto" w:fill="auto"/>
            <w:vAlign w:val="center"/>
            <w:hideMark/>
          </w:tcPr>
          <w:p w14:paraId="208C3BDE"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 cm</w:t>
            </w:r>
          </w:p>
        </w:tc>
        <w:tc>
          <w:tcPr>
            <w:tcW w:w="1320" w:type="dxa"/>
            <w:tcBorders>
              <w:top w:val="nil"/>
              <w:left w:val="nil"/>
              <w:bottom w:val="nil"/>
              <w:right w:val="nil"/>
            </w:tcBorders>
            <w:shd w:val="clear" w:color="auto" w:fill="auto"/>
            <w:vAlign w:val="center"/>
            <w:hideMark/>
          </w:tcPr>
          <w:p w14:paraId="3EE175CF"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w:t>
            </w:r>
          </w:p>
        </w:tc>
        <w:tc>
          <w:tcPr>
            <w:tcW w:w="1320" w:type="dxa"/>
            <w:tcBorders>
              <w:top w:val="nil"/>
              <w:left w:val="single" w:sz="4" w:space="0" w:color="auto"/>
              <w:bottom w:val="nil"/>
              <w:right w:val="single" w:sz="4" w:space="0" w:color="auto"/>
            </w:tcBorders>
            <w:shd w:val="clear" w:color="auto" w:fill="auto"/>
            <w:vAlign w:val="center"/>
            <w:hideMark/>
          </w:tcPr>
          <w:p w14:paraId="6A716EF2"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2.09 ± 0.07</w:t>
            </w:r>
          </w:p>
        </w:tc>
        <w:tc>
          <w:tcPr>
            <w:tcW w:w="1320" w:type="dxa"/>
            <w:tcBorders>
              <w:top w:val="nil"/>
              <w:left w:val="nil"/>
              <w:bottom w:val="nil"/>
              <w:right w:val="single" w:sz="4" w:space="0" w:color="auto"/>
            </w:tcBorders>
            <w:shd w:val="clear" w:color="auto" w:fill="auto"/>
            <w:vAlign w:val="center"/>
            <w:hideMark/>
          </w:tcPr>
          <w:p w14:paraId="1CBA3792"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nil"/>
              <w:bottom w:val="nil"/>
              <w:right w:val="nil"/>
            </w:tcBorders>
            <w:shd w:val="clear" w:color="auto" w:fill="auto"/>
            <w:vAlign w:val="center"/>
            <w:hideMark/>
          </w:tcPr>
          <w:p w14:paraId="2EF2A6F8"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r w:rsidR="00150505" w:rsidRPr="00631CF2" w14:paraId="48275D29" w14:textId="77777777" w:rsidTr="00150505">
        <w:trPr>
          <w:trHeight w:val="330"/>
        </w:trPr>
        <w:tc>
          <w:tcPr>
            <w:tcW w:w="1320" w:type="dxa"/>
            <w:vMerge/>
            <w:tcBorders>
              <w:top w:val="nil"/>
              <w:left w:val="nil"/>
              <w:bottom w:val="single" w:sz="4" w:space="0" w:color="000000"/>
              <w:right w:val="nil"/>
            </w:tcBorders>
            <w:vAlign w:val="center"/>
            <w:hideMark/>
          </w:tcPr>
          <w:p w14:paraId="41CF274B"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vMerge/>
            <w:tcBorders>
              <w:top w:val="nil"/>
              <w:left w:val="single" w:sz="4" w:space="0" w:color="auto"/>
              <w:bottom w:val="single" w:sz="4" w:space="0" w:color="000000"/>
              <w:right w:val="single" w:sz="4" w:space="0" w:color="auto"/>
            </w:tcBorders>
            <w:vAlign w:val="center"/>
            <w:hideMark/>
          </w:tcPr>
          <w:p w14:paraId="432338A5" w14:textId="77777777" w:rsidR="00150505" w:rsidRPr="00631CF2" w:rsidRDefault="00150505" w:rsidP="007F0193">
            <w:pPr>
              <w:widowControl w:val="0"/>
              <w:spacing w:after="0" w:line="480" w:lineRule="auto"/>
              <w:rPr>
                <w:rFonts w:ascii="Times New Roman" w:eastAsia="Times New Roman" w:hAnsi="Times New Roman" w:cs="Times New Roman"/>
                <w:color w:val="000000"/>
                <w:sz w:val="24"/>
                <w:szCs w:val="24"/>
                <w:lang w:eastAsia="es-ES"/>
              </w:rPr>
            </w:pPr>
          </w:p>
        </w:tc>
        <w:tc>
          <w:tcPr>
            <w:tcW w:w="1320" w:type="dxa"/>
            <w:tcBorders>
              <w:top w:val="nil"/>
              <w:left w:val="nil"/>
              <w:bottom w:val="single" w:sz="4" w:space="0" w:color="auto"/>
              <w:right w:val="nil"/>
            </w:tcBorders>
            <w:shd w:val="clear" w:color="auto" w:fill="auto"/>
            <w:vAlign w:val="center"/>
            <w:hideMark/>
          </w:tcPr>
          <w:p w14:paraId="3940E7F6"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HSG</w:t>
            </w:r>
          </w:p>
        </w:tc>
        <w:tc>
          <w:tcPr>
            <w:tcW w:w="1320" w:type="dxa"/>
            <w:tcBorders>
              <w:top w:val="nil"/>
              <w:left w:val="single" w:sz="4" w:space="0" w:color="auto"/>
              <w:bottom w:val="single" w:sz="4" w:space="0" w:color="auto"/>
              <w:right w:val="single" w:sz="4" w:space="0" w:color="auto"/>
            </w:tcBorders>
            <w:shd w:val="clear" w:color="auto" w:fill="auto"/>
            <w:vAlign w:val="center"/>
            <w:hideMark/>
          </w:tcPr>
          <w:p w14:paraId="0A0F8FED"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2.21 ± 0.09</w:t>
            </w:r>
          </w:p>
        </w:tc>
        <w:tc>
          <w:tcPr>
            <w:tcW w:w="1320" w:type="dxa"/>
            <w:tcBorders>
              <w:top w:val="nil"/>
              <w:left w:val="nil"/>
              <w:bottom w:val="single" w:sz="4" w:space="0" w:color="auto"/>
              <w:right w:val="single" w:sz="4" w:space="0" w:color="auto"/>
            </w:tcBorders>
            <w:shd w:val="clear" w:color="auto" w:fill="auto"/>
            <w:vAlign w:val="center"/>
            <w:hideMark/>
          </w:tcPr>
          <w:p w14:paraId="12113C7C"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H*HSG</w:t>
            </w:r>
          </w:p>
        </w:tc>
        <w:tc>
          <w:tcPr>
            <w:tcW w:w="1320" w:type="dxa"/>
            <w:tcBorders>
              <w:top w:val="nil"/>
              <w:left w:val="nil"/>
              <w:bottom w:val="single" w:sz="4" w:space="0" w:color="auto"/>
              <w:right w:val="nil"/>
            </w:tcBorders>
            <w:shd w:val="clear" w:color="auto" w:fill="auto"/>
            <w:vAlign w:val="center"/>
            <w:hideMark/>
          </w:tcPr>
          <w:p w14:paraId="3A4A1C2A" w14:textId="77777777" w:rsidR="00150505" w:rsidRPr="00631CF2" w:rsidRDefault="00150505" w:rsidP="007F0193">
            <w:pPr>
              <w:widowControl w:val="0"/>
              <w:spacing w:after="0" w:line="480" w:lineRule="auto"/>
              <w:jc w:val="center"/>
              <w:rPr>
                <w:rFonts w:ascii="Times New Roman" w:eastAsia="Times New Roman" w:hAnsi="Times New Roman" w:cs="Times New Roman"/>
                <w:color w:val="000000"/>
                <w:sz w:val="24"/>
                <w:szCs w:val="24"/>
                <w:lang w:eastAsia="es-ES"/>
              </w:rPr>
            </w:pPr>
            <w:r w:rsidRPr="00631CF2">
              <w:rPr>
                <w:rFonts w:ascii="Times New Roman" w:eastAsia="Times New Roman" w:hAnsi="Times New Roman" w:cs="Times New Roman"/>
                <w:color w:val="000000"/>
                <w:sz w:val="24"/>
                <w:szCs w:val="24"/>
                <w:lang w:eastAsia="es-ES"/>
              </w:rPr>
              <w:t>ns</w:t>
            </w:r>
          </w:p>
        </w:tc>
      </w:tr>
    </w:tbl>
    <w:p w14:paraId="56E28058" w14:textId="77777777" w:rsidR="005B60B4" w:rsidRPr="00631CF2" w:rsidRDefault="005B60B4" w:rsidP="007F0193">
      <w:pPr>
        <w:widowControl w:val="0"/>
        <w:spacing w:after="0" w:line="480" w:lineRule="auto"/>
        <w:rPr>
          <w:rFonts w:ascii="Times New Roman" w:hAnsi="Times New Roman" w:cs="Times New Roman"/>
        </w:rPr>
      </w:pPr>
    </w:p>
    <w:p w14:paraId="579E9FE5" w14:textId="77777777" w:rsidR="007F0193" w:rsidRPr="00631CF2" w:rsidRDefault="007F0193" w:rsidP="007F0193">
      <w:pPr>
        <w:widowControl w:val="0"/>
        <w:spacing w:after="0" w:line="480" w:lineRule="auto"/>
        <w:rPr>
          <w:rFonts w:ascii="Times New Roman" w:hAnsi="Times New Roman" w:cs="Times New Roman"/>
        </w:rPr>
      </w:pPr>
      <w:r w:rsidRPr="00631CF2">
        <w:rPr>
          <w:rFonts w:ascii="Times New Roman" w:hAnsi="Times New Roman" w:cs="Times New Roman"/>
        </w:rPr>
        <w:br w:type="page"/>
      </w:r>
    </w:p>
    <w:p w14:paraId="070085A2" w14:textId="5C0F723E" w:rsidR="00615BFE" w:rsidRPr="00631CF2" w:rsidRDefault="00615BFE" w:rsidP="007F0193">
      <w:pPr>
        <w:widowControl w:val="0"/>
        <w:spacing w:after="0" w:line="480" w:lineRule="auto"/>
        <w:rPr>
          <w:rStyle w:val="eop"/>
          <w:rFonts w:ascii="Times New Roman" w:hAnsi="Times New Roman" w:cs="Times New Roman"/>
          <w:color w:val="000000"/>
          <w:sz w:val="24"/>
          <w:szCs w:val="24"/>
          <w:shd w:val="clear" w:color="auto" w:fill="FFFFFF"/>
        </w:rPr>
      </w:pPr>
      <w:r w:rsidRPr="00631CF2">
        <w:rPr>
          <w:rFonts w:ascii="Times New Roman" w:hAnsi="Times New Roman" w:cs="Times New Roman"/>
          <w:b/>
          <w:bCs/>
          <w:sz w:val="24"/>
          <w:szCs w:val="24"/>
        </w:rPr>
        <w:lastRenderedPageBreak/>
        <w:t>Figure 1.</w:t>
      </w:r>
      <w:r w:rsidRPr="00631CF2">
        <w:rPr>
          <w:rFonts w:ascii="Times New Roman" w:hAnsi="Times New Roman" w:cs="Times New Roman"/>
          <w:sz w:val="24"/>
          <w:szCs w:val="24"/>
        </w:rPr>
        <w:t xml:space="preserve"> </w:t>
      </w:r>
      <w:r w:rsidRPr="00631CF2">
        <w:rPr>
          <w:rStyle w:val="normaltextrun"/>
          <w:rFonts w:ascii="Times New Roman" w:hAnsi="Times New Roman" w:cs="Times New Roman"/>
          <w:color w:val="000000"/>
          <w:sz w:val="24"/>
          <w:szCs w:val="24"/>
          <w:shd w:val="clear" w:color="auto" w:fill="FFFFFF"/>
        </w:rPr>
        <w:t>Average temperature and precipitation during the experimental period and historical means for the preceding 80 years (EPAGRI/CIRAM, 2020).</w:t>
      </w:r>
      <w:r w:rsidRPr="00631CF2">
        <w:rPr>
          <w:rStyle w:val="eop"/>
          <w:rFonts w:ascii="Times New Roman" w:hAnsi="Times New Roman" w:cs="Times New Roman"/>
          <w:color w:val="000000"/>
          <w:sz w:val="24"/>
          <w:szCs w:val="24"/>
          <w:shd w:val="clear" w:color="auto" w:fill="FFFFFF"/>
        </w:rPr>
        <w:t> </w:t>
      </w:r>
    </w:p>
    <w:p w14:paraId="3A135824" w14:textId="77777777" w:rsidR="00615BFE" w:rsidRPr="00631CF2" w:rsidRDefault="00615BFE" w:rsidP="007F0193">
      <w:pPr>
        <w:widowControl w:val="0"/>
        <w:spacing w:after="0" w:line="480" w:lineRule="auto"/>
        <w:rPr>
          <w:rFonts w:ascii="Times New Roman" w:hAnsi="Times New Roman" w:cs="Times New Roman"/>
          <w:sz w:val="24"/>
          <w:szCs w:val="24"/>
        </w:rPr>
      </w:pPr>
    </w:p>
    <w:p w14:paraId="13293113" w14:textId="71E2F63C" w:rsidR="00615BFE" w:rsidRPr="00631CF2" w:rsidRDefault="00615BFE" w:rsidP="007F0193">
      <w:pPr>
        <w:widowControl w:val="0"/>
        <w:spacing w:after="0" w:line="480" w:lineRule="auto"/>
        <w:rPr>
          <w:rStyle w:val="eop"/>
          <w:rFonts w:ascii="Times New Roman" w:hAnsi="Times New Roman" w:cs="Times New Roman"/>
          <w:color w:val="000000"/>
          <w:sz w:val="24"/>
          <w:szCs w:val="24"/>
          <w:shd w:val="clear" w:color="auto" w:fill="FFFFFF"/>
        </w:rPr>
      </w:pPr>
      <w:r w:rsidRPr="00631CF2">
        <w:rPr>
          <w:rStyle w:val="normaltextrun"/>
          <w:rFonts w:ascii="Times New Roman" w:hAnsi="Times New Roman" w:cs="Times New Roman"/>
          <w:b/>
          <w:bCs/>
          <w:color w:val="000000"/>
          <w:sz w:val="24"/>
          <w:szCs w:val="24"/>
          <w:shd w:val="clear" w:color="auto" w:fill="FFFFFF"/>
        </w:rPr>
        <w:t>Figure 2.</w:t>
      </w:r>
      <w:r w:rsidRPr="00631CF2">
        <w:rPr>
          <w:rStyle w:val="normaltextrun"/>
          <w:rFonts w:ascii="Times New Roman" w:hAnsi="Times New Roman" w:cs="Times New Roman"/>
          <w:color w:val="000000"/>
          <w:sz w:val="24"/>
          <w:szCs w:val="24"/>
          <w:shd w:val="clear" w:color="auto" w:fill="FFFFFF"/>
        </w:rPr>
        <w:t xml:space="preserve"> Mean ± standard error (SE) values for t</w:t>
      </w:r>
      <w:r w:rsidRPr="00631CF2">
        <w:rPr>
          <w:rStyle w:val="normaltextrun"/>
          <w:rFonts w:ascii="Times New Roman" w:hAnsi="Times New Roman" w:cs="Times New Roman"/>
          <w:color w:val="0D0D0D"/>
          <w:sz w:val="24"/>
          <w:szCs w:val="24"/>
          <w:shd w:val="clear" w:color="auto" w:fill="FFFFFF"/>
        </w:rPr>
        <w:t>iller appearance rate (grey bars) and tiller m</w:t>
      </w:r>
      <w:r w:rsidRPr="00631CF2">
        <w:rPr>
          <w:rStyle w:val="normaltextrun"/>
          <w:rFonts w:ascii="Times New Roman" w:hAnsi="Times New Roman" w:cs="Times New Roman"/>
          <w:color w:val="000000"/>
          <w:sz w:val="24"/>
          <w:szCs w:val="24"/>
          <w:shd w:val="clear" w:color="auto" w:fill="FFFFFF"/>
        </w:rPr>
        <w:t>ortality rate (white bars) in the winter, spring, and summer season in the mixture pasture; under four grazing managements: (A) 15 cm, and 15 cm HSG. (B) 20 cm, and 20 cm HSG (n: 28).</w:t>
      </w:r>
      <w:r w:rsidRPr="00631CF2">
        <w:rPr>
          <w:rStyle w:val="eop"/>
          <w:rFonts w:ascii="Times New Roman" w:hAnsi="Times New Roman" w:cs="Times New Roman"/>
          <w:color w:val="000000"/>
          <w:sz w:val="24"/>
          <w:szCs w:val="24"/>
          <w:shd w:val="clear" w:color="auto" w:fill="FFFFFF"/>
        </w:rPr>
        <w:t> </w:t>
      </w:r>
    </w:p>
    <w:p w14:paraId="57AB607D" w14:textId="07228053" w:rsidR="24A2D4CA" w:rsidRPr="00631CF2" w:rsidRDefault="24A2D4CA" w:rsidP="007F0193">
      <w:pPr>
        <w:widowControl w:val="0"/>
        <w:spacing w:after="0" w:line="480" w:lineRule="auto"/>
        <w:rPr>
          <w:rStyle w:val="eop"/>
          <w:rFonts w:ascii="Times New Roman" w:hAnsi="Times New Roman" w:cs="Times New Roman"/>
          <w:color w:val="000000" w:themeColor="text1"/>
          <w:sz w:val="24"/>
          <w:szCs w:val="24"/>
        </w:rPr>
      </w:pPr>
    </w:p>
    <w:p w14:paraId="0B859D8D" w14:textId="22C07B0E" w:rsidR="00D7174B" w:rsidRPr="00631CF2" w:rsidRDefault="00615BFE" w:rsidP="007F0193">
      <w:pPr>
        <w:widowControl w:val="0"/>
        <w:spacing w:after="0" w:line="480" w:lineRule="auto"/>
        <w:rPr>
          <w:rStyle w:val="eop"/>
          <w:rFonts w:ascii="Times New Roman" w:hAnsi="Times New Roman" w:cs="Times New Roman"/>
          <w:color w:val="000000"/>
          <w:sz w:val="24"/>
          <w:szCs w:val="24"/>
          <w:shd w:val="clear" w:color="auto" w:fill="FFFFFF"/>
        </w:rPr>
      </w:pPr>
      <w:r w:rsidRPr="00631CF2">
        <w:rPr>
          <w:rStyle w:val="normaltextrun"/>
          <w:rFonts w:ascii="Times New Roman" w:hAnsi="Times New Roman" w:cs="Times New Roman"/>
          <w:b/>
          <w:bCs/>
          <w:color w:val="000000"/>
          <w:sz w:val="24"/>
          <w:szCs w:val="24"/>
          <w:shd w:val="clear" w:color="auto" w:fill="FFFFFF"/>
        </w:rPr>
        <w:t xml:space="preserve">Figure </w:t>
      </w:r>
      <w:r w:rsidR="5FAE81D9" w:rsidRPr="00631CF2">
        <w:rPr>
          <w:rStyle w:val="normaltextrun"/>
          <w:rFonts w:ascii="Times New Roman" w:hAnsi="Times New Roman" w:cs="Times New Roman"/>
          <w:b/>
          <w:bCs/>
          <w:color w:val="000000"/>
          <w:sz w:val="24"/>
          <w:szCs w:val="24"/>
          <w:shd w:val="clear" w:color="auto" w:fill="FFFFFF"/>
        </w:rPr>
        <w:t>3</w:t>
      </w:r>
      <w:r w:rsidRPr="00631CF2">
        <w:rPr>
          <w:rStyle w:val="normaltextrun"/>
          <w:rFonts w:ascii="Times New Roman" w:hAnsi="Times New Roman" w:cs="Times New Roman"/>
          <w:b/>
          <w:bCs/>
          <w:color w:val="000000"/>
          <w:sz w:val="24"/>
          <w:szCs w:val="24"/>
          <w:shd w:val="clear" w:color="auto" w:fill="FFFFFF"/>
        </w:rPr>
        <w:t>.</w:t>
      </w:r>
      <w:r w:rsidRPr="00631CF2">
        <w:rPr>
          <w:rStyle w:val="normaltextrun"/>
          <w:rFonts w:ascii="Times New Roman" w:hAnsi="Times New Roman" w:cs="Times New Roman"/>
          <w:color w:val="000000"/>
          <w:sz w:val="24"/>
          <w:szCs w:val="24"/>
          <w:shd w:val="clear" w:color="auto" w:fill="FFFFFF"/>
        </w:rPr>
        <w:t xml:space="preserve"> Linear regression curve showing the relationship between Tiller Weight (Log</w:t>
      </w:r>
      <w:r w:rsidRPr="00631CF2">
        <w:rPr>
          <w:rStyle w:val="normaltextrun"/>
          <w:rFonts w:ascii="Times New Roman" w:hAnsi="Times New Roman" w:cs="Times New Roman"/>
          <w:color w:val="000000"/>
          <w:sz w:val="24"/>
          <w:szCs w:val="24"/>
          <w:shd w:val="clear" w:color="auto" w:fill="FFFFFF"/>
          <w:vertAlign w:val="subscript"/>
        </w:rPr>
        <w:t>10</w:t>
      </w:r>
      <w:r w:rsidRPr="00631CF2">
        <w:rPr>
          <w:rStyle w:val="normaltextrun"/>
          <w:rFonts w:ascii="Times New Roman" w:hAnsi="Times New Roman" w:cs="Times New Roman"/>
          <w:color w:val="000000"/>
          <w:sz w:val="24"/>
          <w:szCs w:val="24"/>
          <w:shd w:val="clear" w:color="auto" w:fill="FFFFFF"/>
        </w:rPr>
        <w:t>) and Tiller Population Density (Log</w:t>
      </w:r>
      <w:r w:rsidRPr="00631CF2">
        <w:rPr>
          <w:rStyle w:val="normaltextrun"/>
          <w:rFonts w:ascii="Times New Roman" w:hAnsi="Times New Roman" w:cs="Times New Roman"/>
          <w:color w:val="000000"/>
          <w:sz w:val="24"/>
          <w:szCs w:val="24"/>
          <w:shd w:val="clear" w:color="auto" w:fill="FFFFFF"/>
          <w:vertAlign w:val="subscript"/>
        </w:rPr>
        <w:t>10</w:t>
      </w:r>
      <w:r w:rsidRPr="00631CF2">
        <w:rPr>
          <w:rStyle w:val="normaltextrun"/>
          <w:rFonts w:ascii="Times New Roman" w:hAnsi="Times New Roman" w:cs="Times New Roman"/>
          <w:color w:val="000000"/>
          <w:sz w:val="24"/>
          <w:szCs w:val="24"/>
          <w:shd w:val="clear" w:color="auto" w:fill="FFFFFF"/>
        </w:rPr>
        <w:t xml:space="preserve">) in mixed pasture throughout the year under grazing management: light green represents the 15 cm group (15 cm and 15 cm HSG); light orange represents the 20 cm group (20 cm and 20 cm HSG) (n: 117), and the theoretical compensation line (y= -3/2x) is represented in violet. Regression parameters, </w:t>
      </w:r>
      <w:r w:rsidRPr="00631CF2">
        <w:rPr>
          <w:rStyle w:val="normaltextrun"/>
          <w:rFonts w:ascii="Times New Roman" w:hAnsi="Times New Roman" w:cs="Times New Roman"/>
          <w:i/>
          <w:iCs/>
          <w:color w:val="000000"/>
          <w:sz w:val="24"/>
          <w:szCs w:val="24"/>
          <w:shd w:val="clear" w:color="auto" w:fill="FFFFFF"/>
        </w:rPr>
        <w:t>R</w:t>
      </w:r>
      <w:r w:rsidRPr="00631CF2">
        <w:rPr>
          <w:rStyle w:val="normaltextrun"/>
          <w:rFonts w:ascii="Times New Roman" w:hAnsi="Times New Roman" w:cs="Times New Roman"/>
          <w:i/>
          <w:iCs/>
          <w:color w:val="000000"/>
          <w:sz w:val="24"/>
          <w:szCs w:val="24"/>
          <w:shd w:val="clear" w:color="auto" w:fill="FFFFFF"/>
          <w:vertAlign w:val="superscript"/>
        </w:rPr>
        <w:t>2</w:t>
      </w:r>
      <w:r w:rsidRPr="00631CF2">
        <w:rPr>
          <w:rStyle w:val="normaltextrun"/>
          <w:rFonts w:ascii="Times New Roman" w:hAnsi="Times New Roman" w:cs="Times New Roman"/>
          <w:i/>
          <w:iCs/>
          <w:color w:val="000000"/>
          <w:sz w:val="24"/>
          <w:szCs w:val="24"/>
          <w:shd w:val="clear" w:color="auto" w:fill="FFFFFF"/>
        </w:rPr>
        <w:t xml:space="preserve"> </w:t>
      </w:r>
      <w:r w:rsidRPr="00631CF2">
        <w:rPr>
          <w:rStyle w:val="normaltextrun"/>
          <w:rFonts w:ascii="Times New Roman" w:hAnsi="Times New Roman" w:cs="Times New Roman"/>
          <w:color w:val="000000"/>
          <w:sz w:val="24"/>
          <w:szCs w:val="24"/>
          <w:shd w:val="clear" w:color="auto" w:fill="FFFFFF"/>
        </w:rPr>
        <w:t xml:space="preserve">and significant P-value for each treatment: 15 cm, y=6.15-2.2x, </w:t>
      </w:r>
      <w:r w:rsidRPr="00631CF2">
        <w:rPr>
          <w:rStyle w:val="normaltextrun"/>
          <w:rFonts w:ascii="Times New Roman" w:hAnsi="Times New Roman" w:cs="Times New Roman"/>
          <w:i/>
          <w:iCs/>
          <w:color w:val="000000"/>
          <w:sz w:val="24"/>
          <w:szCs w:val="24"/>
          <w:shd w:val="clear" w:color="auto" w:fill="FFFFFF"/>
        </w:rPr>
        <w:t>R²</w:t>
      </w:r>
      <w:r w:rsidRPr="00631CF2">
        <w:rPr>
          <w:rStyle w:val="normaltextrun"/>
          <w:rFonts w:ascii="Times New Roman" w:hAnsi="Times New Roman" w:cs="Times New Roman"/>
          <w:color w:val="000000"/>
          <w:sz w:val="24"/>
          <w:szCs w:val="24"/>
          <w:shd w:val="clear" w:color="auto" w:fill="FFFFFF"/>
        </w:rPr>
        <w:t xml:space="preserve">=0.38, </w:t>
      </w:r>
      <w:r w:rsidR="00376639" w:rsidRPr="00631CF2">
        <w:rPr>
          <w:rStyle w:val="normaltextrun"/>
          <w:rFonts w:ascii="Times New Roman" w:hAnsi="Times New Roman" w:cs="Times New Roman"/>
          <w:i/>
          <w:iCs/>
          <w:color w:val="000000"/>
          <w:sz w:val="24"/>
          <w:szCs w:val="24"/>
          <w:shd w:val="clear" w:color="auto" w:fill="FFFFFF"/>
        </w:rPr>
        <w:t>P</w:t>
      </w:r>
      <w:r w:rsidR="00376639" w:rsidRPr="00631CF2">
        <w:rPr>
          <w:rStyle w:val="normaltextrun"/>
          <w:rFonts w:ascii="Times New Roman" w:hAnsi="Times New Roman" w:cs="Times New Roman"/>
          <w:color w:val="000000"/>
          <w:sz w:val="24"/>
          <w:szCs w:val="24"/>
          <w:shd w:val="clear" w:color="auto" w:fill="FFFFFF"/>
        </w:rPr>
        <w:t xml:space="preserve"> </w:t>
      </w:r>
      <w:r w:rsidRPr="00631CF2">
        <w:rPr>
          <w:rStyle w:val="normaltextrun"/>
          <w:rFonts w:ascii="Times New Roman" w:hAnsi="Times New Roman" w:cs="Times New Roman"/>
          <w:color w:val="000000"/>
          <w:sz w:val="24"/>
          <w:szCs w:val="24"/>
          <w:shd w:val="clear" w:color="auto" w:fill="FFFFFF"/>
        </w:rPr>
        <w:t>&lt;</w:t>
      </w:r>
      <w:r w:rsidR="00376639" w:rsidRPr="00631CF2">
        <w:rPr>
          <w:rStyle w:val="normaltextrun"/>
          <w:rFonts w:ascii="Times New Roman" w:hAnsi="Times New Roman" w:cs="Times New Roman"/>
          <w:color w:val="000000"/>
          <w:sz w:val="24"/>
          <w:szCs w:val="24"/>
          <w:shd w:val="clear" w:color="auto" w:fill="FFFFFF"/>
        </w:rPr>
        <w:t xml:space="preserve"> </w:t>
      </w:r>
      <w:r w:rsidRPr="00631CF2">
        <w:rPr>
          <w:rStyle w:val="normaltextrun"/>
          <w:rFonts w:ascii="Times New Roman" w:hAnsi="Times New Roman" w:cs="Times New Roman"/>
          <w:color w:val="000000"/>
          <w:sz w:val="24"/>
          <w:szCs w:val="24"/>
          <w:shd w:val="clear" w:color="auto" w:fill="FFFFFF"/>
        </w:rPr>
        <w:t xml:space="preserve">0.001; 20 cm, y=4.79-1.82x, </w:t>
      </w:r>
      <w:r w:rsidRPr="00631CF2">
        <w:rPr>
          <w:rStyle w:val="normaltextrun"/>
          <w:rFonts w:ascii="Times New Roman" w:hAnsi="Times New Roman" w:cs="Times New Roman"/>
          <w:i/>
          <w:iCs/>
          <w:color w:val="000000"/>
          <w:sz w:val="24"/>
          <w:szCs w:val="24"/>
          <w:shd w:val="clear" w:color="auto" w:fill="FFFFFF"/>
        </w:rPr>
        <w:t>R²</w:t>
      </w:r>
      <w:r w:rsidRPr="00631CF2">
        <w:rPr>
          <w:rStyle w:val="normaltextrun"/>
          <w:rFonts w:ascii="Times New Roman" w:hAnsi="Times New Roman" w:cs="Times New Roman"/>
          <w:color w:val="000000"/>
          <w:sz w:val="24"/>
          <w:szCs w:val="24"/>
          <w:shd w:val="clear" w:color="auto" w:fill="FFFFFF"/>
        </w:rPr>
        <w:t xml:space="preserve">=0.28, </w:t>
      </w:r>
      <w:r w:rsidR="00376639" w:rsidRPr="00631CF2">
        <w:rPr>
          <w:rStyle w:val="normaltextrun"/>
          <w:rFonts w:ascii="Times New Roman" w:hAnsi="Times New Roman" w:cs="Times New Roman"/>
          <w:i/>
          <w:iCs/>
          <w:color w:val="000000"/>
          <w:sz w:val="24"/>
          <w:szCs w:val="24"/>
          <w:shd w:val="clear" w:color="auto" w:fill="FFFFFF"/>
        </w:rPr>
        <w:t xml:space="preserve">P </w:t>
      </w:r>
      <w:r w:rsidRPr="00631CF2">
        <w:rPr>
          <w:rStyle w:val="normaltextrun"/>
          <w:rFonts w:ascii="Times New Roman" w:hAnsi="Times New Roman" w:cs="Times New Roman"/>
          <w:color w:val="000000"/>
          <w:sz w:val="24"/>
          <w:szCs w:val="24"/>
          <w:shd w:val="clear" w:color="auto" w:fill="FFFFFF"/>
        </w:rPr>
        <w:t>&lt;</w:t>
      </w:r>
      <w:r w:rsidR="00376639" w:rsidRPr="00631CF2">
        <w:rPr>
          <w:rStyle w:val="normaltextrun"/>
          <w:rFonts w:ascii="Times New Roman" w:hAnsi="Times New Roman" w:cs="Times New Roman"/>
          <w:color w:val="000000"/>
          <w:sz w:val="24"/>
          <w:szCs w:val="24"/>
          <w:shd w:val="clear" w:color="auto" w:fill="FFFFFF"/>
        </w:rPr>
        <w:t xml:space="preserve"> </w:t>
      </w:r>
      <w:r w:rsidRPr="00631CF2">
        <w:rPr>
          <w:rStyle w:val="normaltextrun"/>
          <w:rFonts w:ascii="Times New Roman" w:hAnsi="Times New Roman" w:cs="Times New Roman"/>
          <w:color w:val="000000"/>
          <w:sz w:val="24"/>
          <w:szCs w:val="24"/>
          <w:shd w:val="clear" w:color="auto" w:fill="FFFFFF"/>
        </w:rPr>
        <w:t>0.001.</w:t>
      </w:r>
      <w:r w:rsidRPr="00631CF2">
        <w:rPr>
          <w:rStyle w:val="eop"/>
          <w:rFonts w:ascii="Times New Roman" w:hAnsi="Times New Roman" w:cs="Times New Roman"/>
          <w:color w:val="000000"/>
          <w:sz w:val="24"/>
          <w:szCs w:val="24"/>
          <w:shd w:val="clear" w:color="auto" w:fill="FFFFFF"/>
        </w:rPr>
        <w:t> </w:t>
      </w:r>
    </w:p>
    <w:p w14:paraId="64447691" w14:textId="77777777" w:rsidR="00376639" w:rsidRPr="00631CF2" w:rsidRDefault="00376639" w:rsidP="007F0193">
      <w:pPr>
        <w:widowControl w:val="0"/>
        <w:spacing w:after="0" w:line="480" w:lineRule="auto"/>
        <w:rPr>
          <w:rStyle w:val="eop"/>
          <w:rFonts w:ascii="Times New Roman" w:hAnsi="Times New Roman" w:cs="Times New Roman"/>
          <w:color w:val="000000"/>
          <w:sz w:val="24"/>
          <w:szCs w:val="24"/>
          <w:shd w:val="clear" w:color="auto" w:fill="FFFFFF"/>
        </w:rPr>
      </w:pPr>
    </w:p>
    <w:p w14:paraId="775510F9" w14:textId="77777777" w:rsidR="00376639" w:rsidRPr="00631CF2" w:rsidRDefault="00376639" w:rsidP="007F0193">
      <w:pPr>
        <w:widowControl w:val="0"/>
        <w:spacing w:after="0" w:line="480" w:lineRule="auto"/>
        <w:rPr>
          <w:rFonts w:ascii="Times New Roman" w:hAnsi="Times New Roman" w:cs="Times New Roman"/>
          <w:color w:val="000000"/>
          <w:sz w:val="24"/>
          <w:szCs w:val="24"/>
          <w:shd w:val="clear" w:color="auto" w:fill="FFFFFF"/>
        </w:rPr>
        <w:sectPr w:rsidR="00376639" w:rsidRPr="00631CF2" w:rsidSect="00BF0B09">
          <w:type w:val="continuous"/>
          <w:pgSz w:w="11906" w:h="16838"/>
          <w:pgMar w:top="1417" w:right="1701" w:bottom="1417" w:left="1701" w:header="708" w:footer="708" w:gutter="0"/>
          <w:cols w:space="708"/>
          <w:docGrid w:linePitch="360"/>
        </w:sectPr>
      </w:pPr>
    </w:p>
    <w:p w14:paraId="4836E8D6" w14:textId="50D88D01" w:rsidR="00376639" w:rsidRPr="00631CF2" w:rsidRDefault="00376639" w:rsidP="007F0193">
      <w:pPr>
        <w:widowControl w:val="0"/>
        <w:spacing w:after="0" w:line="480" w:lineRule="auto"/>
        <w:rPr>
          <w:rFonts w:ascii="Times New Roman" w:hAnsi="Times New Roman" w:cs="Times New Roman"/>
          <w:color w:val="000000"/>
          <w:sz w:val="24"/>
          <w:szCs w:val="24"/>
          <w:shd w:val="clear" w:color="auto" w:fill="FFFFFF"/>
        </w:rPr>
      </w:pPr>
      <w:r w:rsidRPr="00631CF2">
        <w:rPr>
          <w:rFonts w:ascii="Times New Roman" w:hAnsi="Times New Roman" w:cs="Times New Roman"/>
          <w:noProof/>
          <w:color w:val="000000"/>
          <w:sz w:val="24"/>
          <w:szCs w:val="24"/>
          <w:shd w:val="clear" w:color="auto" w:fill="FFFFFF"/>
        </w:rPr>
        <w:lastRenderedPageBreak/>
        <w:drawing>
          <wp:inline distT="0" distB="0" distL="0" distR="0" wp14:anchorId="1EA64485" wp14:editId="021D98DE">
            <wp:extent cx="9072130" cy="2531534"/>
            <wp:effectExtent l="0" t="0" r="0" b="2540"/>
            <wp:docPr id="1467391608" name="Picture 1" descr="A graph of a number of peop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391608" name="Picture 1" descr="A graph of a number of people&#10;&#10;Description automatically generated with medium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9088377" cy="2536068"/>
                    </a:xfrm>
                    <a:prstGeom prst="rect">
                      <a:avLst/>
                    </a:prstGeom>
                  </pic:spPr>
                </pic:pic>
              </a:graphicData>
            </a:graphic>
          </wp:inline>
        </w:drawing>
      </w:r>
    </w:p>
    <w:p w14:paraId="2AE87809" w14:textId="38CB4DDA" w:rsidR="00376639" w:rsidRPr="00631CF2" w:rsidRDefault="00376639" w:rsidP="007F0193">
      <w:pPr>
        <w:widowControl w:val="0"/>
        <w:spacing w:after="0" w:line="480" w:lineRule="auto"/>
        <w:rPr>
          <w:rFonts w:ascii="Times New Roman" w:hAnsi="Times New Roman" w:cs="Times New Roman"/>
          <w:b/>
          <w:bCs/>
          <w:color w:val="000000"/>
          <w:sz w:val="24"/>
          <w:szCs w:val="24"/>
          <w:shd w:val="clear" w:color="auto" w:fill="FFFFFF"/>
        </w:rPr>
      </w:pPr>
      <w:r w:rsidRPr="00631CF2">
        <w:rPr>
          <w:rFonts w:ascii="Times New Roman" w:hAnsi="Times New Roman" w:cs="Times New Roman"/>
          <w:b/>
          <w:bCs/>
          <w:color w:val="000000"/>
          <w:sz w:val="24"/>
          <w:szCs w:val="24"/>
          <w:shd w:val="clear" w:color="auto" w:fill="FFFFFF"/>
        </w:rPr>
        <w:t>Figure 1.</w:t>
      </w:r>
    </w:p>
    <w:p w14:paraId="789EF015" w14:textId="77777777" w:rsidR="00376639" w:rsidRPr="00631CF2" w:rsidRDefault="00376639" w:rsidP="007F0193">
      <w:pPr>
        <w:widowControl w:val="0"/>
        <w:spacing w:after="0" w:line="480" w:lineRule="auto"/>
        <w:rPr>
          <w:rFonts w:ascii="Times New Roman" w:hAnsi="Times New Roman" w:cs="Times New Roman"/>
          <w:b/>
          <w:bCs/>
          <w:color w:val="000000"/>
          <w:sz w:val="24"/>
          <w:szCs w:val="24"/>
          <w:shd w:val="clear" w:color="auto" w:fill="FFFFFF"/>
        </w:rPr>
        <w:sectPr w:rsidR="00376639" w:rsidRPr="00631CF2" w:rsidSect="00BF0B09">
          <w:type w:val="continuous"/>
          <w:pgSz w:w="16838" w:h="11906" w:orient="landscape"/>
          <w:pgMar w:top="1701" w:right="1418" w:bottom="1701" w:left="1418" w:header="709" w:footer="709" w:gutter="0"/>
          <w:cols w:space="708"/>
          <w:docGrid w:linePitch="360"/>
        </w:sectPr>
      </w:pPr>
    </w:p>
    <w:p w14:paraId="5D97891F" w14:textId="77777777" w:rsidR="00376639" w:rsidRPr="00631CF2" w:rsidRDefault="00376639" w:rsidP="007F0193">
      <w:pPr>
        <w:widowControl w:val="0"/>
        <w:spacing w:after="0" w:line="480" w:lineRule="auto"/>
        <w:rPr>
          <w:rFonts w:ascii="Times New Roman" w:hAnsi="Times New Roman" w:cs="Times New Roman"/>
          <w:b/>
          <w:bCs/>
          <w:color w:val="000000"/>
          <w:sz w:val="24"/>
          <w:szCs w:val="24"/>
          <w:shd w:val="clear" w:color="auto" w:fill="FFFFFF"/>
        </w:rPr>
      </w:pPr>
      <w:r w:rsidRPr="00631CF2">
        <w:rPr>
          <w:rFonts w:ascii="Times New Roman" w:hAnsi="Times New Roman" w:cs="Times New Roman"/>
          <w:b/>
          <w:bCs/>
          <w:noProof/>
          <w:color w:val="000000"/>
          <w:sz w:val="24"/>
          <w:szCs w:val="24"/>
          <w:shd w:val="clear" w:color="auto" w:fill="FFFFFF"/>
        </w:rPr>
        <w:lastRenderedPageBreak/>
        <w:drawing>
          <wp:inline distT="0" distB="0" distL="0" distR="0" wp14:anchorId="5A40DD62" wp14:editId="0D4DF0DA">
            <wp:extent cx="5364000" cy="2448161"/>
            <wp:effectExtent l="0" t="0" r="8255" b="9525"/>
            <wp:docPr id="1158559929" name="Picture 2" descr="A graph of different season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8559929" name="Picture 2" descr="A graph of different seasons&#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364000" cy="2448161"/>
                    </a:xfrm>
                    <a:prstGeom prst="rect">
                      <a:avLst/>
                    </a:prstGeom>
                  </pic:spPr>
                </pic:pic>
              </a:graphicData>
            </a:graphic>
          </wp:inline>
        </w:drawing>
      </w:r>
      <w:r w:rsidRPr="00631CF2">
        <w:rPr>
          <w:rFonts w:ascii="Times New Roman" w:hAnsi="Times New Roman" w:cs="Times New Roman"/>
          <w:b/>
          <w:bCs/>
          <w:noProof/>
          <w:color w:val="000000"/>
          <w:sz w:val="24"/>
          <w:szCs w:val="24"/>
          <w:shd w:val="clear" w:color="auto" w:fill="FFFFFF"/>
        </w:rPr>
        <w:drawing>
          <wp:inline distT="0" distB="0" distL="0" distR="0" wp14:anchorId="35E3FAF6" wp14:editId="0F0D53A1">
            <wp:extent cx="5364000" cy="2369695"/>
            <wp:effectExtent l="0" t="0" r="8255" b="0"/>
            <wp:docPr id="816590386" name="Picture 3" descr="A graph of different season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590386" name="Picture 3" descr="A graph of different seasons&#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364000" cy="2369695"/>
                    </a:xfrm>
                    <a:prstGeom prst="rect">
                      <a:avLst/>
                    </a:prstGeom>
                  </pic:spPr>
                </pic:pic>
              </a:graphicData>
            </a:graphic>
          </wp:inline>
        </w:drawing>
      </w:r>
    </w:p>
    <w:p w14:paraId="3973F136" w14:textId="7BA5614C" w:rsidR="00376639" w:rsidRPr="00631CF2" w:rsidRDefault="00376639" w:rsidP="007F0193">
      <w:pPr>
        <w:widowControl w:val="0"/>
        <w:spacing w:after="0" w:line="480" w:lineRule="auto"/>
        <w:rPr>
          <w:rFonts w:ascii="Times New Roman" w:hAnsi="Times New Roman" w:cs="Times New Roman"/>
          <w:b/>
          <w:bCs/>
          <w:color w:val="000000"/>
          <w:sz w:val="24"/>
          <w:szCs w:val="24"/>
          <w:shd w:val="clear" w:color="auto" w:fill="FFFFFF"/>
        </w:rPr>
      </w:pPr>
      <w:r w:rsidRPr="00631CF2">
        <w:rPr>
          <w:rFonts w:ascii="Times New Roman" w:hAnsi="Times New Roman" w:cs="Times New Roman"/>
          <w:b/>
          <w:bCs/>
          <w:color w:val="000000"/>
          <w:sz w:val="24"/>
          <w:szCs w:val="24"/>
          <w:shd w:val="clear" w:color="auto" w:fill="FFFFFF"/>
        </w:rPr>
        <w:t>Figure 2.</w:t>
      </w:r>
    </w:p>
    <w:p w14:paraId="3DC53617" w14:textId="77777777" w:rsidR="00376639" w:rsidRPr="00631CF2" w:rsidRDefault="00376639" w:rsidP="007F0193">
      <w:pPr>
        <w:widowControl w:val="0"/>
        <w:spacing w:after="0" w:line="480" w:lineRule="auto"/>
        <w:rPr>
          <w:rFonts w:ascii="Times New Roman" w:hAnsi="Times New Roman" w:cs="Times New Roman"/>
          <w:b/>
          <w:bCs/>
          <w:color w:val="000000"/>
          <w:sz w:val="24"/>
          <w:szCs w:val="24"/>
          <w:shd w:val="clear" w:color="auto" w:fill="FFFFFF"/>
        </w:rPr>
      </w:pPr>
    </w:p>
    <w:p w14:paraId="147AE792" w14:textId="6C31EEBB" w:rsidR="00376639" w:rsidRPr="00631CF2" w:rsidRDefault="00376639" w:rsidP="007F0193">
      <w:pPr>
        <w:widowControl w:val="0"/>
        <w:spacing w:after="0" w:line="480" w:lineRule="auto"/>
        <w:rPr>
          <w:rFonts w:ascii="Times New Roman" w:hAnsi="Times New Roman" w:cs="Times New Roman"/>
          <w:b/>
          <w:bCs/>
          <w:color w:val="000000"/>
          <w:sz w:val="24"/>
          <w:szCs w:val="24"/>
          <w:shd w:val="clear" w:color="auto" w:fill="FFFFFF"/>
        </w:rPr>
      </w:pPr>
      <w:r w:rsidRPr="00631CF2">
        <w:rPr>
          <w:rFonts w:ascii="Times New Roman" w:hAnsi="Times New Roman" w:cs="Times New Roman"/>
          <w:b/>
          <w:bCs/>
          <w:color w:val="000000"/>
          <w:sz w:val="24"/>
          <w:szCs w:val="24"/>
          <w:shd w:val="clear" w:color="auto" w:fill="FFFFFF"/>
        </w:rPr>
        <w:br w:type="page"/>
      </w:r>
    </w:p>
    <w:p w14:paraId="52A07817" w14:textId="2F203414" w:rsidR="00376639" w:rsidRPr="00631CF2" w:rsidRDefault="00376639" w:rsidP="007F0193">
      <w:pPr>
        <w:widowControl w:val="0"/>
        <w:spacing w:after="0" w:line="480" w:lineRule="auto"/>
        <w:rPr>
          <w:rFonts w:ascii="Times New Roman" w:hAnsi="Times New Roman" w:cs="Times New Roman"/>
          <w:b/>
          <w:bCs/>
          <w:color w:val="000000"/>
          <w:sz w:val="24"/>
          <w:szCs w:val="24"/>
          <w:shd w:val="clear" w:color="auto" w:fill="FFFFFF"/>
        </w:rPr>
      </w:pPr>
      <w:r w:rsidRPr="00631CF2">
        <w:rPr>
          <w:rFonts w:ascii="Times New Roman" w:hAnsi="Times New Roman" w:cs="Times New Roman"/>
          <w:b/>
          <w:bCs/>
          <w:noProof/>
          <w:color w:val="000000"/>
          <w:sz w:val="24"/>
          <w:szCs w:val="24"/>
          <w:shd w:val="clear" w:color="auto" w:fill="FFFFFF"/>
        </w:rPr>
        <w:lastRenderedPageBreak/>
        <w:drawing>
          <wp:inline distT="0" distB="0" distL="0" distR="0" wp14:anchorId="017AB312" wp14:editId="0FFD9A18">
            <wp:extent cx="5400040" cy="3117523"/>
            <wp:effectExtent l="0" t="0" r="0" b="6985"/>
            <wp:docPr id="933550324" name="Picture 4" descr="A graph of different height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3550324" name="Picture 4" descr="A graph of different heights&#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400040" cy="3117523"/>
                    </a:xfrm>
                    <a:prstGeom prst="rect">
                      <a:avLst/>
                    </a:prstGeom>
                  </pic:spPr>
                </pic:pic>
              </a:graphicData>
            </a:graphic>
          </wp:inline>
        </w:drawing>
      </w:r>
    </w:p>
    <w:p w14:paraId="7A82CEA1" w14:textId="6831B611" w:rsidR="00376639" w:rsidRPr="007A3085" w:rsidRDefault="00376639" w:rsidP="007F0193">
      <w:pPr>
        <w:widowControl w:val="0"/>
        <w:spacing w:after="0" w:line="480" w:lineRule="auto"/>
        <w:rPr>
          <w:rFonts w:ascii="Times New Roman" w:hAnsi="Times New Roman" w:cs="Times New Roman"/>
          <w:b/>
          <w:bCs/>
          <w:color w:val="000000"/>
          <w:sz w:val="24"/>
          <w:szCs w:val="24"/>
          <w:shd w:val="clear" w:color="auto" w:fill="FFFFFF"/>
        </w:rPr>
      </w:pPr>
      <w:r w:rsidRPr="00631CF2">
        <w:rPr>
          <w:rFonts w:ascii="Times New Roman" w:hAnsi="Times New Roman" w:cs="Times New Roman"/>
          <w:b/>
          <w:bCs/>
          <w:color w:val="000000"/>
          <w:sz w:val="24"/>
          <w:szCs w:val="24"/>
          <w:shd w:val="clear" w:color="auto" w:fill="FFFFFF"/>
        </w:rPr>
        <w:t>Figure 3.</w:t>
      </w:r>
    </w:p>
    <w:p w14:paraId="569D4D5D" w14:textId="77777777" w:rsidR="00376639" w:rsidRPr="007A3085" w:rsidRDefault="00376639" w:rsidP="007F0193">
      <w:pPr>
        <w:widowControl w:val="0"/>
        <w:spacing w:after="0" w:line="480" w:lineRule="auto"/>
        <w:rPr>
          <w:rFonts w:ascii="Times New Roman" w:hAnsi="Times New Roman" w:cs="Times New Roman"/>
          <w:b/>
          <w:bCs/>
          <w:color w:val="000000"/>
          <w:sz w:val="24"/>
          <w:szCs w:val="24"/>
          <w:shd w:val="clear" w:color="auto" w:fill="FFFFFF"/>
        </w:rPr>
      </w:pPr>
    </w:p>
    <w:sectPr w:rsidR="00376639" w:rsidRPr="007A3085" w:rsidSect="00BF0B09">
      <w:type w:val="continuous"/>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F0C7B6" w14:textId="77777777" w:rsidR="00E554A5" w:rsidRDefault="00E554A5" w:rsidP="004B6076">
      <w:pPr>
        <w:spacing w:after="0" w:line="240" w:lineRule="auto"/>
      </w:pPr>
      <w:r>
        <w:separator/>
      </w:r>
    </w:p>
  </w:endnote>
  <w:endnote w:type="continuationSeparator" w:id="0">
    <w:p w14:paraId="489FC254" w14:textId="77777777" w:rsidR="00E554A5" w:rsidRDefault="00E554A5" w:rsidP="004B60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3E6CE6" w14:textId="77777777" w:rsidR="00E554A5" w:rsidRDefault="00E554A5" w:rsidP="004B6076">
      <w:pPr>
        <w:spacing w:after="0" w:line="240" w:lineRule="auto"/>
      </w:pPr>
      <w:r>
        <w:separator/>
      </w:r>
    </w:p>
  </w:footnote>
  <w:footnote w:type="continuationSeparator" w:id="0">
    <w:p w14:paraId="43961574" w14:textId="77777777" w:rsidR="00E554A5" w:rsidRDefault="00E554A5" w:rsidP="004B60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50933C"/>
    <w:multiLevelType w:val="hybridMultilevel"/>
    <w:tmpl w:val="90E8BCF2"/>
    <w:lvl w:ilvl="0" w:tplc="008A04EA">
      <w:start w:val="1"/>
      <w:numFmt w:val="bullet"/>
      <w:lvlText w:val=""/>
      <w:lvlJc w:val="left"/>
      <w:pPr>
        <w:ind w:left="720" w:hanging="360"/>
      </w:pPr>
      <w:rPr>
        <w:rFonts w:ascii="Symbol" w:hAnsi="Symbol" w:hint="default"/>
      </w:rPr>
    </w:lvl>
    <w:lvl w:ilvl="1" w:tplc="F08E1CB4">
      <w:start w:val="1"/>
      <w:numFmt w:val="bullet"/>
      <w:lvlText w:val="o"/>
      <w:lvlJc w:val="left"/>
      <w:pPr>
        <w:ind w:left="1440" w:hanging="360"/>
      </w:pPr>
      <w:rPr>
        <w:rFonts w:ascii="Courier New" w:hAnsi="Courier New" w:hint="default"/>
      </w:rPr>
    </w:lvl>
    <w:lvl w:ilvl="2" w:tplc="8C680B3A">
      <w:start w:val="1"/>
      <w:numFmt w:val="bullet"/>
      <w:lvlText w:val=""/>
      <w:lvlJc w:val="left"/>
      <w:pPr>
        <w:ind w:left="2160" w:hanging="360"/>
      </w:pPr>
      <w:rPr>
        <w:rFonts w:ascii="Wingdings" w:hAnsi="Wingdings" w:hint="default"/>
      </w:rPr>
    </w:lvl>
    <w:lvl w:ilvl="3" w:tplc="0680A618">
      <w:start w:val="1"/>
      <w:numFmt w:val="bullet"/>
      <w:lvlText w:val=""/>
      <w:lvlJc w:val="left"/>
      <w:pPr>
        <w:ind w:left="2880" w:hanging="360"/>
      </w:pPr>
      <w:rPr>
        <w:rFonts w:ascii="Symbol" w:hAnsi="Symbol" w:hint="default"/>
      </w:rPr>
    </w:lvl>
    <w:lvl w:ilvl="4" w:tplc="7D269ABE">
      <w:start w:val="1"/>
      <w:numFmt w:val="bullet"/>
      <w:lvlText w:val="o"/>
      <w:lvlJc w:val="left"/>
      <w:pPr>
        <w:ind w:left="3600" w:hanging="360"/>
      </w:pPr>
      <w:rPr>
        <w:rFonts w:ascii="Courier New" w:hAnsi="Courier New" w:hint="default"/>
      </w:rPr>
    </w:lvl>
    <w:lvl w:ilvl="5" w:tplc="15B078EE">
      <w:start w:val="1"/>
      <w:numFmt w:val="bullet"/>
      <w:lvlText w:val=""/>
      <w:lvlJc w:val="left"/>
      <w:pPr>
        <w:ind w:left="4320" w:hanging="360"/>
      </w:pPr>
      <w:rPr>
        <w:rFonts w:ascii="Wingdings" w:hAnsi="Wingdings" w:hint="default"/>
      </w:rPr>
    </w:lvl>
    <w:lvl w:ilvl="6" w:tplc="D1321A0E">
      <w:start w:val="1"/>
      <w:numFmt w:val="bullet"/>
      <w:lvlText w:val=""/>
      <w:lvlJc w:val="left"/>
      <w:pPr>
        <w:ind w:left="5040" w:hanging="360"/>
      </w:pPr>
      <w:rPr>
        <w:rFonts w:ascii="Symbol" w:hAnsi="Symbol" w:hint="default"/>
      </w:rPr>
    </w:lvl>
    <w:lvl w:ilvl="7" w:tplc="C92418A6">
      <w:start w:val="1"/>
      <w:numFmt w:val="bullet"/>
      <w:lvlText w:val="o"/>
      <w:lvlJc w:val="left"/>
      <w:pPr>
        <w:ind w:left="5760" w:hanging="360"/>
      </w:pPr>
      <w:rPr>
        <w:rFonts w:ascii="Courier New" w:hAnsi="Courier New" w:hint="default"/>
      </w:rPr>
    </w:lvl>
    <w:lvl w:ilvl="8" w:tplc="DEDE6564">
      <w:start w:val="1"/>
      <w:numFmt w:val="bullet"/>
      <w:lvlText w:val=""/>
      <w:lvlJc w:val="left"/>
      <w:pPr>
        <w:ind w:left="6480" w:hanging="360"/>
      </w:pPr>
      <w:rPr>
        <w:rFonts w:ascii="Wingdings" w:hAnsi="Wingdings" w:hint="default"/>
      </w:rPr>
    </w:lvl>
  </w:abstractNum>
  <w:abstractNum w:abstractNumId="1" w15:restartNumberingAfterBreak="0">
    <w:nsid w:val="1E47992E"/>
    <w:multiLevelType w:val="hybridMultilevel"/>
    <w:tmpl w:val="ACCA4788"/>
    <w:lvl w:ilvl="0" w:tplc="7CD46E80">
      <w:start w:val="1"/>
      <w:numFmt w:val="decimal"/>
      <w:lvlText w:val="%1-"/>
      <w:lvlJc w:val="left"/>
      <w:pPr>
        <w:ind w:left="720" w:hanging="360"/>
      </w:pPr>
    </w:lvl>
    <w:lvl w:ilvl="1" w:tplc="C6AEBA88">
      <w:start w:val="1"/>
      <w:numFmt w:val="lowerLetter"/>
      <w:lvlText w:val="%2."/>
      <w:lvlJc w:val="left"/>
      <w:pPr>
        <w:ind w:left="1440" w:hanging="360"/>
      </w:pPr>
    </w:lvl>
    <w:lvl w:ilvl="2" w:tplc="7596A186">
      <w:start w:val="1"/>
      <w:numFmt w:val="lowerRoman"/>
      <w:lvlText w:val="%3."/>
      <w:lvlJc w:val="right"/>
      <w:pPr>
        <w:ind w:left="2160" w:hanging="180"/>
      </w:pPr>
    </w:lvl>
    <w:lvl w:ilvl="3" w:tplc="092EA74A">
      <w:start w:val="1"/>
      <w:numFmt w:val="decimal"/>
      <w:lvlText w:val="%4."/>
      <w:lvlJc w:val="left"/>
      <w:pPr>
        <w:ind w:left="2880" w:hanging="360"/>
      </w:pPr>
    </w:lvl>
    <w:lvl w:ilvl="4" w:tplc="40B84038">
      <w:start w:val="1"/>
      <w:numFmt w:val="lowerLetter"/>
      <w:lvlText w:val="%5."/>
      <w:lvlJc w:val="left"/>
      <w:pPr>
        <w:ind w:left="3600" w:hanging="360"/>
      </w:pPr>
    </w:lvl>
    <w:lvl w:ilvl="5" w:tplc="F586A8BE">
      <w:start w:val="1"/>
      <w:numFmt w:val="lowerRoman"/>
      <w:lvlText w:val="%6."/>
      <w:lvlJc w:val="right"/>
      <w:pPr>
        <w:ind w:left="4320" w:hanging="180"/>
      </w:pPr>
    </w:lvl>
    <w:lvl w:ilvl="6" w:tplc="01AEDB6C">
      <w:start w:val="1"/>
      <w:numFmt w:val="decimal"/>
      <w:lvlText w:val="%7."/>
      <w:lvlJc w:val="left"/>
      <w:pPr>
        <w:ind w:left="5040" w:hanging="360"/>
      </w:pPr>
    </w:lvl>
    <w:lvl w:ilvl="7" w:tplc="7A2ED908">
      <w:start w:val="1"/>
      <w:numFmt w:val="lowerLetter"/>
      <w:lvlText w:val="%8."/>
      <w:lvlJc w:val="left"/>
      <w:pPr>
        <w:ind w:left="5760" w:hanging="360"/>
      </w:pPr>
    </w:lvl>
    <w:lvl w:ilvl="8" w:tplc="C21A1472">
      <w:start w:val="1"/>
      <w:numFmt w:val="lowerRoman"/>
      <w:lvlText w:val="%9."/>
      <w:lvlJc w:val="right"/>
      <w:pPr>
        <w:ind w:left="6480" w:hanging="180"/>
      </w:pPr>
    </w:lvl>
  </w:abstractNum>
  <w:abstractNum w:abstractNumId="2" w15:restartNumberingAfterBreak="0">
    <w:nsid w:val="3AA09C22"/>
    <w:multiLevelType w:val="hybridMultilevel"/>
    <w:tmpl w:val="0B7266C0"/>
    <w:lvl w:ilvl="0" w:tplc="64581684">
      <w:start w:val="1"/>
      <w:numFmt w:val="decimal"/>
      <w:lvlText w:val="%1-"/>
      <w:lvlJc w:val="left"/>
      <w:pPr>
        <w:ind w:left="720" w:hanging="360"/>
      </w:pPr>
    </w:lvl>
    <w:lvl w:ilvl="1" w:tplc="3BB0335C">
      <w:start w:val="1"/>
      <w:numFmt w:val="lowerLetter"/>
      <w:lvlText w:val="%2."/>
      <w:lvlJc w:val="left"/>
      <w:pPr>
        <w:ind w:left="1440" w:hanging="360"/>
      </w:pPr>
    </w:lvl>
    <w:lvl w:ilvl="2" w:tplc="B3B486AC">
      <w:start w:val="1"/>
      <w:numFmt w:val="lowerRoman"/>
      <w:lvlText w:val="%3."/>
      <w:lvlJc w:val="right"/>
      <w:pPr>
        <w:ind w:left="2160" w:hanging="180"/>
      </w:pPr>
    </w:lvl>
    <w:lvl w:ilvl="3" w:tplc="1450C18A">
      <w:start w:val="1"/>
      <w:numFmt w:val="decimal"/>
      <w:lvlText w:val="%4."/>
      <w:lvlJc w:val="left"/>
      <w:pPr>
        <w:ind w:left="2880" w:hanging="360"/>
      </w:pPr>
    </w:lvl>
    <w:lvl w:ilvl="4" w:tplc="3E3AC4A6">
      <w:start w:val="1"/>
      <w:numFmt w:val="lowerLetter"/>
      <w:lvlText w:val="%5."/>
      <w:lvlJc w:val="left"/>
      <w:pPr>
        <w:ind w:left="3600" w:hanging="360"/>
      </w:pPr>
    </w:lvl>
    <w:lvl w:ilvl="5" w:tplc="AE1879DE">
      <w:start w:val="1"/>
      <w:numFmt w:val="lowerRoman"/>
      <w:lvlText w:val="%6."/>
      <w:lvlJc w:val="right"/>
      <w:pPr>
        <w:ind w:left="4320" w:hanging="180"/>
      </w:pPr>
    </w:lvl>
    <w:lvl w:ilvl="6" w:tplc="9860079C">
      <w:start w:val="1"/>
      <w:numFmt w:val="decimal"/>
      <w:lvlText w:val="%7."/>
      <w:lvlJc w:val="left"/>
      <w:pPr>
        <w:ind w:left="5040" w:hanging="360"/>
      </w:pPr>
    </w:lvl>
    <w:lvl w:ilvl="7" w:tplc="31BEC852">
      <w:start w:val="1"/>
      <w:numFmt w:val="lowerLetter"/>
      <w:lvlText w:val="%8."/>
      <w:lvlJc w:val="left"/>
      <w:pPr>
        <w:ind w:left="5760" w:hanging="360"/>
      </w:pPr>
    </w:lvl>
    <w:lvl w:ilvl="8" w:tplc="AB660956">
      <w:start w:val="1"/>
      <w:numFmt w:val="lowerRoman"/>
      <w:lvlText w:val="%9."/>
      <w:lvlJc w:val="right"/>
      <w:pPr>
        <w:ind w:left="6480" w:hanging="180"/>
      </w:pPr>
    </w:lvl>
  </w:abstractNum>
  <w:abstractNum w:abstractNumId="3" w15:restartNumberingAfterBreak="0">
    <w:nsid w:val="5CA030F6"/>
    <w:multiLevelType w:val="multilevel"/>
    <w:tmpl w:val="180866DC"/>
    <w:lvl w:ilvl="0">
      <w:start w:val="1"/>
      <w:numFmt w:val="decimal"/>
      <w:lvlText w:val="%1."/>
      <w:lvlJc w:val="left"/>
      <w:pPr>
        <w:tabs>
          <w:tab w:val="num" w:pos="720"/>
        </w:tabs>
        <w:ind w:left="720" w:hanging="360"/>
      </w:pPr>
      <w:rPr>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2636645">
    <w:abstractNumId w:val="0"/>
  </w:num>
  <w:num w:numId="2" w16cid:durableId="1820074151">
    <w:abstractNumId w:val="2"/>
  </w:num>
  <w:num w:numId="3" w16cid:durableId="965433117">
    <w:abstractNumId w:val="1"/>
  </w:num>
  <w:num w:numId="4" w16cid:durableId="531650916">
    <w:abstractNumId w:val="3"/>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3C5"/>
    <w:rsid w:val="00001B8C"/>
    <w:rsid w:val="00003567"/>
    <w:rsid w:val="00022691"/>
    <w:rsid w:val="000230C4"/>
    <w:rsid w:val="00023818"/>
    <w:rsid w:val="00023FDB"/>
    <w:rsid w:val="00030E41"/>
    <w:rsid w:val="000310E1"/>
    <w:rsid w:val="00031DE9"/>
    <w:rsid w:val="00033318"/>
    <w:rsid w:val="00035DE4"/>
    <w:rsid w:val="00041A99"/>
    <w:rsid w:val="00041BDB"/>
    <w:rsid w:val="00045D03"/>
    <w:rsid w:val="00057726"/>
    <w:rsid w:val="000609DC"/>
    <w:rsid w:val="0006131C"/>
    <w:rsid w:val="0006135A"/>
    <w:rsid w:val="000622EC"/>
    <w:rsid w:val="000651C6"/>
    <w:rsid w:val="0006664E"/>
    <w:rsid w:val="00071CEB"/>
    <w:rsid w:val="00072C65"/>
    <w:rsid w:val="0007698F"/>
    <w:rsid w:val="00077E19"/>
    <w:rsid w:val="00083847"/>
    <w:rsid w:val="000862E0"/>
    <w:rsid w:val="0009060E"/>
    <w:rsid w:val="0009385E"/>
    <w:rsid w:val="00096093"/>
    <w:rsid w:val="000A2F22"/>
    <w:rsid w:val="000B5364"/>
    <w:rsid w:val="000B660C"/>
    <w:rsid w:val="000C0E26"/>
    <w:rsid w:val="000C22C9"/>
    <w:rsid w:val="000C2302"/>
    <w:rsid w:val="000C7061"/>
    <w:rsid w:val="000C720B"/>
    <w:rsid w:val="000D408A"/>
    <w:rsid w:val="000D4D5A"/>
    <w:rsid w:val="000D56B9"/>
    <w:rsid w:val="000D67CD"/>
    <w:rsid w:val="000D7938"/>
    <w:rsid w:val="000D7D93"/>
    <w:rsid w:val="000E2D7C"/>
    <w:rsid w:val="000E67A6"/>
    <w:rsid w:val="000E7621"/>
    <w:rsid w:val="000E7DC2"/>
    <w:rsid w:val="000F3089"/>
    <w:rsid w:val="000F33C5"/>
    <w:rsid w:val="000F409D"/>
    <w:rsid w:val="000F6EA0"/>
    <w:rsid w:val="000F6FE2"/>
    <w:rsid w:val="00100F90"/>
    <w:rsid w:val="00104699"/>
    <w:rsid w:val="00107CA2"/>
    <w:rsid w:val="00112761"/>
    <w:rsid w:val="00117C45"/>
    <w:rsid w:val="001207F2"/>
    <w:rsid w:val="00126212"/>
    <w:rsid w:val="00126B0E"/>
    <w:rsid w:val="0013368D"/>
    <w:rsid w:val="00136AC0"/>
    <w:rsid w:val="00141B6B"/>
    <w:rsid w:val="0014261F"/>
    <w:rsid w:val="00143743"/>
    <w:rsid w:val="00145003"/>
    <w:rsid w:val="00145DCD"/>
    <w:rsid w:val="00146555"/>
    <w:rsid w:val="00150505"/>
    <w:rsid w:val="00161B29"/>
    <w:rsid w:val="00167E63"/>
    <w:rsid w:val="00173310"/>
    <w:rsid w:val="00173FCE"/>
    <w:rsid w:val="0017454A"/>
    <w:rsid w:val="00174977"/>
    <w:rsid w:val="00175626"/>
    <w:rsid w:val="00180F80"/>
    <w:rsid w:val="00181AD4"/>
    <w:rsid w:val="00182F63"/>
    <w:rsid w:val="00185427"/>
    <w:rsid w:val="00185F6A"/>
    <w:rsid w:val="00186D64"/>
    <w:rsid w:val="001905BE"/>
    <w:rsid w:val="001907B0"/>
    <w:rsid w:val="001934B8"/>
    <w:rsid w:val="00196CEE"/>
    <w:rsid w:val="001973CC"/>
    <w:rsid w:val="001A0FDE"/>
    <w:rsid w:val="001A1707"/>
    <w:rsid w:val="001A1B4E"/>
    <w:rsid w:val="001A3DB3"/>
    <w:rsid w:val="001A4BF1"/>
    <w:rsid w:val="001B13ED"/>
    <w:rsid w:val="001B308D"/>
    <w:rsid w:val="001B48F1"/>
    <w:rsid w:val="001B4F6F"/>
    <w:rsid w:val="001B56ED"/>
    <w:rsid w:val="001C0D66"/>
    <w:rsid w:val="001C1357"/>
    <w:rsid w:val="001C1FD8"/>
    <w:rsid w:val="001C2DFA"/>
    <w:rsid w:val="001C6741"/>
    <w:rsid w:val="001D0275"/>
    <w:rsid w:val="001D1CEB"/>
    <w:rsid w:val="001D400C"/>
    <w:rsid w:val="001D5374"/>
    <w:rsid w:val="001D5684"/>
    <w:rsid w:val="001F2ACB"/>
    <w:rsid w:val="001F56C5"/>
    <w:rsid w:val="001F69F7"/>
    <w:rsid w:val="001F7639"/>
    <w:rsid w:val="0020045F"/>
    <w:rsid w:val="002023AE"/>
    <w:rsid w:val="002028E9"/>
    <w:rsid w:val="00203561"/>
    <w:rsid w:val="00210949"/>
    <w:rsid w:val="0021317F"/>
    <w:rsid w:val="002138FE"/>
    <w:rsid w:val="00222F46"/>
    <w:rsid w:val="00223311"/>
    <w:rsid w:val="00226C0A"/>
    <w:rsid w:val="00230456"/>
    <w:rsid w:val="002305AC"/>
    <w:rsid w:val="00231304"/>
    <w:rsid w:val="002315CD"/>
    <w:rsid w:val="00235FD3"/>
    <w:rsid w:val="00240AB7"/>
    <w:rsid w:val="002418C8"/>
    <w:rsid w:val="00247101"/>
    <w:rsid w:val="00252A5F"/>
    <w:rsid w:val="00255349"/>
    <w:rsid w:val="002560DF"/>
    <w:rsid w:val="00266936"/>
    <w:rsid w:val="00267C5A"/>
    <w:rsid w:val="0027049C"/>
    <w:rsid w:val="00274BFA"/>
    <w:rsid w:val="00275A6C"/>
    <w:rsid w:val="002766DD"/>
    <w:rsid w:val="00276C73"/>
    <w:rsid w:val="002866B3"/>
    <w:rsid w:val="0029C203"/>
    <w:rsid w:val="002A490C"/>
    <w:rsid w:val="002A5573"/>
    <w:rsid w:val="002A66CF"/>
    <w:rsid w:val="002A7D45"/>
    <w:rsid w:val="002C10D7"/>
    <w:rsid w:val="002C6F71"/>
    <w:rsid w:val="002D02D0"/>
    <w:rsid w:val="002D042C"/>
    <w:rsid w:val="002D3EB6"/>
    <w:rsid w:val="002D4504"/>
    <w:rsid w:val="002E5490"/>
    <w:rsid w:val="002E679B"/>
    <w:rsid w:val="002F35F8"/>
    <w:rsid w:val="002F4CCF"/>
    <w:rsid w:val="002F7469"/>
    <w:rsid w:val="0030095E"/>
    <w:rsid w:val="003055BC"/>
    <w:rsid w:val="00305B65"/>
    <w:rsid w:val="0031084D"/>
    <w:rsid w:val="00311654"/>
    <w:rsid w:val="003133C1"/>
    <w:rsid w:val="003136FB"/>
    <w:rsid w:val="00313DA6"/>
    <w:rsid w:val="00314EE6"/>
    <w:rsid w:val="00315A3F"/>
    <w:rsid w:val="00315F46"/>
    <w:rsid w:val="00324348"/>
    <w:rsid w:val="0032622C"/>
    <w:rsid w:val="0032729C"/>
    <w:rsid w:val="00330011"/>
    <w:rsid w:val="00332335"/>
    <w:rsid w:val="00332BDE"/>
    <w:rsid w:val="00333964"/>
    <w:rsid w:val="0033642E"/>
    <w:rsid w:val="00341294"/>
    <w:rsid w:val="0034167E"/>
    <w:rsid w:val="00345D43"/>
    <w:rsid w:val="003462F9"/>
    <w:rsid w:val="0034720B"/>
    <w:rsid w:val="00351506"/>
    <w:rsid w:val="00357477"/>
    <w:rsid w:val="003639D6"/>
    <w:rsid w:val="0037184A"/>
    <w:rsid w:val="00373F41"/>
    <w:rsid w:val="00374D96"/>
    <w:rsid w:val="00376639"/>
    <w:rsid w:val="003766F1"/>
    <w:rsid w:val="003802C9"/>
    <w:rsid w:val="00380638"/>
    <w:rsid w:val="003835A2"/>
    <w:rsid w:val="003868FC"/>
    <w:rsid w:val="00392576"/>
    <w:rsid w:val="00393DC2"/>
    <w:rsid w:val="00394B85"/>
    <w:rsid w:val="00394FBB"/>
    <w:rsid w:val="003A4172"/>
    <w:rsid w:val="003A6708"/>
    <w:rsid w:val="003B0060"/>
    <w:rsid w:val="003C1134"/>
    <w:rsid w:val="003C19C2"/>
    <w:rsid w:val="003C31E1"/>
    <w:rsid w:val="003C4DF9"/>
    <w:rsid w:val="003C57F0"/>
    <w:rsid w:val="003D03F0"/>
    <w:rsid w:val="003D5FA0"/>
    <w:rsid w:val="003D7327"/>
    <w:rsid w:val="003D7429"/>
    <w:rsid w:val="003E06CD"/>
    <w:rsid w:val="003F3292"/>
    <w:rsid w:val="003F6922"/>
    <w:rsid w:val="00400540"/>
    <w:rsid w:val="00403813"/>
    <w:rsid w:val="00404F15"/>
    <w:rsid w:val="004069D5"/>
    <w:rsid w:val="00406C78"/>
    <w:rsid w:val="00407548"/>
    <w:rsid w:val="00410240"/>
    <w:rsid w:val="00410D1A"/>
    <w:rsid w:val="00421C93"/>
    <w:rsid w:val="00422D26"/>
    <w:rsid w:val="0042421B"/>
    <w:rsid w:val="00424D40"/>
    <w:rsid w:val="0043344B"/>
    <w:rsid w:val="00437627"/>
    <w:rsid w:val="004413BB"/>
    <w:rsid w:val="00444EE6"/>
    <w:rsid w:val="00445ACC"/>
    <w:rsid w:val="0046186E"/>
    <w:rsid w:val="00462E16"/>
    <w:rsid w:val="0047169F"/>
    <w:rsid w:val="00475D0C"/>
    <w:rsid w:val="00481364"/>
    <w:rsid w:val="0048261E"/>
    <w:rsid w:val="00482B84"/>
    <w:rsid w:val="004841B3"/>
    <w:rsid w:val="00484AA7"/>
    <w:rsid w:val="00485A1C"/>
    <w:rsid w:val="0049527A"/>
    <w:rsid w:val="004A18DD"/>
    <w:rsid w:val="004A4080"/>
    <w:rsid w:val="004A58A7"/>
    <w:rsid w:val="004B4757"/>
    <w:rsid w:val="004B55CF"/>
    <w:rsid w:val="004B6076"/>
    <w:rsid w:val="004C5E6B"/>
    <w:rsid w:val="004D336C"/>
    <w:rsid w:val="004D349D"/>
    <w:rsid w:val="004E4C88"/>
    <w:rsid w:val="004E62AF"/>
    <w:rsid w:val="004F2360"/>
    <w:rsid w:val="004F2B17"/>
    <w:rsid w:val="004F31B1"/>
    <w:rsid w:val="004F4E95"/>
    <w:rsid w:val="004F5607"/>
    <w:rsid w:val="004F6BC4"/>
    <w:rsid w:val="004F7191"/>
    <w:rsid w:val="00500E1B"/>
    <w:rsid w:val="005027A4"/>
    <w:rsid w:val="005113D4"/>
    <w:rsid w:val="00511C05"/>
    <w:rsid w:val="00511FF1"/>
    <w:rsid w:val="0051291E"/>
    <w:rsid w:val="0051365D"/>
    <w:rsid w:val="00513996"/>
    <w:rsid w:val="00515455"/>
    <w:rsid w:val="00516AC8"/>
    <w:rsid w:val="00516C0E"/>
    <w:rsid w:val="00520FF4"/>
    <w:rsid w:val="00522A17"/>
    <w:rsid w:val="00524619"/>
    <w:rsid w:val="005312E9"/>
    <w:rsid w:val="00533472"/>
    <w:rsid w:val="005357BD"/>
    <w:rsid w:val="00535CD9"/>
    <w:rsid w:val="00542FA9"/>
    <w:rsid w:val="00543790"/>
    <w:rsid w:val="00544197"/>
    <w:rsid w:val="005444BC"/>
    <w:rsid w:val="00544707"/>
    <w:rsid w:val="00547E21"/>
    <w:rsid w:val="00547EAD"/>
    <w:rsid w:val="00550DC4"/>
    <w:rsid w:val="00551DB5"/>
    <w:rsid w:val="0055200B"/>
    <w:rsid w:val="00554D3B"/>
    <w:rsid w:val="005570DB"/>
    <w:rsid w:val="00562B3D"/>
    <w:rsid w:val="00572BF4"/>
    <w:rsid w:val="00573E11"/>
    <w:rsid w:val="00574BF4"/>
    <w:rsid w:val="00577083"/>
    <w:rsid w:val="00580172"/>
    <w:rsid w:val="00584244"/>
    <w:rsid w:val="00591702"/>
    <w:rsid w:val="0059263C"/>
    <w:rsid w:val="00593FBE"/>
    <w:rsid w:val="00595248"/>
    <w:rsid w:val="005970A6"/>
    <w:rsid w:val="005976D6"/>
    <w:rsid w:val="0059775B"/>
    <w:rsid w:val="005A0620"/>
    <w:rsid w:val="005A6626"/>
    <w:rsid w:val="005A6B85"/>
    <w:rsid w:val="005B2FB7"/>
    <w:rsid w:val="005B2FD4"/>
    <w:rsid w:val="005B3AFB"/>
    <w:rsid w:val="005B60B4"/>
    <w:rsid w:val="005C19D4"/>
    <w:rsid w:val="005C3203"/>
    <w:rsid w:val="005C3A1B"/>
    <w:rsid w:val="005C492E"/>
    <w:rsid w:val="005C5E48"/>
    <w:rsid w:val="005C6BB4"/>
    <w:rsid w:val="005C791F"/>
    <w:rsid w:val="005D355B"/>
    <w:rsid w:val="005D7BDD"/>
    <w:rsid w:val="005E4B41"/>
    <w:rsid w:val="005E6559"/>
    <w:rsid w:val="005E6A74"/>
    <w:rsid w:val="005F0A9D"/>
    <w:rsid w:val="005F174D"/>
    <w:rsid w:val="005F2E5D"/>
    <w:rsid w:val="005F4BBC"/>
    <w:rsid w:val="00600089"/>
    <w:rsid w:val="0060035B"/>
    <w:rsid w:val="00600FFF"/>
    <w:rsid w:val="00602692"/>
    <w:rsid w:val="006158E2"/>
    <w:rsid w:val="00615B33"/>
    <w:rsid w:val="00615BFE"/>
    <w:rsid w:val="00626BE4"/>
    <w:rsid w:val="00630BD3"/>
    <w:rsid w:val="006315E3"/>
    <w:rsid w:val="00631A15"/>
    <w:rsid w:val="00631CF2"/>
    <w:rsid w:val="006345C0"/>
    <w:rsid w:val="00635913"/>
    <w:rsid w:val="00640EDD"/>
    <w:rsid w:val="00641FB5"/>
    <w:rsid w:val="00642A3A"/>
    <w:rsid w:val="00643102"/>
    <w:rsid w:val="0064340E"/>
    <w:rsid w:val="006446ED"/>
    <w:rsid w:val="006457DA"/>
    <w:rsid w:val="00646BEC"/>
    <w:rsid w:val="00647A3A"/>
    <w:rsid w:val="00651975"/>
    <w:rsid w:val="00652A75"/>
    <w:rsid w:val="006546A7"/>
    <w:rsid w:val="006554ED"/>
    <w:rsid w:val="00656AAC"/>
    <w:rsid w:val="00657D51"/>
    <w:rsid w:val="00662EB0"/>
    <w:rsid w:val="0066499E"/>
    <w:rsid w:val="0067224E"/>
    <w:rsid w:val="0067360C"/>
    <w:rsid w:val="00675D81"/>
    <w:rsid w:val="00692967"/>
    <w:rsid w:val="0069608F"/>
    <w:rsid w:val="00696D6B"/>
    <w:rsid w:val="006A3747"/>
    <w:rsid w:val="006A4E0E"/>
    <w:rsid w:val="006A4EDF"/>
    <w:rsid w:val="006A5E5A"/>
    <w:rsid w:val="006B024B"/>
    <w:rsid w:val="006B0726"/>
    <w:rsid w:val="006B75FD"/>
    <w:rsid w:val="006C1E71"/>
    <w:rsid w:val="006C2FA3"/>
    <w:rsid w:val="006C6274"/>
    <w:rsid w:val="006C6281"/>
    <w:rsid w:val="006D194C"/>
    <w:rsid w:val="006D4493"/>
    <w:rsid w:val="006E2588"/>
    <w:rsid w:val="006E3B48"/>
    <w:rsid w:val="006E3C20"/>
    <w:rsid w:val="006F6DB6"/>
    <w:rsid w:val="006F7346"/>
    <w:rsid w:val="006F73C3"/>
    <w:rsid w:val="006F7FDA"/>
    <w:rsid w:val="007004EB"/>
    <w:rsid w:val="00704E15"/>
    <w:rsid w:val="007065A8"/>
    <w:rsid w:val="007073BD"/>
    <w:rsid w:val="0070764C"/>
    <w:rsid w:val="0071028E"/>
    <w:rsid w:val="00710429"/>
    <w:rsid w:val="007108E5"/>
    <w:rsid w:val="00711071"/>
    <w:rsid w:val="00711607"/>
    <w:rsid w:val="00714107"/>
    <w:rsid w:val="00716424"/>
    <w:rsid w:val="007167B7"/>
    <w:rsid w:val="00716F0E"/>
    <w:rsid w:val="00717A1F"/>
    <w:rsid w:val="007210FD"/>
    <w:rsid w:val="0072137E"/>
    <w:rsid w:val="00722EC6"/>
    <w:rsid w:val="00737856"/>
    <w:rsid w:val="00742F9B"/>
    <w:rsid w:val="00745EF1"/>
    <w:rsid w:val="00746B70"/>
    <w:rsid w:val="0075217F"/>
    <w:rsid w:val="007537B4"/>
    <w:rsid w:val="00755E18"/>
    <w:rsid w:val="00756E95"/>
    <w:rsid w:val="00765BCC"/>
    <w:rsid w:val="007667A3"/>
    <w:rsid w:val="007675A3"/>
    <w:rsid w:val="00771AF2"/>
    <w:rsid w:val="007721ED"/>
    <w:rsid w:val="00773033"/>
    <w:rsid w:val="00773224"/>
    <w:rsid w:val="007737E7"/>
    <w:rsid w:val="00774474"/>
    <w:rsid w:val="00774D80"/>
    <w:rsid w:val="00775EBC"/>
    <w:rsid w:val="00777A5F"/>
    <w:rsid w:val="007802E7"/>
    <w:rsid w:val="00781658"/>
    <w:rsid w:val="007852BC"/>
    <w:rsid w:val="007860B9"/>
    <w:rsid w:val="00790C76"/>
    <w:rsid w:val="00790CBB"/>
    <w:rsid w:val="00790D28"/>
    <w:rsid w:val="00791E79"/>
    <w:rsid w:val="007949F9"/>
    <w:rsid w:val="007957B1"/>
    <w:rsid w:val="007958C5"/>
    <w:rsid w:val="007975D6"/>
    <w:rsid w:val="007A20D4"/>
    <w:rsid w:val="007A2DB9"/>
    <w:rsid w:val="007A3085"/>
    <w:rsid w:val="007A3725"/>
    <w:rsid w:val="007A44EB"/>
    <w:rsid w:val="007B57F4"/>
    <w:rsid w:val="007C1399"/>
    <w:rsid w:val="007C1685"/>
    <w:rsid w:val="007C20EC"/>
    <w:rsid w:val="007C3FFA"/>
    <w:rsid w:val="007C48CA"/>
    <w:rsid w:val="007C5DCB"/>
    <w:rsid w:val="007C7F9C"/>
    <w:rsid w:val="007D1E8A"/>
    <w:rsid w:val="007D46F1"/>
    <w:rsid w:val="007D49F1"/>
    <w:rsid w:val="007D53CD"/>
    <w:rsid w:val="007D69E5"/>
    <w:rsid w:val="007D7676"/>
    <w:rsid w:val="007D7C18"/>
    <w:rsid w:val="007E0C7B"/>
    <w:rsid w:val="007E717C"/>
    <w:rsid w:val="007F0193"/>
    <w:rsid w:val="007F3A16"/>
    <w:rsid w:val="007F3CD7"/>
    <w:rsid w:val="007F3F3D"/>
    <w:rsid w:val="007F744D"/>
    <w:rsid w:val="007F77BF"/>
    <w:rsid w:val="0080057B"/>
    <w:rsid w:val="00800747"/>
    <w:rsid w:val="008009D9"/>
    <w:rsid w:val="00801E1F"/>
    <w:rsid w:val="00807478"/>
    <w:rsid w:val="008076E6"/>
    <w:rsid w:val="008077F1"/>
    <w:rsid w:val="00811087"/>
    <w:rsid w:val="00817AC0"/>
    <w:rsid w:val="008222A8"/>
    <w:rsid w:val="00822755"/>
    <w:rsid w:val="00822A77"/>
    <w:rsid w:val="0082311C"/>
    <w:rsid w:val="00823894"/>
    <w:rsid w:val="00824277"/>
    <w:rsid w:val="00827651"/>
    <w:rsid w:val="00835EC5"/>
    <w:rsid w:val="0083628D"/>
    <w:rsid w:val="00836649"/>
    <w:rsid w:val="008370CD"/>
    <w:rsid w:val="008409AC"/>
    <w:rsid w:val="00842104"/>
    <w:rsid w:val="0084403B"/>
    <w:rsid w:val="0084416A"/>
    <w:rsid w:val="0084624E"/>
    <w:rsid w:val="0085602A"/>
    <w:rsid w:val="00856514"/>
    <w:rsid w:val="0086059A"/>
    <w:rsid w:val="00861AD1"/>
    <w:rsid w:val="008637C4"/>
    <w:rsid w:val="00865203"/>
    <w:rsid w:val="00866D6F"/>
    <w:rsid w:val="0086718E"/>
    <w:rsid w:val="008729BC"/>
    <w:rsid w:val="00874730"/>
    <w:rsid w:val="0087566E"/>
    <w:rsid w:val="0087626A"/>
    <w:rsid w:val="00880651"/>
    <w:rsid w:val="00882352"/>
    <w:rsid w:val="00884C77"/>
    <w:rsid w:val="00885538"/>
    <w:rsid w:val="008878F6"/>
    <w:rsid w:val="00892D38"/>
    <w:rsid w:val="00893295"/>
    <w:rsid w:val="00896E3A"/>
    <w:rsid w:val="008A1D2A"/>
    <w:rsid w:val="008A492A"/>
    <w:rsid w:val="008A6BE4"/>
    <w:rsid w:val="008B2832"/>
    <w:rsid w:val="008B597D"/>
    <w:rsid w:val="008B642E"/>
    <w:rsid w:val="008B658B"/>
    <w:rsid w:val="008B755D"/>
    <w:rsid w:val="008C0853"/>
    <w:rsid w:val="008C307D"/>
    <w:rsid w:val="008C3BC9"/>
    <w:rsid w:val="008C7639"/>
    <w:rsid w:val="008D36AB"/>
    <w:rsid w:val="008D3B8A"/>
    <w:rsid w:val="008D6FEA"/>
    <w:rsid w:val="008E366C"/>
    <w:rsid w:val="008E50BA"/>
    <w:rsid w:val="008F0BD8"/>
    <w:rsid w:val="008F436D"/>
    <w:rsid w:val="008F5C45"/>
    <w:rsid w:val="008F7700"/>
    <w:rsid w:val="009060BA"/>
    <w:rsid w:val="00910DAC"/>
    <w:rsid w:val="009121AA"/>
    <w:rsid w:val="00917EDC"/>
    <w:rsid w:val="0092044F"/>
    <w:rsid w:val="00920960"/>
    <w:rsid w:val="00922974"/>
    <w:rsid w:val="00922EE8"/>
    <w:rsid w:val="00927D69"/>
    <w:rsid w:val="00942997"/>
    <w:rsid w:val="009449B8"/>
    <w:rsid w:val="00946425"/>
    <w:rsid w:val="0094648B"/>
    <w:rsid w:val="009510A0"/>
    <w:rsid w:val="009516D4"/>
    <w:rsid w:val="00952AAD"/>
    <w:rsid w:val="00952C35"/>
    <w:rsid w:val="00956D31"/>
    <w:rsid w:val="00956E66"/>
    <w:rsid w:val="00957F4D"/>
    <w:rsid w:val="009649EC"/>
    <w:rsid w:val="00964F76"/>
    <w:rsid w:val="00966F16"/>
    <w:rsid w:val="00974E58"/>
    <w:rsid w:val="0098215C"/>
    <w:rsid w:val="00992555"/>
    <w:rsid w:val="009A0404"/>
    <w:rsid w:val="009A3417"/>
    <w:rsid w:val="009A49EE"/>
    <w:rsid w:val="009A670A"/>
    <w:rsid w:val="009B19C1"/>
    <w:rsid w:val="009B40D5"/>
    <w:rsid w:val="009B56B3"/>
    <w:rsid w:val="009B575F"/>
    <w:rsid w:val="009C0AFC"/>
    <w:rsid w:val="009C2367"/>
    <w:rsid w:val="009C5D69"/>
    <w:rsid w:val="009C77F5"/>
    <w:rsid w:val="009D044B"/>
    <w:rsid w:val="009D19A6"/>
    <w:rsid w:val="009D30C4"/>
    <w:rsid w:val="009E11E5"/>
    <w:rsid w:val="009E3BC2"/>
    <w:rsid w:val="009E41CB"/>
    <w:rsid w:val="009E5844"/>
    <w:rsid w:val="009E5E04"/>
    <w:rsid w:val="009E6CB6"/>
    <w:rsid w:val="009E77B4"/>
    <w:rsid w:val="009F3551"/>
    <w:rsid w:val="009F3D4B"/>
    <w:rsid w:val="009F7E61"/>
    <w:rsid w:val="00A01947"/>
    <w:rsid w:val="00A02177"/>
    <w:rsid w:val="00A2068D"/>
    <w:rsid w:val="00A309F0"/>
    <w:rsid w:val="00A3436C"/>
    <w:rsid w:val="00A41D91"/>
    <w:rsid w:val="00A43923"/>
    <w:rsid w:val="00A44E8B"/>
    <w:rsid w:val="00A45795"/>
    <w:rsid w:val="00A56D9B"/>
    <w:rsid w:val="00A56EE1"/>
    <w:rsid w:val="00A607D2"/>
    <w:rsid w:val="00A65259"/>
    <w:rsid w:val="00A66575"/>
    <w:rsid w:val="00A76F42"/>
    <w:rsid w:val="00A810B6"/>
    <w:rsid w:val="00A81EC3"/>
    <w:rsid w:val="00A82D49"/>
    <w:rsid w:val="00A83F04"/>
    <w:rsid w:val="00A8434E"/>
    <w:rsid w:val="00A86E10"/>
    <w:rsid w:val="00A90E97"/>
    <w:rsid w:val="00A94169"/>
    <w:rsid w:val="00A951ED"/>
    <w:rsid w:val="00A9569A"/>
    <w:rsid w:val="00A95BFB"/>
    <w:rsid w:val="00A964D6"/>
    <w:rsid w:val="00A971DA"/>
    <w:rsid w:val="00AA050F"/>
    <w:rsid w:val="00AA1B1D"/>
    <w:rsid w:val="00AA1BFE"/>
    <w:rsid w:val="00AA26AA"/>
    <w:rsid w:val="00AA3993"/>
    <w:rsid w:val="00AA74ED"/>
    <w:rsid w:val="00AB264E"/>
    <w:rsid w:val="00AB3293"/>
    <w:rsid w:val="00AC3DD2"/>
    <w:rsid w:val="00AC43BC"/>
    <w:rsid w:val="00AC6E59"/>
    <w:rsid w:val="00AC70EE"/>
    <w:rsid w:val="00AC76BE"/>
    <w:rsid w:val="00AD0174"/>
    <w:rsid w:val="00AD1A89"/>
    <w:rsid w:val="00AD38FD"/>
    <w:rsid w:val="00AD394D"/>
    <w:rsid w:val="00AD3DCE"/>
    <w:rsid w:val="00AD7FC8"/>
    <w:rsid w:val="00AE0EC8"/>
    <w:rsid w:val="00AE20EF"/>
    <w:rsid w:val="00AE5503"/>
    <w:rsid w:val="00AE7443"/>
    <w:rsid w:val="00AF08A3"/>
    <w:rsid w:val="00AF0DA6"/>
    <w:rsid w:val="00AF3393"/>
    <w:rsid w:val="00B07B12"/>
    <w:rsid w:val="00B10947"/>
    <w:rsid w:val="00B14DEB"/>
    <w:rsid w:val="00B15704"/>
    <w:rsid w:val="00B16D18"/>
    <w:rsid w:val="00B16DA8"/>
    <w:rsid w:val="00B22F10"/>
    <w:rsid w:val="00B24FA8"/>
    <w:rsid w:val="00B26A4E"/>
    <w:rsid w:val="00B27EC0"/>
    <w:rsid w:val="00B30EA5"/>
    <w:rsid w:val="00B34102"/>
    <w:rsid w:val="00B34CE6"/>
    <w:rsid w:val="00B37B80"/>
    <w:rsid w:val="00B37FD5"/>
    <w:rsid w:val="00B4065B"/>
    <w:rsid w:val="00B414B3"/>
    <w:rsid w:val="00B421C2"/>
    <w:rsid w:val="00B52D39"/>
    <w:rsid w:val="00B536EF"/>
    <w:rsid w:val="00B5537C"/>
    <w:rsid w:val="00B55857"/>
    <w:rsid w:val="00B5697B"/>
    <w:rsid w:val="00B57174"/>
    <w:rsid w:val="00B61476"/>
    <w:rsid w:val="00B621A9"/>
    <w:rsid w:val="00B63A25"/>
    <w:rsid w:val="00B665C7"/>
    <w:rsid w:val="00B6770C"/>
    <w:rsid w:val="00B730C9"/>
    <w:rsid w:val="00B7318D"/>
    <w:rsid w:val="00B74AE6"/>
    <w:rsid w:val="00B75980"/>
    <w:rsid w:val="00B8242D"/>
    <w:rsid w:val="00B874C9"/>
    <w:rsid w:val="00B927B9"/>
    <w:rsid w:val="00B92B88"/>
    <w:rsid w:val="00B93EB0"/>
    <w:rsid w:val="00B94690"/>
    <w:rsid w:val="00BA2B12"/>
    <w:rsid w:val="00BA47FB"/>
    <w:rsid w:val="00BA4E17"/>
    <w:rsid w:val="00BA596D"/>
    <w:rsid w:val="00BA6F38"/>
    <w:rsid w:val="00BB39AA"/>
    <w:rsid w:val="00BB3BB7"/>
    <w:rsid w:val="00BB3E95"/>
    <w:rsid w:val="00BB76FE"/>
    <w:rsid w:val="00BC4090"/>
    <w:rsid w:val="00BC55D9"/>
    <w:rsid w:val="00BC5D67"/>
    <w:rsid w:val="00BC668F"/>
    <w:rsid w:val="00BC6998"/>
    <w:rsid w:val="00BD3227"/>
    <w:rsid w:val="00BD3536"/>
    <w:rsid w:val="00BD50F8"/>
    <w:rsid w:val="00BD66CD"/>
    <w:rsid w:val="00BE10DC"/>
    <w:rsid w:val="00BE3F12"/>
    <w:rsid w:val="00BF0A0B"/>
    <w:rsid w:val="00BF0B09"/>
    <w:rsid w:val="00BF2BCD"/>
    <w:rsid w:val="00BF6049"/>
    <w:rsid w:val="00BF7C74"/>
    <w:rsid w:val="00BF7EF9"/>
    <w:rsid w:val="00C02559"/>
    <w:rsid w:val="00C0643C"/>
    <w:rsid w:val="00C157FA"/>
    <w:rsid w:val="00C200EB"/>
    <w:rsid w:val="00C23BB9"/>
    <w:rsid w:val="00C270C1"/>
    <w:rsid w:val="00C27320"/>
    <w:rsid w:val="00C40741"/>
    <w:rsid w:val="00C436E6"/>
    <w:rsid w:val="00C46218"/>
    <w:rsid w:val="00C47F82"/>
    <w:rsid w:val="00C5131F"/>
    <w:rsid w:val="00C5180A"/>
    <w:rsid w:val="00C55C4A"/>
    <w:rsid w:val="00C564EF"/>
    <w:rsid w:val="00C56D01"/>
    <w:rsid w:val="00C60D80"/>
    <w:rsid w:val="00C61F84"/>
    <w:rsid w:val="00C6238D"/>
    <w:rsid w:val="00C63CED"/>
    <w:rsid w:val="00C664B9"/>
    <w:rsid w:val="00C675A6"/>
    <w:rsid w:val="00C7774E"/>
    <w:rsid w:val="00C81DEC"/>
    <w:rsid w:val="00C826C1"/>
    <w:rsid w:val="00C8308F"/>
    <w:rsid w:val="00C90C9C"/>
    <w:rsid w:val="00C94B32"/>
    <w:rsid w:val="00C96BB7"/>
    <w:rsid w:val="00CA1E46"/>
    <w:rsid w:val="00CA2A02"/>
    <w:rsid w:val="00CA30B6"/>
    <w:rsid w:val="00CA329A"/>
    <w:rsid w:val="00CA7AB2"/>
    <w:rsid w:val="00CB0249"/>
    <w:rsid w:val="00CB202B"/>
    <w:rsid w:val="00CB7EFD"/>
    <w:rsid w:val="00CC2621"/>
    <w:rsid w:val="00CC4556"/>
    <w:rsid w:val="00CD021E"/>
    <w:rsid w:val="00CD0468"/>
    <w:rsid w:val="00CD0B91"/>
    <w:rsid w:val="00CD27D5"/>
    <w:rsid w:val="00CD3108"/>
    <w:rsid w:val="00CD35DD"/>
    <w:rsid w:val="00CD4C8E"/>
    <w:rsid w:val="00CD6B83"/>
    <w:rsid w:val="00CE1AC7"/>
    <w:rsid w:val="00CE36BC"/>
    <w:rsid w:val="00CE562E"/>
    <w:rsid w:val="00CF10F2"/>
    <w:rsid w:val="00CF6428"/>
    <w:rsid w:val="00CF7865"/>
    <w:rsid w:val="00D03ACE"/>
    <w:rsid w:val="00D0416B"/>
    <w:rsid w:val="00D04F5E"/>
    <w:rsid w:val="00D04F97"/>
    <w:rsid w:val="00D0505A"/>
    <w:rsid w:val="00D05B52"/>
    <w:rsid w:val="00D0680A"/>
    <w:rsid w:val="00D17993"/>
    <w:rsid w:val="00D179D5"/>
    <w:rsid w:val="00D22984"/>
    <w:rsid w:val="00D2349D"/>
    <w:rsid w:val="00D23CCD"/>
    <w:rsid w:val="00D25068"/>
    <w:rsid w:val="00D3125C"/>
    <w:rsid w:val="00D3211D"/>
    <w:rsid w:val="00D359B5"/>
    <w:rsid w:val="00D42E73"/>
    <w:rsid w:val="00D533B8"/>
    <w:rsid w:val="00D54846"/>
    <w:rsid w:val="00D57F01"/>
    <w:rsid w:val="00D602CA"/>
    <w:rsid w:val="00D60485"/>
    <w:rsid w:val="00D6115C"/>
    <w:rsid w:val="00D63335"/>
    <w:rsid w:val="00D66D0A"/>
    <w:rsid w:val="00D7173B"/>
    <w:rsid w:val="00D7174B"/>
    <w:rsid w:val="00D73B6C"/>
    <w:rsid w:val="00D76C90"/>
    <w:rsid w:val="00D85CAB"/>
    <w:rsid w:val="00D932EB"/>
    <w:rsid w:val="00D94860"/>
    <w:rsid w:val="00DA001C"/>
    <w:rsid w:val="00DA0F1C"/>
    <w:rsid w:val="00DA49D0"/>
    <w:rsid w:val="00DA5E52"/>
    <w:rsid w:val="00DA68EF"/>
    <w:rsid w:val="00DB1B51"/>
    <w:rsid w:val="00DB4EF5"/>
    <w:rsid w:val="00DB5E24"/>
    <w:rsid w:val="00DB7230"/>
    <w:rsid w:val="00DC10C2"/>
    <w:rsid w:val="00DC172B"/>
    <w:rsid w:val="00DC52E8"/>
    <w:rsid w:val="00DC60AE"/>
    <w:rsid w:val="00DD704D"/>
    <w:rsid w:val="00E026D2"/>
    <w:rsid w:val="00E02B81"/>
    <w:rsid w:val="00E0750F"/>
    <w:rsid w:val="00E116BE"/>
    <w:rsid w:val="00E16C56"/>
    <w:rsid w:val="00E16FA1"/>
    <w:rsid w:val="00E2155A"/>
    <w:rsid w:val="00E21D03"/>
    <w:rsid w:val="00E24252"/>
    <w:rsid w:val="00E24A8E"/>
    <w:rsid w:val="00E2732C"/>
    <w:rsid w:val="00E316ED"/>
    <w:rsid w:val="00E3481F"/>
    <w:rsid w:val="00E35F0A"/>
    <w:rsid w:val="00E42D48"/>
    <w:rsid w:val="00E46C32"/>
    <w:rsid w:val="00E52FA0"/>
    <w:rsid w:val="00E554A5"/>
    <w:rsid w:val="00E5650E"/>
    <w:rsid w:val="00E57499"/>
    <w:rsid w:val="00E60245"/>
    <w:rsid w:val="00E6094C"/>
    <w:rsid w:val="00E62921"/>
    <w:rsid w:val="00E63DBB"/>
    <w:rsid w:val="00E64373"/>
    <w:rsid w:val="00E64644"/>
    <w:rsid w:val="00E6631B"/>
    <w:rsid w:val="00E72A1A"/>
    <w:rsid w:val="00E73775"/>
    <w:rsid w:val="00E7392A"/>
    <w:rsid w:val="00E73C39"/>
    <w:rsid w:val="00E80E9F"/>
    <w:rsid w:val="00E80FBF"/>
    <w:rsid w:val="00E830CE"/>
    <w:rsid w:val="00E85787"/>
    <w:rsid w:val="00E86741"/>
    <w:rsid w:val="00E90D9C"/>
    <w:rsid w:val="00E91750"/>
    <w:rsid w:val="00E941C2"/>
    <w:rsid w:val="00E950BE"/>
    <w:rsid w:val="00EA66DC"/>
    <w:rsid w:val="00EA7707"/>
    <w:rsid w:val="00EB2AA7"/>
    <w:rsid w:val="00EB554E"/>
    <w:rsid w:val="00EB62B8"/>
    <w:rsid w:val="00EB6A1F"/>
    <w:rsid w:val="00EB6B14"/>
    <w:rsid w:val="00EC34A9"/>
    <w:rsid w:val="00EC45E6"/>
    <w:rsid w:val="00EC48C3"/>
    <w:rsid w:val="00EC5FD5"/>
    <w:rsid w:val="00EC6B97"/>
    <w:rsid w:val="00ED2761"/>
    <w:rsid w:val="00ED2FAD"/>
    <w:rsid w:val="00ED4ED3"/>
    <w:rsid w:val="00ED5796"/>
    <w:rsid w:val="00EE0DBB"/>
    <w:rsid w:val="00EE30A4"/>
    <w:rsid w:val="00EE564C"/>
    <w:rsid w:val="00EE5F0B"/>
    <w:rsid w:val="00EE6751"/>
    <w:rsid w:val="00EF5070"/>
    <w:rsid w:val="00EF538E"/>
    <w:rsid w:val="00EF5F20"/>
    <w:rsid w:val="00F001FB"/>
    <w:rsid w:val="00F04764"/>
    <w:rsid w:val="00F05E48"/>
    <w:rsid w:val="00F148BC"/>
    <w:rsid w:val="00F150FA"/>
    <w:rsid w:val="00F24382"/>
    <w:rsid w:val="00F248B6"/>
    <w:rsid w:val="00F35CE5"/>
    <w:rsid w:val="00F37064"/>
    <w:rsid w:val="00F3799F"/>
    <w:rsid w:val="00F41104"/>
    <w:rsid w:val="00F420AB"/>
    <w:rsid w:val="00F43899"/>
    <w:rsid w:val="00F43CA2"/>
    <w:rsid w:val="00F4511B"/>
    <w:rsid w:val="00F46B53"/>
    <w:rsid w:val="00F47539"/>
    <w:rsid w:val="00F5162B"/>
    <w:rsid w:val="00F56903"/>
    <w:rsid w:val="00F572E9"/>
    <w:rsid w:val="00F64FFD"/>
    <w:rsid w:val="00F770A3"/>
    <w:rsid w:val="00F84D43"/>
    <w:rsid w:val="00F85821"/>
    <w:rsid w:val="00F870A2"/>
    <w:rsid w:val="00F872A4"/>
    <w:rsid w:val="00F87EEE"/>
    <w:rsid w:val="00F902FF"/>
    <w:rsid w:val="00F928D7"/>
    <w:rsid w:val="00F93239"/>
    <w:rsid w:val="00F93D91"/>
    <w:rsid w:val="00F95861"/>
    <w:rsid w:val="00F9672A"/>
    <w:rsid w:val="00FA0626"/>
    <w:rsid w:val="00FA30BE"/>
    <w:rsid w:val="00FB2040"/>
    <w:rsid w:val="00FB43EF"/>
    <w:rsid w:val="00FB68DB"/>
    <w:rsid w:val="00FB6CB4"/>
    <w:rsid w:val="00FB780A"/>
    <w:rsid w:val="00FC21E8"/>
    <w:rsid w:val="00FC2643"/>
    <w:rsid w:val="00FC2B6A"/>
    <w:rsid w:val="00FC3AE6"/>
    <w:rsid w:val="00FE61E7"/>
    <w:rsid w:val="00FE6914"/>
    <w:rsid w:val="00FE7B7D"/>
    <w:rsid w:val="00FF3895"/>
    <w:rsid w:val="00FF3A7F"/>
    <w:rsid w:val="00FF3E8F"/>
    <w:rsid w:val="00FF4FC1"/>
    <w:rsid w:val="00FF656C"/>
    <w:rsid w:val="00FF6EE8"/>
    <w:rsid w:val="01072712"/>
    <w:rsid w:val="01317C1E"/>
    <w:rsid w:val="015D273F"/>
    <w:rsid w:val="0186D243"/>
    <w:rsid w:val="01ABD6B1"/>
    <w:rsid w:val="023EE4CD"/>
    <w:rsid w:val="0256D2F5"/>
    <w:rsid w:val="0286DE6E"/>
    <w:rsid w:val="02FF5510"/>
    <w:rsid w:val="032D2C9A"/>
    <w:rsid w:val="03755283"/>
    <w:rsid w:val="0380B544"/>
    <w:rsid w:val="0389C732"/>
    <w:rsid w:val="03D1EC38"/>
    <w:rsid w:val="040EE9A2"/>
    <w:rsid w:val="0473CE4E"/>
    <w:rsid w:val="049FEDBD"/>
    <w:rsid w:val="04E1FD14"/>
    <w:rsid w:val="04E78437"/>
    <w:rsid w:val="04F355A0"/>
    <w:rsid w:val="050EC464"/>
    <w:rsid w:val="058A9661"/>
    <w:rsid w:val="058D6C24"/>
    <w:rsid w:val="05E6761D"/>
    <w:rsid w:val="05FB06BA"/>
    <w:rsid w:val="06476562"/>
    <w:rsid w:val="0697E509"/>
    <w:rsid w:val="06A229B8"/>
    <w:rsid w:val="06CE0C29"/>
    <w:rsid w:val="070108C9"/>
    <w:rsid w:val="078E1F51"/>
    <w:rsid w:val="07D5FA8E"/>
    <w:rsid w:val="07FAC51B"/>
    <w:rsid w:val="084E815E"/>
    <w:rsid w:val="08B6DE2E"/>
    <w:rsid w:val="08D89CEF"/>
    <w:rsid w:val="0963E87F"/>
    <w:rsid w:val="09890C0D"/>
    <w:rsid w:val="09B13977"/>
    <w:rsid w:val="09B4F1FC"/>
    <w:rsid w:val="09CFF190"/>
    <w:rsid w:val="09F3B8DE"/>
    <w:rsid w:val="0A1983B8"/>
    <w:rsid w:val="0A2DC24B"/>
    <w:rsid w:val="0A3CA5E7"/>
    <w:rsid w:val="0A662615"/>
    <w:rsid w:val="0A670CC7"/>
    <w:rsid w:val="0B3CE1A8"/>
    <w:rsid w:val="0B3FEA24"/>
    <w:rsid w:val="0B83BAB0"/>
    <w:rsid w:val="0BD815D1"/>
    <w:rsid w:val="0BDB4668"/>
    <w:rsid w:val="0BDD93F0"/>
    <w:rsid w:val="0BFEB39F"/>
    <w:rsid w:val="0C001E58"/>
    <w:rsid w:val="0C382EE9"/>
    <w:rsid w:val="0C4D5E0E"/>
    <w:rsid w:val="0C9D9852"/>
    <w:rsid w:val="0CB2AA62"/>
    <w:rsid w:val="0CC11EA0"/>
    <w:rsid w:val="0CC2836F"/>
    <w:rsid w:val="0CCE5449"/>
    <w:rsid w:val="0CE4B115"/>
    <w:rsid w:val="0CE6DFA5"/>
    <w:rsid w:val="0CFE0759"/>
    <w:rsid w:val="0D06D270"/>
    <w:rsid w:val="0D4FC933"/>
    <w:rsid w:val="0D500989"/>
    <w:rsid w:val="0DF5369B"/>
    <w:rsid w:val="0DFF0519"/>
    <w:rsid w:val="0E38E90F"/>
    <w:rsid w:val="0E767D7F"/>
    <w:rsid w:val="0E902037"/>
    <w:rsid w:val="0E9544A1"/>
    <w:rsid w:val="0ED35ADF"/>
    <w:rsid w:val="0EF3C491"/>
    <w:rsid w:val="0F2CD6E9"/>
    <w:rsid w:val="0FAD78A7"/>
    <w:rsid w:val="0FD7C399"/>
    <w:rsid w:val="1014068B"/>
    <w:rsid w:val="104EA8AC"/>
    <w:rsid w:val="105183C5"/>
    <w:rsid w:val="1064B244"/>
    <w:rsid w:val="108AB81C"/>
    <w:rsid w:val="10A63656"/>
    <w:rsid w:val="10BA86D7"/>
    <w:rsid w:val="10FA76F1"/>
    <w:rsid w:val="11235F66"/>
    <w:rsid w:val="112CEB39"/>
    <w:rsid w:val="119BDEAB"/>
    <w:rsid w:val="11C4A544"/>
    <w:rsid w:val="1238F14E"/>
    <w:rsid w:val="12ADCCD9"/>
    <w:rsid w:val="12F91B87"/>
    <w:rsid w:val="131C4714"/>
    <w:rsid w:val="1331564B"/>
    <w:rsid w:val="1349D07A"/>
    <w:rsid w:val="134FF0C3"/>
    <w:rsid w:val="136BB148"/>
    <w:rsid w:val="136BD42D"/>
    <w:rsid w:val="139F00F0"/>
    <w:rsid w:val="13D18441"/>
    <w:rsid w:val="13D9AC4F"/>
    <w:rsid w:val="13F8C247"/>
    <w:rsid w:val="1402478A"/>
    <w:rsid w:val="14732423"/>
    <w:rsid w:val="1499CC02"/>
    <w:rsid w:val="14FEC3E3"/>
    <w:rsid w:val="1546EA77"/>
    <w:rsid w:val="156689D7"/>
    <w:rsid w:val="157130EC"/>
    <w:rsid w:val="15A2590A"/>
    <w:rsid w:val="15EE25A5"/>
    <w:rsid w:val="163139CE"/>
    <w:rsid w:val="166B8087"/>
    <w:rsid w:val="16746EE8"/>
    <w:rsid w:val="169CC2D3"/>
    <w:rsid w:val="16F23CF7"/>
    <w:rsid w:val="16F89D93"/>
    <w:rsid w:val="173FC4AD"/>
    <w:rsid w:val="1740968B"/>
    <w:rsid w:val="1754A982"/>
    <w:rsid w:val="17C941D7"/>
    <w:rsid w:val="17E899C1"/>
    <w:rsid w:val="17F55660"/>
    <w:rsid w:val="18027498"/>
    <w:rsid w:val="1890DBEB"/>
    <w:rsid w:val="18C30EAE"/>
    <w:rsid w:val="18D3801D"/>
    <w:rsid w:val="18E58D60"/>
    <w:rsid w:val="18EB5DAB"/>
    <w:rsid w:val="18FAF32E"/>
    <w:rsid w:val="191CF2F1"/>
    <w:rsid w:val="19224F25"/>
    <w:rsid w:val="195AA87A"/>
    <w:rsid w:val="1986CBEB"/>
    <w:rsid w:val="199A374A"/>
    <w:rsid w:val="19E6686C"/>
    <w:rsid w:val="19ECE853"/>
    <w:rsid w:val="1A277A9F"/>
    <w:rsid w:val="1AA68E19"/>
    <w:rsid w:val="1AF3DD36"/>
    <w:rsid w:val="1B248EB8"/>
    <w:rsid w:val="1B531090"/>
    <w:rsid w:val="1B6E081F"/>
    <w:rsid w:val="1BCC12C3"/>
    <w:rsid w:val="1C1AECFE"/>
    <w:rsid w:val="1C265C4C"/>
    <w:rsid w:val="1CBBC735"/>
    <w:rsid w:val="1D05A182"/>
    <w:rsid w:val="1D08D277"/>
    <w:rsid w:val="1D706CA7"/>
    <w:rsid w:val="1D717FDE"/>
    <w:rsid w:val="1D893B77"/>
    <w:rsid w:val="1DA62622"/>
    <w:rsid w:val="1E5D5394"/>
    <w:rsid w:val="1E62EF60"/>
    <w:rsid w:val="1EA082F6"/>
    <w:rsid w:val="1EB1D852"/>
    <w:rsid w:val="1ECF4C6B"/>
    <w:rsid w:val="20175318"/>
    <w:rsid w:val="201CFC09"/>
    <w:rsid w:val="2037E3FE"/>
    <w:rsid w:val="2047187A"/>
    <w:rsid w:val="2047BAD9"/>
    <w:rsid w:val="2048474B"/>
    <w:rsid w:val="206C1A2B"/>
    <w:rsid w:val="20C23309"/>
    <w:rsid w:val="20E0ECE9"/>
    <w:rsid w:val="215AECEE"/>
    <w:rsid w:val="21796487"/>
    <w:rsid w:val="2226CC91"/>
    <w:rsid w:val="22352CC8"/>
    <w:rsid w:val="224CDF98"/>
    <w:rsid w:val="2263BB2F"/>
    <w:rsid w:val="22B50730"/>
    <w:rsid w:val="22D47C66"/>
    <w:rsid w:val="23040D06"/>
    <w:rsid w:val="23AAC674"/>
    <w:rsid w:val="23D3F71A"/>
    <w:rsid w:val="23D90B02"/>
    <w:rsid w:val="23E9443E"/>
    <w:rsid w:val="24072EE6"/>
    <w:rsid w:val="24131C2C"/>
    <w:rsid w:val="24286FAE"/>
    <w:rsid w:val="24A2D4CA"/>
    <w:rsid w:val="24F0528E"/>
    <w:rsid w:val="25586756"/>
    <w:rsid w:val="26368EF1"/>
    <w:rsid w:val="26384E78"/>
    <w:rsid w:val="264D3B53"/>
    <w:rsid w:val="2665FE85"/>
    <w:rsid w:val="2686624C"/>
    <w:rsid w:val="26A26CCA"/>
    <w:rsid w:val="26B9F775"/>
    <w:rsid w:val="277A4428"/>
    <w:rsid w:val="277D0B4B"/>
    <w:rsid w:val="27887CB2"/>
    <w:rsid w:val="27A75F0A"/>
    <w:rsid w:val="27AA01CE"/>
    <w:rsid w:val="27E56E02"/>
    <w:rsid w:val="282F3C2D"/>
    <w:rsid w:val="28510103"/>
    <w:rsid w:val="286EACB5"/>
    <w:rsid w:val="28AB36C4"/>
    <w:rsid w:val="28C6A5F7"/>
    <w:rsid w:val="28EAADC5"/>
    <w:rsid w:val="29081B46"/>
    <w:rsid w:val="29555086"/>
    <w:rsid w:val="298A8F63"/>
    <w:rsid w:val="2996A00C"/>
    <w:rsid w:val="29CF43EE"/>
    <w:rsid w:val="29D26A91"/>
    <w:rsid w:val="29EBBD9E"/>
    <w:rsid w:val="2A765AEE"/>
    <w:rsid w:val="2ACC295F"/>
    <w:rsid w:val="2AEB198A"/>
    <w:rsid w:val="2B15FB19"/>
    <w:rsid w:val="2B85CE0B"/>
    <w:rsid w:val="2B8B5E28"/>
    <w:rsid w:val="2B8E5D7F"/>
    <w:rsid w:val="2BA1AFD6"/>
    <w:rsid w:val="2BA1C05D"/>
    <w:rsid w:val="2BFCC554"/>
    <w:rsid w:val="2BFD3DF8"/>
    <w:rsid w:val="2C21A94E"/>
    <w:rsid w:val="2C8A9E43"/>
    <w:rsid w:val="2CB802C1"/>
    <w:rsid w:val="2CBFAB05"/>
    <w:rsid w:val="2CE14205"/>
    <w:rsid w:val="2D215FC8"/>
    <w:rsid w:val="2D581325"/>
    <w:rsid w:val="2D6A86BA"/>
    <w:rsid w:val="2D81DC37"/>
    <w:rsid w:val="2E096D10"/>
    <w:rsid w:val="2E600A5C"/>
    <w:rsid w:val="2E8373E1"/>
    <w:rsid w:val="2EA62C91"/>
    <w:rsid w:val="2EB27F35"/>
    <w:rsid w:val="2F3A9293"/>
    <w:rsid w:val="2F683EA6"/>
    <w:rsid w:val="2F897370"/>
    <w:rsid w:val="2F940AA9"/>
    <w:rsid w:val="2F96FF4D"/>
    <w:rsid w:val="2FA8E214"/>
    <w:rsid w:val="30CF4A76"/>
    <w:rsid w:val="312F0FDF"/>
    <w:rsid w:val="3169BD58"/>
    <w:rsid w:val="31993AA8"/>
    <w:rsid w:val="31EF3D6A"/>
    <w:rsid w:val="325EB651"/>
    <w:rsid w:val="32A48866"/>
    <w:rsid w:val="32BF16EA"/>
    <w:rsid w:val="32D820B0"/>
    <w:rsid w:val="32F81E04"/>
    <w:rsid w:val="3334A8AC"/>
    <w:rsid w:val="333B8205"/>
    <w:rsid w:val="33617052"/>
    <w:rsid w:val="337B15D2"/>
    <w:rsid w:val="33AA0408"/>
    <w:rsid w:val="3427F0B4"/>
    <w:rsid w:val="349B0D2E"/>
    <w:rsid w:val="34F7548C"/>
    <w:rsid w:val="3502BCD8"/>
    <w:rsid w:val="3509C1A6"/>
    <w:rsid w:val="3521B91F"/>
    <w:rsid w:val="3531F729"/>
    <w:rsid w:val="35737A75"/>
    <w:rsid w:val="35997574"/>
    <w:rsid w:val="35D3D5BE"/>
    <w:rsid w:val="35E60C0A"/>
    <w:rsid w:val="35E8BCB0"/>
    <w:rsid w:val="3616CD04"/>
    <w:rsid w:val="361BFCF5"/>
    <w:rsid w:val="363FE02A"/>
    <w:rsid w:val="368922F4"/>
    <w:rsid w:val="36B1552F"/>
    <w:rsid w:val="375A9C7D"/>
    <w:rsid w:val="376A6780"/>
    <w:rsid w:val="3781DBB0"/>
    <w:rsid w:val="378F94AA"/>
    <w:rsid w:val="37963266"/>
    <w:rsid w:val="37A08979"/>
    <w:rsid w:val="37B28AD8"/>
    <w:rsid w:val="37D3E76D"/>
    <w:rsid w:val="3806CE64"/>
    <w:rsid w:val="3854F525"/>
    <w:rsid w:val="3883E68B"/>
    <w:rsid w:val="38BD27F3"/>
    <w:rsid w:val="38D5272B"/>
    <w:rsid w:val="38E40127"/>
    <w:rsid w:val="38EB8F7B"/>
    <w:rsid w:val="38F7D1B6"/>
    <w:rsid w:val="39258DFA"/>
    <w:rsid w:val="3937DC11"/>
    <w:rsid w:val="393C01B7"/>
    <w:rsid w:val="399D9A40"/>
    <w:rsid w:val="39AF614A"/>
    <w:rsid w:val="39C5BED6"/>
    <w:rsid w:val="39D0F9E3"/>
    <w:rsid w:val="39EB777E"/>
    <w:rsid w:val="39F93960"/>
    <w:rsid w:val="3A0F8B17"/>
    <w:rsid w:val="3A0FE7D1"/>
    <w:rsid w:val="3A709BD7"/>
    <w:rsid w:val="3B47432B"/>
    <w:rsid w:val="3B7AF2EA"/>
    <w:rsid w:val="3BAB4EDE"/>
    <w:rsid w:val="3BC8433C"/>
    <w:rsid w:val="3BEF59E9"/>
    <w:rsid w:val="3C2805BC"/>
    <w:rsid w:val="3C53C9D2"/>
    <w:rsid w:val="3C8F8E94"/>
    <w:rsid w:val="3CE005EC"/>
    <w:rsid w:val="3CF457A8"/>
    <w:rsid w:val="3D28828C"/>
    <w:rsid w:val="3D369900"/>
    <w:rsid w:val="3D46836D"/>
    <w:rsid w:val="3D7B90A8"/>
    <w:rsid w:val="3D863F81"/>
    <w:rsid w:val="3E09E18C"/>
    <w:rsid w:val="3E2EC206"/>
    <w:rsid w:val="3E7996BF"/>
    <w:rsid w:val="3EC8A350"/>
    <w:rsid w:val="3EF823EB"/>
    <w:rsid w:val="3F0135B2"/>
    <w:rsid w:val="3F07D377"/>
    <w:rsid w:val="3F1346F5"/>
    <w:rsid w:val="3F37D6C5"/>
    <w:rsid w:val="3F37F5D2"/>
    <w:rsid w:val="3F5DA6A4"/>
    <w:rsid w:val="3FB1E66A"/>
    <w:rsid w:val="3FD52D5F"/>
    <w:rsid w:val="40115814"/>
    <w:rsid w:val="403D7EB8"/>
    <w:rsid w:val="40665D5C"/>
    <w:rsid w:val="409E0B3C"/>
    <w:rsid w:val="40C0E184"/>
    <w:rsid w:val="40E3BCD3"/>
    <w:rsid w:val="41191BB8"/>
    <w:rsid w:val="412175EC"/>
    <w:rsid w:val="412BF32F"/>
    <w:rsid w:val="412EB62B"/>
    <w:rsid w:val="41468C36"/>
    <w:rsid w:val="41767749"/>
    <w:rsid w:val="4188F140"/>
    <w:rsid w:val="418DBEFB"/>
    <w:rsid w:val="41A0E35E"/>
    <w:rsid w:val="4252DBBE"/>
    <w:rsid w:val="4253BA05"/>
    <w:rsid w:val="4285C937"/>
    <w:rsid w:val="42E46793"/>
    <w:rsid w:val="42EE9E45"/>
    <w:rsid w:val="430095FA"/>
    <w:rsid w:val="43184CF4"/>
    <w:rsid w:val="431B0587"/>
    <w:rsid w:val="4322A65D"/>
    <w:rsid w:val="43547BD6"/>
    <w:rsid w:val="435F2B13"/>
    <w:rsid w:val="4389DBB5"/>
    <w:rsid w:val="43DC5383"/>
    <w:rsid w:val="43FAC868"/>
    <w:rsid w:val="4427B79A"/>
    <w:rsid w:val="448E596D"/>
    <w:rsid w:val="44C6295B"/>
    <w:rsid w:val="44D197C5"/>
    <w:rsid w:val="44F43F2F"/>
    <w:rsid w:val="4522CABE"/>
    <w:rsid w:val="4523E12B"/>
    <w:rsid w:val="453DA175"/>
    <w:rsid w:val="45C7132C"/>
    <w:rsid w:val="45E272D2"/>
    <w:rsid w:val="46A07C5C"/>
    <w:rsid w:val="4753664F"/>
    <w:rsid w:val="475E052F"/>
    <w:rsid w:val="477D7E92"/>
    <w:rsid w:val="47874FCE"/>
    <w:rsid w:val="478B2756"/>
    <w:rsid w:val="47919B5D"/>
    <w:rsid w:val="47B18E19"/>
    <w:rsid w:val="47D27D3D"/>
    <w:rsid w:val="47E86FE7"/>
    <w:rsid w:val="482BC3DB"/>
    <w:rsid w:val="48779A77"/>
    <w:rsid w:val="48D67B33"/>
    <w:rsid w:val="48E38195"/>
    <w:rsid w:val="48ED2A8C"/>
    <w:rsid w:val="4954E80F"/>
    <w:rsid w:val="49C481C6"/>
    <w:rsid w:val="49E6DF80"/>
    <w:rsid w:val="4A60D901"/>
    <w:rsid w:val="4A818362"/>
    <w:rsid w:val="4A9117C2"/>
    <w:rsid w:val="4A91B7A1"/>
    <w:rsid w:val="4AC809C7"/>
    <w:rsid w:val="4ACDBFF9"/>
    <w:rsid w:val="4B2D65BF"/>
    <w:rsid w:val="4C28C956"/>
    <w:rsid w:val="4C8D6DAC"/>
    <w:rsid w:val="4CC24840"/>
    <w:rsid w:val="4CEE2895"/>
    <w:rsid w:val="4CFDDC6E"/>
    <w:rsid w:val="4D046D43"/>
    <w:rsid w:val="4D69085C"/>
    <w:rsid w:val="4D8105FC"/>
    <w:rsid w:val="4D8BD767"/>
    <w:rsid w:val="4DA1339E"/>
    <w:rsid w:val="4DD2DAB1"/>
    <w:rsid w:val="4E299F33"/>
    <w:rsid w:val="4E4233E0"/>
    <w:rsid w:val="4E9A6DC2"/>
    <w:rsid w:val="4EC9AC53"/>
    <w:rsid w:val="4FB5D537"/>
    <w:rsid w:val="4FD1D12B"/>
    <w:rsid w:val="4FEBB031"/>
    <w:rsid w:val="5089401A"/>
    <w:rsid w:val="50933C3E"/>
    <w:rsid w:val="5096BBF4"/>
    <w:rsid w:val="50CC26BD"/>
    <w:rsid w:val="5180B45E"/>
    <w:rsid w:val="519E6135"/>
    <w:rsid w:val="5247189C"/>
    <w:rsid w:val="5249A916"/>
    <w:rsid w:val="5250596C"/>
    <w:rsid w:val="52ADDF56"/>
    <w:rsid w:val="53007ACC"/>
    <w:rsid w:val="5304E493"/>
    <w:rsid w:val="5322AEA0"/>
    <w:rsid w:val="533A81CB"/>
    <w:rsid w:val="539FD93F"/>
    <w:rsid w:val="53A91E7C"/>
    <w:rsid w:val="53B421B8"/>
    <w:rsid w:val="53C408AC"/>
    <w:rsid w:val="541E0ED6"/>
    <w:rsid w:val="543C5662"/>
    <w:rsid w:val="546119D4"/>
    <w:rsid w:val="54965D5C"/>
    <w:rsid w:val="551C98FB"/>
    <w:rsid w:val="552153AB"/>
    <w:rsid w:val="5521FCC3"/>
    <w:rsid w:val="552E55FA"/>
    <w:rsid w:val="55558C67"/>
    <w:rsid w:val="5564DA03"/>
    <w:rsid w:val="55A8C484"/>
    <w:rsid w:val="55C8F4B3"/>
    <w:rsid w:val="561F9751"/>
    <w:rsid w:val="563F99D9"/>
    <w:rsid w:val="56655A5D"/>
    <w:rsid w:val="567D34B2"/>
    <w:rsid w:val="5682C311"/>
    <w:rsid w:val="56D7AFEE"/>
    <w:rsid w:val="56EDF140"/>
    <w:rsid w:val="56F9AA05"/>
    <w:rsid w:val="57145FFC"/>
    <w:rsid w:val="572F9CEE"/>
    <w:rsid w:val="573552F6"/>
    <w:rsid w:val="573FBAD2"/>
    <w:rsid w:val="576F390D"/>
    <w:rsid w:val="5785C35A"/>
    <w:rsid w:val="579B14FC"/>
    <w:rsid w:val="57C8132D"/>
    <w:rsid w:val="57D2CA18"/>
    <w:rsid w:val="57F1409D"/>
    <w:rsid w:val="5807876B"/>
    <w:rsid w:val="580C292B"/>
    <w:rsid w:val="588CE1DE"/>
    <w:rsid w:val="58977370"/>
    <w:rsid w:val="58A7B9AE"/>
    <w:rsid w:val="58B588BB"/>
    <w:rsid w:val="58BA04FF"/>
    <w:rsid w:val="58E7DEAD"/>
    <w:rsid w:val="58F3A8D8"/>
    <w:rsid w:val="59361706"/>
    <w:rsid w:val="59645E76"/>
    <w:rsid w:val="597ADC16"/>
    <w:rsid w:val="5987DC40"/>
    <w:rsid w:val="59AA687B"/>
    <w:rsid w:val="5A22C8FB"/>
    <w:rsid w:val="5A7640A1"/>
    <w:rsid w:val="5A88FFE8"/>
    <w:rsid w:val="5B334D44"/>
    <w:rsid w:val="5BDAA5E7"/>
    <w:rsid w:val="5C26CDBA"/>
    <w:rsid w:val="5C5F1109"/>
    <w:rsid w:val="5C6EA1BF"/>
    <w:rsid w:val="5C7818A7"/>
    <w:rsid w:val="5C97076F"/>
    <w:rsid w:val="5CCCD2D9"/>
    <w:rsid w:val="5CD6CC0D"/>
    <w:rsid w:val="5D53B387"/>
    <w:rsid w:val="5D6C991F"/>
    <w:rsid w:val="5D86CEA0"/>
    <w:rsid w:val="5DAFB04E"/>
    <w:rsid w:val="5DE21C5A"/>
    <w:rsid w:val="5DE9C440"/>
    <w:rsid w:val="5E1A0166"/>
    <w:rsid w:val="5E7B6E48"/>
    <w:rsid w:val="5E89AD71"/>
    <w:rsid w:val="5EB5D0BA"/>
    <w:rsid w:val="5EC0BE48"/>
    <w:rsid w:val="5ED255CC"/>
    <w:rsid w:val="5F2901A5"/>
    <w:rsid w:val="5F300BB0"/>
    <w:rsid w:val="5F6CEA39"/>
    <w:rsid w:val="5F6FC9FC"/>
    <w:rsid w:val="5F76C71C"/>
    <w:rsid w:val="5FAE81D9"/>
    <w:rsid w:val="5FDF9521"/>
    <w:rsid w:val="5FE4519E"/>
    <w:rsid w:val="5FE4FEDE"/>
    <w:rsid w:val="60633B55"/>
    <w:rsid w:val="606506BA"/>
    <w:rsid w:val="608BF8D1"/>
    <w:rsid w:val="60938B22"/>
    <w:rsid w:val="60BF8B29"/>
    <w:rsid w:val="6176D434"/>
    <w:rsid w:val="61967308"/>
    <w:rsid w:val="62041788"/>
    <w:rsid w:val="6206F970"/>
    <w:rsid w:val="622DDFFA"/>
    <w:rsid w:val="62304346"/>
    <w:rsid w:val="629760D0"/>
    <w:rsid w:val="62993198"/>
    <w:rsid w:val="62A26398"/>
    <w:rsid w:val="62B3D7DC"/>
    <w:rsid w:val="62BDA916"/>
    <w:rsid w:val="63216E11"/>
    <w:rsid w:val="632176CF"/>
    <w:rsid w:val="633C21AF"/>
    <w:rsid w:val="63AC4B6D"/>
    <w:rsid w:val="63D33C18"/>
    <w:rsid w:val="63F03FD8"/>
    <w:rsid w:val="63F91792"/>
    <w:rsid w:val="642A8CD4"/>
    <w:rsid w:val="6436C74D"/>
    <w:rsid w:val="645A0F39"/>
    <w:rsid w:val="64952B79"/>
    <w:rsid w:val="64AD231B"/>
    <w:rsid w:val="64E81C65"/>
    <w:rsid w:val="651EE24F"/>
    <w:rsid w:val="6527300F"/>
    <w:rsid w:val="6581A6AC"/>
    <w:rsid w:val="65BAC7E2"/>
    <w:rsid w:val="65D7F95A"/>
    <w:rsid w:val="661C415C"/>
    <w:rsid w:val="669D2E4E"/>
    <w:rsid w:val="66BEBF8D"/>
    <w:rsid w:val="66C91360"/>
    <w:rsid w:val="670CE36B"/>
    <w:rsid w:val="672B4776"/>
    <w:rsid w:val="673CF89E"/>
    <w:rsid w:val="6742468A"/>
    <w:rsid w:val="67544102"/>
    <w:rsid w:val="677718DB"/>
    <w:rsid w:val="678E91C7"/>
    <w:rsid w:val="67A3F479"/>
    <w:rsid w:val="67E39187"/>
    <w:rsid w:val="686699E5"/>
    <w:rsid w:val="687361F4"/>
    <w:rsid w:val="68C4FAB9"/>
    <w:rsid w:val="68DF9CDE"/>
    <w:rsid w:val="69087A0B"/>
    <w:rsid w:val="69315EEE"/>
    <w:rsid w:val="693DBF37"/>
    <w:rsid w:val="69495344"/>
    <w:rsid w:val="697F17B0"/>
    <w:rsid w:val="6991A7F0"/>
    <w:rsid w:val="69B5C847"/>
    <w:rsid w:val="69E43889"/>
    <w:rsid w:val="6A1EA54F"/>
    <w:rsid w:val="6A43B1BF"/>
    <w:rsid w:val="6A8E3B44"/>
    <w:rsid w:val="6B232B6A"/>
    <w:rsid w:val="6B6A7DBA"/>
    <w:rsid w:val="6BB4E37F"/>
    <w:rsid w:val="6BD1D538"/>
    <w:rsid w:val="6BD5CFF8"/>
    <w:rsid w:val="6BEB2BF2"/>
    <w:rsid w:val="6C95769F"/>
    <w:rsid w:val="6C974CC5"/>
    <w:rsid w:val="6CECE8AD"/>
    <w:rsid w:val="6D114F20"/>
    <w:rsid w:val="6D599FAF"/>
    <w:rsid w:val="6DAE58A9"/>
    <w:rsid w:val="6DC0A004"/>
    <w:rsid w:val="6DD72E0C"/>
    <w:rsid w:val="6DE2FD53"/>
    <w:rsid w:val="6E035BED"/>
    <w:rsid w:val="6E348884"/>
    <w:rsid w:val="6E42D8A3"/>
    <w:rsid w:val="6E686768"/>
    <w:rsid w:val="6E6F0786"/>
    <w:rsid w:val="6ED4A312"/>
    <w:rsid w:val="6F5A9CF7"/>
    <w:rsid w:val="703594B4"/>
    <w:rsid w:val="70879E58"/>
    <w:rsid w:val="708A7C79"/>
    <w:rsid w:val="70C7CDE7"/>
    <w:rsid w:val="70EB0007"/>
    <w:rsid w:val="70F3D4D9"/>
    <w:rsid w:val="70F7E884"/>
    <w:rsid w:val="7101510F"/>
    <w:rsid w:val="71346838"/>
    <w:rsid w:val="7166EE2E"/>
    <w:rsid w:val="718BB807"/>
    <w:rsid w:val="71D0DA80"/>
    <w:rsid w:val="721B20BC"/>
    <w:rsid w:val="721BD391"/>
    <w:rsid w:val="726C6195"/>
    <w:rsid w:val="726D6FEC"/>
    <w:rsid w:val="72795327"/>
    <w:rsid w:val="727CB4F1"/>
    <w:rsid w:val="727D8E0B"/>
    <w:rsid w:val="72B23E96"/>
    <w:rsid w:val="72F66D66"/>
    <w:rsid w:val="7373C979"/>
    <w:rsid w:val="738E2B45"/>
    <w:rsid w:val="73B05CA6"/>
    <w:rsid w:val="73D2A58C"/>
    <w:rsid w:val="74691E8B"/>
    <w:rsid w:val="74701AC1"/>
    <w:rsid w:val="74719345"/>
    <w:rsid w:val="747FAB46"/>
    <w:rsid w:val="74B58515"/>
    <w:rsid w:val="75441D4B"/>
    <w:rsid w:val="758AF0DB"/>
    <w:rsid w:val="758BCA2A"/>
    <w:rsid w:val="7595074F"/>
    <w:rsid w:val="75A71E04"/>
    <w:rsid w:val="75C05403"/>
    <w:rsid w:val="75C44829"/>
    <w:rsid w:val="75F97AF6"/>
    <w:rsid w:val="75FF7A72"/>
    <w:rsid w:val="7607EC66"/>
    <w:rsid w:val="765C976F"/>
    <w:rsid w:val="76ABEC47"/>
    <w:rsid w:val="76BAF7D0"/>
    <w:rsid w:val="76BBF7A2"/>
    <w:rsid w:val="76CA82E2"/>
    <w:rsid w:val="76DC7810"/>
    <w:rsid w:val="76DF2BA3"/>
    <w:rsid w:val="76E8EA72"/>
    <w:rsid w:val="775A957F"/>
    <w:rsid w:val="776D051F"/>
    <w:rsid w:val="7790F0AD"/>
    <w:rsid w:val="77ABF5DD"/>
    <w:rsid w:val="77C028CD"/>
    <w:rsid w:val="7809DE95"/>
    <w:rsid w:val="7815211D"/>
    <w:rsid w:val="7857EAD0"/>
    <w:rsid w:val="78E47DE2"/>
    <w:rsid w:val="792205EE"/>
    <w:rsid w:val="7974ABA0"/>
    <w:rsid w:val="79C4E186"/>
    <w:rsid w:val="7A24C9C8"/>
    <w:rsid w:val="7A70538C"/>
    <w:rsid w:val="7AB528FA"/>
    <w:rsid w:val="7AEAA86E"/>
    <w:rsid w:val="7B2C7CA1"/>
    <w:rsid w:val="7B8D7FA1"/>
    <w:rsid w:val="7BA5A1DB"/>
    <w:rsid w:val="7BE6EA6A"/>
    <w:rsid w:val="7C0226D9"/>
    <w:rsid w:val="7C42AB83"/>
    <w:rsid w:val="7C50A29F"/>
    <w:rsid w:val="7C6038D4"/>
    <w:rsid w:val="7C702255"/>
    <w:rsid w:val="7C748280"/>
    <w:rsid w:val="7CB13C50"/>
    <w:rsid w:val="7CE3E9AB"/>
    <w:rsid w:val="7CEDEECF"/>
    <w:rsid w:val="7D2EB9A7"/>
    <w:rsid w:val="7D495BAC"/>
    <w:rsid w:val="7D552385"/>
    <w:rsid w:val="7D623802"/>
    <w:rsid w:val="7D752A9C"/>
    <w:rsid w:val="7DCA24BC"/>
    <w:rsid w:val="7EC5014B"/>
    <w:rsid w:val="7ED27E43"/>
    <w:rsid w:val="7EFB16C5"/>
    <w:rsid w:val="7F195644"/>
    <w:rsid w:val="7F1E5018"/>
    <w:rsid w:val="7F224348"/>
    <w:rsid w:val="7F45E6AF"/>
    <w:rsid w:val="7F89A612"/>
    <w:rsid w:val="7FF0D8F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D59516"/>
  <w15:chartTrackingRefBased/>
  <w15:docId w15:val="{FEE500E9-5E15-4A50-ADED-1FAC085BD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F33C5"/>
    <w:pPr>
      <w:keepNext/>
      <w:keepLines/>
      <w:spacing w:before="240" w:after="0" w:line="256" w:lineRule="auto"/>
      <w:outlineLvl w:val="0"/>
    </w:pPr>
    <w:rPr>
      <w:rFonts w:ascii="Times New Roman" w:eastAsiaTheme="majorEastAsia" w:hAnsi="Times New Roman" w:cstheme="majorBidi"/>
      <w:b/>
      <w:bCs/>
      <w:sz w:val="36"/>
      <w:szCs w:val="36"/>
      <w:lang w:val="en-US"/>
    </w:rPr>
  </w:style>
  <w:style w:type="paragraph" w:styleId="Heading2">
    <w:name w:val="heading 2"/>
    <w:basedOn w:val="Normal"/>
    <w:next w:val="Normal"/>
    <w:link w:val="Heading2Char"/>
    <w:uiPriority w:val="9"/>
    <w:unhideWhenUsed/>
    <w:qFormat/>
    <w:rsid w:val="000F33C5"/>
    <w:pPr>
      <w:keepNext/>
      <w:keepLines/>
      <w:spacing w:before="40" w:after="0" w:line="256" w:lineRule="auto"/>
      <w:outlineLvl w:val="1"/>
    </w:pPr>
    <w:rPr>
      <w:rFonts w:ascii="Times New Roman" w:eastAsiaTheme="majorEastAsia" w:hAnsi="Times New Roman" w:cstheme="majorBidi"/>
      <w:b/>
      <w:bCs/>
      <w:sz w:val="32"/>
      <w:szCs w:val="32"/>
      <w:lang w:val="en-US"/>
    </w:rPr>
  </w:style>
  <w:style w:type="paragraph" w:styleId="Heading3">
    <w:name w:val="heading 3"/>
    <w:basedOn w:val="Normal"/>
    <w:next w:val="Normal"/>
    <w:link w:val="Heading3Char"/>
    <w:uiPriority w:val="9"/>
    <w:unhideWhenUsed/>
    <w:qFormat/>
    <w:rsid w:val="000F33C5"/>
    <w:pPr>
      <w:keepNext/>
      <w:keepLines/>
      <w:spacing w:before="40" w:after="0" w:line="256" w:lineRule="auto"/>
      <w:outlineLvl w:val="2"/>
    </w:pPr>
    <w:rPr>
      <w:rFonts w:asciiTheme="majorHAnsi" w:eastAsiaTheme="majorEastAsia" w:hAnsiTheme="majorHAnsi" w:cstheme="majorBidi"/>
      <w:color w:val="1F3763" w:themeColor="accent1" w:themeShade="7F"/>
      <w:kern w:val="2"/>
      <w:sz w:val="24"/>
      <w:szCs w:val="24"/>
      <w:lang w:val="en-AU"/>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ibliography">
    <w:name w:val="Bibliography"/>
    <w:basedOn w:val="Normal"/>
    <w:next w:val="Normal"/>
    <w:uiPriority w:val="37"/>
    <w:unhideWhenUsed/>
    <w:rsid w:val="000F33C5"/>
  </w:style>
  <w:style w:type="character" w:customStyle="1" w:styleId="Heading1Char">
    <w:name w:val="Heading 1 Char"/>
    <w:basedOn w:val="DefaultParagraphFont"/>
    <w:link w:val="Heading1"/>
    <w:uiPriority w:val="9"/>
    <w:rsid w:val="000F33C5"/>
    <w:rPr>
      <w:rFonts w:ascii="Times New Roman" w:eastAsiaTheme="majorEastAsia" w:hAnsi="Times New Roman" w:cstheme="majorBidi"/>
      <w:b/>
      <w:bCs/>
      <w:sz w:val="36"/>
      <w:szCs w:val="36"/>
      <w:lang w:val="en-US"/>
    </w:rPr>
  </w:style>
  <w:style w:type="character" w:customStyle="1" w:styleId="Heading2Char">
    <w:name w:val="Heading 2 Char"/>
    <w:basedOn w:val="DefaultParagraphFont"/>
    <w:link w:val="Heading2"/>
    <w:uiPriority w:val="9"/>
    <w:rsid w:val="000F33C5"/>
    <w:rPr>
      <w:rFonts w:ascii="Times New Roman" w:eastAsiaTheme="majorEastAsia" w:hAnsi="Times New Roman" w:cstheme="majorBidi"/>
      <w:b/>
      <w:bCs/>
      <w:sz w:val="32"/>
      <w:szCs w:val="32"/>
      <w:lang w:val="en-US"/>
    </w:rPr>
  </w:style>
  <w:style w:type="character" w:customStyle="1" w:styleId="Heading3Char">
    <w:name w:val="Heading 3 Char"/>
    <w:basedOn w:val="DefaultParagraphFont"/>
    <w:link w:val="Heading3"/>
    <w:uiPriority w:val="9"/>
    <w:rsid w:val="000F33C5"/>
    <w:rPr>
      <w:rFonts w:asciiTheme="majorHAnsi" w:eastAsiaTheme="majorEastAsia" w:hAnsiTheme="majorHAnsi" w:cstheme="majorBidi"/>
      <w:color w:val="1F3763" w:themeColor="accent1" w:themeShade="7F"/>
      <w:kern w:val="2"/>
      <w:sz w:val="24"/>
      <w:szCs w:val="24"/>
      <w:lang w:val="en-AU"/>
      <w14:ligatures w14:val="standardContextual"/>
    </w:rPr>
  </w:style>
  <w:style w:type="character" w:styleId="Hyperlink">
    <w:name w:val="Hyperlink"/>
    <w:basedOn w:val="DefaultParagraphFont"/>
    <w:uiPriority w:val="99"/>
    <w:unhideWhenUsed/>
    <w:rsid w:val="000F33C5"/>
    <w:rPr>
      <w:color w:val="0000FF"/>
      <w:u w:val="single"/>
    </w:rPr>
  </w:style>
  <w:style w:type="paragraph" w:styleId="ListParagraph">
    <w:name w:val="List Paragraph"/>
    <w:basedOn w:val="Normal"/>
    <w:uiPriority w:val="34"/>
    <w:qFormat/>
    <w:rsid w:val="000F33C5"/>
    <w:pPr>
      <w:spacing w:line="256" w:lineRule="auto"/>
      <w:ind w:left="720"/>
      <w:contextualSpacing/>
    </w:pPr>
    <w:rPr>
      <w:kern w:val="2"/>
      <w:lang w:val="en-AU"/>
      <w14:ligatures w14:val="standardContextual"/>
    </w:rPr>
  </w:style>
  <w:style w:type="character" w:customStyle="1" w:styleId="normaltextrun">
    <w:name w:val="normaltextrun"/>
    <w:basedOn w:val="DefaultParagraphFont"/>
    <w:rsid w:val="000F33C5"/>
  </w:style>
  <w:style w:type="character" w:styleId="LineNumber">
    <w:name w:val="line number"/>
    <w:basedOn w:val="DefaultParagraphFont"/>
    <w:uiPriority w:val="99"/>
    <w:semiHidden/>
    <w:unhideWhenUsed/>
    <w:rsid w:val="0009060E"/>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957F4D"/>
    <w:pPr>
      <w:spacing w:after="0" w:line="240" w:lineRule="auto"/>
    </w:pPr>
  </w:style>
  <w:style w:type="character" w:styleId="CommentReference">
    <w:name w:val="annotation reference"/>
    <w:basedOn w:val="DefaultParagraphFont"/>
    <w:uiPriority w:val="99"/>
    <w:semiHidden/>
    <w:unhideWhenUsed/>
    <w:rsid w:val="00B16DA8"/>
    <w:rPr>
      <w:sz w:val="16"/>
      <w:szCs w:val="16"/>
    </w:rPr>
  </w:style>
  <w:style w:type="paragraph" w:styleId="CommentText">
    <w:name w:val="annotation text"/>
    <w:basedOn w:val="Normal"/>
    <w:link w:val="CommentTextChar"/>
    <w:uiPriority w:val="99"/>
    <w:unhideWhenUsed/>
    <w:rsid w:val="00B16DA8"/>
    <w:pPr>
      <w:spacing w:line="240" w:lineRule="auto"/>
    </w:pPr>
    <w:rPr>
      <w:sz w:val="20"/>
      <w:szCs w:val="20"/>
    </w:rPr>
  </w:style>
  <w:style w:type="character" w:customStyle="1" w:styleId="CommentTextChar">
    <w:name w:val="Comment Text Char"/>
    <w:basedOn w:val="DefaultParagraphFont"/>
    <w:link w:val="CommentText"/>
    <w:uiPriority w:val="99"/>
    <w:rsid w:val="00B16DA8"/>
    <w:rPr>
      <w:sz w:val="20"/>
      <w:szCs w:val="20"/>
    </w:rPr>
  </w:style>
  <w:style w:type="paragraph" w:styleId="CommentSubject">
    <w:name w:val="annotation subject"/>
    <w:basedOn w:val="CommentText"/>
    <w:next w:val="CommentText"/>
    <w:link w:val="CommentSubjectChar"/>
    <w:uiPriority w:val="99"/>
    <w:semiHidden/>
    <w:unhideWhenUsed/>
    <w:rsid w:val="00B16DA8"/>
    <w:rPr>
      <w:b/>
      <w:bCs/>
    </w:rPr>
  </w:style>
  <w:style w:type="character" w:customStyle="1" w:styleId="CommentSubjectChar">
    <w:name w:val="Comment Subject Char"/>
    <w:basedOn w:val="CommentTextChar"/>
    <w:link w:val="CommentSubject"/>
    <w:uiPriority w:val="99"/>
    <w:semiHidden/>
    <w:rsid w:val="00B16DA8"/>
    <w:rPr>
      <w:b/>
      <w:bCs/>
      <w:sz w:val="20"/>
      <w:szCs w:val="20"/>
    </w:rPr>
  </w:style>
  <w:style w:type="paragraph" w:styleId="Header">
    <w:name w:val="header"/>
    <w:basedOn w:val="Normal"/>
    <w:link w:val="HeaderChar"/>
    <w:uiPriority w:val="99"/>
    <w:unhideWhenUsed/>
    <w:rsid w:val="004B6076"/>
    <w:pPr>
      <w:tabs>
        <w:tab w:val="center" w:pos="4252"/>
        <w:tab w:val="right" w:pos="8504"/>
      </w:tabs>
      <w:spacing w:after="0" w:line="240" w:lineRule="auto"/>
    </w:pPr>
  </w:style>
  <w:style w:type="character" w:customStyle="1" w:styleId="HeaderChar">
    <w:name w:val="Header Char"/>
    <w:basedOn w:val="DefaultParagraphFont"/>
    <w:link w:val="Header"/>
    <w:uiPriority w:val="99"/>
    <w:rsid w:val="004B6076"/>
  </w:style>
  <w:style w:type="paragraph" w:styleId="Footer">
    <w:name w:val="footer"/>
    <w:basedOn w:val="Normal"/>
    <w:link w:val="FooterChar"/>
    <w:uiPriority w:val="99"/>
    <w:unhideWhenUsed/>
    <w:rsid w:val="004B6076"/>
    <w:pPr>
      <w:tabs>
        <w:tab w:val="center" w:pos="4252"/>
        <w:tab w:val="right" w:pos="8504"/>
      </w:tabs>
      <w:spacing w:after="0" w:line="240" w:lineRule="auto"/>
    </w:pPr>
  </w:style>
  <w:style w:type="character" w:customStyle="1" w:styleId="FooterChar">
    <w:name w:val="Footer Char"/>
    <w:basedOn w:val="DefaultParagraphFont"/>
    <w:link w:val="Footer"/>
    <w:uiPriority w:val="99"/>
    <w:rsid w:val="004B6076"/>
  </w:style>
  <w:style w:type="character" w:styleId="UnresolvedMention">
    <w:name w:val="Unresolved Mention"/>
    <w:basedOn w:val="DefaultParagraphFont"/>
    <w:uiPriority w:val="99"/>
    <w:semiHidden/>
    <w:unhideWhenUsed/>
    <w:rsid w:val="00822A77"/>
    <w:rPr>
      <w:color w:val="605E5C"/>
      <w:shd w:val="clear" w:color="auto" w:fill="E1DFDD"/>
    </w:rPr>
  </w:style>
  <w:style w:type="paragraph" w:styleId="HTMLPreformatted">
    <w:name w:val="HTML Preformatted"/>
    <w:basedOn w:val="Normal"/>
    <w:link w:val="HTMLPreformattedChar"/>
    <w:uiPriority w:val="99"/>
    <w:semiHidden/>
    <w:unhideWhenUsed/>
    <w:rsid w:val="00BC55D9"/>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BC55D9"/>
    <w:rPr>
      <w:rFonts w:ascii="Consolas" w:hAnsi="Consolas"/>
      <w:sz w:val="20"/>
      <w:szCs w:val="20"/>
    </w:rPr>
  </w:style>
  <w:style w:type="character" w:customStyle="1" w:styleId="eop">
    <w:name w:val="eop"/>
    <w:basedOn w:val="DefaultParagraphFont"/>
    <w:rsid w:val="0084416A"/>
  </w:style>
  <w:style w:type="character" w:styleId="Emphasis">
    <w:name w:val="Emphasis"/>
    <w:basedOn w:val="DefaultParagraphFont"/>
    <w:uiPriority w:val="20"/>
    <w:qFormat/>
    <w:rsid w:val="003F3292"/>
    <w:rPr>
      <w:i/>
      <w:iCs/>
    </w:rPr>
  </w:style>
  <w:style w:type="paragraph" w:styleId="BalloonText">
    <w:name w:val="Balloon Text"/>
    <w:basedOn w:val="Normal"/>
    <w:link w:val="BalloonTextChar"/>
    <w:uiPriority w:val="99"/>
    <w:semiHidden/>
    <w:unhideWhenUsed/>
    <w:rsid w:val="00A90E97"/>
    <w:pPr>
      <w:spacing w:after="0" w:line="240" w:lineRule="auto"/>
    </w:pPr>
    <w:rPr>
      <w:rFonts w:ascii="Arial" w:hAnsi="Arial" w:cs="Arial"/>
      <w:sz w:val="18"/>
      <w:szCs w:val="18"/>
    </w:rPr>
  </w:style>
  <w:style w:type="character" w:customStyle="1" w:styleId="BalloonTextChar">
    <w:name w:val="Balloon Text Char"/>
    <w:basedOn w:val="DefaultParagraphFont"/>
    <w:link w:val="BalloonText"/>
    <w:uiPriority w:val="99"/>
    <w:semiHidden/>
    <w:rsid w:val="00A90E97"/>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072079">
      <w:bodyDiv w:val="1"/>
      <w:marLeft w:val="0"/>
      <w:marRight w:val="0"/>
      <w:marTop w:val="0"/>
      <w:marBottom w:val="0"/>
      <w:divBdr>
        <w:top w:val="none" w:sz="0" w:space="0" w:color="auto"/>
        <w:left w:val="none" w:sz="0" w:space="0" w:color="auto"/>
        <w:bottom w:val="none" w:sz="0" w:space="0" w:color="auto"/>
        <w:right w:val="none" w:sz="0" w:space="0" w:color="auto"/>
      </w:divBdr>
    </w:div>
    <w:div w:id="128014827">
      <w:bodyDiv w:val="1"/>
      <w:marLeft w:val="0"/>
      <w:marRight w:val="0"/>
      <w:marTop w:val="0"/>
      <w:marBottom w:val="0"/>
      <w:divBdr>
        <w:top w:val="none" w:sz="0" w:space="0" w:color="auto"/>
        <w:left w:val="none" w:sz="0" w:space="0" w:color="auto"/>
        <w:bottom w:val="none" w:sz="0" w:space="0" w:color="auto"/>
        <w:right w:val="none" w:sz="0" w:space="0" w:color="auto"/>
      </w:divBdr>
    </w:div>
    <w:div w:id="139274142">
      <w:bodyDiv w:val="1"/>
      <w:marLeft w:val="0"/>
      <w:marRight w:val="0"/>
      <w:marTop w:val="0"/>
      <w:marBottom w:val="0"/>
      <w:divBdr>
        <w:top w:val="none" w:sz="0" w:space="0" w:color="auto"/>
        <w:left w:val="none" w:sz="0" w:space="0" w:color="auto"/>
        <w:bottom w:val="none" w:sz="0" w:space="0" w:color="auto"/>
        <w:right w:val="none" w:sz="0" w:space="0" w:color="auto"/>
      </w:divBdr>
    </w:div>
    <w:div w:id="223761187">
      <w:bodyDiv w:val="1"/>
      <w:marLeft w:val="0"/>
      <w:marRight w:val="0"/>
      <w:marTop w:val="0"/>
      <w:marBottom w:val="0"/>
      <w:divBdr>
        <w:top w:val="none" w:sz="0" w:space="0" w:color="auto"/>
        <w:left w:val="none" w:sz="0" w:space="0" w:color="auto"/>
        <w:bottom w:val="none" w:sz="0" w:space="0" w:color="auto"/>
        <w:right w:val="none" w:sz="0" w:space="0" w:color="auto"/>
      </w:divBdr>
    </w:div>
    <w:div w:id="279262904">
      <w:bodyDiv w:val="1"/>
      <w:marLeft w:val="0"/>
      <w:marRight w:val="0"/>
      <w:marTop w:val="0"/>
      <w:marBottom w:val="0"/>
      <w:divBdr>
        <w:top w:val="none" w:sz="0" w:space="0" w:color="auto"/>
        <w:left w:val="none" w:sz="0" w:space="0" w:color="auto"/>
        <w:bottom w:val="none" w:sz="0" w:space="0" w:color="auto"/>
        <w:right w:val="none" w:sz="0" w:space="0" w:color="auto"/>
      </w:divBdr>
      <w:divsChild>
        <w:div w:id="2018270615">
          <w:marLeft w:val="0"/>
          <w:marRight w:val="0"/>
          <w:marTop w:val="0"/>
          <w:marBottom w:val="0"/>
          <w:divBdr>
            <w:top w:val="none" w:sz="0" w:space="0" w:color="auto"/>
            <w:left w:val="none" w:sz="0" w:space="0" w:color="auto"/>
            <w:bottom w:val="none" w:sz="0" w:space="0" w:color="auto"/>
            <w:right w:val="none" w:sz="0" w:space="0" w:color="auto"/>
          </w:divBdr>
        </w:div>
      </w:divsChild>
    </w:div>
    <w:div w:id="293026958">
      <w:bodyDiv w:val="1"/>
      <w:marLeft w:val="0"/>
      <w:marRight w:val="0"/>
      <w:marTop w:val="0"/>
      <w:marBottom w:val="0"/>
      <w:divBdr>
        <w:top w:val="none" w:sz="0" w:space="0" w:color="auto"/>
        <w:left w:val="none" w:sz="0" w:space="0" w:color="auto"/>
        <w:bottom w:val="none" w:sz="0" w:space="0" w:color="auto"/>
        <w:right w:val="none" w:sz="0" w:space="0" w:color="auto"/>
      </w:divBdr>
      <w:divsChild>
        <w:div w:id="378822135">
          <w:marLeft w:val="0"/>
          <w:marRight w:val="0"/>
          <w:marTop w:val="0"/>
          <w:marBottom w:val="0"/>
          <w:divBdr>
            <w:top w:val="none" w:sz="0" w:space="0" w:color="auto"/>
            <w:left w:val="none" w:sz="0" w:space="0" w:color="auto"/>
            <w:bottom w:val="none" w:sz="0" w:space="0" w:color="auto"/>
            <w:right w:val="none" w:sz="0" w:space="0" w:color="auto"/>
          </w:divBdr>
          <w:divsChild>
            <w:div w:id="2002351550">
              <w:marLeft w:val="0"/>
              <w:marRight w:val="0"/>
              <w:marTop w:val="0"/>
              <w:marBottom w:val="0"/>
              <w:divBdr>
                <w:top w:val="none" w:sz="0" w:space="0" w:color="auto"/>
                <w:left w:val="none" w:sz="0" w:space="0" w:color="auto"/>
                <w:bottom w:val="none" w:sz="0" w:space="0" w:color="auto"/>
                <w:right w:val="none" w:sz="0" w:space="0" w:color="auto"/>
              </w:divBdr>
              <w:divsChild>
                <w:div w:id="28991124">
                  <w:marLeft w:val="0"/>
                  <w:marRight w:val="0"/>
                  <w:marTop w:val="0"/>
                  <w:marBottom w:val="0"/>
                  <w:divBdr>
                    <w:top w:val="none" w:sz="0" w:space="0" w:color="auto"/>
                    <w:left w:val="none" w:sz="0" w:space="0" w:color="auto"/>
                    <w:bottom w:val="none" w:sz="0" w:space="0" w:color="auto"/>
                    <w:right w:val="none" w:sz="0" w:space="0" w:color="auto"/>
                  </w:divBdr>
                  <w:divsChild>
                    <w:div w:id="1906835526">
                      <w:marLeft w:val="0"/>
                      <w:marRight w:val="0"/>
                      <w:marTop w:val="0"/>
                      <w:marBottom w:val="0"/>
                      <w:divBdr>
                        <w:top w:val="none" w:sz="0" w:space="0" w:color="auto"/>
                        <w:left w:val="none" w:sz="0" w:space="0" w:color="auto"/>
                        <w:bottom w:val="none" w:sz="0" w:space="0" w:color="auto"/>
                        <w:right w:val="none" w:sz="0" w:space="0" w:color="auto"/>
                      </w:divBdr>
                      <w:divsChild>
                        <w:div w:id="906574948">
                          <w:marLeft w:val="0"/>
                          <w:marRight w:val="0"/>
                          <w:marTop w:val="0"/>
                          <w:marBottom w:val="0"/>
                          <w:divBdr>
                            <w:top w:val="none" w:sz="0" w:space="0" w:color="auto"/>
                            <w:left w:val="none" w:sz="0" w:space="0" w:color="auto"/>
                            <w:bottom w:val="none" w:sz="0" w:space="0" w:color="auto"/>
                            <w:right w:val="none" w:sz="0" w:space="0" w:color="auto"/>
                          </w:divBdr>
                          <w:divsChild>
                            <w:div w:id="1062561841">
                              <w:marLeft w:val="0"/>
                              <w:marRight w:val="0"/>
                              <w:marTop w:val="0"/>
                              <w:marBottom w:val="0"/>
                              <w:divBdr>
                                <w:top w:val="none" w:sz="0" w:space="0" w:color="auto"/>
                                <w:left w:val="none" w:sz="0" w:space="0" w:color="auto"/>
                                <w:bottom w:val="none" w:sz="0" w:space="0" w:color="auto"/>
                                <w:right w:val="none" w:sz="0" w:space="0" w:color="auto"/>
                              </w:divBdr>
                              <w:divsChild>
                                <w:div w:id="678580611">
                                  <w:marLeft w:val="0"/>
                                  <w:marRight w:val="0"/>
                                  <w:marTop w:val="0"/>
                                  <w:marBottom w:val="0"/>
                                  <w:divBdr>
                                    <w:top w:val="none" w:sz="0" w:space="0" w:color="auto"/>
                                    <w:left w:val="none" w:sz="0" w:space="0" w:color="auto"/>
                                    <w:bottom w:val="none" w:sz="0" w:space="0" w:color="auto"/>
                                    <w:right w:val="none" w:sz="0" w:space="0" w:color="auto"/>
                                  </w:divBdr>
                                  <w:divsChild>
                                    <w:div w:id="942810623">
                                      <w:marLeft w:val="0"/>
                                      <w:marRight w:val="0"/>
                                      <w:marTop w:val="0"/>
                                      <w:marBottom w:val="0"/>
                                      <w:divBdr>
                                        <w:top w:val="none" w:sz="0" w:space="0" w:color="auto"/>
                                        <w:left w:val="none" w:sz="0" w:space="0" w:color="auto"/>
                                        <w:bottom w:val="none" w:sz="0" w:space="0" w:color="auto"/>
                                        <w:right w:val="none" w:sz="0" w:space="0" w:color="auto"/>
                                      </w:divBdr>
                                    </w:div>
                                    <w:div w:id="46419904">
                                      <w:marLeft w:val="0"/>
                                      <w:marRight w:val="0"/>
                                      <w:marTop w:val="0"/>
                                      <w:marBottom w:val="0"/>
                                      <w:divBdr>
                                        <w:top w:val="none" w:sz="0" w:space="0" w:color="auto"/>
                                        <w:left w:val="none" w:sz="0" w:space="0" w:color="auto"/>
                                        <w:bottom w:val="none" w:sz="0" w:space="0" w:color="auto"/>
                                        <w:right w:val="none" w:sz="0" w:space="0" w:color="auto"/>
                                      </w:divBdr>
                                      <w:divsChild>
                                        <w:div w:id="1321689805">
                                          <w:marLeft w:val="0"/>
                                          <w:marRight w:val="165"/>
                                          <w:marTop w:val="150"/>
                                          <w:marBottom w:val="0"/>
                                          <w:divBdr>
                                            <w:top w:val="none" w:sz="0" w:space="0" w:color="auto"/>
                                            <w:left w:val="none" w:sz="0" w:space="0" w:color="auto"/>
                                            <w:bottom w:val="none" w:sz="0" w:space="0" w:color="auto"/>
                                            <w:right w:val="none" w:sz="0" w:space="0" w:color="auto"/>
                                          </w:divBdr>
                                          <w:divsChild>
                                            <w:div w:id="867791685">
                                              <w:marLeft w:val="0"/>
                                              <w:marRight w:val="0"/>
                                              <w:marTop w:val="0"/>
                                              <w:marBottom w:val="0"/>
                                              <w:divBdr>
                                                <w:top w:val="none" w:sz="0" w:space="0" w:color="auto"/>
                                                <w:left w:val="none" w:sz="0" w:space="0" w:color="auto"/>
                                                <w:bottom w:val="none" w:sz="0" w:space="0" w:color="auto"/>
                                                <w:right w:val="none" w:sz="0" w:space="0" w:color="auto"/>
                                              </w:divBdr>
                                              <w:divsChild>
                                                <w:div w:id="108102979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6489723">
      <w:bodyDiv w:val="1"/>
      <w:marLeft w:val="0"/>
      <w:marRight w:val="0"/>
      <w:marTop w:val="0"/>
      <w:marBottom w:val="0"/>
      <w:divBdr>
        <w:top w:val="none" w:sz="0" w:space="0" w:color="auto"/>
        <w:left w:val="none" w:sz="0" w:space="0" w:color="auto"/>
        <w:bottom w:val="none" w:sz="0" w:space="0" w:color="auto"/>
        <w:right w:val="none" w:sz="0" w:space="0" w:color="auto"/>
      </w:divBdr>
    </w:div>
    <w:div w:id="542211155">
      <w:bodyDiv w:val="1"/>
      <w:marLeft w:val="0"/>
      <w:marRight w:val="0"/>
      <w:marTop w:val="0"/>
      <w:marBottom w:val="0"/>
      <w:divBdr>
        <w:top w:val="none" w:sz="0" w:space="0" w:color="auto"/>
        <w:left w:val="none" w:sz="0" w:space="0" w:color="auto"/>
        <w:bottom w:val="none" w:sz="0" w:space="0" w:color="auto"/>
        <w:right w:val="none" w:sz="0" w:space="0" w:color="auto"/>
      </w:divBdr>
    </w:div>
    <w:div w:id="652610614">
      <w:bodyDiv w:val="1"/>
      <w:marLeft w:val="0"/>
      <w:marRight w:val="0"/>
      <w:marTop w:val="0"/>
      <w:marBottom w:val="0"/>
      <w:divBdr>
        <w:top w:val="none" w:sz="0" w:space="0" w:color="auto"/>
        <w:left w:val="none" w:sz="0" w:space="0" w:color="auto"/>
        <w:bottom w:val="none" w:sz="0" w:space="0" w:color="auto"/>
        <w:right w:val="none" w:sz="0" w:space="0" w:color="auto"/>
      </w:divBdr>
    </w:div>
    <w:div w:id="827866303">
      <w:bodyDiv w:val="1"/>
      <w:marLeft w:val="0"/>
      <w:marRight w:val="0"/>
      <w:marTop w:val="0"/>
      <w:marBottom w:val="0"/>
      <w:divBdr>
        <w:top w:val="none" w:sz="0" w:space="0" w:color="auto"/>
        <w:left w:val="none" w:sz="0" w:space="0" w:color="auto"/>
        <w:bottom w:val="none" w:sz="0" w:space="0" w:color="auto"/>
        <w:right w:val="none" w:sz="0" w:space="0" w:color="auto"/>
      </w:divBdr>
    </w:div>
    <w:div w:id="1163204300">
      <w:bodyDiv w:val="1"/>
      <w:marLeft w:val="0"/>
      <w:marRight w:val="0"/>
      <w:marTop w:val="0"/>
      <w:marBottom w:val="0"/>
      <w:divBdr>
        <w:top w:val="none" w:sz="0" w:space="0" w:color="auto"/>
        <w:left w:val="none" w:sz="0" w:space="0" w:color="auto"/>
        <w:bottom w:val="none" w:sz="0" w:space="0" w:color="auto"/>
        <w:right w:val="none" w:sz="0" w:space="0" w:color="auto"/>
      </w:divBdr>
      <w:divsChild>
        <w:div w:id="312834990">
          <w:marLeft w:val="0"/>
          <w:marRight w:val="0"/>
          <w:marTop w:val="0"/>
          <w:marBottom w:val="0"/>
          <w:divBdr>
            <w:top w:val="none" w:sz="0" w:space="0" w:color="auto"/>
            <w:left w:val="none" w:sz="0" w:space="0" w:color="auto"/>
            <w:bottom w:val="none" w:sz="0" w:space="0" w:color="auto"/>
            <w:right w:val="none" w:sz="0" w:space="0" w:color="auto"/>
          </w:divBdr>
        </w:div>
        <w:div w:id="1581135390">
          <w:marLeft w:val="0"/>
          <w:marRight w:val="0"/>
          <w:marTop w:val="0"/>
          <w:marBottom w:val="0"/>
          <w:divBdr>
            <w:top w:val="none" w:sz="0" w:space="0" w:color="auto"/>
            <w:left w:val="none" w:sz="0" w:space="0" w:color="auto"/>
            <w:bottom w:val="none" w:sz="0" w:space="0" w:color="auto"/>
            <w:right w:val="none" w:sz="0" w:space="0" w:color="auto"/>
          </w:divBdr>
        </w:div>
      </w:divsChild>
    </w:div>
    <w:div w:id="1180781699">
      <w:bodyDiv w:val="1"/>
      <w:marLeft w:val="0"/>
      <w:marRight w:val="0"/>
      <w:marTop w:val="0"/>
      <w:marBottom w:val="0"/>
      <w:divBdr>
        <w:top w:val="none" w:sz="0" w:space="0" w:color="auto"/>
        <w:left w:val="none" w:sz="0" w:space="0" w:color="auto"/>
        <w:bottom w:val="none" w:sz="0" w:space="0" w:color="auto"/>
        <w:right w:val="none" w:sz="0" w:space="0" w:color="auto"/>
      </w:divBdr>
    </w:div>
    <w:div w:id="1235774548">
      <w:bodyDiv w:val="1"/>
      <w:marLeft w:val="0"/>
      <w:marRight w:val="0"/>
      <w:marTop w:val="0"/>
      <w:marBottom w:val="0"/>
      <w:divBdr>
        <w:top w:val="none" w:sz="0" w:space="0" w:color="auto"/>
        <w:left w:val="none" w:sz="0" w:space="0" w:color="auto"/>
        <w:bottom w:val="none" w:sz="0" w:space="0" w:color="auto"/>
        <w:right w:val="none" w:sz="0" w:space="0" w:color="auto"/>
      </w:divBdr>
    </w:div>
    <w:div w:id="1251429821">
      <w:bodyDiv w:val="1"/>
      <w:marLeft w:val="0"/>
      <w:marRight w:val="0"/>
      <w:marTop w:val="0"/>
      <w:marBottom w:val="0"/>
      <w:divBdr>
        <w:top w:val="none" w:sz="0" w:space="0" w:color="auto"/>
        <w:left w:val="none" w:sz="0" w:space="0" w:color="auto"/>
        <w:bottom w:val="none" w:sz="0" w:space="0" w:color="auto"/>
        <w:right w:val="none" w:sz="0" w:space="0" w:color="auto"/>
      </w:divBdr>
    </w:div>
    <w:div w:id="1345091938">
      <w:bodyDiv w:val="1"/>
      <w:marLeft w:val="0"/>
      <w:marRight w:val="0"/>
      <w:marTop w:val="0"/>
      <w:marBottom w:val="0"/>
      <w:divBdr>
        <w:top w:val="none" w:sz="0" w:space="0" w:color="auto"/>
        <w:left w:val="none" w:sz="0" w:space="0" w:color="auto"/>
        <w:bottom w:val="none" w:sz="0" w:space="0" w:color="auto"/>
        <w:right w:val="none" w:sz="0" w:space="0" w:color="auto"/>
      </w:divBdr>
      <w:divsChild>
        <w:div w:id="1684865566">
          <w:marLeft w:val="0"/>
          <w:marRight w:val="0"/>
          <w:marTop w:val="0"/>
          <w:marBottom w:val="0"/>
          <w:divBdr>
            <w:top w:val="none" w:sz="0" w:space="0" w:color="auto"/>
            <w:left w:val="none" w:sz="0" w:space="0" w:color="auto"/>
            <w:bottom w:val="none" w:sz="0" w:space="0" w:color="auto"/>
            <w:right w:val="none" w:sz="0" w:space="0" w:color="auto"/>
          </w:divBdr>
        </w:div>
        <w:div w:id="1012880615">
          <w:marLeft w:val="0"/>
          <w:marRight w:val="0"/>
          <w:marTop w:val="0"/>
          <w:marBottom w:val="0"/>
          <w:divBdr>
            <w:top w:val="none" w:sz="0" w:space="0" w:color="auto"/>
            <w:left w:val="none" w:sz="0" w:space="0" w:color="auto"/>
            <w:bottom w:val="none" w:sz="0" w:space="0" w:color="auto"/>
            <w:right w:val="none" w:sz="0" w:space="0" w:color="auto"/>
          </w:divBdr>
        </w:div>
      </w:divsChild>
    </w:div>
    <w:div w:id="1351027632">
      <w:bodyDiv w:val="1"/>
      <w:marLeft w:val="0"/>
      <w:marRight w:val="0"/>
      <w:marTop w:val="0"/>
      <w:marBottom w:val="0"/>
      <w:divBdr>
        <w:top w:val="none" w:sz="0" w:space="0" w:color="auto"/>
        <w:left w:val="none" w:sz="0" w:space="0" w:color="auto"/>
        <w:bottom w:val="none" w:sz="0" w:space="0" w:color="auto"/>
        <w:right w:val="none" w:sz="0" w:space="0" w:color="auto"/>
      </w:divBdr>
      <w:divsChild>
        <w:div w:id="1804540979">
          <w:marLeft w:val="0"/>
          <w:marRight w:val="0"/>
          <w:marTop w:val="0"/>
          <w:marBottom w:val="0"/>
          <w:divBdr>
            <w:top w:val="none" w:sz="0" w:space="0" w:color="auto"/>
            <w:left w:val="none" w:sz="0" w:space="0" w:color="auto"/>
            <w:bottom w:val="none" w:sz="0" w:space="0" w:color="auto"/>
            <w:right w:val="none" w:sz="0" w:space="0" w:color="auto"/>
          </w:divBdr>
        </w:div>
      </w:divsChild>
    </w:div>
    <w:div w:id="1630940529">
      <w:bodyDiv w:val="1"/>
      <w:marLeft w:val="0"/>
      <w:marRight w:val="0"/>
      <w:marTop w:val="0"/>
      <w:marBottom w:val="0"/>
      <w:divBdr>
        <w:top w:val="none" w:sz="0" w:space="0" w:color="auto"/>
        <w:left w:val="none" w:sz="0" w:space="0" w:color="auto"/>
        <w:bottom w:val="none" w:sz="0" w:space="0" w:color="auto"/>
        <w:right w:val="none" w:sz="0" w:space="0" w:color="auto"/>
      </w:divBdr>
    </w:div>
    <w:div w:id="1728990966">
      <w:bodyDiv w:val="1"/>
      <w:marLeft w:val="0"/>
      <w:marRight w:val="0"/>
      <w:marTop w:val="0"/>
      <w:marBottom w:val="0"/>
      <w:divBdr>
        <w:top w:val="none" w:sz="0" w:space="0" w:color="auto"/>
        <w:left w:val="none" w:sz="0" w:space="0" w:color="auto"/>
        <w:bottom w:val="none" w:sz="0" w:space="0" w:color="auto"/>
        <w:right w:val="none" w:sz="0" w:space="0" w:color="auto"/>
      </w:divBdr>
    </w:div>
    <w:div w:id="1790585887">
      <w:bodyDiv w:val="1"/>
      <w:marLeft w:val="0"/>
      <w:marRight w:val="0"/>
      <w:marTop w:val="0"/>
      <w:marBottom w:val="0"/>
      <w:divBdr>
        <w:top w:val="none" w:sz="0" w:space="0" w:color="auto"/>
        <w:left w:val="none" w:sz="0" w:space="0" w:color="auto"/>
        <w:bottom w:val="none" w:sz="0" w:space="0" w:color="auto"/>
        <w:right w:val="none" w:sz="0" w:space="0" w:color="auto"/>
      </w:divBdr>
    </w:div>
    <w:div w:id="1839804180">
      <w:bodyDiv w:val="1"/>
      <w:marLeft w:val="0"/>
      <w:marRight w:val="0"/>
      <w:marTop w:val="0"/>
      <w:marBottom w:val="0"/>
      <w:divBdr>
        <w:top w:val="none" w:sz="0" w:space="0" w:color="auto"/>
        <w:left w:val="none" w:sz="0" w:space="0" w:color="auto"/>
        <w:bottom w:val="none" w:sz="0" w:space="0" w:color="auto"/>
        <w:right w:val="none" w:sz="0" w:space="0" w:color="auto"/>
      </w:divBdr>
      <w:divsChild>
        <w:div w:id="1556432349">
          <w:marLeft w:val="0"/>
          <w:marRight w:val="0"/>
          <w:marTop w:val="0"/>
          <w:marBottom w:val="0"/>
          <w:divBdr>
            <w:top w:val="none" w:sz="0" w:space="0" w:color="auto"/>
            <w:left w:val="none" w:sz="0" w:space="0" w:color="auto"/>
            <w:bottom w:val="none" w:sz="0" w:space="0" w:color="auto"/>
            <w:right w:val="none" w:sz="0" w:space="0" w:color="auto"/>
          </w:divBdr>
          <w:divsChild>
            <w:div w:id="1352222737">
              <w:marLeft w:val="0"/>
              <w:marRight w:val="0"/>
              <w:marTop w:val="0"/>
              <w:marBottom w:val="0"/>
              <w:divBdr>
                <w:top w:val="none" w:sz="0" w:space="0" w:color="auto"/>
                <w:left w:val="none" w:sz="0" w:space="0" w:color="auto"/>
                <w:bottom w:val="none" w:sz="0" w:space="0" w:color="auto"/>
                <w:right w:val="none" w:sz="0" w:space="0" w:color="auto"/>
              </w:divBdr>
              <w:divsChild>
                <w:div w:id="945577929">
                  <w:marLeft w:val="0"/>
                  <w:marRight w:val="0"/>
                  <w:marTop w:val="0"/>
                  <w:marBottom w:val="0"/>
                  <w:divBdr>
                    <w:top w:val="none" w:sz="0" w:space="0" w:color="auto"/>
                    <w:left w:val="none" w:sz="0" w:space="0" w:color="auto"/>
                    <w:bottom w:val="none" w:sz="0" w:space="0" w:color="auto"/>
                    <w:right w:val="none" w:sz="0" w:space="0" w:color="auto"/>
                  </w:divBdr>
                  <w:divsChild>
                    <w:div w:id="1513178065">
                      <w:marLeft w:val="0"/>
                      <w:marRight w:val="0"/>
                      <w:marTop w:val="0"/>
                      <w:marBottom w:val="0"/>
                      <w:divBdr>
                        <w:top w:val="none" w:sz="0" w:space="0" w:color="auto"/>
                        <w:left w:val="none" w:sz="0" w:space="0" w:color="auto"/>
                        <w:bottom w:val="none" w:sz="0" w:space="0" w:color="auto"/>
                        <w:right w:val="none" w:sz="0" w:space="0" w:color="auto"/>
                      </w:divBdr>
                      <w:divsChild>
                        <w:div w:id="382486242">
                          <w:marLeft w:val="0"/>
                          <w:marRight w:val="0"/>
                          <w:marTop w:val="0"/>
                          <w:marBottom w:val="0"/>
                          <w:divBdr>
                            <w:top w:val="none" w:sz="0" w:space="0" w:color="auto"/>
                            <w:left w:val="none" w:sz="0" w:space="0" w:color="auto"/>
                            <w:bottom w:val="none" w:sz="0" w:space="0" w:color="auto"/>
                            <w:right w:val="none" w:sz="0" w:space="0" w:color="auto"/>
                          </w:divBdr>
                          <w:divsChild>
                            <w:div w:id="1337803691">
                              <w:marLeft w:val="0"/>
                              <w:marRight w:val="0"/>
                              <w:marTop w:val="0"/>
                              <w:marBottom w:val="0"/>
                              <w:divBdr>
                                <w:top w:val="none" w:sz="0" w:space="0" w:color="auto"/>
                                <w:left w:val="none" w:sz="0" w:space="0" w:color="auto"/>
                                <w:bottom w:val="none" w:sz="0" w:space="0" w:color="auto"/>
                                <w:right w:val="none" w:sz="0" w:space="0" w:color="auto"/>
                              </w:divBdr>
                              <w:divsChild>
                                <w:div w:id="885408738">
                                  <w:marLeft w:val="0"/>
                                  <w:marRight w:val="0"/>
                                  <w:marTop w:val="0"/>
                                  <w:marBottom w:val="0"/>
                                  <w:divBdr>
                                    <w:top w:val="none" w:sz="0" w:space="0" w:color="auto"/>
                                    <w:left w:val="none" w:sz="0" w:space="0" w:color="auto"/>
                                    <w:bottom w:val="none" w:sz="0" w:space="0" w:color="auto"/>
                                    <w:right w:val="none" w:sz="0" w:space="0" w:color="auto"/>
                                  </w:divBdr>
                                  <w:divsChild>
                                    <w:div w:id="1092359103">
                                      <w:marLeft w:val="0"/>
                                      <w:marRight w:val="0"/>
                                      <w:marTop w:val="0"/>
                                      <w:marBottom w:val="0"/>
                                      <w:divBdr>
                                        <w:top w:val="none" w:sz="0" w:space="0" w:color="auto"/>
                                        <w:left w:val="none" w:sz="0" w:space="0" w:color="auto"/>
                                        <w:bottom w:val="none" w:sz="0" w:space="0" w:color="auto"/>
                                        <w:right w:val="none" w:sz="0" w:space="0" w:color="auto"/>
                                      </w:divBdr>
                                    </w:div>
                                    <w:div w:id="1742175946">
                                      <w:marLeft w:val="0"/>
                                      <w:marRight w:val="0"/>
                                      <w:marTop w:val="0"/>
                                      <w:marBottom w:val="0"/>
                                      <w:divBdr>
                                        <w:top w:val="none" w:sz="0" w:space="0" w:color="auto"/>
                                        <w:left w:val="none" w:sz="0" w:space="0" w:color="auto"/>
                                        <w:bottom w:val="none" w:sz="0" w:space="0" w:color="auto"/>
                                        <w:right w:val="none" w:sz="0" w:space="0" w:color="auto"/>
                                      </w:divBdr>
                                      <w:divsChild>
                                        <w:div w:id="1994946591">
                                          <w:marLeft w:val="0"/>
                                          <w:marRight w:val="165"/>
                                          <w:marTop w:val="150"/>
                                          <w:marBottom w:val="0"/>
                                          <w:divBdr>
                                            <w:top w:val="none" w:sz="0" w:space="0" w:color="auto"/>
                                            <w:left w:val="none" w:sz="0" w:space="0" w:color="auto"/>
                                            <w:bottom w:val="none" w:sz="0" w:space="0" w:color="auto"/>
                                            <w:right w:val="none" w:sz="0" w:space="0" w:color="auto"/>
                                          </w:divBdr>
                                          <w:divsChild>
                                            <w:div w:id="736703014">
                                              <w:marLeft w:val="0"/>
                                              <w:marRight w:val="0"/>
                                              <w:marTop w:val="0"/>
                                              <w:marBottom w:val="0"/>
                                              <w:divBdr>
                                                <w:top w:val="none" w:sz="0" w:space="0" w:color="auto"/>
                                                <w:left w:val="none" w:sz="0" w:space="0" w:color="auto"/>
                                                <w:bottom w:val="none" w:sz="0" w:space="0" w:color="auto"/>
                                                <w:right w:val="none" w:sz="0" w:space="0" w:color="auto"/>
                                              </w:divBdr>
                                              <w:divsChild>
                                                <w:div w:id="22769475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3951696">
      <w:bodyDiv w:val="1"/>
      <w:marLeft w:val="0"/>
      <w:marRight w:val="0"/>
      <w:marTop w:val="0"/>
      <w:marBottom w:val="0"/>
      <w:divBdr>
        <w:top w:val="none" w:sz="0" w:space="0" w:color="auto"/>
        <w:left w:val="none" w:sz="0" w:space="0" w:color="auto"/>
        <w:bottom w:val="none" w:sz="0" w:space="0" w:color="auto"/>
        <w:right w:val="none" w:sz="0" w:space="0" w:color="auto"/>
      </w:divBdr>
    </w:div>
    <w:div w:id="1924336412">
      <w:bodyDiv w:val="1"/>
      <w:marLeft w:val="0"/>
      <w:marRight w:val="0"/>
      <w:marTop w:val="0"/>
      <w:marBottom w:val="0"/>
      <w:divBdr>
        <w:top w:val="none" w:sz="0" w:space="0" w:color="auto"/>
        <w:left w:val="none" w:sz="0" w:space="0" w:color="auto"/>
        <w:bottom w:val="none" w:sz="0" w:space="0" w:color="auto"/>
        <w:right w:val="none" w:sz="0" w:space="0" w:color="auto"/>
      </w:divBdr>
    </w:div>
    <w:div w:id="2075154272">
      <w:bodyDiv w:val="1"/>
      <w:marLeft w:val="0"/>
      <w:marRight w:val="0"/>
      <w:marTop w:val="0"/>
      <w:marBottom w:val="0"/>
      <w:divBdr>
        <w:top w:val="none" w:sz="0" w:space="0" w:color="auto"/>
        <w:left w:val="none" w:sz="0" w:space="0" w:color="auto"/>
        <w:bottom w:val="none" w:sz="0" w:space="0" w:color="auto"/>
        <w:right w:val="none" w:sz="0" w:space="0" w:color="auto"/>
      </w:divBdr>
    </w:div>
    <w:div w:id="2128696116">
      <w:bodyDiv w:val="1"/>
      <w:marLeft w:val="0"/>
      <w:marRight w:val="0"/>
      <w:marTop w:val="0"/>
      <w:marBottom w:val="0"/>
      <w:divBdr>
        <w:top w:val="none" w:sz="0" w:space="0" w:color="auto"/>
        <w:left w:val="none" w:sz="0" w:space="0" w:color="auto"/>
        <w:bottom w:val="none" w:sz="0" w:space="0" w:color="auto"/>
        <w:right w:val="none" w:sz="0" w:space="0" w:color="auto"/>
      </w:divBdr>
    </w:div>
    <w:div w:id="2142571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ittaro.gabriela@inta.gob.ar" TargetMode="External"/><Relationship Id="rId13" Type="http://schemas.openxmlformats.org/officeDocument/2006/relationships/hyperlink" Target="https://doi.org/10.1111/j.1365-2494.2011.00806.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palaeo-electronica.org/2001_1/past/issue1_01.htm" TargetMode="External"/><Relationship Id="rId17" Type="http://schemas.openxmlformats.org/officeDocument/2006/relationships/image" Target="media/image4.tiff"/><Relationship Id="rId2" Type="http://schemas.openxmlformats.org/officeDocument/2006/relationships/numbering" Target="numbering.xml"/><Relationship Id="rId16" Type="http://schemas.openxmlformats.org/officeDocument/2006/relationships/image" Target="media/image3.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ntnet.rbgsyd.nsw.gov.au/cgi-bin/NSWfl.pl?page=nswfl&amp;lvl=gn&amp;name=Cenchrus" TargetMode="External"/><Relationship Id="rId5" Type="http://schemas.openxmlformats.org/officeDocument/2006/relationships/webSettings" Target="webSettings.xml"/><Relationship Id="rId15" Type="http://schemas.openxmlformats.org/officeDocument/2006/relationships/image" Target="media/image2.tiff"/><Relationship Id="rId10" Type="http://schemas.openxmlformats.org/officeDocument/2006/relationships/hyperlink" Target="https://plantnet.rbgsyd.nsw.gov.au/cgi-bin/NSWfl.pl?page=nswfl&amp;lvl=gn&amp;name=Cenchru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ntnet.rbgsyd.nsw.gov.au/cgi-bin/NSWfl.pl?page=nswfl&amp;lvl=gn&amp;name=Cenchrus" TargetMode="External"/><Relationship Id="rId14" Type="http://schemas.openxmlformats.org/officeDocument/2006/relationships/image" Target="media/image1.ti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F78317E-6DF9-924C-B9B6-8F5DBE36C1CB}">
  <we:reference id="wa200001361" version="2.129.3.0" store="en-US" storeType="OMEX"/>
  <we:alternateReferences>
    <we:reference id="wa200001361" version="2.129.3.0" store="WA200001361" storeType="OMEX"/>
  </we:alternateReferences>
  <we:properties>
    <we:property name="paperpal-document-id" value="&quot;151e30e3-f0f1-472d-83eb-5198a281025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A726DF-C256-4944-A62E-70FC26B8946B}">
  <ds:schemaRefs>
    <ds:schemaRef ds:uri="http://schemas.openxmlformats.org/officeDocument/2006/bibliography"/>
  </ds:schemaRefs>
</ds:datastoreItem>
</file>

<file path=docMetadata/LabelInfo.xml><?xml version="1.0" encoding="utf-8"?>
<clbl:labelList xmlns:clbl="http://schemas.microsoft.com/office/2020/mipLabelMetadata">
  <clbl:label id="{75d6cc78-71b9-42e6-aa2a-b9889a0f080f}" enabled="0" method="" siteId="{75d6cc78-71b9-42e6-aa2a-b9889a0f080f}" removed="1"/>
</clbl:labelList>
</file>

<file path=docProps/app.xml><?xml version="1.0" encoding="utf-8"?>
<Properties xmlns="http://schemas.openxmlformats.org/officeDocument/2006/extended-properties" xmlns:vt="http://schemas.openxmlformats.org/officeDocument/2006/docPropsVTypes">
  <Template>Normal</Template>
  <TotalTime>21</TotalTime>
  <Pages>38</Pages>
  <Words>19804</Words>
  <Characters>112885</Characters>
  <Application>Microsoft Office Word</Application>
  <DocSecurity>0</DocSecurity>
  <Lines>940</Lines>
  <Paragraphs>264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UDESC</Company>
  <LinksUpToDate>false</LinksUpToDate>
  <CharactersWithSpaces>132425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Gabriela Pittaro</dc:creator>
  <cp:keywords/>
  <dc:description/>
  <cp:lastModifiedBy>Alison Sage</cp:lastModifiedBy>
  <cp:revision>28</cp:revision>
  <dcterms:created xsi:type="dcterms:W3CDTF">2025-02-17T10:13:00Z</dcterms:created>
  <dcterms:modified xsi:type="dcterms:W3CDTF">2025-02-17T10:38:00Z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zotero-version="6.0.30"&gt;&lt;session id="7webx1KY"/&gt;&lt;style id="http://www.zotero.org/styles/cambridge-university-press-author-date-cambridge-a" hasBibliography="1" bibliographyStyleHasBeenSet="1"/&gt;&lt;prefs&gt;&lt;pref name="fieldType" value="Fi</vt:lpwstr>
  </property>
  <property fmtid="{D5CDD505-2E9C-101B-9397-08002B2CF9AE}" pid="3" name="ZOTERO_PREF_2">
    <vt:lpwstr>eld"/&gt;&lt;/prefs&gt;&lt;/data&gt;</vt:lpwstr>
  </property>
</Properties>
</file>