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7305" w14:textId="77777777" w:rsidR="00022AE3" w:rsidRDefault="00022AE3" w:rsidP="00022AE3">
      <w:pPr>
        <w:jc w:val="both"/>
        <w:rPr>
          <w:rFonts w:ascii="Times New Roman" w:hAnsi="Times New Roman" w:cs="Times New Roman"/>
          <w:i/>
          <w:iCs/>
        </w:rPr>
      </w:pPr>
      <w:r w:rsidRPr="007F2578">
        <w:rPr>
          <w:rFonts w:ascii="Times New Roman" w:hAnsi="Times New Roman" w:cs="Times New Roman"/>
          <w:i/>
          <w:iCs/>
        </w:rPr>
        <w:t>Captions</w:t>
      </w:r>
    </w:p>
    <w:p w14:paraId="79113ABD" w14:textId="77777777" w:rsidR="00022AE3" w:rsidRDefault="00022AE3" w:rsidP="00022AE3">
      <w:pPr>
        <w:jc w:val="both"/>
        <w:rPr>
          <w:rFonts w:ascii="Times New Roman" w:hAnsi="Times New Roman" w:cs="Times New Roman"/>
          <w:i/>
          <w:iCs/>
        </w:rPr>
      </w:pPr>
    </w:p>
    <w:p w14:paraId="25076025" w14:textId="77777777" w:rsidR="00022AE3" w:rsidRPr="00673852" w:rsidRDefault="00022AE3" w:rsidP="00022AE3">
      <w:pPr>
        <w:jc w:val="both"/>
        <w:rPr>
          <w:rFonts w:ascii="Times New Roman" w:hAnsi="Times New Roman" w:cs="Times New Roman"/>
        </w:rPr>
      </w:pPr>
      <w:r w:rsidRPr="00673852">
        <w:rPr>
          <w:rFonts w:ascii="Times New Roman" w:hAnsi="Times New Roman" w:cs="Times New Roman"/>
        </w:rPr>
        <w:t>Figure 1: Tiglath-pileser I and Shalmaneser III’s rock reliefs (Schachner 2009: figs. 184 and 189)</w:t>
      </w:r>
    </w:p>
    <w:p w14:paraId="27002C1B" w14:textId="77777777" w:rsidR="00022AE3" w:rsidRPr="00673852" w:rsidRDefault="00022AE3" w:rsidP="00022AE3">
      <w:pPr>
        <w:jc w:val="both"/>
        <w:rPr>
          <w:rFonts w:ascii="Times New Roman" w:hAnsi="Times New Roman" w:cs="Times New Roman"/>
        </w:rPr>
      </w:pPr>
    </w:p>
    <w:p w14:paraId="4CA8D848" w14:textId="77777777" w:rsidR="00022AE3" w:rsidRPr="00673852" w:rsidRDefault="00022AE3" w:rsidP="00022AE3">
      <w:pPr>
        <w:jc w:val="both"/>
        <w:rPr>
          <w:rFonts w:ascii="Times New Roman" w:hAnsi="Times New Roman" w:cs="Times New Roman"/>
        </w:rPr>
      </w:pPr>
      <w:r w:rsidRPr="00673852">
        <w:rPr>
          <w:rFonts w:ascii="Times New Roman" w:hAnsi="Times New Roman" w:cs="Times New Roman"/>
        </w:rPr>
        <w:t xml:space="preserve">Figure 2: Detail of the </w:t>
      </w:r>
      <w:r>
        <w:rPr>
          <w:rFonts w:ascii="Times New Roman" w:hAnsi="Times New Roman" w:cs="Times New Roman"/>
        </w:rPr>
        <w:t xml:space="preserve">stele </w:t>
      </w:r>
      <w:r w:rsidRPr="00673852">
        <w:rPr>
          <w:rFonts w:ascii="Times New Roman" w:hAnsi="Times New Roman" w:cs="Times New Roman"/>
        </w:rPr>
        <w:t>of Ashurnasirpal II (</w:t>
      </w:r>
      <w:r w:rsidRPr="00FB4DC0">
        <w:rPr>
          <w:rFonts w:ascii="Times New Roman" w:hAnsi="Times New Roman" w:cs="Times New Roman"/>
        </w:rPr>
        <w:t>© The Trustees of the British Museum</w:t>
      </w:r>
      <w:r>
        <w:rPr>
          <w:rFonts w:ascii="Times New Roman" w:hAnsi="Times New Roman" w:cs="Times New Roman"/>
        </w:rPr>
        <w:t>; Museum number</w:t>
      </w:r>
      <w:r w:rsidRPr="00673852">
        <w:rPr>
          <w:rFonts w:ascii="Times New Roman" w:hAnsi="Times New Roman" w:cs="Times New Roman"/>
        </w:rPr>
        <w:t xml:space="preserve"> 118805)</w:t>
      </w:r>
    </w:p>
    <w:p w14:paraId="047E1F25" w14:textId="77777777" w:rsidR="00022AE3" w:rsidRPr="00673852" w:rsidRDefault="00022AE3" w:rsidP="00022AE3">
      <w:pPr>
        <w:jc w:val="both"/>
        <w:rPr>
          <w:rFonts w:ascii="Times New Roman" w:hAnsi="Times New Roman" w:cs="Times New Roman"/>
        </w:rPr>
      </w:pPr>
    </w:p>
    <w:p w14:paraId="757D91E0" w14:textId="77777777" w:rsidR="00022AE3" w:rsidRPr="00673852" w:rsidRDefault="00022AE3" w:rsidP="00022AE3">
      <w:pPr>
        <w:jc w:val="both"/>
        <w:rPr>
          <w:rFonts w:ascii="Times New Roman" w:hAnsi="Times New Roman" w:cs="Times New Roman"/>
        </w:rPr>
      </w:pPr>
      <w:r w:rsidRPr="00673852">
        <w:rPr>
          <w:rFonts w:ascii="Times New Roman" w:hAnsi="Times New Roman" w:cs="Times New Roman"/>
        </w:rPr>
        <w:t>Figure 3: Kenk Gorge rock relief of Shalmaneser III (Taşyürek 1979: fig. 1)</w:t>
      </w:r>
    </w:p>
    <w:p w14:paraId="6D522A7E" w14:textId="77777777" w:rsidR="00022AE3" w:rsidRPr="00673852" w:rsidRDefault="00022AE3" w:rsidP="00022AE3">
      <w:pPr>
        <w:jc w:val="both"/>
        <w:rPr>
          <w:rFonts w:ascii="Times New Roman" w:hAnsi="Times New Roman" w:cs="Times New Roman"/>
        </w:rPr>
      </w:pPr>
    </w:p>
    <w:p w14:paraId="0435282D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  <w:r w:rsidRPr="00673852">
        <w:rPr>
          <w:rFonts w:ascii="Times New Roman" w:hAnsi="Times New Roman" w:cs="Times New Roman"/>
        </w:rPr>
        <w:t>Figure 4: Details of the Judi Dagh reliefs of Sennacherib (King 1913: pls. XII, XV, XXII, XXVI)</w:t>
      </w:r>
    </w:p>
    <w:p w14:paraId="0652F854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</w:p>
    <w:p w14:paraId="380D67E9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  <w:r w:rsidRPr="00AC7A87">
        <w:rPr>
          <w:rFonts w:ascii="Times New Roman" w:hAnsi="Times New Roman" w:cs="Times New Roman"/>
        </w:rPr>
        <w:t>Figure 5</w:t>
      </w:r>
      <w:r>
        <w:rPr>
          <w:rFonts w:ascii="Times New Roman" w:hAnsi="Times New Roman" w:cs="Times New Roman"/>
        </w:rPr>
        <w:t>:</w:t>
      </w:r>
      <w:r w:rsidRPr="00AC7A87">
        <w:rPr>
          <w:rFonts w:ascii="Times New Roman" w:hAnsi="Times New Roman" w:cs="Times New Roman"/>
        </w:rPr>
        <w:t xml:space="preserve"> Stele of Adad-nirari III from Tell al Rimah (left</w:t>
      </w:r>
      <w:r>
        <w:rPr>
          <w:rFonts w:ascii="Times New Roman" w:hAnsi="Times New Roman" w:cs="Times New Roman"/>
        </w:rPr>
        <w:t xml:space="preserve">; </w:t>
      </w:r>
      <w:r w:rsidRPr="00AC7A87">
        <w:rPr>
          <w:rFonts w:ascii="Times New Roman" w:hAnsi="Times New Roman" w:cs="Times New Roman"/>
        </w:rPr>
        <w:t>photo by Osama Shukir Muhammed), stele in situ (right</w:t>
      </w:r>
      <w:r>
        <w:rPr>
          <w:rFonts w:ascii="Times New Roman" w:hAnsi="Times New Roman" w:cs="Times New Roman"/>
        </w:rPr>
        <w:t xml:space="preserve">; </w:t>
      </w:r>
      <w:r w:rsidRPr="00AC7A87">
        <w:rPr>
          <w:rFonts w:ascii="Times New Roman" w:hAnsi="Times New Roman" w:cs="Times New Roman"/>
        </w:rPr>
        <w:t>Oates 1967: pl. XXXIIa)</w:t>
      </w:r>
    </w:p>
    <w:p w14:paraId="755834BA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</w:p>
    <w:p w14:paraId="53EBB0AA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  <w:r w:rsidRPr="00C41E61">
        <w:rPr>
          <w:rFonts w:ascii="Times New Roman" w:hAnsi="Times New Roman" w:cs="Times New Roman"/>
        </w:rPr>
        <w:t>Figure 6</w:t>
      </w:r>
      <w:r>
        <w:rPr>
          <w:rFonts w:ascii="Times New Roman" w:hAnsi="Times New Roman" w:cs="Times New Roman"/>
        </w:rPr>
        <w:t>:</w:t>
      </w:r>
      <w:r w:rsidRPr="00C41E61">
        <w:rPr>
          <w:rFonts w:ascii="Times New Roman" w:hAnsi="Times New Roman" w:cs="Times New Roman"/>
        </w:rPr>
        <w:t xml:space="preserve"> Examples 1 and 2 of Sennacherib’s steles (Börker-Klähn 1982: figs. 203–204)</w:t>
      </w:r>
    </w:p>
    <w:p w14:paraId="13E55595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</w:p>
    <w:p w14:paraId="6010F737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  <w:r w:rsidRPr="00566396">
        <w:rPr>
          <w:rFonts w:ascii="Times New Roman" w:hAnsi="Times New Roman" w:cs="Times New Roman"/>
        </w:rPr>
        <w:t>Figure 7</w:t>
      </w:r>
      <w:r>
        <w:rPr>
          <w:rFonts w:ascii="Times New Roman" w:hAnsi="Times New Roman" w:cs="Times New Roman"/>
        </w:rPr>
        <w:t>:</w:t>
      </w:r>
      <w:r w:rsidRPr="00566396">
        <w:rPr>
          <w:rFonts w:ascii="Times New Roman" w:hAnsi="Times New Roman" w:cs="Times New Roman"/>
        </w:rPr>
        <w:t xml:space="preserve"> Adad-nirari III’s stele from Saba’a (photo by Osama Shukir Muhammed)</w:t>
      </w:r>
    </w:p>
    <w:p w14:paraId="05E8DAC4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</w:p>
    <w:p w14:paraId="511D4640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  <w:r w:rsidRPr="00566396">
        <w:rPr>
          <w:rFonts w:ascii="Times New Roman" w:hAnsi="Times New Roman" w:cs="Times New Roman"/>
        </w:rPr>
        <w:t>Figure 8</w:t>
      </w:r>
      <w:r>
        <w:rPr>
          <w:rFonts w:ascii="Times New Roman" w:hAnsi="Times New Roman" w:cs="Times New Roman"/>
        </w:rPr>
        <w:t>:</w:t>
      </w:r>
      <w:r w:rsidRPr="00566396">
        <w:rPr>
          <w:rFonts w:ascii="Times New Roman" w:hAnsi="Times New Roman" w:cs="Times New Roman"/>
        </w:rPr>
        <w:t xml:space="preserve"> Stele of Bel-Harran-beli-usur (photo by Osama Shukir Muhammed)</w:t>
      </w:r>
    </w:p>
    <w:p w14:paraId="6B1CF62A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</w:p>
    <w:p w14:paraId="511C9F32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  <w:r w:rsidRPr="00566396">
        <w:rPr>
          <w:rFonts w:ascii="Times New Roman" w:hAnsi="Times New Roman" w:cs="Times New Roman"/>
        </w:rPr>
        <w:t>Figure 9</w:t>
      </w:r>
      <w:r>
        <w:rPr>
          <w:rFonts w:ascii="Times New Roman" w:hAnsi="Times New Roman" w:cs="Times New Roman"/>
        </w:rPr>
        <w:t>:</w:t>
      </w:r>
      <w:r w:rsidRPr="00566396">
        <w:rPr>
          <w:rFonts w:ascii="Times New Roman" w:hAnsi="Times New Roman" w:cs="Times New Roman"/>
        </w:rPr>
        <w:t xml:space="preserve"> Altar of Tukulti-Ninurta I</w:t>
      </w:r>
      <w:r>
        <w:rPr>
          <w:rFonts w:ascii="Times New Roman" w:hAnsi="Times New Roman" w:cs="Times New Roman"/>
        </w:rPr>
        <w:t xml:space="preserve"> (cdli.ox.ac.uk)</w:t>
      </w:r>
    </w:p>
    <w:p w14:paraId="52141742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</w:p>
    <w:p w14:paraId="67CD0D80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10: Detail of relief panel 10 of the gates of Shalmaneser III, Tell Balawat (Imgur-Enlil) (King 1915: pl. 59)</w:t>
      </w:r>
    </w:p>
    <w:p w14:paraId="408BCF20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</w:p>
    <w:p w14:paraId="4E95E07B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  <w:r w:rsidRPr="006F28B6">
        <w:rPr>
          <w:rFonts w:ascii="Times New Roman" w:hAnsi="Times New Roman" w:cs="Times New Roman"/>
        </w:rPr>
        <w:t>Figure 1</w:t>
      </w:r>
      <w:r>
        <w:rPr>
          <w:rFonts w:ascii="Times New Roman" w:hAnsi="Times New Roman" w:cs="Times New Roman"/>
        </w:rPr>
        <w:t>1:</w:t>
      </w:r>
      <w:r w:rsidRPr="006F28B6">
        <w:rPr>
          <w:rFonts w:ascii="Times New Roman" w:hAnsi="Times New Roman" w:cs="Times New Roman"/>
        </w:rPr>
        <w:t xml:space="preserve"> Detail of the Banquet Stele of Ashurnasirpal II (Wiseman 1952: pl. VII)</w:t>
      </w:r>
    </w:p>
    <w:p w14:paraId="6B300186" w14:textId="77777777" w:rsidR="000542AB" w:rsidRDefault="000542AB" w:rsidP="00022AE3">
      <w:pPr>
        <w:jc w:val="both"/>
        <w:rPr>
          <w:rFonts w:ascii="Times New Roman" w:hAnsi="Times New Roman" w:cs="Times New Roman"/>
        </w:rPr>
      </w:pPr>
    </w:p>
    <w:p w14:paraId="361D4DEC" w14:textId="77777777" w:rsidR="000542AB" w:rsidRDefault="000542AB" w:rsidP="00022AE3">
      <w:pPr>
        <w:jc w:val="both"/>
        <w:rPr>
          <w:rFonts w:ascii="Times New Roman" w:hAnsi="Times New Roman" w:cs="Times New Roman"/>
        </w:rPr>
      </w:pPr>
    </w:p>
    <w:p w14:paraId="66D1B110" w14:textId="77777777" w:rsidR="00022AE3" w:rsidRDefault="00022AE3" w:rsidP="00022AE3">
      <w:pPr>
        <w:jc w:val="both"/>
        <w:rPr>
          <w:rFonts w:ascii="Times New Roman" w:hAnsi="Times New Roman" w:cs="Times New Roman"/>
        </w:rPr>
      </w:pPr>
    </w:p>
    <w:p w14:paraId="15829F9C" w14:textId="77777777" w:rsidR="00022AE3" w:rsidRPr="00673852" w:rsidRDefault="00022AE3" w:rsidP="00022AE3">
      <w:pPr>
        <w:jc w:val="both"/>
        <w:rPr>
          <w:rFonts w:ascii="Times New Roman" w:hAnsi="Times New Roman" w:cs="Times New Roman"/>
        </w:rPr>
      </w:pPr>
      <w:r w:rsidRPr="00143C73">
        <w:rPr>
          <w:rFonts w:ascii="Times New Roman" w:hAnsi="Times New Roman" w:cs="Times New Roman"/>
        </w:rPr>
        <w:t>Table 1</w:t>
      </w:r>
      <w:r>
        <w:rPr>
          <w:rFonts w:ascii="Times New Roman" w:hAnsi="Times New Roman" w:cs="Times New Roman"/>
        </w:rPr>
        <w:t>:</w:t>
      </w:r>
      <w:r w:rsidRPr="00143C73">
        <w:rPr>
          <w:rFonts w:ascii="Times New Roman" w:hAnsi="Times New Roman" w:cs="Times New Roman"/>
        </w:rPr>
        <w:t xml:space="preserve"> Specific (S), generic (G) deictic gesture or referring to the function of the object (O).</w:t>
      </w:r>
    </w:p>
    <w:p w14:paraId="4F31F39F" w14:textId="77777777" w:rsidR="00022AE3" w:rsidRPr="00673852" w:rsidRDefault="00022AE3" w:rsidP="00022AE3">
      <w:pPr>
        <w:jc w:val="both"/>
        <w:rPr>
          <w:rFonts w:ascii="Times New Roman" w:hAnsi="Times New Roman" w:cs="Times New Roman"/>
        </w:rPr>
      </w:pPr>
    </w:p>
    <w:p w14:paraId="1BEE3E95" w14:textId="77777777" w:rsidR="0075641C" w:rsidRDefault="0075641C"/>
    <w:sectPr w:rsidR="0075641C" w:rsidSect="0061761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F916" w14:textId="77777777" w:rsidR="0061761F" w:rsidRDefault="0061761F">
      <w:r>
        <w:separator/>
      </w:r>
    </w:p>
  </w:endnote>
  <w:endnote w:type="continuationSeparator" w:id="0">
    <w:p w14:paraId="35594A78" w14:textId="77777777" w:rsidR="0061761F" w:rsidRDefault="0061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36882769"/>
      <w:docPartObj>
        <w:docPartGallery w:val="Page Numbers (Bottom of Page)"/>
        <w:docPartUnique/>
      </w:docPartObj>
    </w:sdtPr>
    <w:sdtContent>
      <w:p w14:paraId="42010DE1" w14:textId="77777777" w:rsidR="00700436" w:rsidRDefault="00000000" w:rsidP="00C8661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D7E4AA7" w14:textId="77777777" w:rsidR="00700436" w:rsidRDefault="007004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25858939"/>
      <w:docPartObj>
        <w:docPartGallery w:val="Page Numbers (Bottom of Page)"/>
        <w:docPartUnique/>
      </w:docPartObj>
    </w:sdtPr>
    <w:sdtContent>
      <w:p w14:paraId="51BEC8F8" w14:textId="77777777" w:rsidR="00700436" w:rsidRDefault="00000000" w:rsidP="00C8661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F30A0B2" w14:textId="77777777" w:rsidR="00700436" w:rsidRDefault="007004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432A" w14:textId="77777777" w:rsidR="0061761F" w:rsidRDefault="0061761F">
      <w:r>
        <w:separator/>
      </w:r>
    </w:p>
  </w:footnote>
  <w:footnote w:type="continuationSeparator" w:id="0">
    <w:p w14:paraId="058C6E33" w14:textId="77777777" w:rsidR="0061761F" w:rsidRDefault="0061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1C"/>
    <w:rsid w:val="00022AE3"/>
    <w:rsid w:val="000542AB"/>
    <w:rsid w:val="00063FBD"/>
    <w:rsid w:val="00334681"/>
    <w:rsid w:val="00354403"/>
    <w:rsid w:val="003C3D5A"/>
    <w:rsid w:val="00567231"/>
    <w:rsid w:val="00604432"/>
    <w:rsid w:val="0061761F"/>
    <w:rsid w:val="0065315E"/>
    <w:rsid w:val="00700436"/>
    <w:rsid w:val="0075641C"/>
    <w:rsid w:val="0079130B"/>
    <w:rsid w:val="007C0A26"/>
    <w:rsid w:val="008A12EA"/>
    <w:rsid w:val="008B7D8F"/>
    <w:rsid w:val="00907ABF"/>
    <w:rsid w:val="00953B33"/>
    <w:rsid w:val="00B9342A"/>
    <w:rsid w:val="00F76F8A"/>
    <w:rsid w:val="00FB4DC0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BFE5A"/>
  <w15:chartTrackingRefBased/>
  <w15:docId w15:val="{BF0AE574-71FA-5E4A-998E-30C9A5B6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41C"/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5641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41C"/>
    <w:rPr>
      <w:kern w:val="0"/>
      <w:lang w:val="en-US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75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Ludovico Portuese</dc:creator>
  <cp:keywords/>
  <dc:description/>
  <cp:lastModifiedBy>Ludovico Portuese</cp:lastModifiedBy>
  <cp:revision>18</cp:revision>
  <dcterms:created xsi:type="dcterms:W3CDTF">2024-01-15T10:13:00Z</dcterms:created>
  <dcterms:modified xsi:type="dcterms:W3CDTF">2024-01-23T14:16:00Z</dcterms:modified>
</cp:coreProperties>
</file>