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4778" w14:textId="77777777" w:rsidR="001C0937" w:rsidRDefault="001C0937" w:rsidP="000F1BA7">
      <w:pPr>
        <w:rPr>
          <w:b/>
          <w:color w:val="000000"/>
          <w:sz w:val="30"/>
          <w:szCs w:val="30"/>
        </w:rPr>
      </w:pPr>
    </w:p>
    <w:p w14:paraId="53A22FC2" w14:textId="77777777" w:rsidR="00B45B5B" w:rsidRDefault="00B45B5B" w:rsidP="00AD6EAC">
      <w:pPr>
        <w:spacing w:line="480" w:lineRule="auto"/>
        <w:jc w:val="center"/>
        <w:rPr>
          <w:b/>
          <w:color w:val="000000"/>
          <w:sz w:val="28"/>
          <w:szCs w:val="28"/>
        </w:rPr>
      </w:pPr>
    </w:p>
    <w:p w14:paraId="2B0690DB" w14:textId="77777777" w:rsidR="00B45B5B" w:rsidRDefault="00B45B5B" w:rsidP="00AD6EAC">
      <w:pPr>
        <w:spacing w:line="480" w:lineRule="auto"/>
        <w:jc w:val="center"/>
        <w:rPr>
          <w:b/>
          <w:color w:val="000000"/>
          <w:sz w:val="28"/>
          <w:szCs w:val="28"/>
        </w:rPr>
      </w:pPr>
    </w:p>
    <w:p w14:paraId="64201C7F" w14:textId="100F0384" w:rsidR="000F1BA7" w:rsidRPr="00AD6EAC" w:rsidRDefault="000F1BA7" w:rsidP="00AD6EAC">
      <w:pPr>
        <w:spacing w:line="480" w:lineRule="auto"/>
        <w:jc w:val="center"/>
        <w:rPr>
          <w:b/>
          <w:color w:val="000000"/>
          <w:sz w:val="28"/>
          <w:szCs w:val="28"/>
        </w:rPr>
      </w:pPr>
      <w:r w:rsidRPr="00AD6EAC">
        <w:rPr>
          <w:b/>
          <w:color w:val="000000"/>
          <w:sz w:val="28"/>
          <w:szCs w:val="28"/>
        </w:rPr>
        <w:t>Supplementary Information</w:t>
      </w:r>
      <w:r w:rsidR="00AD6EAC" w:rsidRPr="00AD6EAC">
        <w:rPr>
          <w:b/>
          <w:color w:val="000000"/>
          <w:sz w:val="28"/>
          <w:szCs w:val="28"/>
        </w:rPr>
        <w:t xml:space="preserve"> for</w:t>
      </w:r>
    </w:p>
    <w:p w14:paraId="61E9F50D" w14:textId="77777777" w:rsidR="00AD6EAC" w:rsidRPr="00AD6EAC" w:rsidRDefault="00AD6EAC" w:rsidP="00AD6EAC">
      <w:pPr>
        <w:spacing w:line="480" w:lineRule="auto"/>
        <w:jc w:val="center"/>
        <w:rPr>
          <w:b/>
          <w:color w:val="000000"/>
          <w:sz w:val="28"/>
          <w:szCs w:val="28"/>
        </w:rPr>
      </w:pPr>
    </w:p>
    <w:p w14:paraId="1AF1007B" w14:textId="77777777" w:rsidR="00AD6EAC" w:rsidRDefault="00AD6EAC" w:rsidP="00AD6EAC">
      <w:pPr>
        <w:jc w:val="center"/>
        <w:rPr>
          <w:b/>
          <w:color w:val="000000"/>
          <w:sz w:val="28"/>
          <w:szCs w:val="28"/>
        </w:rPr>
      </w:pPr>
      <w:r w:rsidRPr="00AD6EAC">
        <w:rPr>
          <w:b/>
          <w:color w:val="000000"/>
          <w:sz w:val="28"/>
          <w:szCs w:val="28"/>
        </w:rPr>
        <w:t>“</w:t>
      </w:r>
      <w:r w:rsidRPr="00AD6EAC">
        <w:rPr>
          <w:b/>
          <w:color w:val="000000"/>
          <w:sz w:val="28"/>
          <w:szCs w:val="28"/>
        </w:rPr>
        <w:t xml:space="preserve">Shocks to the System: </w:t>
      </w:r>
    </w:p>
    <w:p w14:paraId="0EF5E58C" w14:textId="6AA99DA0" w:rsidR="00AD6EAC" w:rsidRDefault="00AD6EAC" w:rsidP="00AD6EAC">
      <w:pPr>
        <w:spacing w:after="240"/>
        <w:jc w:val="center"/>
        <w:rPr>
          <w:b/>
          <w:color w:val="000000"/>
          <w:sz w:val="28"/>
          <w:szCs w:val="28"/>
        </w:rPr>
      </w:pPr>
      <w:r w:rsidRPr="00AD6EAC">
        <w:rPr>
          <w:b/>
          <w:color w:val="000000"/>
          <w:sz w:val="28"/>
          <w:szCs w:val="28"/>
        </w:rPr>
        <w:t xml:space="preserve">Electoral Manipulation, </w:t>
      </w:r>
      <w:proofErr w:type="gramStart"/>
      <w:r w:rsidRPr="00AD6EAC">
        <w:rPr>
          <w:b/>
          <w:color w:val="000000"/>
          <w:sz w:val="28"/>
          <w:szCs w:val="28"/>
        </w:rPr>
        <w:t>Protests</w:t>
      </w:r>
      <w:proofErr w:type="gramEnd"/>
      <w:r w:rsidRPr="00AD6EAC">
        <w:rPr>
          <w:b/>
          <w:color w:val="000000"/>
          <w:sz w:val="28"/>
          <w:szCs w:val="28"/>
        </w:rPr>
        <w:t xml:space="preserve"> and the Evolution of Political Trust in Russia</w:t>
      </w:r>
      <w:r w:rsidRPr="00AD6EAC">
        <w:rPr>
          <w:b/>
          <w:color w:val="000000"/>
          <w:sz w:val="28"/>
          <w:szCs w:val="28"/>
        </w:rPr>
        <w:t>”</w:t>
      </w:r>
    </w:p>
    <w:p w14:paraId="2A71CBF1" w14:textId="6404071B" w:rsidR="00AD6EAC" w:rsidRPr="00AD6EAC" w:rsidRDefault="00AD6EAC" w:rsidP="00AD6EAC">
      <w:pPr>
        <w:spacing w:line="480" w:lineRule="auto"/>
        <w:jc w:val="center"/>
        <w:rPr>
          <w:b/>
          <w:color w:val="000000"/>
          <w:sz w:val="28"/>
          <w:szCs w:val="28"/>
        </w:rPr>
      </w:pPr>
      <w:r w:rsidRPr="00AD6EAC">
        <w:rPr>
          <w:b/>
          <w:color w:val="000000"/>
          <w:sz w:val="28"/>
          <w:szCs w:val="28"/>
        </w:rPr>
        <w:t>By Hannah S. Chapman</w:t>
      </w:r>
    </w:p>
    <w:p w14:paraId="3CDBEC56" w14:textId="2B9B61FA" w:rsidR="00AD6EAC" w:rsidRPr="00AD6EAC" w:rsidRDefault="00AD6EAC" w:rsidP="00AD6EAC">
      <w:pPr>
        <w:spacing w:line="480" w:lineRule="auto"/>
        <w:jc w:val="center"/>
        <w:rPr>
          <w:b/>
          <w:i/>
          <w:color w:val="000000"/>
          <w:sz w:val="28"/>
          <w:szCs w:val="28"/>
        </w:rPr>
      </w:pPr>
      <w:r w:rsidRPr="00AD6EAC">
        <w:rPr>
          <w:b/>
          <w:color w:val="000000"/>
          <w:sz w:val="28"/>
          <w:szCs w:val="28"/>
        </w:rPr>
        <w:t xml:space="preserve">Published in </w:t>
      </w:r>
      <w:r w:rsidRPr="00AD6EAC">
        <w:rPr>
          <w:b/>
          <w:i/>
          <w:color w:val="000000"/>
          <w:sz w:val="28"/>
          <w:szCs w:val="28"/>
        </w:rPr>
        <w:t xml:space="preserve">Government </w:t>
      </w:r>
      <w:r>
        <w:rPr>
          <w:b/>
          <w:i/>
          <w:color w:val="000000"/>
          <w:sz w:val="28"/>
          <w:szCs w:val="28"/>
        </w:rPr>
        <w:t>&amp;</w:t>
      </w:r>
      <w:r w:rsidRPr="00AD6EAC">
        <w:rPr>
          <w:b/>
          <w:i/>
          <w:color w:val="000000"/>
          <w:sz w:val="28"/>
          <w:szCs w:val="28"/>
        </w:rPr>
        <w:t xml:space="preserve"> Opposition</w:t>
      </w:r>
    </w:p>
    <w:p w14:paraId="0BCC4BE7" w14:textId="77777777" w:rsidR="00AD6EAC" w:rsidRPr="00BD02EA" w:rsidRDefault="00AD6EAC" w:rsidP="00BD02EA">
      <w:pPr>
        <w:jc w:val="center"/>
        <w:rPr>
          <w:b/>
          <w:color w:val="000000"/>
          <w:sz w:val="36"/>
          <w:szCs w:val="36"/>
        </w:rPr>
      </w:pPr>
    </w:p>
    <w:p w14:paraId="609253EE" w14:textId="77777777" w:rsidR="000F1BA7" w:rsidRDefault="000F1BA7">
      <w:pPr>
        <w:rPr>
          <w:b/>
          <w:color w:val="000000"/>
          <w:sz w:val="30"/>
          <w:szCs w:val="30"/>
        </w:rPr>
      </w:pPr>
    </w:p>
    <w:p w14:paraId="4444FE0D" w14:textId="77777777" w:rsidR="00AD6EAC" w:rsidRDefault="00AD6EAC">
      <w:pPr>
        <w:rPr>
          <w:b/>
          <w:color w:val="000000"/>
          <w:sz w:val="30"/>
          <w:szCs w:val="30"/>
        </w:rPr>
        <w:sectPr w:rsidR="00AD6EAC" w:rsidSect="00D414AC">
          <w:headerReference w:type="even" r:id="rId8"/>
          <w:headerReference w:type="default" r:id="rId9"/>
          <w:pgSz w:w="12240" w:h="15840"/>
          <w:pgMar w:top="1440" w:right="1440" w:bottom="1440" w:left="1440" w:header="720" w:footer="720" w:gutter="0"/>
          <w:cols w:space="720"/>
        </w:sectPr>
      </w:pPr>
    </w:p>
    <w:p w14:paraId="5E6693E7" w14:textId="579DECCD" w:rsidR="001C0937" w:rsidRDefault="00000000">
      <w:pPr>
        <w:rPr>
          <w:b/>
          <w:color w:val="000000"/>
          <w:sz w:val="30"/>
          <w:szCs w:val="30"/>
        </w:rPr>
      </w:pPr>
      <w:r>
        <w:rPr>
          <w:b/>
          <w:color w:val="000000"/>
          <w:sz w:val="30"/>
          <w:szCs w:val="30"/>
        </w:rPr>
        <w:lastRenderedPageBreak/>
        <w:t>Appendix A: Survey Methodology and Additional Results</w:t>
      </w:r>
    </w:p>
    <w:p w14:paraId="2044E07C" w14:textId="77777777" w:rsidR="001C0937" w:rsidRDefault="001C0937">
      <w:pPr>
        <w:rPr>
          <w:b/>
          <w:color w:val="000000"/>
        </w:rPr>
      </w:pPr>
    </w:p>
    <w:p w14:paraId="0EE429CC" w14:textId="25D30D9E" w:rsidR="008A5EF6" w:rsidRDefault="00000000">
      <w:pPr>
        <w:spacing w:line="480" w:lineRule="auto"/>
        <w:rPr>
          <w:color w:val="000000"/>
        </w:rPr>
      </w:pPr>
      <w:r>
        <w:rPr>
          <w:color w:val="000000"/>
        </w:rPr>
        <w:t xml:space="preserve">A standard multi-stage sampling procedure was used. Primary sampling units (PSUs) were urban settlements (cities and towns) and rural counties, stratified </w:t>
      </w:r>
      <w:r>
        <w:t>based on the formal</w:t>
      </w:r>
      <w:r>
        <w:rPr>
          <w:color w:val="000000"/>
        </w:rPr>
        <w:t xml:space="preserve"> legal status of the region, locality size, and ethnic composition. PSUs were selected within strata using probabilities proportionate to size, with Moscow and St. Petersburg self-representing. Extremely remote, sparsely populated counties in the far north and east were excluded, as were those in Chechnya and Ingushetia due to military conditions in those provinces. Secondary sampling units (SSUs) consisted of electoral districts (in urban PSUs) and villages (in rural PSUs).</w:t>
      </w:r>
      <w:r>
        <w:rPr>
          <w:color w:val="000085"/>
        </w:rPr>
        <w:t xml:space="preserve"> </w:t>
      </w:r>
      <w:r>
        <w:rPr>
          <w:color w:val="000000"/>
        </w:rPr>
        <w:t>The response rates in all four waves were in the range of 36–38 percent, which is standard for surveys conducted in Russia. Most non-responses resulted from unattainable respondents, not refusals. For quality control, field supervisors verified a random 20 percent of interviews by phone or mail. No violations were revealed. The surveys covered 135 settlements (42 regional centers, 54 towns, and 39 rural regions), belonging to 46 oblasts (provinces) of the Russian Federation.</w:t>
      </w:r>
    </w:p>
    <w:p w14:paraId="188B2328" w14:textId="77777777" w:rsidR="00AD6EAC" w:rsidRDefault="00AD6EAC">
      <w:pPr>
        <w:spacing w:line="480" w:lineRule="auto"/>
        <w:rPr>
          <w:color w:val="000000"/>
        </w:rPr>
      </w:pPr>
    </w:p>
    <w:tbl>
      <w:tblPr>
        <w:tblStyle w:val="ae"/>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0"/>
      </w:tblGrid>
      <w:tr w:rsidR="001C0937" w14:paraId="2FE19292" w14:textId="77777777">
        <w:trPr>
          <w:trHeight w:val="288"/>
        </w:trPr>
        <w:tc>
          <w:tcPr>
            <w:tcW w:w="9580" w:type="dxa"/>
          </w:tcPr>
          <w:p w14:paraId="434E5A0E" w14:textId="52640B89" w:rsidR="001C0937" w:rsidRDefault="00000000">
            <w:pPr>
              <w:rPr>
                <w:b/>
                <w:color w:val="000000"/>
              </w:rPr>
            </w:pPr>
            <w:r>
              <w:rPr>
                <w:b/>
                <w:color w:val="000000"/>
              </w:rPr>
              <w:t xml:space="preserve">Figure </w:t>
            </w:r>
            <w:r w:rsidR="00B45B5B">
              <w:rPr>
                <w:b/>
                <w:color w:val="000000"/>
              </w:rPr>
              <w:t>A</w:t>
            </w:r>
            <w:r w:rsidR="00BD02EA">
              <w:rPr>
                <w:b/>
                <w:color w:val="000000"/>
              </w:rPr>
              <w:t>1</w:t>
            </w:r>
            <w:r>
              <w:rPr>
                <w:b/>
                <w:color w:val="000000"/>
              </w:rPr>
              <w:t>: Response Rate over Time</w:t>
            </w:r>
          </w:p>
        </w:tc>
      </w:tr>
      <w:tr w:rsidR="001C0937" w14:paraId="2931ACBF" w14:textId="77777777">
        <w:trPr>
          <w:trHeight w:val="3877"/>
        </w:trPr>
        <w:tc>
          <w:tcPr>
            <w:tcW w:w="9580" w:type="dxa"/>
          </w:tcPr>
          <w:p w14:paraId="7BC0A973" w14:textId="77777777" w:rsidR="001C0937" w:rsidRDefault="00000000">
            <w:pPr>
              <w:rPr>
                <w:b/>
                <w:color w:val="000000"/>
              </w:rPr>
            </w:pPr>
            <w:r>
              <w:rPr>
                <w:b/>
                <w:noProof/>
                <w:color w:val="000000"/>
              </w:rPr>
              <w:drawing>
                <wp:inline distT="0" distB="0" distL="0" distR="0" wp14:anchorId="2FA30670" wp14:editId="1C3ACC8F">
                  <wp:extent cx="5943600" cy="2339340"/>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943600" cy="2339340"/>
                          </a:xfrm>
                          <a:prstGeom prst="rect">
                            <a:avLst/>
                          </a:prstGeom>
                          <a:ln/>
                        </pic:spPr>
                      </pic:pic>
                    </a:graphicData>
                  </a:graphic>
                </wp:inline>
              </w:drawing>
            </w:r>
          </w:p>
        </w:tc>
      </w:tr>
    </w:tbl>
    <w:p w14:paraId="71BCDA8C" w14:textId="77777777" w:rsidR="001C0937" w:rsidRDefault="00000000">
      <w:pPr>
        <w:jc w:val="center"/>
        <w:rPr>
          <w:color w:val="000000"/>
        </w:rPr>
      </w:pPr>
      <w:r>
        <w:rPr>
          <w:color w:val="000000"/>
        </w:rPr>
        <w:t xml:space="preserve">Note: Graph shows only dates during which data were collected. </w:t>
      </w:r>
    </w:p>
    <w:p w14:paraId="751931C7" w14:textId="40BEDE87" w:rsidR="001C0937" w:rsidRDefault="001C0937">
      <w:pPr>
        <w:rPr>
          <w:b/>
          <w:color w:val="000000"/>
        </w:rPr>
      </w:pPr>
    </w:p>
    <w:p w14:paraId="756BC66B" w14:textId="77777777" w:rsidR="002C4D81" w:rsidRDefault="002C4D81">
      <w:pPr>
        <w:rPr>
          <w:b/>
          <w:color w:val="000000"/>
        </w:rPr>
      </w:pPr>
    </w:p>
    <w:tbl>
      <w:tblPr>
        <w:tblStyle w:val="TableGrid"/>
        <w:tblW w:w="0" w:type="auto"/>
        <w:tblLook w:val="04A0" w:firstRow="1" w:lastRow="0" w:firstColumn="1" w:lastColumn="0" w:noHBand="0" w:noVBand="1"/>
      </w:tblPr>
      <w:tblGrid>
        <w:gridCol w:w="1975"/>
        <w:gridCol w:w="7375"/>
      </w:tblGrid>
      <w:tr w:rsidR="00F72CCF" w14:paraId="3AC9A19F" w14:textId="77777777" w:rsidTr="00412D5C">
        <w:tc>
          <w:tcPr>
            <w:tcW w:w="9350" w:type="dxa"/>
            <w:gridSpan w:val="2"/>
          </w:tcPr>
          <w:p w14:paraId="482E7EF7" w14:textId="51745B96" w:rsidR="00F72CCF" w:rsidRPr="00F72CCF" w:rsidRDefault="00B45B5B" w:rsidP="00F72CCF">
            <w:pPr>
              <w:spacing w:line="276" w:lineRule="auto"/>
              <w:rPr>
                <w:b/>
                <w:bCs/>
                <w:color w:val="000000"/>
              </w:rPr>
            </w:pPr>
            <w:r>
              <w:rPr>
                <w:b/>
                <w:bCs/>
                <w:color w:val="000000"/>
              </w:rPr>
              <w:lastRenderedPageBreak/>
              <w:t>Table A</w:t>
            </w:r>
            <w:r w:rsidR="00BD02EA">
              <w:rPr>
                <w:b/>
                <w:bCs/>
                <w:color w:val="000000"/>
              </w:rPr>
              <w:t>1</w:t>
            </w:r>
            <w:r w:rsidR="00F72CCF">
              <w:rPr>
                <w:b/>
                <w:bCs/>
                <w:color w:val="000000"/>
              </w:rPr>
              <w:t>: Question Descriptions</w:t>
            </w:r>
          </w:p>
        </w:tc>
      </w:tr>
      <w:tr w:rsidR="00F72CCF" w14:paraId="577D582E" w14:textId="77777777" w:rsidTr="00F72CCF">
        <w:tc>
          <w:tcPr>
            <w:tcW w:w="1975" w:type="dxa"/>
          </w:tcPr>
          <w:p w14:paraId="644A2D12" w14:textId="6B226AB8" w:rsidR="00F72CCF" w:rsidRPr="00F72CCF" w:rsidRDefault="00F72CCF" w:rsidP="00F72CCF">
            <w:pPr>
              <w:jc w:val="center"/>
              <w:rPr>
                <w:b/>
                <w:bCs/>
                <w:i/>
                <w:iCs/>
                <w:color w:val="000000"/>
              </w:rPr>
            </w:pPr>
            <w:r w:rsidRPr="00F72CCF">
              <w:rPr>
                <w:b/>
                <w:bCs/>
                <w:i/>
                <w:iCs/>
                <w:color w:val="000000"/>
              </w:rPr>
              <w:t>Variable</w:t>
            </w:r>
          </w:p>
        </w:tc>
        <w:tc>
          <w:tcPr>
            <w:tcW w:w="7375" w:type="dxa"/>
          </w:tcPr>
          <w:p w14:paraId="0CB0035A" w14:textId="535B888B" w:rsidR="00F72CCF" w:rsidRPr="00F72CCF" w:rsidRDefault="00F72CCF" w:rsidP="00F72CCF">
            <w:pPr>
              <w:jc w:val="center"/>
              <w:rPr>
                <w:b/>
                <w:bCs/>
                <w:i/>
                <w:iCs/>
                <w:color w:val="000000"/>
              </w:rPr>
            </w:pPr>
            <w:r w:rsidRPr="00F72CCF">
              <w:rPr>
                <w:b/>
                <w:bCs/>
                <w:i/>
                <w:iCs/>
                <w:color w:val="000000"/>
              </w:rPr>
              <w:t>Description</w:t>
            </w:r>
          </w:p>
        </w:tc>
      </w:tr>
      <w:tr w:rsidR="00F72CCF" w14:paraId="11291D7E" w14:textId="77777777" w:rsidTr="00F72CCF">
        <w:tc>
          <w:tcPr>
            <w:tcW w:w="1975" w:type="dxa"/>
          </w:tcPr>
          <w:p w14:paraId="7EACB74C" w14:textId="26DEC22D" w:rsidR="00F72CCF" w:rsidRDefault="00F72CCF" w:rsidP="00F72CCF">
            <w:pPr>
              <w:jc w:val="center"/>
              <w:rPr>
                <w:color w:val="000000"/>
              </w:rPr>
            </w:pPr>
            <w:r>
              <w:rPr>
                <w:color w:val="000000"/>
              </w:rPr>
              <w:t>Age</w:t>
            </w:r>
          </w:p>
        </w:tc>
        <w:tc>
          <w:tcPr>
            <w:tcW w:w="7375" w:type="dxa"/>
          </w:tcPr>
          <w:p w14:paraId="4300CF9A" w14:textId="6CF36164" w:rsidR="00F72CCF" w:rsidRDefault="00F72CCF" w:rsidP="00F72CCF">
            <w:pPr>
              <w:jc w:val="center"/>
              <w:rPr>
                <w:color w:val="000000"/>
              </w:rPr>
            </w:pPr>
            <w:r>
              <w:rPr>
                <w:color w:val="000000"/>
              </w:rPr>
              <w:t>Years of age</w:t>
            </w:r>
          </w:p>
        </w:tc>
      </w:tr>
      <w:tr w:rsidR="00F72CCF" w14:paraId="2E251EAE" w14:textId="77777777" w:rsidTr="00F72CCF">
        <w:tc>
          <w:tcPr>
            <w:tcW w:w="1975" w:type="dxa"/>
          </w:tcPr>
          <w:p w14:paraId="715D1661" w14:textId="534EF55B" w:rsidR="00F72CCF" w:rsidRDefault="00F72CCF" w:rsidP="00F72CCF">
            <w:pPr>
              <w:jc w:val="center"/>
              <w:rPr>
                <w:color w:val="000000"/>
              </w:rPr>
            </w:pPr>
            <w:r>
              <w:rPr>
                <w:color w:val="000000"/>
              </w:rPr>
              <w:t>Gender</w:t>
            </w:r>
          </w:p>
        </w:tc>
        <w:tc>
          <w:tcPr>
            <w:tcW w:w="7375" w:type="dxa"/>
          </w:tcPr>
          <w:p w14:paraId="1B307C81" w14:textId="64CECBC0" w:rsidR="00F72CCF" w:rsidRDefault="00F72CCF" w:rsidP="00F72CCF">
            <w:pPr>
              <w:jc w:val="center"/>
              <w:rPr>
                <w:color w:val="000000"/>
              </w:rPr>
            </w:pPr>
            <w:r>
              <w:rPr>
                <w:color w:val="000000"/>
              </w:rPr>
              <w:t>Binary indicator for gender</w:t>
            </w:r>
          </w:p>
        </w:tc>
      </w:tr>
      <w:tr w:rsidR="00F72CCF" w14:paraId="53A2D548" w14:textId="77777777" w:rsidTr="00F72CCF">
        <w:tc>
          <w:tcPr>
            <w:tcW w:w="1975" w:type="dxa"/>
          </w:tcPr>
          <w:p w14:paraId="6116CD6E" w14:textId="37E47F6C" w:rsidR="00F72CCF" w:rsidRDefault="00F72CCF" w:rsidP="00F72CCF">
            <w:pPr>
              <w:jc w:val="center"/>
              <w:rPr>
                <w:color w:val="000000"/>
              </w:rPr>
            </w:pPr>
            <w:r>
              <w:rPr>
                <w:color w:val="000000"/>
              </w:rPr>
              <w:t>Education</w:t>
            </w:r>
          </w:p>
        </w:tc>
        <w:tc>
          <w:tcPr>
            <w:tcW w:w="7375" w:type="dxa"/>
          </w:tcPr>
          <w:p w14:paraId="42D3D518" w14:textId="5115BD42" w:rsidR="00F72CCF" w:rsidRPr="00F72CCF" w:rsidRDefault="00F72CCF" w:rsidP="00F72CCF">
            <w:pPr>
              <w:jc w:val="center"/>
            </w:pPr>
            <w:r>
              <w:t>Three-point scale increasing in the level of education acquired by the respondent.</w:t>
            </w:r>
          </w:p>
        </w:tc>
      </w:tr>
      <w:tr w:rsidR="00F72CCF" w14:paraId="0C5B4A0F" w14:textId="77777777" w:rsidTr="00F72CCF">
        <w:tc>
          <w:tcPr>
            <w:tcW w:w="1975" w:type="dxa"/>
          </w:tcPr>
          <w:p w14:paraId="28DD03A6" w14:textId="39A76B12" w:rsidR="00F72CCF" w:rsidRDefault="00F72CCF" w:rsidP="00F72CCF">
            <w:pPr>
              <w:jc w:val="center"/>
              <w:rPr>
                <w:color w:val="000000"/>
              </w:rPr>
            </w:pPr>
            <w:r>
              <w:rPr>
                <w:color w:val="000000"/>
              </w:rPr>
              <w:t xml:space="preserve">Income </w:t>
            </w:r>
          </w:p>
        </w:tc>
        <w:tc>
          <w:tcPr>
            <w:tcW w:w="7375" w:type="dxa"/>
          </w:tcPr>
          <w:p w14:paraId="41E1BEA3" w14:textId="7B40A53C" w:rsidR="00F72CCF" w:rsidRDefault="00F72CCF" w:rsidP="00F72CCF">
            <w:pPr>
              <w:jc w:val="center"/>
              <w:rPr>
                <w:color w:val="000000"/>
              </w:rPr>
            </w:pPr>
            <w:r>
              <w:rPr>
                <w:color w:val="000000"/>
              </w:rPr>
              <w:t>Five-point scale increasing in the level of the respondent’s income.</w:t>
            </w:r>
          </w:p>
        </w:tc>
      </w:tr>
      <w:tr w:rsidR="00F72CCF" w14:paraId="0EC624C4" w14:textId="77777777" w:rsidTr="00F72CCF">
        <w:tc>
          <w:tcPr>
            <w:tcW w:w="1975" w:type="dxa"/>
          </w:tcPr>
          <w:p w14:paraId="2534E8EF" w14:textId="0012E008" w:rsidR="00F72CCF" w:rsidRDefault="00F72CCF" w:rsidP="00F72CCF">
            <w:pPr>
              <w:jc w:val="center"/>
              <w:rPr>
                <w:color w:val="000000"/>
              </w:rPr>
            </w:pPr>
            <w:r>
              <w:rPr>
                <w:color w:val="000000"/>
              </w:rPr>
              <w:t>Locality</w:t>
            </w:r>
          </w:p>
        </w:tc>
        <w:tc>
          <w:tcPr>
            <w:tcW w:w="7375" w:type="dxa"/>
          </w:tcPr>
          <w:p w14:paraId="79D8D73C" w14:textId="3F32E047" w:rsidR="00F72CCF" w:rsidRDefault="00F72CCF" w:rsidP="00F72CCF">
            <w:pPr>
              <w:jc w:val="center"/>
              <w:rPr>
                <w:color w:val="000000"/>
              </w:rPr>
            </w:pPr>
            <w:r>
              <w:rPr>
                <w:color w:val="000000"/>
              </w:rPr>
              <w:t>Three-point scale denoting whether the respondent lived in a rural, small urban (&lt;1 million residents), or large urban area.</w:t>
            </w:r>
          </w:p>
        </w:tc>
      </w:tr>
      <w:tr w:rsidR="00F72CCF" w14:paraId="0460E870" w14:textId="77777777" w:rsidTr="00F72CCF">
        <w:tc>
          <w:tcPr>
            <w:tcW w:w="1975" w:type="dxa"/>
          </w:tcPr>
          <w:p w14:paraId="627D325E" w14:textId="08D908C0" w:rsidR="00F72CCF" w:rsidRDefault="00F72CCF" w:rsidP="00F72CCF">
            <w:pPr>
              <w:jc w:val="center"/>
              <w:rPr>
                <w:color w:val="000000"/>
              </w:rPr>
            </w:pPr>
            <w:r>
              <w:rPr>
                <w:color w:val="000000"/>
              </w:rPr>
              <w:t>Trust in…</w:t>
            </w:r>
          </w:p>
        </w:tc>
        <w:tc>
          <w:tcPr>
            <w:tcW w:w="7375" w:type="dxa"/>
          </w:tcPr>
          <w:p w14:paraId="78021EB4" w14:textId="5E4815A4" w:rsidR="00F72CCF" w:rsidRDefault="00F72CCF" w:rsidP="00F72CCF">
            <w:pPr>
              <w:jc w:val="center"/>
              <w:rPr>
                <w:color w:val="000000"/>
              </w:rPr>
            </w:pPr>
            <w:r>
              <w:rPr>
                <w:color w:val="000000"/>
              </w:rPr>
              <w:t xml:space="preserve">Five-point scale </w:t>
            </w:r>
            <w:r>
              <w:t>measuring the extent the respondent trusts a particular political entity.</w:t>
            </w:r>
          </w:p>
        </w:tc>
      </w:tr>
      <w:tr w:rsidR="00F72CCF" w14:paraId="4B0EF1CE" w14:textId="77777777" w:rsidTr="00F72CCF">
        <w:tc>
          <w:tcPr>
            <w:tcW w:w="1975" w:type="dxa"/>
          </w:tcPr>
          <w:p w14:paraId="49265F93" w14:textId="44C0FB8B" w:rsidR="00F72CCF" w:rsidRDefault="00F72CCF" w:rsidP="00F72CCF">
            <w:pPr>
              <w:jc w:val="center"/>
              <w:rPr>
                <w:color w:val="000000"/>
              </w:rPr>
            </w:pPr>
            <w:r>
              <w:rPr>
                <w:color w:val="000000"/>
              </w:rPr>
              <w:t>Interest in politics</w:t>
            </w:r>
          </w:p>
        </w:tc>
        <w:tc>
          <w:tcPr>
            <w:tcW w:w="7375" w:type="dxa"/>
          </w:tcPr>
          <w:p w14:paraId="602D75D9" w14:textId="4764903C" w:rsidR="00F72CCF" w:rsidRDefault="00F72CCF" w:rsidP="00F72CCF">
            <w:pPr>
              <w:jc w:val="center"/>
              <w:rPr>
                <w:color w:val="000000"/>
              </w:rPr>
            </w:pPr>
            <w:r>
              <w:rPr>
                <w:color w:val="000000"/>
              </w:rPr>
              <w:t>Three-point scale measuring the respondent’s professed interest in politics.</w:t>
            </w:r>
          </w:p>
        </w:tc>
      </w:tr>
      <w:tr w:rsidR="00F72CCF" w14:paraId="5D1DB2C6" w14:textId="77777777" w:rsidTr="00F72CCF">
        <w:tc>
          <w:tcPr>
            <w:tcW w:w="1975" w:type="dxa"/>
          </w:tcPr>
          <w:p w14:paraId="51081ADF" w14:textId="197BAD4A" w:rsidR="00F72CCF" w:rsidRDefault="00F72CCF" w:rsidP="00F72CCF">
            <w:pPr>
              <w:jc w:val="center"/>
              <w:rPr>
                <w:color w:val="000000"/>
              </w:rPr>
            </w:pPr>
            <w:r>
              <w:rPr>
                <w:color w:val="000000"/>
              </w:rPr>
              <w:t>Support [party]</w:t>
            </w:r>
          </w:p>
        </w:tc>
        <w:tc>
          <w:tcPr>
            <w:tcW w:w="7375" w:type="dxa"/>
          </w:tcPr>
          <w:p w14:paraId="3EFBCE14" w14:textId="749D2F95" w:rsidR="00F72CCF" w:rsidRDefault="00F72CCF" w:rsidP="00F72CCF">
            <w:pPr>
              <w:jc w:val="center"/>
              <w:rPr>
                <w:color w:val="000000"/>
              </w:rPr>
            </w:pPr>
            <w:r>
              <w:rPr>
                <w:color w:val="000000"/>
              </w:rPr>
              <w:t>Binary indicator measuring whether the respondent states that they support a particular political party more than any other party.</w:t>
            </w:r>
          </w:p>
        </w:tc>
      </w:tr>
      <w:tr w:rsidR="00F72CCF" w14:paraId="69F696AC" w14:textId="77777777" w:rsidTr="00F72CCF">
        <w:tc>
          <w:tcPr>
            <w:tcW w:w="1975" w:type="dxa"/>
          </w:tcPr>
          <w:p w14:paraId="751DCB07" w14:textId="362EC21B" w:rsidR="00F72CCF" w:rsidRDefault="00F72CCF" w:rsidP="00F72CCF">
            <w:pPr>
              <w:jc w:val="center"/>
              <w:rPr>
                <w:color w:val="000000"/>
              </w:rPr>
            </w:pPr>
            <w:r>
              <w:rPr>
                <w:color w:val="000000"/>
              </w:rPr>
              <w:t>Preferred gov’t</w:t>
            </w:r>
          </w:p>
        </w:tc>
        <w:tc>
          <w:tcPr>
            <w:tcW w:w="7375" w:type="dxa"/>
          </w:tcPr>
          <w:p w14:paraId="1302B56B" w14:textId="04BE58CF" w:rsidR="00F72CCF" w:rsidRDefault="00F72CCF" w:rsidP="00F72CCF">
            <w:pPr>
              <w:jc w:val="center"/>
              <w:rPr>
                <w:color w:val="000000"/>
              </w:rPr>
            </w:pPr>
            <w:r>
              <w:rPr>
                <w:color w:val="000000"/>
              </w:rPr>
              <w:t xml:space="preserve">Binary indicator measuring whether the respondent prefers democracy, autocracy, or does not have a preference in government. </w:t>
            </w:r>
          </w:p>
        </w:tc>
      </w:tr>
      <w:tr w:rsidR="00F72CCF" w14:paraId="0834ECEF" w14:textId="77777777" w:rsidTr="00F72CCF">
        <w:tc>
          <w:tcPr>
            <w:tcW w:w="1975" w:type="dxa"/>
          </w:tcPr>
          <w:p w14:paraId="334D5BDB" w14:textId="43919C01" w:rsidR="00F72CCF" w:rsidRDefault="00F72CCF" w:rsidP="00F72CCF">
            <w:pPr>
              <w:jc w:val="center"/>
              <w:rPr>
                <w:color w:val="000000"/>
              </w:rPr>
            </w:pPr>
            <w:r>
              <w:rPr>
                <w:color w:val="000000"/>
              </w:rPr>
              <w:t>Russia’s path</w:t>
            </w:r>
          </w:p>
        </w:tc>
        <w:tc>
          <w:tcPr>
            <w:tcW w:w="7375" w:type="dxa"/>
          </w:tcPr>
          <w:p w14:paraId="39C9A7BE" w14:textId="5F5C0183" w:rsidR="00F72CCF" w:rsidRDefault="00F72CCF" w:rsidP="00F72CCF">
            <w:pPr>
              <w:jc w:val="center"/>
              <w:rPr>
                <w:color w:val="000000"/>
              </w:rPr>
            </w:pPr>
            <w:r>
              <w:rPr>
                <w:color w:val="000000"/>
              </w:rPr>
              <w:t>Four-point scale increasing in whether the respondent beliefs Russia is on the right path.</w:t>
            </w:r>
          </w:p>
        </w:tc>
      </w:tr>
      <w:tr w:rsidR="00F72CCF" w14:paraId="433FE674" w14:textId="77777777" w:rsidTr="00F72CCF">
        <w:tc>
          <w:tcPr>
            <w:tcW w:w="1975" w:type="dxa"/>
          </w:tcPr>
          <w:p w14:paraId="294B5384" w14:textId="457DD0CE" w:rsidR="00F72CCF" w:rsidRDefault="00F72CCF" w:rsidP="00F72CCF">
            <w:pPr>
              <w:jc w:val="center"/>
              <w:rPr>
                <w:color w:val="000000"/>
              </w:rPr>
            </w:pPr>
            <w:r>
              <w:rPr>
                <w:color w:val="000000"/>
              </w:rPr>
              <w:t>TV viewership</w:t>
            </w:r>
          </w:p>
        </w:tc>
        <w:tc>
          <w:tcPr>
            <w:tcW w:w="7375" w:type="dxa"/>
          </w:tcPr>
          <w:p w14:paraId="49CFC831" w14:textId="7621428D" w:rsidR="00F72CCF" w:rsidRDefault="00F72CCF" w:rsidP="00F72CCF">
            <w:pPr>
              <w:jc w:val="center"/>
              <w:rPr>
                <w:color w:val="000000"/>
              </w:rPr>
            </w:pPr>
            <w:r>
              <w:rPr>
                <w:color w:val="000000"/>
              </w:rPr>
              <w:t xml:space="preserve">Binary indicator measuring TV viewership. </w:t>
            </w:r>
          </w:p>
        </w:tc>
      </w:tr>
    </w:tbl>
    <w:p w14:paraId="6297A87C" w14:textId="77777777" w:rsidR="001C0937" w:rsidRDefault="001C0937" w:rsidP="00F72CCF">
      <w:pPr>
        <w:jc w:val="center"/>
        <w:rPr>
          <w:color w:val="000000"/>
        </w:rPr>
      </w:pPr>
    </w:p>
    <w:p w14:paraId="218DE224" w14:textId="77777777" w:rsidR="008A5EF6" w:rsidRDefault="008A5EF6" w:rsidP="00F72CCF">
      <w:pPr>
        <w:jc w:val="center"/>
        <w:rPr>
          <w:color w:val="000000"/>
        </w:rPr>
      </w:pPr>
    </w:p>
    <w:p w14:paraId="44DB8F22" w14:textId="77777777" w:rsidR="008A5EF6" w:rsidRDefault="008A5EF6" w:rsidP="00F72CCF">
      <w:pPr>
        <w:jc w:val="center"/>
        <w:rPr>
          <w:color w:val="000000"/>
        </w:rPr>
      </w:pPr>
    </w:p>
    <w:p w14:paraId="766F83F8" w14:textId="77777777" w:rsidR="008A5EF6" w:rsidRDefault="008A5EF6" w:rsidP="00F72CCF">
      <w:pPr>
        <w:jc w:val="center"/>
        <w:rPr>
          <w:color w:val="000000"/>
        </w:rPr>
      </w:pPr>
    </w:p>
    <w:tbl>
      <w:tblPr>
        <w:tblStyle w:val="af"/>
        <w:tblW w:w="7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855"/>
        <w:gridCol w:w="855"/>
        <w:gridCol w:w="870"/>
        <w:gridCol w:w="915"/>
        <w:gridCol w:w="825"/>
        <w:gridCol w:w="810"/>
      </w:tblGrid>
      <w:tr w:rsidR="001C0937" w14:paraId="5B670D56" w14:textId="77777777">
        <w:trPr>
          <w:trHeight w:val="56"/>
          <w:jc w:val="center"/>
        </w:trPr>
        <w:tc>
          <w:tcPr>
            <w:tcW w:w="7695"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78D5D" w14:textId="26AB9F0E" w:rsidR="001C0937" w:rsidRDefault="00B45B5B">
            <w:pPr>
              <w:rPr>
                <w:b/>
              </w:rPr>
            </w:pPr>
            <w:r>
              <w:rPr>
                <w:b/>
                <w:color w:val="000000"/>
              </w:rPr>
              <w:t>Table A</w:t>
            </w:r>
            <w:r w:rsidR="00BD02EA">
              <w:rPr>
                <w:b/>
                <w:color w:val="000000"/>
              </w:rPr>
              <w:t>2</w:t>
            </w:r>
            <w:r w:rsidR="00000000">
              <w:rPr>
                <w:b/>
                <w:color w:val="000000"/>
              </w:rPr>
              <w:t>: Correlations between Trust in Institutions</w:t>
            </w:r>
          </w:p>
        </w:tc>
      </w:tr>
      <w:tr w:rsidR="001C0937" w14:paraId="4FAE220F" w14:textId="77777777">
        <w:trPr>
          <w:trHeight w:val="411"/>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79375" w14:textId="77777777" w:rsidR="001C0937" w:rsidRDefault="00000000">
            <w:r>
              <w:rPr>
                <w:color w:val="000000"/>
              </w:rPr>
              <w:t>Trust in...</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0A29B" w14:textId="77777777" w:rsidR="001C0937" w:rsidRDefault="00000000">
            <w:r>
              <w:rPr>
                <w:color w:val="000000"/>
              </w:rPr>
              <w:t>Putin</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AE980" w14:textId="77777777" w:rsidR="001C0937" w:rsidRDefault="00000000">
            <w:r>
              <w:rPr>
                <w:color w:val="000000"/>
              </w:rPr>
              <w:t>Duma</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CC17F" w14:textId="77777777" w:rsidR="001C0937" w:rsidRDefault="00000000">
            <w:r>
              <w:rPr>
                <w:color w:val="000000"/>
              </w:rPr>
              <w:t>Army</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7F17E" w14:textId="77777777" w:rsidR="001C0937" w:rsidRDefault="00000000">
            <w:r>
              <w:rPr>
                <w:color w:val="000000"/>
              </w:rPr>
              <w:t>Courts</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825C5" w14:textId="77777777" w:rsidR="001C0937" w:rsidRDefault="00000000">
            <w:r>
              <w:rPr>
                <w:color w:val="000000"/>
              </w:rPr>
              <w:t>Local gov’t</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DDCD7" w14:textId="77777777" w:rsidR="001C0937" w:rsidRDefault="00000000">
            <w:r>
              <w:rPr>
                <w:color w:val="000000"/>
              </w:rPr>
              <w:t>Police</w:t>
            </w:r>
          </w:p>
        </w:tc>
      </w:tr>
      <w:tr w:rsidR="001C0937" w14:paraId="19D60119" w14:textId="77777777">
        <w:trPr>
          <w:trHeight w:val="226"/>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D8053" w14:textId="043D95F2" w:rsidR="001C0937" w:rsidRDefault="00000000">
            <w:r>
              <w:rPr>
                <w:color w:val="000000"/>
              </w:rPr>
              <w:t>Putin</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0D90E" w14:textId="77777777" w:rsidR="001C0937" w:rsidRDefault="00000000">
            <w:r>
              <w:rPr>
                <w:color w:val="000000"/>
              </w:rPr>
              <w:t>1.00</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3ACF4" w14:textId="77777777" w:rsidR="001C0937" w:rsidRDefault="001C0937"/>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ECF54" w14:textId="77777777" w:rsidR="001C0937" w:rsidRDefault="001C0937"/>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49651" w14:textId="77777777" w:rsidR="001C0937" w:rsidRDefault="001C0937"/>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7823C" w14:textId="77777777" w:rsidR="001C0937" w:rsidRDefault="001C0937"/>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C055A" w14:textId="77777777" w:rsidR="001C0937" w:rsidRDefault="001C0937"/>
        </w:tc>
      </w:tr>
      <w:tr w:rsidR="001C0937" w14:paraId="692E92AA" w14:textId="77777777">
        <w:trPr>
          <w:trHeight w:val="237"/>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4E6C9" w14:textId="77777777" w:rsidR="001C0937" w:rsidRDefault="00000000">
            <w:r>
              <w:rPr>
                <w:color w:val="000000"/>
              </w:rPr>
              <w:t>Duma</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68A87" w14:textId="77777777" w:rsidR="001C0937" w:rsidRDefault="00000000">
            <w:r>
              <w:rPr>
                <w:color w:val="000000"/>
              </w:rPr>
              <w:t>0.51</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D5143" w14:textId="77777777" w:rsidR="001C0937" w:rsidRDefault="00000000">
            <w:r>
              <w:rPr>
                <w:color w:val="000000"/>
              </w:rPr>
              <w:t>1.00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32054" w14:textId="77777777" w:rsidR="001C0937" w:rsidRDefault="001C0937"/>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BF7B5" w14:textId="77777777" w:rsidR="001C0937" w:rsidRDefault="001C0937"/>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A8F48" w14:textId="77777777" w:rsidR="001C0937" w:rsidRDefault="001C0937"/>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77D4B" w14:textId="77777777" w:rsidR="001C0937" w:rsidRDefault="001C0937"/>
        </w:tc>
      </w:tr>
      <w:tr w:rsidR="001C0937" w14:paraId="1C008020" w14:textId="77777777">
        <w:trPr>
          <w:trHeight w:val="226"/>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D7D98" w14:textId="77777777" w:rsidR="001C0937" w:rsidRDefault="00000000">
            <w:r>
              <w:rPr>
                <w:color w:val="000000"/>
              </w:rPr>
              <w:t>Army</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7F109" w14:textId="77777777" w:rsidR="001C0937" w:rsidRDefault="00000000">
            <w:r>
              <w:rPr>
                <w:color w:val="000000"/>
              </w:rPr>
              <w:t>0.38</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69E52" w14:textId="77777777" w:rsidR="001C0937" w:rsidRDefault="00000000">
            <w:r>
              <w:rPr>
                <w:color w:val="000000"/>
              </w:rPr>
              <w:t>0.39</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45E2C" w14:textId="77777777" w:rsidR="001C0937" w:rsidRDefault="00000000">
            <w:r>
              <w:rPr>
                <w:color w:val="000000"/>
              </w:rPr>
              <w:t>1.00</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D822C" w14:textId="77777777" w:rsidR="001C0937" w:rsidRDefault="001C0937"/>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790B4" w14:textId="77777777" w:rsidR="001C0937" w:rsidRDefault="001C0937"/>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6FE25" w14:textId="77777777" w:rsidR="001C0937" w:rsidRDefault="001C0937"/>
        </w:tc>
      </w:tr>
      <w:tr w:rsidR="001C0937" w14:paraId="0DFE3129" w14:textId="77777777">
        <w:trPr>
          <w:trHeight w:val="237"/>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00552" w14:textId="77777777" w:rsidR="001C0937" w:rsidRDefault="00000000">
            <w:r>
              <w:rPr>
                <w:color w:val="000000"/>
              </w:rPr>
              <w:t>Courts</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8EF62" w14:textId="77777777" w:rsidR="001C0937" w:rsidRDefault="00000000">
            <w:r>
              <w:rPr>
                <w:color w:val="000000"/>
              </w:rPr>
              <w:t>0.34</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45F37" w14:textId="77777777" w:rsidR="001C0937" w:rsidRDefault="00000000">
            <w:r>
              <w:rPr>
                <w:color w:val="000000"/>
              </w:rPr>
              <w:t>0.50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587F1" w14:textId="77777777" w:rsidR="001C0937" w:rsidRDefault="00000000">
            <w:r>
              <w:rPr>
                <w:color w:val="000000"/>
              </w:rPr>
              <w:t>0.45</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CDC8E" w14:textId="77777777" w:rsidR="001C0937" w:rsidRDefault="00000000">
            <w:r>
              <w:rPr>
                <w:color w:val="000000"/>
              </w:rPr>
              <w:t>1.00</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5E94F" w14:textId="77777777" w:rsidR="001C0937" w:rsidRDefault="001C0937"/>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45E9B" w14:textId="77777777" w:rsidR="001C0937" w:rsidRDefault="001C0937"/>
        </w:tc>
      </w:tr>
      <w:tr w:rsidR="001C0937" w14:paraId="70AEC8DB" w14:textId="77777777">
        <w:trPr>
          <w:trHeight w:val="226"/>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0A4FE" w14:textId="77777777" w:rsidR="001C0937" w:rsidRDefault="00000000">
            <w:r>
              <w:rPr>
                <w:color w:val="000000"/>
              </w:rPr>
              <w:t>Local government</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69FD4" w14:textId="77777777" w:rsidR="001C0937" w:rsidRDefault="00000000">
            <w:r>
              <w:rPr>
                <w:color w:val="000000"/>
              </w:rPr>
              <w:t>0.40</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E7615" w14:textId="77777777" w:rsidR="001C0937" w:rsidRDefault="00000000">
            <w:r>
              <w:rPr>
                <w:color w:val="000000"/>
              </w:rPr>
              <w:t>0.51</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4FD64" w14:textId="77777777" w:rsidR="001C0937" w:rsidRDefault="00000000">
            <w:r>
              <w:rPr>
                <w:color w:val="000000"/>
              </w:rPr>
              <w:t>0.30</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99F2D" w14:textId="77777777" w:rsidR="001C0937" w:rsidRDefault="00000000">
            <w:r>
              <w:rPr>
                <w:color w:val="000000"/>
              </w:rPr>
              <w:t>0.44</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C3D84" w14:textId="77777777" w:rsidR="001C0937" w:rsidRDefault="00000000">
            <w:r>
              <w:rPr>
                <w:color w:val="000000"/>
              </w:rPr>
              <w:t>1.00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0C552" w14:textId="77777777" w:rsidR="001C0937" w:rsidRDefault="001C0937"/>
        </w:tc>
      </w:tr>
      <w:tr w:rsidR="001C0937" w14:paraId="34575132" w14:textId="77777777">
        <w:trPr>
          <w:trHeight w:val="237"/>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C7350" w14:textId="77777777" w:rsidR="001C0937" w:rsidRDefault="00000000">
            <w:r>
              <w:rPr>
                <w:color w:val="000000"/>
              </w:rPr>
              <w:t>Police</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0CAB6" w14:textId="77777777" w:rsidR="001C0937" w:rsidRDefault="00000000">
            <w:r>
              <w:rPr>
                <w:color w:val="000000"/>
              </w:rPr>
              <w:t>0.33</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D6B54" w14:textId="77777777" w:rsidR="001C0937" w:rsidRDefault="00000000">
            <w:r>
              <w:rPr>
                <w:color w:val="000000"/>
              </w:rPr>
              <w:t>0.46</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B4CBC" w14:textId="77777777" w:rsidR="001C0937" w:rsidRDefault="00000000">
            <w:r>
              <w:rPr>
                <w:color w:val="000000"/>
              </w:rPr>
              <w:t>0.40</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BA342" w14:textId="77777777" w:rsidR="001C0937" w:rsidRDefault="00000000">
            <w:r>
              <w:rPr>
                <w:color w:val="000000"/>
              </w:rPr>
              <w:t>0.51</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30872" w14:textId="77777777" w:rsidR="001C0937" w:rsidRDefault="00000000">
            <w:r>
              <w:rPr>
                <w:color w:val="000000"/>
              </w:rPr>
              <w:t>0.51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E5CA" w14:textId="77777777" w:rsidR="001C0937" w:rsidRDefault="00000000">
            <w:r>
              <w:rPr>
                <w:color w:val="000000"/>
              </w:rPr>
              <w:t>1.00</w:t>
            </w:r>
          </w:p>
        </w:tc>
      </w:tr>
    </w:tbl>
    <w:p w14:paraId="4D62FCFB" w14:textId="77777777" w:rsidR="008A5EF6" w:rsidRDefault="008A5EF6">
      <w:pPr>
        <w:spacing w:after="240"/>
        <w:rPr>
          <w:color w:val="000000"/>
        </w:rPr>
      </w:pPr>
    </w:p>
    <w:p w14:paraId="6AC26DAD" w14:textId="77777777" w:rsidR="00E457E9" w:rsidRDefault="00E457E9">
      <w:pPr>
        <w:spacing w:after="240"/>
        <w:rPr>
          <w:color w:val="000000"/>
        </w:rPr>
      </w:pPr>
    </w:p>
    <w:p w14:paraId="6DAFC758" w14:textId="77777777" w:rsidR="00E457E9" w:rsidRDefault="00E457E9">
      <w:pPr>
        <w:spacing w:after="240"/>
        <w:rPr>
          <w:color w:val="000000"/>
        </w:rPr>
      </w:pPr>
    </w:p>
    <w:p w14:paraId="1C70568F" w14:textId="77777777" w:rsidR="00E457E9" w:rsidRDefault="00E457E9">
      <w:pPr>
        <w:spacing w:after="240"/>
        <w:rPr>
          <w:color w:val="000000"/>
        </w:rPr>
      </w:pPr>
    </w:p>
    <w:tbl>
      <w:tblPr>
        <w:tblStyle w:val="af0"/>
        <w:tblW w:w="7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870"/>
        <w:gridCol w:w="1155"/>
        <w:gridCol w:w="900"/>
        <w:gridCol w:w="900"/>
        <w:gridCol w:w="855"/>
      </w:tblGrid>
      <w:tr w:rsidR="00844631" w14:paraId="1E0D5B6E" w14:textId="77777777" w:rsidTr="00AC3A2D">
        <w:trPr>
          <w:trHeight w:val="211"/>
          <w:jc w:val="center"/>
        </w:trPr>
        <w:tc>
          <w:tcPr>
            <w:tcW w:w="7620" w:type="dxa"/>
            <w:gridSpan w:val="6"/>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EAEAC1B" w14:textId="56433E15" w:rsidR="00844631" w:rsidRDefault="00B45B5B">
            <w:r>
              <w:rPr>
                <w:b/>
                <w:color w:val="000000"/>
              </w:rPr>
              <w:lastRenderedPageBreak/>
              <w:t>Table A</w:t>
            </w:r>
            <w:r w:rsidR="00844631">
              <w:rPr>
                <w:b/>
                <w:color w:val="000000"/>
              </w:rPr>
              <w:t>3: Balance Tests for Covariates</w:t>
            </w:r>
          </w:p>
        </w:tc>
      </w:tr>
      <w:tr w:rsidR="001C0937" w14:paraId="3F5CC056" w14:textId="77777777">
        <w:trPr>
          <w:trHeight w:val="204"/>
          <w:jc w:val="center"/>
        </w:trPr>
        <w:tc>
          <w:tcPr>
            <w:tcW w:w="2940" w:type="dxa"/>
            <w:tcBorders>
              <w:top w:val="single" w:sz="4" w:space="0" w:color="000000"/>
              <w:left w:val="single" w:sz="4" w:space="0" w:color="000000"/>
            </w:tcBorders>
            <w:tcMar>
              <w:top w:w="20" w:type="dxa"/>
              <w:left w:w="20" w:type="dxa"/>
              <w:bottom w:w="100" w:type="dxa"/>
              <w:right w:w="20" w:type="dxa"/>
            </w:tcMar>
            <w:vAlign w:val="bottom"/>
          </w:tcPr>
          <w:p w14:paraId="017959B7" w14:textId="77777777" w:rsidR="001C0937" w:rsidRDefault="001C0937"/>
        </w:tc>
        <w:tc>
          <w:tcPr>
            <w:tcW w:w="870" w:type="dxa"/>
            <w:tcBorders>
              <w:top w:val="single" w:sz="4" w:space="0" w:color="000000"/>
            </w:tcBorders>
            <w:tcMar>
              <w:top w:w="20" w:type="dxa"/>
              <w:left w:w="20" w:type="dxa"/>
              <w:bottom w:w="100" w:type="dxa"/>
              <w:right w:w="20" w:type="dxa"/>
            </w:tcMar>
            <w:vAlign w:val="bottom"/>
          </w:tcPr>
          <w:p w14:paraId="27737149" w14:textId="024DBEF7" w:rsidR="001C0937" w:rsidRDefault="00000000" w:rsidP="00844631">
            <w:pPr>
              <w:jc w:val="center"/>
            </w:pPr>
            <w:r>
              <w:rPr>
                <w:b/>
                <w:color w:val="000000"/>
              </w:rPr>
              <w:t>Pre- Duma</w:t>
            </w:r>
          </w:p>
        </w:tc>
        <w:tc>
          <w:tcPr>
            <w:tcW w:w="1155" w:type="dxa"/>
            <w:tcBorders>
              <w:top w:val="single" w:sz="4" w:space="0" w:color="000000"/>
            </w:tcBorders>
            <w:tcMar>
              <w:top w:w="20" w:type="dxa"/>
              <w:left w:w="20" w:type="dxa"/>
              <w:bottom w:w="100" w:type="dxa"/>
              <w:right w:w="20" w:type="dxa"/>
            </w:tcMar>
            <w:vAlign w:val="bottom"/>
          </w:tcPr>
          <w:p w14:paraId="12CDD304" w14:textId="77777777" w:rsidR="001C0937" w:rsidRDefault="00000000" w:rsidP="00844631">
            <w:pPr>
              <w:jc w:val="center"/>
            </w:pPr>
            <w:r>
              <w:rPr>
                <w:b/>
                <w:color w:val="000000"/>
              </w:rPr>
              <w:t>Post- Duma</w:t>
            </w:r>
          </w:p>
        </w:tc>
        <w:tc>
          <w:tcPr>
            <w:tcW w:w="900" w:type="dxa"/>
            <w:tcBorders>
              <w:top w:val="single" w:sz="4" w:space="0" w:color="000000"/>
            </w:tcBorders>
            <w:tcMar>
              <w:top w:w="20" w:type="dxa"/>
              <w:left w:w="20" w:type="dxa"/>
              <w:bottom w:w="100" w:type="dxa"/>
              <w:right w:w="20" w:type="dxa"/>
            </w:tcMar>
            <w:vAlign w:val="bottom"/>
          </w:tcPr>
          <w:p w14:paraId="7D250918" w14:textId="77777777" w:rsidR="001C0937" w:rsidRDefault="00000000" w:rsidP="00844631">
            <w:pPr>
              <w:jc w:val="center"/>
              <w:rPr>
                <w:b/>
              </w:rPr>
            </w:pPr>
            <w:r>
              <w:rPr>
                <w:b/>
              </w:rPr>
              <w:t>Post- Protest</w:t>
            </w:r>
          </w:p>
        </w:tc>
        <w:tc>
          <w:tcPr>
            <w:tcW w:w="900" w:type="dxa"/>
            <w:tcBorders>
              <w:top w:val="single" w:sz="4" w:space="0" w:color="000000"/>
            </w:tcBorders>
            <w:tcMar>
              <w:top w:w="20" w:type="dxa"/>
              <w:left w:w="20" w:type="dxa"/>
              <w:bottom w:w="100" w:type="dxa"/>
              <w:right w:w="20" w:type="dxa"/>
            </w:tcMar>
            <w:vAlign w:val="bottom"/>
          </w:tcPr>
          <w:p w14:paraId="10DACE9A" w14:textId="3CE41A80" w:rsidR="001C0937" w:rsidRDefault="00000000" w:rsidP="00844631">
            <w:pPr>
              <w:jc w:val="center"/>
              <w:rPr>
                <w:b/>
              </w:rPr>
            </w:pPr>
            <w:r>
              <w:rPr>
                <w:b/>
                <w:color w:val="000000"/>
              </w:rPr>
              <w:t>Pre- Pres.</w:t>
            </w:r>
            <w:r w:rsidR="00844631">
              <w:rPr>
                <w:rStyle w:val="FootnoteReference"/>
                <w:b/>
                <w:color w:val="000000"/>
              </w:rPr>
              <w:footnoteReference w:id="1"/>
            </w:r>
          </w:p>
        </w:tc>
        <w:tc>
          <w:tcPr>
            <w:tcW w:w="855" w:type="dxa"/>
            <w:tcBorders>
              <w:top w:val="single" w:sz="4" w:space="0" w:color="000000"/>
              <w:right w:val="single" w:sz="4" w:space="0" w:color="000000"/>
            </w:tcBorders>
            <w:tcMar>
              <w:top w:w="20" w:type="dxa"/>
              <w:left w:w="20" w:type="dxa"/>
              <w:bottom w:w="100" w:type="dxa"/>
              <w:right w:w="20" w:type="dxa"/>
            </w:tcMar>
            <w:vAlign w:val="bottom"/>
          </w:tcPr>
          <w:p w14:paraId="3534A2F7" w14:textId="77777777" w:rsidR="001C0937" w:rsidRDefault="00000000" w:rsidP="00844631">
            <w:pPr>
              <w:jc w:val="center"/>
            </w:pPr>
            <w:r>
              <w:rPr>
                <w:b/>
                <w:color w:val="000000"/>
              </w:rPr>
              <w:t>Post- Pres.</w:t>
            </w:r>
          </w:p>
        </w:tc>
      </w:tr>
      <w:tr w:rsidR="001C0937" w14:paraId="24746D98" w14:textId="77777777">
        <w:trPr>
          <w:trHeight w:val="641"/>
          <w:jc w:val="center"/>
        </w:trPr>
        <w:tc>
          <w:tcPr>
            <w:tcW w:w="2940" w:type="dxa"/>
            <w:tcBorders>
              <w:left w:val="single" w:sz="4" w:space="0" w:color="000000"/>
            </w:tcBorders>
            <w:tcMar>
              <w:top w:w="20" w:type="dxa"/>
              <w:left w:w="20" w:type="dxa"/>
              <w:bottom w:w="100" w:type="dxa"/>
              <w:right w:w="20" w:type="dxa"/>
            </w:tcMar>
            <w:vAlign w:val="bottom"/>
          </w:tcPr>
          <w:p w14:paraId="644B7E94" w14:textId="77777777" w:rsidR="001C0937" w:rsidRDefault="001C0937"/>
          <w:p w14:paraId="3F43DDB7" w14:textId="77777777" w:rsidR="001C0937" w:rsidRDefault="00000000">
            <w:r>
              <w:rPr>
                <w:b/>
                <w:color w:val="000000"/>
              </w:rPr>
              <w:t>Age</w:t>
            </w:r>
          </w:p>
        </w:tc>
        <w:tc>
          <w:tcPr>
            <w:tcW w:w="870" w:type="dxa"/>
            <w:tcMar>
              <w:top w:w="20" w:type="dxa"/>
              <w:left w:w="20" w:type="dxa"/>
              <w:bottom w:w="100" w:type="dxa"/>
              <w:right w:w="20" w:type="dxa"/>
            </w:tcMar>
            <w:vAlign w:val="bottom"/>
          </w:tcPr>
          <w:p w14:paraId="299D892D" w14:textId="77777777" w:rsidR="001C0937" w:rsidRDefault="00000000">
            <w:pPr>
              <w:jc w:val="right"/>
            </w:pPr>
            <w:r>
              <w:rPr>
                <w:color w:val="000000"/>
              </w:rPr>
              <w:t>45.159</w:t>
            </w:r>
          </w:p>
        </w:tc>
        <w:tc>
          <w:tcPr>
            <w:tcW w:w="1155" w:type="dxa"/>
            <w:tcMar>
              <w:top w:w="20" w:type="dxa"/>
              <w:left w:w="20" w:type="dxa"/>
              <w:bottom w:w="100" w:type="dxa"/>
              <w:right w:w="20" w:type="dxa"/>
            </w:tcMar>
            <w:vAlign w:val="bottom"/>
          </w:tcPr>
          <w:p w14:paraId="1BA45911" w14:textId="77777777" w:rsidR="001C0937" w:rsidRDefault="00000000">
            <w:pPr>
              <w:jc w:val="right"/>
            </w:pPr>
            <w:r>
              <w:rPr>
                <w:color w:val="000000"/>
              </w:rPr>
              <w:t>47.078</w:t>
            </w:r>
          </w:p>
        </w:tc>
        <w:tc>
          <w:tcPr>
            <w:tcW w:w="900" w:type="dxa"/>
            <w:tcMar>
              <w:top w:w="20" w:type="dxa"/>
              <w:left w:w="20" w:type="dxa"/>
              <w:bottom w:w="100" w:type="dxa"/>
              <w:right w:w="20" w:type="dxa"/>
            </w:tcMar>
            <w:vAlign w:val="bottom"/>
          </w:tcPr>
          <w:p w14:paraId="0AF9B33A" w14:textId="77777777" w:rsidR="001C0937" w:rsidRDefault="00000000">
            <w:pPr>
              <w:jc w:val="right"/>
            </w:pPr>
            <w:r>
              <w:rPr>
                <w:color w:val="000000"/>
              </w:rPr>
              <w:t>46.036</w:t>
            </w:r>
          </w:p>
        </w:tc>
        <w:tc>
          <w:tcPr>
            <w:tcW w:w="900" w:type="dxa"/>
            <w:tcMar>
              <w:top w:w="20" w:type="dxa"/>
              <w:left w:w="20" w:type="dxa"/>
              <w:bottom w:w="100" w:type="dxa"/>
              <w:right w:w="20" w:type="dxa"/>
            </w:tcMar>
            <w:vAlign w:val="bottom"/>
          </w:tcPr>
          <w:p w14:paraId="285D6794" w14:textId="77777777" w:rsidR="001C0937" w:rsidRDefault="00000000">
            <w:pPr>
              <w:jc w:val="right"/>
            </w:pPr>
            <w:r>
              <w:rPr>
                <w:color w:val="000000"/>
              </w:rPr>
              <w:t>46.192</w:t>
            </w:r>
          </w:p>
        </w:tc>
        <w:tc>
          <w:tcPr>
            <w:tcW w:w="855" w:type="dxa"/>
            <w:tcBorders>
              <w:right w:val="single" w:sz="4" w:space="0" w:color="000000"/>
            </w:tcBorders>
            <w:tcMar>
              <w:top w:w="20" w:type="dxa"/>
              <w:left w:w="20" w:type="dxa"/>
              <w:bottom w:w="100" w:type="dxa"/>
              <w:right w:w="20" w:type="dxa"/>
            </w:tcMar>
            <w:vAlign w:val="bottom"/>
          </w:tcPr>
          <w:p w14:paraId="225B5263" w14:textId="77777777" w:rsidR="001C0937" w:rsidRDefault="00000000">
            <w:pPr>
              <w:jc w:val="right"/>
            </w:pPr>
            <w:r>
              <w:rPr>
                <w:color w:val="000000"/>
              </w:rPr>
              <w:t>46.686</w:t>
            </w:r>
            <w:r w:rsidRPr="00D33CC4">
              <w:rPr>
                <w:i/>
                <w:iCs/>
                <w:color w:val="000000"/>
              </w:rPr>
              <w:t>f</w:t>
            </w:r>
          </w:p>
        </w:tc>
      </w:tr>
      <w:tr w:rsidR="001C0937" w14:paraId="631C82B5" w14:textId="77777777">
        <w:trPr>
          <w:trHeight w:val="33"/>
          <w:jc w:val="center"/>
        </w:trPr>
        <w:tc>
          <w:tcPr>
            <w:tcW w:w="2940" w:type="dxa"/>
            <w:tcBorders>
              <w:left w:val="single" w:sz="4" w:space="0" w:color="000000"/>
            </w:tcBorders>
            <w:tcMar>
              <w:top w:w="20" w:type="dxa"/>
              <w:left w:w="20" w:type="dxa"/>
              <w:bottom w:w="100" w:type="dxa"/>
              <w:right w:w="20" w:type="dxa"/>
            </w:tcMar>
            <w:vAlign w:val="bottom"/>
          </w:tcPr>
          <w:p w14:paraId="219D1A97" w14:textId="77777777" w:rsidR="001C0937" w:rsidRDefault="001C0937"/>
        </w:tc>
        <w:tc>
          <w:tcPr>
            <w:tcW w:w="870" w:type="dxa"/>
            <w:tcMar>
              <w:top w:w="20" w:type="dxa"/>
              <w:left w:w="20" w:type="dxa"/>
              <w:bottom w:w="100" w:type="dxa"/>
              <w:right w:w="20" w:type="dxa"/>
            </w:tcMar>
            <w:vAlign w:val="bottom"/>
          </w:tcPr>
          <w:p w14:paraId="2311D971" w14:textId="77777777" w:rsidR="001C0937" w:rsidRDefault="00000000">
            <w:pPr>
              <w:jc w:val="right"/>
            </w:pPr>
            <w:r>
              <w:rPr>
                <w:color w:val="000000"/>
              </w:rPr>
              <w:t>(0.508)</w:t>
            </w:r>
          </w:p>
        </w:tc>
        <w:tc>
          <w:tcPr>
            <w:tcW w:w="1155" w:type="dxa"/>
            <w:tcMar>
              <w:top w:w="20" w:type="dxa"/>
              <w:left w:w="20" w:type="dxa"/>
              <w:bottom w:w="100" w:type="dxa"/>
              <w:right w:w="20" w:type="dxa"/>
            </w:tcMar>
            <w:vAlign w:val="bottom"/>
          </w:tcPr>
          <w:p w14:paraId="7ECF7B92" w14:textId="77777777" w:rsidR="001C0937" w:rsidRDefault="00000000">
            <w:pPr>
              <w:jc w:val="right"/>
            </w:pPr>
            <w:r>
              <w:rPr>
                <w:color w:val="000000"/>
              </w:rPr>
              <w:t>(1.437)</w:t>
            </w:r>
          </w:p>
        </w:tc>
        <w:tc>
          <w:tcPr>
            <w:tcW w:w="900" w:type="dxa"/>
            <w:tcMar>
              <w:top w:w="20" w:type="dxa"/>
              <w:left w:w="20" w:type="dxa"/>
              <w:bottom w:w="100" w:type="dxa"/>
              <w:right w:w="20" w:type="dxa"/>
            </w:tcMar>
            <w:vAlign w:val="bottom"/>
          </w:tcPr>
          <w:p w14:paraId="78C480BA" w14:textId="77777777" w:rsidR="001C0937" w:rsidRDefault="00000000">
            <w:pPr>
              <w:jc w:val="right"/>
            </w:pPr>
            <w:r>
              <w:rPr>
                <w:color w:val="000000"/>
              </w:rPr>
              <w:t>(0.539)</w:t>
            </w:r>
          </w:p>
        </w:tc>
        <w:tc>
          <w:tcPr>
            <w:tcW w:w="900" w:type="dxa"/>
            <w:tcMar>
              <w:top w:w="20" w:type="dxa"/>
              <w:left w:w="20" w:type="dxa"/>
              <w:bottom w:w="100" w:type="dxa"/>
              <w:right w:w="20" w:type="dxa"/>
            </w:tcMar>
            <w:vAlign w:val="bottom"/>
          </w:tcPr>
          <w:p w14:paraId="258B66F8" w14:textId="77777777" w:rsidR="001C0937" w:rsidRDefault="00000000">
            <w:pPr>
              <w:jc w:val="right"/>
            </w:pPr>
            <w:r>
              <w:rPr>
                <w:color w:val="000000"/>
              </w:rPr>
              <w:t>(0.469)</w:t>
            </w:r>
          </w:p>
        </w:tc>
        <w:tc>
          <w:tcPr>
            <w:tcW w:w="855" w:type="dxa"/>
            <w:tcBorders>
              <w:right w:val="single" w:sz="4" w:space="0" w:color="000000"/>
            </w:tcBorders>
            <w:tcMar>
              <w:top w:w="20" w:type="dxa"/>
              <w:left w:w="20" w:type="dxa"/>
              <w:bottom w:w="100" w:type="dxa"/>
              <w:right w:w="20" w:type="dxa"/>
            </w:tcMar>
            <w:vAlign w:val="bottom"/>
          </w:tcPr>
          <w:p w14:paraId="6FF9F442" w14:textId="77777777" w:rsidR="001C0937" w:rsidRDefault="00000000">
            <w:pPr>
              <w:jc w:val="right"/>
            </w:pPr>
            <w:r>
              <w:rPr>
                <w:color w:val="000000"/>
              </w:rPr>
              <w:t>(0.473)</w:t>
            </w:r>
          </w:p>
        </w:tc>
      </w:tr>
      <w:tr w:rsidR="001C0937" w14:paraId="4CFEBC1A" w14:textId="77777777">
        <w:trPr>
          <w:trHeight w:val="211"/>
          <w:jc w:val="center"/>
        </w:trPr>
        <w:tc>
          <w:tcPr>
            <w:tcW w:w="2940" w:type="dxa"/>
            <w:tcBorders>
              <w:left w:val="single" w:sz="4" w:space="0" w:color="000000"/>
            </w:tcBorders>
            <w:tcMar>
              <w:top w:w="20" w:type="dxa"/>
              <w:left w:w="20" w:type="dxa"/>
              <w:bottom w:w="100" w:type="dxa"/>
              <w:right w:w="20" w:type="dxa"/>
            </w:tcMar>
            <w:vAlign w:val="bottom"/>
          </w:tcPr>
          <w:p w14:paraId="57CF47F9" w14:textId="77777777" w:rsidR="001C0937" w:rsidRDefault="00000000">
            <w:r>
              <w:rPr>
                <w:b/>
                <w:color w:val="000000"/>
              </w:rPr>
              <w:t>Male</w:t>
            </w:r>
          </w:p>
        </w:tc>
        <w:tc>
          <w:tcPr>
            <w:tcW w:w="870" w:type="dxa"/>
            <w:tcMar>
              <w:top w:w="20" w:type="dxa"/>
              <w:left w:w="20" w:type="dxa"/>
              <w:bottom w:w="100" w:type="dxa"/>
              <w:right w:w="20" w:type="dxa"/>
            </w:tcMar>
            <w:vAlign w:val="bottom"/>
          </w:tcPr>
          <w:p w14:paraId="4608FCB7" w14:textId="77777777" w:rsidR="001C0937" w:rsidRDefault="00000000">
            <w:pPr>
              <w:jc w:val="right"/>
            </w:pPr>
            <w:r>
              <w:rPr>
                <w:color w:val="000000"/>
              </w:rPr>
              <w:t>0.470</w:t>
            </w:r>
          </w:p>
        </w:tc>
        <w:tc>
          <w:tcPr>
            <w:tcW w:w="1155" w:type="dxa"/>
            <w:tcMar>
              <w:top w:w="20" w:type="dxa"/>
              <w:left w:w="20" w:type="dxa"/>
              <w:bottom w:w="100" w:type="dxa"/>
              <w:right w:w="20" w:type="dxa"/>
            </w:tcMar>
            <w:vAlign w:val="bottom"/>
          </w:tcPr>
          <w:p w14:paraId="61D3C97A" w14:textId="77777777" w:rsidR="001C0937" w:rsidRDefault="00000000">
            <w:pPr>
              <w:jc w:val="right"/>
            </w:pPr>
            <w:r>
              <w:rPr>
                <w:color w:val="000000"/>
              </w:rPr>
              <w:t>0.525</w:t>
            </w:r>
          </w:p>
        </w:tc>
        <w:tc>
          <w:tcPr>
            <w:tcW w:w="900" w:type="dxa"/>
            <w:tcMar>
              <w:top w:w="20" w:type="dxa"/>
              <w:left w:w="20" w:type="dxa"/>
              <w:bottom w:w="100" w:type="dxa"/>
              <w:right w:w="20" w:type="dxa"/>
            </w:tcMar>
            <w:vAlign w:val="bottom"/>
          </w:tcPr>
          <w:p w14:paraId="14E534B9" w14:textId="77777777" w:rsidR="001C0937" w:rsidRDefault="00000000">
            <w:pPr>
              <w:jc w:val="right"/>
            </w:pPr>
            <w:r>
              <w:rPr>
                <w:color w:val="000000"/>
              </w:rPr>
              <w:t>0.460</w:t>
            </w:r>
          </w:p>
        </w:tc>
        <w:tc>
          <w:tcPr>
            <w:tcW w:w="900" w:type="dxa"/>
            <w:tcMar>
              <w:top w:w="20" w:type="dxa"/>
              <w:left w:w="20" w:type="dxa"/>
              <w:bottom w:w="100" w:type="dxa"/>
              <w:right w:w="20" w:type="dxa"/>
            </w:tcMar>
            <w:vAlign w:val="bottom"/>
          </w:tcPr>
          <w:p w14:paraId="38246A29" w14:textId="77777777" w:rsidR="001C0937" w:rsidRDefault="00000000">
            <w:pPr>
              <w:jc w:val="right"/>
            </w:pPr>
            <w:r>
              <w:rPr>
                <w:color w:val="000000"/>
              </w:rPr>
              <w:t>0.458</w:t>
            </w:r>
          </w:p>
        </w:tc>
        <w:tc>
          <w:tcPr>
            <w:tcW w:w="855" w:type="dxa"/>
            <w:tcBorders>
              <w:right w:val="single" w:sz="4" w:space="0" w:color="000000"/>
            </w:tcBorders>
            <w:tcMar>
              <w:top w:w="20" w:type="dxa"/>
              <w:left w:w="20" w:type="dxa"/>
              <w:bottom w:w="100" w:type="dxa"/>
              <w:right w:w="20" w:type="dxa"/>
            </w:tcMar>
            <w:vAlign w:val="bottom"/>
          </w:tcPr>
          <w:p w14:paraId="68096F46" w14:textId="77777777" w:rsidR="001C0937" w:rsidRDefault="00000000">
            <w:pPr>
              <w:jc w:val="right"/>
            </w:pPr>
            <w:r>
              <w:rPr>
                <w:color w:val="000000"/>
              </w:rPr>
              <w:t>0.467</w:t>
            </w:r>
          </w:p>
        </w:tc>
      </w:tr>
      <w:tr w:rsidR="001C0937" w14:paraId="27BB7D87" w14:textId="77777777">
        <w:trPr>
          <w:trHeight w:val="33"/>
          <w:jc w:val="center"/>
        </w:trPr>
        <w:tc>
          <w:tcPr>
            <w:tcW w:w="2940" w:type="dxa"/>
            <w:tcBorders>
              <w:left w:val="single" w:sz="4" w:space="0" w:color="000000"/>
            </w:tcBorders>
            <w:tcMar>
              <w:top w:w="20" w:type="dxa"/>
              <w:left w:w="20" w:type="dxa"/>
              <w:bottom w:w="100" w:type="dxa"/>
              <w:right w:w="20" w:type="dxa"/>
            </w:tcMar>
            <w:vAlign w:val="bottom"/>
          </w:tcPr>
          <w:p w14:paraId="63830BF5" w14:textId="77777777" w:rsidR="001C0937" w:rsidRDefault="001C0937"/>
        </w:tc>
        <w:tc>
          <w:tcPr>
            <w:tcW w:w="870" w:type="dxa"/>
            <w:tcMar>
              <w:top w:w="20" w:type="dxa"/>
              <w:left w:w="20" w:type="dxa"/>
              <w:bottom w:w="100" w:type="dxa"/>
              <w:right w:w="20" w:type="dxa"/>
            </w:tcMar>
            <w:vAlign w:val="bottom"/>
          </w:tcPr>
          <w:p w14:paraId="356EA007" w14:textId="77777777" w:rsidR="001C0937" w:rsidRDefault="00000000">
            <w:pPr>
              <w:jc w:val="right"/>
            </w:pPr>
            <w:r>
              <w:rPr>
                <w:color w:val="000000"/>
              </w:rPr>
              <w:t>(0.014)</w:t>
            </w:r>
          </w:p>
        </w:tc>
        <w:tc>
          <w:tcPr>
            <w:tcW w:w="1155" w:type="dxa"/>
            <w:tcMar>
              <w:top w:w="20" w:type="dxa"/>
              <w:left w:w="20" w:type="dxa"/>
              <w:bottom w:w="100" w:type="dxa"/>
              <w:right w:w="20" w:type="dxa"/>
            </w:tcMar>
            <w:vAlign w:val="bottom"/>
          </w:tcPr>
          <w:p w14:paraId="6FFE0734" w14:textId="77777777" w:rsidR="001C0937" w:rsidRDefault="00000000">
            <w:pPr>
              <w:jc w:val="right"/>
            </w:pPr>
            <w:r>
              <w:rPr>
                <w:color w:val="000000"/>
              </w:rPr>
              <w:t>(0.042)</w:t>
            </w:r>
          </w:p>
        </w:tc>
        <w:tc>
          <w:tcPr>
            <w:tcW w:w="900" w:type="dxa"/>
            <w:tcMar>
              <w:top w:w="20" w:type="dxa"/>
              <w:left w:w="20" w:type="dxa"/>
              <w:bottom w:w="100" w:type="dxa"/>
              <w:right w:w="20" w:type="dxa"/>
            </w:tcMar>
            <w:vAlign w:val="bottom"/>
          </w:tcPr>
          <w:p w14:paraId="7F674DD9" w14:textId="77777777" w:rsidR="001C0937" w:rsidRDefault="00000000">
            <w:pPr>
              <w:jc w:val="right"/>
            </w:pPr>
            <w:r>
              <w:rPr>
                <w:color w:val="000000"/>
              </w:rPr>
              <w:t>(0.015)</w:t>
            </w:r>
          </w:p>
        </w:tc>
        <w:tc>
          <w:tcPr>
            <w:tcW w:w="900" w:type="dxa"/>
            <w:tcMar>
              <w:top w:w="20" w:type="dxa"/>
              <w:left w:w="20" w:type="dxa"/>
              <w:bottom w:w="100" w:type="dxa"/>
              <w:right w:w="20" w:type="dxa"/>
            </w:tcMar>
            <w:vAlign w:val="bottom"/>
          </w:tcPr>
          <w:p w14:paraId="392276B1" w14:textId="77777777" w:rsidR="001C0937" w:rsidRDefault="00000000">
            <w:pPr>
              <w:jc w:val="right"/>
            </w:pPr>
            <w:r>
              <w:rPr>
                <w:color w:val="000000"/>
              </w:rPr>
              <w:t>(0.013)</w:t>
            </w:r>
          </w:p>
        </w:tc>
        <w:tc>
          <w:tcPr>
            <w:tcW w:w="855" w:type="dxa"/>
            <w:tcBorders>
              <w:right w:val="single" w:sz="4" w:space="0" w:color="000000"/>
            </w:tcBorders>
            <w:tcMar>
              <w:top w:w="20" w:type="dxa"/>
              <w:left w:w="20" w:type="dxa"/>
              <w:bottom w:w="100" w:type="dxa"/>
              <w:right w:w="20" w:type="dxa"/>
            </w:tcMar>
            <w:vAlign w:val="bottom"/>
          </w:tcPr>
          <w:p w14:paraId="7A303DB0" w14:textId="77777777" w:rsidR="001C0937" w:rsidRDefault="00000000">
            <w:pPr>
              <w:jc w:val="right"/>
            </w:pPr>
            <w:r>
              <w:rPr>
                <w:color w:val="000000"/>
              </w:rPr>
              <w:t>(0.013)</w:t>
            </w:r>
          </w:p>
        </w:tc>
      </w:tr>
      <w:tr w:rsidR="001C0937" w14:paraId="5F26D647" w14:textId="77777777">
        <w:trPr>
          <w:trHeight w:val="211"/>
          <w:jc w:val="center"/>
        </w:trPr>
        <w:tc>
          <w:tcPr>
            <w:tcW w:w="2940" w:type="dxa"/>
            <w:tcBorders>
              <w:left w:val="single" w:sz="4" w:space="0" w:color="000000"/>
            </w:tcBorders>
            <w:tcMar>
              <w:top w:w="20" w:type="dxa"/>
              <w:left w:w="20" w:type="dxa"/>
              <w:bottom w:w="100" w:type="dxa"/>
              <w:right w:w="20" w:type="dxa"/>
            </w:tcMar>
            <w:vAlign w:val="bottom"/>
          </w:tcPr>
          <w:p w14:paraId="5ECB6FCB" w14:textId="77777777" w:rsidR="001C0937" w:rsidRDefault="00000000">
            <w:r>
              <w:rPr>
                <w:b/>
                <w:color w:val="000000"/>
              </w:rPr>
              <w:t>Education</w:t>
            </w:r>
          </w:p>
        </w:tc>
        <w:tc>
          <w:tcPr>
            <w:tcW w:w="870" w:type="dxa"/>
            <w:tcMar>
              <w:top w:w="20" w:type="dxa"/>
              <w:left w:w="20" w:type="dxa"/>
              <w:bottom w:w="100" w:type="dxa"/>
              <w:right w:w="20" w:type="dxa"/>
            </w:tcMar>
            <w:vAlign w:val="bottom"/>
          </w:tcPr>
          <w:p w14:paraId="3D8CB116" w14:textId="77777777" w:rsidR="001C0937" w:rsidRDefault="00000000">
            <w:pPr>
              <w:jc w:val="right"/>
            </w:pPr>
            <w:r>
              <w:rPr>
                <w:color w:val="000000"/>
              </w:rPr>
              <w:t>2.111</w:t>
            </w:r>
          </w:p>
        </w:tc>
        <w:tc>
          <w:tcPr>
            <w:tcW w:w="1155" w:type="dxa"/>
            <w:tcMar>
              <w:top w:w="20" w:type="dxa"/>
              <w:left w:w="20" w:type="dxa"/>
              <w:bottom w:w="100" w:type="dxa"/>
              <w:right w:w="20" w:type="dxa"/>
            </w:tcMar>
            <w:vAlign w:val="bottom"/>
          </w:tcPr>
          <w:p w14:paraId="597279E0" w14:textId="77777777" w:rsidR="001C0937" w:rsidRDefault="00000000">
            <w:pPr>
              <w:jc w:val="right"/>
            </w:pPr>
            <w:r>
              <w:rPr>
                <w:color w:val="000000"/>
              </w:rPr>
              <w:t>2.156</w:t>
            </w:r>
            <w:r w:rsidRPr="00D33CC4">
              <w:rPr>
                <w:i/>
                <w:iCs/>
                <w:color w:val="000000"/>
              </w:rPr>
              <w:t>b</w:t>
            </w:r>
          </w:p>
        </w:tc>
        <w:tc>
          <w:tcPr>
            <w:tcW w:w="900" w:type="dxa"/>
            <w:tcMar>
              <w:top w:w="20" w:type="dxa"/>
              <w:left w:w="20" w:type="dxa"/>
              <w:bottom w:w="100" w:type="dxa"/>
              <w:right w:w="20" w:type="dxa"/>
            </w:tcMar>
            <w:vAlign w:val="bottom"/>
          </w:tcPr>
          <w:p w14:paraId="17BA5AE6" w14:textId="77777777" w:rsidR="001C0937" w:rsidRDefault="00000000">
            <w:pPr>
              <w:jc w:val="right"/>
            </w:pPr>
            <w:r>
              <w:rPr>
                <w:color w:val="000000"/>
              </w:rPr>
              <w:t>2.033</w:t>
            </w:r>
            <w:r w:rsidRPr="00D33CC4">
              <w:rPr>
                <w:i/>
                <w:iCs/>
                <w:color w:val="000000"/>
              </w:rPr>
              <w:t>c</w:t>
            </w:r>
          </w:p>
        </w:tc>
        <w:tc>
          <w:tcPr>
            <w:tcW w:w="900" w:type="dxa"/>
            <w:tcMar>
              <w:top w:w="20" w:type="dxa"/>
              <w:left w:w="20" w:type="dxa"/>
              <w:bottom w:w="100" w:type="dxa"/>
              <w:right w:w="20" w:type="dxa"/>
            </w:tcMar>
            <w:vAlign w:val="bottom"/>
          </w:tcPr>
          <w:p w14:paraId="633DD8D5" w14:textId="77777777" w:rsidR="001C0937" w:rsidRDefault="00000000">
            <w:pPr>
              <w:jc w:val="right"/>
            </w:pPr>
            <w:r>
              <w:rPr>
                <w:color w:val="000000"/>
              </w:rPr>
              <w:t>2.072</w:t>
            </w:r>
          </w:p>
        </w:tc>
        <w:tc>
          <w:tcPr>
            <w:tcW w:w="855" w:type="dxa"/>
            <w:tcBorders>
              <w:right w:val="single" w:sz="4" w:space="0" w:color="000000"/>
            </w:tcBorders>
            <w:tcMar>
              <w:top w:w="20" w:type="dxa"/>
              <w:left w:w="20" w:type="dxa"/>
              <w:bottom w:w="100" w:type="dxa"/>
              <w:right w:w="20" w:type="dxa"/>
            </w:tcMar>
            <w:vAlign w:val="bottom"/>
          </w:tcPr>
          <w:p w14:paraId="56B454D2" w14:textId="77777777" w:rsidR="001C0937" w:rsidRDefault="00000000">
            <w:pPr>
              <w:jc w:val="right"/>
            </w:pPr>
            <w:r>
              <w:rPr>
                <w:color w:val="000000"/>
              </w:rPr>
              <w:t>2.104</w:t>
            </w:r>
          </w:p>
        </w:tc>
      </w:tr>
      <w:tr w:rsidR="001C0937" w14:paraId="1DC06E89" w14:textId="77777777">
        <w:trPr>
          <w:trHeight w:val="33"/>
          <w:jc w:val="center"/>
        </w:trPr>
        <w:tc>
          <w:tcPr>
            <w:tcW w:w="2940" w:type="dxa"/>
            <w:tcBorders>
              <w:left w:val="single" w:sz="4" w:space="0" w:color="000000"/>
            </w:tcBorders>
            <w:tcMar>
              <w:top w:w="20" w:type="dxa"/>
              <w:left w:w="20" w:type="dxa"/>
              <w:bottom w:w="100" w:type="dxa"/>
              <w:right w:w="20" w:type="dxa"/>
            </w:tcMar>
            <w:vAlign w:val="bottom"/>
          </w:tcPr>
          <w:p w14:paraId="6FF74166" w14:textId="77777777" w:rsidR="001C0937" w:rsidRDefault="001C0937"/>
        </w:tc>
        <w:tc>
          <w:tcPr>
            <w:tcW w:w="870" w:type="dxa"/>
            <w:tcMar>
              <w:top w:w="20" w:type="dxa"/>
              <w:left w:w="20" w:type="dxa"/>
              <w:bottom w:w="100" w:type="dxa"/>
              <w:right w:w="20" w:type="dxa"/>
            </w:tcMar>
            <w:vAlign w:val="bottom"/>
          </w:tcPr>
          <w:p w14:paraId="7B94DD90" w14:textId="77777777" w:rsidR="001C0937" w:rsidRDefault="00000000">
            <w:pPr>
              <w:jc w:val="right"/>
            </w:pPr>
            <w:r>
              <w:rPr>
                <w:color w:val="000000"/>
              </w:rPr>
              <w:t>(0.019)</w:t>
            </w:r>
          </w:p>
        </w:tc>
        <w:tc>
          <w:tcPr>
            <w:tcW w:w="1155" w:type="dxa"/>
            <w:tcMar>
              <w:top w:w="20" w:type="dxa"/>
              <w:left w:w="20" w:type="dxa"/>
              <w:bottom w:w="100" w:type="dxa"/>
              <w:right w:w="20" w:type="dxa"/>
            </w:tcMar>
            <w:vAlign w:val="bottom"/>
          </w:tcPr>
          <w:p w14:paraId="1904D2BA" w14:textId="77777777" w:rsidR="001C0937" w:rsidRDefault="00000000">
            <w:pPr>
              <w:jc w:val="right"/>
            </w:pPr>
            <w:r>
              <w:rPr>
                <w:color w:val="000000"/>
              </w:rPr>
              <w:t>(0.052)</w:t>
            </w:r>
          </w:p>
        </w:tc>
        <w:tc>
          <w:tcPr>
            <w:tcW w:w="900" w:type="dxa"/>
            <w:tcMar>
              <w:top w:w="20" w:type="dxa"/>
              <w:left w:w="20" w:type="dxa"/>
              <w:bottom w:w="100" w:type="dxa"/>
              <w:right w:w="20" w:type="dxa"/>
            </w:tcMar>
            <w:vAlign w:val="bottom"/>
          </w:tcPr>
          <w:p w14:paraId="6914F552" w14:textId="77777777" w:rsidR="001C0937" w:rsidRDefault="00000000">
            <w:pPr>
              <w:jc w:val="right"/>
            </w:pPr>
            <w:r>
              <w:rPr>
                <w:color w:val="000000"/>
              </w:rPr>
              <w:t>(0.020)</w:t>
            </w:r>
          </w:p>
        </w:tc>
        <w:tc>
          <w:tcPr>
            <w:tcW w:w="900" w:type="dxa"/>
            <w:tcMar>
              <w:top w:w="20" w:type="dxa"/>
              <w:left w:w="20" w:type="dxa"/>
              <w:bottom w:w="100" w:type="dxa"/>
              <w:right w:w="20" w:type="dxa"/>
            </w:tcMar>
            <w:vAlign w:val="bottom"/>
          </w:tcPr>
          <w:p w14:paraId="64143D21" w14:textId="77777777" w:rsidR="001C0937" w:rsidRDefault="00000000">
            <w:pPr>
              <w:jc w:val="right"/>
            </w:pPr>
            <w:r>
              <w:rPr>
                <w:color w:val="000000"/>
              </w:rPr>
              <w:t>(0.018)</w:t>
            </w:r>
          </w:p>
        </w:tc>
        <w:tc>
          <w:tcPr>
            <w:tcW w:w="855" w:type="dxa"/>
            <w:tcBorders>
              <w:right w:val="single" w:sz="4" w:space="0" w:color="000000"/>
            </w:tcBorders>
            <w:tcMar>
              <w:top w:w="20" w:type="dxa"/>
              <w:left w:w="20" w:type="dxa"/>
              <w:bottom w:w="100" w:type="dxa"/>
              <w:right w:w="20" w:type="dxa"/>
            </w:tcMar>
            <w:vAlign w:val="bottom"/>
          </w:tcPr>
          <w:p w14:paraId="7779FBDE" w14:textId="77777777" w:rsidR="001C0937" w:rsidRDefault="00000000">
            <w:pPr>
              <w:jc w:val="right"/>
            </w:pPr>
            <w:r>
              <w:rPr>
                <w:color w:val="000000"/>
              </w:rPr>
              <w:t>(0.018)</w:t>
            </w:r>
          </w:p>
        </w:tc>
      </w:tr>
      <w:tr w:rsidR="001C0937" w14:paraId="4162AD7D" w14:textId="77777777">
        <w:trPr>
          <w:trHeight w:val="211"/>
          <w:jc w:val="center"/>
        </w:trPr>
        <w:tc>
          <w:tcPr>
            <w:tcW w:w="2940" w:type="dxa"/>
            <w:tcBorders>
              <w:left w:val="single" w:sz="4" w:space="0" w:color="000000"/>
            </w:tcBorders>
            <w:tcMar>
              <w:top w:w="20" w:type="dxa"/>
              <w:left w:w="20" w:type="dxa"/>
              <w:bottom w:w="100" w:type="dxa"/>
              <w:right w:w="20" w:type="dxa"/>
            </w:tcMar>
            <w:vAlign w:val="bottom"/>
          </w:tcPr>
          <w:p w14:paraId="7A5D2D0C" w14:textId="77777777" w:rsidR="001C0937" w:rsidRDefault="00000000">
            <w:r>
              <w:rPr>
                <w:b/>
                <w:color w:val="000000"/>
              </w:rPr>
              <w:t>Income</w:t>
            </w:r>
          </w:p>
        </w:tc>
        <w:tc>
          <w:tcPr>
            <w:tcW w:w="870" w:type="dxa"/>
            <w:tcMar>
              <w:top w:w="20" w:type="dxa"/>
              <w:left w:w="20" w:type="dxa"/>
              <w:bottom w:w="100" w:type="dxa"/>
              <w:right w:w="20" w:type="dxa"/>
            </w:tcMar>
            <w:vAlign w:val="bottom"/>
          </w:tcPr>
          <w:p w14:paraId="639616CD" w14:textId="77777777" w:rsidR="001C0937" w:rsidRDefault="00000000">
            <w:pPr>
              <w:jc w:val="right"/>
            </w:pPr>
            <w:r>
              <w:rPr>
                <w:color w:val="000000"/>
              </w:rPr>
              <w:t>2.975</w:t>
            </w:r>
            <w:r w:rsidRPr="00D33CC4">
              <w:rPr>
                <w:i/>
                <w:iCs/>
                <w:color w:val="000000"/>
              </w:rPr>
              <w:t>a</w:t>
            </w:r>
          </w:p>
        </w:tc>
        <w:tc>
          <w:tcPr>
            <w:tcW w:w="1155" w:type="dxa"/>
            <w:tcMar>
              <w:top w:w="20" w:type="dxa"/>
              <w:left w:w="20" w:type="dxa"/>
              <w:bottom w:w="100" w:type="dxa"/>
              <w:right w:w="20" w:type="dxa"/>
            </w:tcMar>
            <w:vAlign w:val="bottom"/>
          </w:tcPr>
          <w:p w14:paraId="0FF5909D" w14:textId="77777777" w:rsidR="001C0937" w:rsidRDefault="00000000">
            <w:pPr>
              <w:jc w:val="right"/>
            </w:pPr>
            <w:r>
              <w:rPr>
                <w:color w:val="000000"/>
              </w:rPr>
              <w:t>2.619</w:t>
            </w:r>
          </w:p>
        </w:tc>
        <w:tc>
          <w:tcPr>
            <w:tcW w:w="900" w:type="dxa"/>
            <w:tcMar>
              <w:top w:w="20" w:type="dxa"/>
              <w:left w:w="20" w:type="dxa"/>
              <w:bottom w:w="100" w:type="dxa"/>
              <w:right w:w="20" w:type="dxa"/>
            </w:tcMar>
            <w:vAlign w:val="bottom"/>
          </w:tcPr>
          <w:p w14:paraId="5AB99E37" w14:textId="77777777" w:rsidR="001C0937" w:rsidRDefault="00000000">
            <w:pPr>
              <w:jc w:val="right"/>
            </w:pPr>
            <w:r>
              <w:rPr>
                <w:color w:val="000000"/>
              </w:rPr>
              <w:t>2.821</w:t>
            </w:r>
            <w:r w:rsidRPr="00D33CC4">
              <w:rPr>
                <w:i/>
                <w:iCs/>
                <w:color w:val="000000"/>
              </w:rPr>
              <w:t>c</w:t>
            </w:r>
          </w:p>
        </w:tc>
        <w:tc>
          <w:tcPr>
            <w:tcW w:w="900" w:type="dxa"/>
            <w:tcMar>
              <w:top w:w="20" w:type="dxa"/>
              <w:left w:w="20" w:type="dxa"/>
              <w:bottom w:w="100" w:type="dxa"/>
              <w:right w:w="20" w:type="dxa"/>
            </w:tcMar>
            <w:vAlign w:val="bottom"/>
          </w:tcPr>
          <w:p w14:paraId="1DF79340" w14:textId="77777777" w:rsidR="001C0937" w:rsidRDefault="00000000">
            <w:pPr>
              <w:jc w:val="right"/>
            </w:pPr>
            <w:r>
              <w:rPr>
                <w:color w:val="000000"/>
              </w:rPr>
              <w:t>3.097d</w:t>
            </w:r>
            <w:r w:rsidRPr="00D33CC4">
              <w:rPr>
                <w:i/>
                <w:iCs/>
                <w:color w:val="000000"/>
              </w:rPr>
              <w:t>e</w:t>
            </w:r>
          </w:p>
        </w:tc>
        <w:tc>
          <w:tcPr>
            <w:tcW w:w="855" w:type="dxa"/>
            <w:tcBorders>
              <w:right w:val="single" w:sz="4" w:space="0" w:color="000000"/>
            </w:tcBorders>
            <w:tcMar>
              <w:top w:w="20" w:type="dxa"/>
              <w:left w:w="20" w:type="dxa"/>
              <w:bottom w:w="100" w:type="dxa"/>
              <w:right w:w="20" w:type="dxa"/>
            </w:tcMar>
            <w:vAlign w:val="bottom"/>
          </w:tcPr>
          <w:p w14:paraId="3DD8CDF9" w14:textId="77777777" w:rsidR="001C0937" w:rsidRDefault="00000000">
            <w:pPr>
              <w:jc w:val="right"/>
            </w:pPr>
            <w:r>
              <w:rPr>
                <w:color w:val="000000"/>
              </w:rPr>
              <w:t>3.203</w:t>
            </w:r>
            <w:r w:rsidRPr="00D33CC4">
              <w:rPr>
                <w:i/>
                <w:iCs/>
                <w:color w:val="000000"/>
              </w:rPr>
              <w:t>f</w:t>
            </w:r>
          </w:p>
        </w:tc>
      </w:tr>
      <w:tr w:rsidR="001C0937" w14:paraId="525BD334" w14:textId="77777777">
        <w:trPr>
          <w:trHeight w:val="33"/>
          <w:jc w:val="center"/>
        </w:trPr>
        <w:tc>
          <w:tcPr>
            <w:tcW w:w="2940" w:type="dxa"/>
            <w:tcBorders>
              <w:left w:val="single" w:sz="4" w:space="0" w:color="000000"/>
            </w:tcBorders>
            <w:tcMar>
              <w:top w:w="20" w:type="dxa"/>
              <w:left w:w="20" w:type="dxa"/>
              <w:bottom w:w="100" w:type="dxa"/>
              <w:right w:w="20" w:type="dxa"/>
            </w:tcMar>
            <w:vAlign w:val="bottom"/>
          </w:tcPr>
          <w:p w14:paraId="01A65AB2" w14:textId="77777777" w:rsidR="001C0937" w:rsidRDefault="001C0937"/>
        </w:tc>
        <w:tc>
          <w:tcPr>
            <w:tcW w:w="870" w:type="dxa"/>
            <w:tcMar>
              <w:top w:w="20" w:type="dxa"/>
              <w:left w:w="20" w:type="dxa"/>
              <w:bottom w:w="100" w:type="dxa"/>
              <w:right w:w="20" w:type="dxa"/>
            </w:tcMar>
            <w:vAlign w:val="bottom"/>
          </w:tcPr>
          <w:p w14:paraId="65F220AD" w14:textId="77777777" w:rsidR="001C0937" w:rsidRDefault="00000000">
            <w:pPr>
              <w:jc w:val="right"/>
            </w:pPr>
            <w:r>
              <w:rPr>
                <w:color w:val="000000"/>
              </w:rPr>
              <w:t>(0.043)</w:t>
            </w:r>
          </w:p>
        </w:tc>
        <w:tc>
          <w:tcPr>
            <w:tcW w:w="1155" w:type="dxa"/>
            <w:tcMar>
              <w:top w:w="20" w:type="dxa"/>
              <w:left w:w="20" w:type="dxa"/>
              <w:bottom w:w="100" w:type="dxa"/>
              <w:right w:w="20" w:type="dxa"/>
            </w:tcMar>
            <w:vAlign w:val="bottom"/>
          </w:tcPr>
          <w:p w14:paraId="14DC67AA" w14:textId="77777777" w:rsidR="001C0937" w:rsidRDefault="00000000">
            <w:pPr>
              <w:jc w:val="right"/>
            </w:pPr>
            <w:r>
              <w:rPr>
                <w:color w:val="000000"/>
              </w:rPr>
              <w:t>(0.106)</w:t>
            </w:r>
          </w:p>
        </w:tc>
        <w:tc>
          <w:tcPr>
            <w:tcW w:w="900" w:type="dxa"/>
            <w:tcMar>
              <w:top w:w="20" w:type="dxa"/>
              <w:left w:w="20" w:type="dxa"/>
              <w:bottom w:w="100" w:type="dxa"/>
              <w:right w:w="20" w:type="dxa"/>
            </w:tcMar>
            <w:vAlign w:val="bottom"/>
          </w:tcPr>
          <w:p w14:paraId="6681A964" w14:textId="77777777" w:rsidR="001C0937" w:rsidRDefault="00000000">
            <w:pPr>
              <w:jc w:val="right"/>
            </w:pPr>
            <w:r>
              <w:rPr>
                <w:color w:val="000000"/>
              </w:rPr>
              <w:t>(0.044)</w:t>
            </w:r>
          </w:p>
        </w:tc>
        <w:tc>
          <w:tcPr>
            <w:tcW w:w="900" w:type="dxa"/>
            <w:tcMar>
              <w:top w:w="20" w:type="dxa"/>
              <w:left w:w="20" w:type="dxa"/>
              <w:bottom w:w="100" w:type="dxa"/>
              <w:right w:w="20" w:type="dxa"/>
            </w:tcMar>
            <w:vAlign w:val="bottom"/>
          </w:tcPr>
          <w:p w14:paraId="174C49DB" w14:textId="77777777" w:rsidR="001C0937" w:rsidRDefault="00000000">
            <w:pPr>
              <w:jc w:val="right"/>
            </w:pPr>
            <w:r>
              <w:rPr>
                <w:color w:val="000000"/>
              </w:rPr>
              <w:t>(0.039)</w:t>
            </w:r>
          </w:p>
        </w:tc>
        <w:tc>
          <w:tcPr>
            <w:tcW w:w="855" w:type="dxa"/>
            <w:tcBorders>
              <w:right w:val="single" w:sz="4" w:space="0" w:color="000000"/>
            </w:tcBorders>
            <w:tcMar>
              <w:top w:w="20" w:type="dxa"/>
              <w:left w:w="20" w:type="dxa"/>
              <w:bottom w:w="100" w:type="dxa"/>
              <w:right w:w="20" w:type="dxa"/>
            </w:tcMar>
            <w:vAlign w:val="bottom"/>
          </w:tcPr>
          <w:p w14:paraId="64BA18F1" w14:textId="77777777" w:rsidR="001C0937" w:rsidRDefault="00000000">
            <w:pPr>
              <w:jc w:val="right"/>
            </w:pPr>
            <w:r>
              <w:rPr>
                <w:color w:val="000000"/>
              </w:rPr>
              <w:t>(0.040)</w:t>
            </w:r>
          </w:p>
        </w:tc>
      </w:tr>
      <w:tr w:rsidR="001C0937" w14:paraId="3220B7BF" w14:textId="77777777">
        <w:trPr>
          <w:trHeight w:val="211"/>
          <w:jc w:val="center"/>
        </w:trPr>
        <w:tc>
          <w:tcPr>
            <w:tcW w:w="2940" w:type="dxa"/>
            <w:tcBorders>
              <w:left w:val="single" w:sz="4" w:space="0" w:color="000000"/>
            </w:tcBorders>
            <w:tcMar>
              <w:top w:w="20" w:type="dxa"/>
              <w:left w:w="20" w:type="dxa"/>
              <w:bottom w:w="100" w:type="dxa"/>
              <w:right w:w="20" w:type="dxa"/>
            </w:tcMar>
            <w:vAlign w:val="bottom"/>
          </w:tcPr>
          <w:p w14:paraId="27C2632F" w14:textId="77777777" w:rsidR="001C0937" w:rsidRDefault="00000000">
            <w:pPr>
              <w:rPr>
                <w:b/>
              </w:rPr>
            </w:pPr>
            <w:r>
              <w:rPr>
                <w:b/>
              </w:rPr>
              <w:t>Interest in Politics</w:t>
            </w:r>
          </w:p>
        </w:tc>
        <w:tc>
          <w:tcPr>
            <w:tcW w:w="870" w:type="dxa"/>
            <w:tcMar>
              <w:top w:w="20" w:type="dxa"/>
              <w:left w:w="20" w:type="dxa"/>
              <w:bottom w:w="100" w:type="dxa"/>
              <w:right w:w="20" w:type="dxa"/>
            </w:tcMar>
            <w:vAlign w:val="bottom"/>
          </w:tcPr>
          <w:p w14:paraId="6763CE20" w14:textId="77777777" w:rsidR="001C0937" w:rsidRDefault="00000000">
            <w:pPr>
              <w:jc w:val="right"/>
            </w:pPr>
            <w:r>
              <w:rPr>
                <w:color w:val="000000"/>
              </w:rPr>
              <w:t>0.414</w:t>
            </w:r>
          </w:p>
        </w:tc>
        <w:tc>
          <w:tcPr>
            <w:tcW w:w="1155" w:type="dxa"/>
            <w:tcMar>
              <w:top w:w="20" w:type="dxa"/>
              <w:left w:w="20" w:type="dxa"/>
              <w:bottom w:w="100" w:type="dxa"/>
              <w:right w:w="20" w:type="dxa"/>
            </w:tcMar>
            <w:vAlign w:val="bottom"/>
          </w:tcPr>
          <w:p w14:paraId="7AE78979" w14:textId="77777777" w:rsidR="001C0937" w:rsidRDefault="00000000">
            <w:pPr>
              <w:jc w:val="right"/>
            </w:pPr>
            <w:r>
              <w:rPr>
                <w:color w:val="000000"/>
              </w:rPr>
              <w:t>0.471</w:t>
            </w:r>
          </w:p>
        </w:tc>
        <w:tc>
          <w:tcPr>
            <w:tcW w:w="900" w:type="dxa"/>
            <w:tcMar>
              <w:top w:w="20" w:type="dxa"/>
              <w:left w:w="20" w:type="dxa"/>
              <w:bottom w:w="100" w:type="dxa"/>
              <w:right w:w="20" w:type="dxa"/>
            </w:tcMar>
            <w:vAlign w:val="bottom"/>
          </w:tcPr>
          <w:p w14:paraId="1F91DDB8" w14:textId="77777777" w:rsidR="001C0937" w:rsidRDefault="00000000">
            <w:pPr>
              <w:jc w:val="right"/>
            </w:pPr>
            <w:r>
              <w:rPr>
                <w:color w:val="000000"/>
              </w:rPr>
              <w:t>0.444</w:t>
            </w:r>
          </w:p>
        </w:tc>
        <w:tc>
          <w:tcPr>
            <w:tcW w:w="900" w:type="dxa"/>
            <w:tcMar>
              <w:top w:w="20" w:type="dxa"/>
              <w:left w:w="20" w:type="dxa"/>
              <w:bottom w:w="100" w:type="dxa"/>
              <w:right w:w="20" w:type="dxa"/>
            </w:tcMar>
            <w:vAlign w:val="bottom"/>
          </w:tcPr>
          <w:p w14:paraId="39F3B1F0" w14:textId="77777777" w:rsidR="001C0937" w:rsidRDefault="00000000">
            <w:pPr>
              <w:jc w:val="right"/>
            </w:pPr>
            <w:r>
              <w:rPr>
                <w:color w:val="000000"/>
              </w:rPr>
              <w:t>0.428</w:t>
            </w:r>
          </w:p>
        </w:tc>
        <w:tc>
          <w:tcPr>
            <w:tcW w:w="855" w:type="dxa"/>
            <w:tcBorders>
              <w:right w:val="single" w:sz="4" w:space="0" w:color="000000"/>
            </w:tcBorders>
            <w:tcMar>
              <w:top w:w="20" w:type="dxa"/>
              <w:left w:w="20" w:type="dxa"/>
              <w:bottom w:w="100" w:type="dxa"/>
              <w:right w:w="20" w:type="dxa"/>
            </w:tcMar>
            <w:vAlign w:val="bottom"/>
          </w:tcPr>
          <w:p w14:paraId="54FE12B6" w14:textId="77777777" w:rsidR="001C0937" w:rsidRDefault="00000000">
            <w:pPr>
              <w:jc w:val="right"/>
            </w:pPr>
            <w:r>
              <w:rPr>
                <w:color w:val="000000"/>
              </w:rPr>
              <w:t>0.439</w:t>
            </w:r>
          </w:p>
        </w:tc>
      </w:tr>
      <w:tr w:rsidR="001C0937" w14:paraId="35D5035B" w14:textId="77777777">
        <w:trPr>
          <w:trHeight w:val="33"/>
          <w:jc w:val="center"/>
        </w:trPr>
        <w:tc>
          <w:tcPr>
            <w:tcW w:w="2940" w:type="dxa"/>
            <w:tcBorders>
              <w:left w:val="single" w:sz="4" w:space="0" w:color="000000"/>
            </w:tcBorders>
            <w:tcMar>
              <w:top w:w="20" w:type="dxa"/>
              <w:left w:w="20" w:type="dxa"/>
              <w:bottom w:w="100" w:type="dxa"/>
              <w:right w:w="20" w:type="dxa"/>
            </w:tcMar>
            <w:vAlign w:val="bottom"/>
          </w:tcPr>
          <w:p w14:paraId="2C35D5E2" w14:textId="77777777" w:rsidR="001C0937" w:rsidRDefault="001C0937"/>
        </w:tc>
        <w:tc>
          <w:tcPr>
            <w:tcW w:w="870" w:type="dxa"/>
            <w:tcMar>
              <w:top w:w="20" w:type="dxa"/>
              <w:left w:w="20" w:type="dxa"/>
              <w:bottom w:w="100" w:type="dxa"/>
              <w:right w:w="20" w:type="dxa"/>
            </w:tcMar>
            <w:vAlign w:val="bottom"/>
          </w:tcPr>
          <w:p w14:paraId="285AFB1F" w14:textId="77777777" w:rsidR="001C0937" w:rsidRDefault="00000000">
            <w:pPr>
              <w:jc w:val="right"/>
            </w:pPr>
            <w:r>
              <w:rPr>
                <w:color w:val="000000"/>
              </w:rPr>
              <w:t>(0.014)</w:t>
            </w:r>
          </w:p>
        </w:tc>
        <w:tc>
          <w:tcPr>
            <w:tcW w:w="1155" w:type="dxa"/>
            <w:tcMar>
              <w:top w:w="20" w:type="dxa"/>
              <w:left w:w="20" w:type="dxa"/>
              <w:bottom w:w="100" w:type="dxa"/>
              <w:right w:w="20" w:type="dxa"/>
            </w:tcMar>
            <w:vAlign w:val="bottom"/>
          </w:tcPr>
          <w:p w14:paraId="45609AB2" w14:textId="77777777" w:rsidR="001C0937" w:rsidRDefault="00000000">
            <w:pPr>
              <w:jc w:val="right"/>
            </w:pPr>
            <w:r>
              <w:rPr>
                <w:color w:val="000000"/>
              </w:rPr>
              <w:t>(0.042)</w:t>
            </w:r>
          </w:p>
        </w:tc>
        <w:tc>
          <w:tcPr>
            <w:tcW w:w="900" w:type="dxa"/>
            <w:tcMar>
              <w:top w:w="20" w:type="dxa"/>
              <w:left w:w="20" w:type="dxa"/>
              <w:bottom w:w="100" w:type="dxa"/>
              <w:right w:w="20" w:type="dxa"/>
            </w:tcMar>
            <w:vAlign w:val="bottom"/>
          </w:tcPr>
          <w:p w14:paraId="261B6E9D" w14:textId="77777777" w:rsidR="001C0937" w:rsidRDefault="00000000">
            <w:pPr>
              <w:jc w:val="right"/>
            </w:pPr>
            <w:r>
              <w:rPr>
                <w:color w:val="000000"/>
              </w:rPr>
              <w:t>(0.015)</w:t>
            </w:r>
          </w:p>
        </w:tc>
        <w:tc>
          <w:tcPr>
            <w:tcW w:w="900" w:type="dxa"/>
            <w:tcMar>
              <w:top w:w="20" w:type="dxa"/>
              <w:left w:w="20" w:type="dxa"/>
              <w:bottom w:w="100" w:type="dxa"/>
              <w:right w:w="20" w:type="dxa"/>
            </w:tcMar>
            <w:vAlign w:val="bottom"/>
          </w:tcPr>
          <w:p w14:paraId="056F4F9C" w14:textId="77777777" w:rsidR="001C0937" w:rsidRDefault="00000000">
            <w:pPr>
              <w:jc w:val="right"/>
            </w:pPr>
            <w:r>
              <w:rPr>
                <w:color w:val="000000"/>
              </w:rPr>
              <w:t>(0.013)</w:t>
            </w:r>
          </w:p>
        </w:tc>
        <w:tc>
          <w:tcPr>
            <w:tcW w:w="855" w:type="dxa"/>
            <w:tcBorders>
              <w:right w:val="single" w:sz="4" w:space="0" w:color="000000"/>
            </w:tcBorders>
            <w:tcMar>
              <w:top w:w="20" w:type="dxa"/>
              <w:left w:w="20" w:type="dxa"/>
              <w:bottom w:w="100" w:type="dxa"/>
              <w:right w:w="20" w:type="dxa"/>
            </w:tcMar>
            <w:vAlign w:val="bottom"/>
          </w:tcPr>
          <w:p w14:paraId="1A4DCD98" w14:textId="77777777" w:rsidR="001C0937" w:rsidRDefault="00000000">
            <w:pPr>
              <w:jc w:val="right"/>
            </w:pPr>
            <w:r>
              <w:rPr>
                <w:color w:val="000000"/>
              </w:rPr>
              <w:t>(0.013)</w:t>
            </w:r>
          </w:p>
        </w:tc>
      </w:tr>
      <w:tr w:rsidR="001C0937" w14:paraId="1E6845F0" w14:textId="77777777">
        <w:trPr>
          <w:trHeight w:val="211"/>
          <w:jc w:val="center"/>
        </w:trPr>
        <w:tc>
          <w:tcPr>
            <w:tcW w:w="2940" w:type="dxa"/>
            <w:tcBorders>
              <w:left w:val="single" w:sz="4" w:space="0" w:color="000000"/>
            </w:tcBorders>
            <w:tcMar>
              <w:top w:w="20" w:type="dxa"/>
              <w:left w:w="20" w:type="dxa"/>
              <w:bottom w:w="100" w:type="dxa"/>
              <w:right w:w="20" w:type="dxa"/>
            </w:tcMar>
            <w:vAlign w:val="bottom"/>
          </w:tcPr>
          <w:p w14:paraId="47EE8A4E" w14:textId="77777777" w:rsidR="001C0937" w:rsidRDefault="00000000">
            <w:r>
              <w:rPr>
                <w:b/>
                <w:color w:val="000000"/>
              </w:rPr>
              <w:t>Urban</w:t>
            </w:r>
          </w:p>
        </w:tc>
        <w:tc>
          <w:tcPr>
            <w:tcW w:w="870" w:type="dxa"/>
            <w:tcMar>
              <w:top w:w="20" w:type="dxa"/>
              <w:left w:w="20" w:type="dxa"/>
              <w:bottom w:w="100" w:type="dxa"/>
              <w:right w:w="20" w:type="dxa"/>
            </w:tcMar>
            <w:vAlign w:val="bottom"/>
          </w:tcPr>
          <w:p w14:paraId="253CC0C8" w14:textId="77777777" w:rsidR="001C0937" w:rsidRDefault="00000000">
            <w:pPr>
              <w:jc w:val="right"/>
            </w:pPr>
            <w:r>
              <w:rPr>
                <w:color w:val="000000"/>
              </w:rPr>
              <w:t>2.968</w:t>
            </w:r>
          </w:p>
        </w:tc>
        <w:tc>
          <w:tcPr>
            <w:tcW w:w="1155" w:type="dxa"/>
            <w:tcMar>
              <w:top w:w="20" w:type="dxa"/>
              <w:left w:w="20" w:type="dxa"/>
              <w:bottom w:w="100" w:type="dxa"/>
              <w:right w:w="20" w:type="dxa"/>
            </w:tcMar>
            <w:vAlign w:val="bottom"/>
          </w:tcPr>
          <w:p w14:paraId="26BC8875" w14:textId="77777777" w:rsidR="001C0937" w:rsidRDefault="00000000">
            <w:pPr>
              <w:jc w:val="right"/>
            </w:pPr>
            <w:r>
              <w:rPr>
                <w:color w:val="000000"/>
              </w:rPr>
              <w:t>3.085</w:t>
            </w:r>
          </w:p>
        </w:tc>
        <w:tc>
          <w:tcPr>
            <w:tcW w:w="900" w:type="dxa"/>
            <w:tcMar>
              <w:top w:w="20" w:type="dxa"/>
              <w:left w:w="20" w:type="dxa"/>
              <w:bottom w:w="100" w:type="dxa"/>
              <w:right w:w="20" w:type="dxa"/>
            </w:tcMar>
            <w:vAlign w:val="bottom"/>
          </w:tcPr>
          <w:p w14:paraId="29CBB524" w14:textId="77777777" w:rsidR="001C0937" w:rsidRDefault="00000000">
            <w:pPr>
              <w:jc w:val="right"/>
            </w:pPr>
            <w:r>
              <w:rPr>
                <w:color w:val="000000"/>
              </w:rPr>
              <w:t>2.952</w:t>
            </w:r>
          </w:p>
        </w:tc>
        <w:tc>
          <w:tcPr>
            <w:tcW w:w="900" w:type="dxa"/>
            <w:tcMar>
              <w:top w:w="20" w:type="dxa"/>
              <w:left w:w="20" w:type="dxa"/>
              <w:bottom w:w="100" w:type="dxa"/>
              <w:right w:w="20" w:type="dxa"/>
            </w:tcMar>
            <w:vAlign w:val="bottom"/>
          </w:tcPr>
          <w:p w14:paraId="06F0E83E" w14:textId="77777777" w:rsidR="001C0937" w:rsidRDefault="00000000">
            <w:pPr>
              <w:jc w:val="right"/>
            </w:pPr>
            <w:r>
              <w:rPr>
                <w:color w:val="000000"/>
              </w:rPr>
              <w:t>2.687</w:t>
            </w:r>
            <w:r w:rsidRPr="00D33CC4">
              <w:rPr>
                <w:i/>
                <w:iCs/>
                <w:color w:val="000000"/>
              </w:rPr>
              <w:t>e</w:t>
            </w:r>
          </w:p>
        </w:tc>
        <w:tc>
          <w:tcPr>
            <w:tcW w:w="855" w:type="dxa"/>
            <w:tcBorders>
              <w:right w:val="single" w:sz="4" w:space="0" w:color="000000"/>
            </w:tcBorders>
            <w:tcMar>
              <w:top w:w="20" w:type="dxa"/>
              <w:left w:w="20" w:type="dxa"/>
              <w:bottom w:w="100" w:type="dxa"/>
              <w:right w:w="20" w:type="dxa"/>
            </w:tcMar>
            <w:vAlign w:val="bottom"/>
          </w:tcPr>
          <w:p w14:paraId="630A54E8" w14:textId="77777777" w:rsidR="001C0937" w:rsidRDefault="00000000">
            <w:pPr>
              <w:jc w:val="right"/>
            </w:pPr>
            <w:r>
              <w:rPr>
                <w:color w:val="000000"/>
              </w:rPr>
              <w:t>2.687</w:t>
            </w:r>
            <w:r w:rsidRPr="00D33CC4">
              <w:rPr>
                <w:i/>
                <w:iCs/>
                <w:color w:val="000000"/>
              </w:rPr>
              <w:t>f</w:t>
            </w:r>
          </w:p>
        </w:tc>
      </w:tr>
      <w:tr w:rsidR="001C0937" w14:paraId="28C76C32" w14:textId="77777777">
        <w:trPr>
          <w:trHeight w:val="33"/>
          <w:jc w:val="center"/>
        </w:trPr>
        <w:tc>
          <w:tcPr>
            <w:tcW w:w="2940" w:type="dxa"/>
            <w:tcBorders>
              <w:left w:val="single" w:sz="4" w:space="0" w:color="000000"/>
            </w:tcBorders>
            <w:tcMar>
              <w:top w:w="20" w:type="dxa"/>
              <w:left w:w="20" w:type="dxa"/>
              <w:bottom w:w="100" w:type="dxa"/>
              <w:right w:w="20" w:type="dxa"/>
            </w:tcMar>
            <w:vAlign w:val="bottom"/>
          </w:tcPr>
          <w:p w14:paraId="214FD31E" w14:textId="77777777" w:rsidR="001C0937" w:rsidRDefault="001C0937"/>
        </w:tc>
        <w:tc>
          <w:tcPr>
            <w:tcW w:w="870" w:type="dxa"/>
            <w:tcMar>
              <w:top w:w="20" w:type="dxa"/>
              <w:left w:w="20" w:type="dxa"/>
              <w:bottom w:w="100" w:type="dxa"/>
              <w:right w:w="20" w:type="dxa"/>
            </w:tcMar>
            <w:vAlign w:val="bottom"/>
          </w:tcPr>
          <w:p w14:paraId="0E62F1F4" w14:textId="77777777" w:rsidR="001C0937" w:rsidRDefault="00000000">
            <w:pPr>
              <w:jc w:val="right"/>
            </w:pPr>
            <w:r>
              <w:rPr>
                <w:color w:val="000000"/>
              </w:rPr>
              <w:t>(0.024)</w:t>
            </w:r>
          </w:p>
        </w:tc>
        <w:tc>
          <w:tcPr>
            <w:tcW w:w="1155" w:type="dxa"/>
            <w:tcMar>
              <w:top w:w="20" w:type="dxa"/>
              <w:left w:w="20" w:type="dxa"/>
              <w:bottom w:w="100" w:type="dxa"/>
              <w:right w:w="20" w:type="dxa"/>
            </w:tcMar>
            <w:vAlign w:val="bottom"/>
          </w:tcPr>
          <w:p w14:paraId="04E8DF22" w14:textId="77777777" w:rsidR="001C0937" w:rsidRDefault="00000000">
            <w:pPr>
              <w:jc w:val="right"/>
            </w:pPr>
            <w:r>
              <w:rPr>
                <w:color w:val="000000"/>
              </w:rPr>
              <w:t>(0.077)</w:t>
            </w:r>
          </w:p>
        </w:tc>
        <w:tc>
          <w:tcPr>
            <w:tcW w:w="900" w:type="dxa"/>
            <w:tcMar>
              <w:top w:w="20" w:type="dxa"/>
              <w:left w:w="20" w:type="dxa"/>
              <w:bottom w:w="100" w:type="dxa"/>
              <w:right w:w="20" w:type="dxa"/>
            </w:tcMar>
            <w:vAlign w:val="bottom"/>
          </w:tcPr>
          <w:p w14:paraId="74C4C562" w14:textId="77777777" w:rsidR="001C0937" w:rsidRDefault="00000000">
            <w:pPr>
              <w:jc w:val="right"/>
            </w:pPr>
            <w:r>
              <w:rPr>
                <w:color w:val="000000"/>
              </w:rPr>
              <w:t>(0.026)</w:t>
            </w:r>
          </w:p>
        </w:tc>
        <w:tc>
          <w:tcPr>
            <w:tcW w:w="900" w:type="dxa"/>
            <w:tcMar>
              <w:top w:w="20" w:type="dxa"/>
              <w:left w:w="20" w:type="dxa"/>
              <w:bottom w:w="100" w:type="dxa"/>
              <w:right w:w="20" w:type="dxa"/>
            </w:tcMar>
            <w:vAlign w:val="bottom"/>
          </w:tcPr>
          <w:p w14:paraId="3BD53CFC" w14:textId="77777777" w:rsidR="001C0937" w:rsidRDefault="00000000">
            <w:pPr>
              <w:jc w:val="right"/>
            </w:pPr>
            <w:r>
              <w:rPr>
                <w:color w:val="000000"/>
              </w:rPr>
              <w:t>(0.028)</w:t>
            </w:r>
          </w:p>
        </w:tc>
        <w:tc>
          <w:tcPr>
            <w:tcW w:w="855" w:type="dxa"/>
            <w:tcBorders>
              <w:right w:val="single" w:sz="4" w:space="0" w:color="000000"/>
            </w:tcBorders>
            <w:tcMar>
              <w:top w:w="20" w:type="dxa"/>
              <w:left w:w="20" w:type="dxa"/>
              <w:bottom w:w="100" w:type="dxa"/>
              <w:right w:w="20" w:type="dxa"/>
            </w:tcMar>
            <w:vAlign w:val="bottom"/>
          </w:tcPr>
          <w:p w14:paraId="7E91571A" w14:textId="77777777" w:rsidR="001C0937" w:rsidRDefault="00000000">
            <w:pPr>
              <w:jc w:val="right"/>
            </w:pPr>
            <w:r>
              <w:rPr>
                <w:color w:val="000000"/>
              </w:rPr>
              <w:t>(0.028)</w:t>
            </w:r>
          </w:p>
        </w:tc>
      </w:tr>
      <w:tr w:rsidR="001C0937" w14:paraId="16730D54" w14:textId="77777777">
        <w:trPr>
          <w:trHeight w:val="211"/>
          <w:jc w:val="center"/>
        </w:trPr>
        <w:tc>
          <w:tcPr>
            <w:tcW w:w="2940" w:type="dxa"/>
            <w:tcBorders>
              <w:left w:val="single" w:sz="4" w:space="0" w:color="000000"/>
            </w:tcBorders>
            <w:tcMar>
              <w:top w:w="20" w:type="dxa"/>
              <w:left w:w="20" w:type="dxa"/>
              <w:bottom w:w="100" w:type="dxa"/>
              <w:right w:w="20" w:type="dxa"/>
            </w:tcMar>
            <w:vAlign w:val="bottom"/>
          </w:tcPr>
          <w:p w14:paraId="058E7570" w14:textId="77777777" w:rsidR="001C0937" w:rsidRDefault="00000000">
            <w:pPr>
              <w:rPr>
                <w:b/>
              </w:rPr>
            </w:pPr>
            <w:r>
              <w:rPr>
                <w:b/>
                <w:color w:val="000000"/>
              </w:rPr>
              <w:t>Support UR</w:t>
            </w:r>
          </w:p>
        </w:tc>
        <w:tc>
          <w:tcPr>
            <w:tcW w:w="870" w:type="dxa"/>
            <w:tcMar>
              <w:top w:w="20" w:type="dxa"/>
              <w:left w:w="20" w:type="dxa"/>
              <w:bottom w:w="100" w:type="dxa"/>
              <w:right w:w="20" w:type="dxa"/>
            </w:tcMar>
            <w:vAlign w:val="bottom"/>
          </w:tcPr>
          <w:p w14:paraId="453BF0CD" w14:textId="77777777" w:rsidR="001C0937" w:rsidRDefault="00000000">
            <w:pPr>
              <w:jc w:val="right"/>
            </w:pPr>
            <w:r>
              <w:rPr>
                <w:color w:val="000000"/>
              </w:rPr>
              <w:t>2.310</w:t>
            </w:r>
            <w:r w:rsidRPr="00D33CC4">
              <w:rPr>
                <w:i/>
                <w:iCs/>
                <w:color w:val="000000"/>
              </w:rPr>
              <w:t>a</w:t>
            </w:r>
          </w:p>
        </w:tc>
        <w:tc>
          <w:tcPr>
            <w:tcW w:w="1155" w:type="dxa"/>
            <w:tcMar>
              <w:top w:w="20" w:type="dxa"/>
              <w:left w:w="20" w:type="dxa"/>
              <w:bottom w:w="100" w:type="dxa"/>
              <w:right w:w="20" w:type="dxa"/>
            </w:tcMar>
            <w:vAlign w:val="bottom"/>
          </w:tcPr>
          <w:p w14:paraId="2791BB45" w14:textId="77777777" w:rsidR="001C0937" w:rsidRDefault="00000000">
            <w:pPr>
              <w:jc w:val="right"/>
            </w:pPr>
            <w:r>
              <w:rPr>
                <w:color w:val="000000"/>
              </w:rPr>
              <w:t>2.096</w:t>
            </w:r>
            <w:r w:rsidRPr="00D33CC4">
              <w:rPr>
                <w:i/>
                <w:iCs/>
                <w:color w:val="000000"/>
              </w:rPr>
              <w:t>b</w:t>
            </w:r>
          </w:p>
        </w:tc>
        <w:tc>
          <w:tcPr>
            <w:tcW w:w="900" w:type="dxa"/>
            <w:tcMar>
              <w:top w:w="20" w:type="dxa"/>
              <w:left w:w="20" w:type="dxa"/>
              <w:bottom w:w="100" w:type="dxa"/>
              <w:right w:w="20" w:type="dxa"/>
            </w:tcMar>
            <w:vAlign w:val="bottom"/>
          </w:tcPr>
          <w:p w14:paraId="1CCA14E5" w14:textId="77777777" w:rsidR="001C0937" w:rsidRDefault="00000000">
            <w:pPr>
              <w:jc w:val="right"/>
            </w:pPr>
            <w:r>
              <w:rPr>
                <w:color w:val="000000"/>
              </w:rPr>
              <w:t>2.281</w:t>
            </w:r>
          </w:p>
        </w:tc>
        <w:tc>
          <w:tcPr>
            <w:tcW w:w="900" w:type="dxa"/>
            <w:tcMar>
              <w:top w:w="20" w:type="dxa"/>
              <w:left w:w="20" w:type="dxa"/>
              <w:bottom w:w="100" w:type="dxa"/>
              <w:right w:w="20" w:type="dxa"/>
            </w:tcMar>
            <w:vAlign w:val="bottom"/>
          </w:tcPr>
          <w:p w14:paraId="0F904BF8" w14:textId="77777777" w:rsidR="001C0937" w:rsidRDefault="00000000">
            <w:pPr>
              <w:jc w:val="right"/>
            </w:pPr>
            <w:r>
              <w:rPr>
                <w:color w:val="000000"/>
              </w:rPr>
              <w:t>2.400</w:t>
            </w:r>
            <w:r w:rsidRPr="00D33CC4">
              <w:rPr>
                <w:i/>
                <w:iCs/>
                <w:color w:val="000000"/>
              </w:rPr>
              <w:t>e</w:t>
            </w:r>
          </w:p>
        </w:tc>
        <w:tc>
          <w:tcPr>
            <w:tcW w:w="855" w:type="dxa"/>
            <w:tcBorders>
              <w:right w:val="single" w:sz="4" w:space="0" w:color="000000"/>
            </w:tcBorders>
            <w:tcMar>
              <w:top w:w="20" w:type="dxa"/>
              <w:left w:w="20" w:type="dxa"/>
              <w:bottom w:w="100" w:type="dxa"/>
              <w:right w:w="20" w:type="dxa"/>
            </w:tcMar>
            <w:vAlign w:val="bottom"/>
          </w:tcPr>
          <w:p w14:paraId="2DBF141B" w14:textId="77777777" w:rsidR="001C0937" w:rsidRDefault="00000000">
            <w:pPr>
              <w:jc w:val="right"/>
            </w:pPr>
            <w:r>
              <w:rPr>
                <w:color w:val="000000"/>
              </w:rPr>
              <w:t>2.393</w:t>
            </w:r>
            <w:r w:rsidRPr="00D33CC4">
              <w:rPr>
                <w:i/>
                <w:iCs/>
                <w:color w:val="000000"/>
              </w:rPr>
              <w:t>f</w:t>
            </w:r>
          </w:p>
        </w:tc>
      </w:tr>
      <w:tr w:rsidR="001C0937" w14:paraId="43F68763" w14:textId="77777777">
        <w:trPr>
          <w:trHeight w:val="35"/>
          <w:jc w:val="center"/>
        </w:trPr>
        <w:tc>
          <w:tcPr>
            <w:tcW w:w="2940" w:type="dxa"/>
            <w:tcBorders>
              <w:left w:val="single" w:sz="4" w:space="0" w:color="000000"/>
              <w:bottom w:val="single" w:sz="4" w:space="0" w:color="000000"/>
            </w:tcBorders>
            <w:tcMar>
              <w:top w:w="20" w:type="dxa"/>
              <w:left w:w="20" w:type="dxa"/>
              <w:bottom w:w="100" w:type="dxa"/>
              <w:right w:w="20" w:type="dxa"/>
            </w:tcMar>
            <w:vAlign w:val="bottom"/>
          </w:tcPr>
          <w:p w14:paraId="56D307DC" w14:textId="77777777" w:rsidR="001C0937" w:rsidRDefault="001C0937"/>
        </w:tc>
        <w:tc>
          <w:tcPr>
            <w:tcW w:w="870" w:type="dxa"/>
            <w:tcBorders>
              <w:bottom w:val="single" w:sz="4" w:space="0" w:color="000000"/>
            </w:tcBorders>
            <w:tcMar>
              <w:top w:w="20" w:type="dxa"/>
              <w:left w:w="20" w:type="dxa"/>
              <w:bottom w:w="100" w:type="dxa"/>
              <w:right w:w="20" w:type="dxa"/>
            </w:tcMar>
            <w:vAlign w:val="bottom"/>
          </w:tcPr>
          <w:p w14:paraId="78E17389" w14:textId="77777777" w:rsidR="001C0937" w:rsidRDefault="00000000">
            <w:pPr>
              <w:jc w:val="right"/>
            </w:pPr>
            <w:r>
              <w:rPr>
                <w:color w:val="000000"/>
              </w:rPr>
              <w:t>(0.0254)</w:t>
            </w:r>
          </w:p>
        </w:tc>
        <w:tc>
          <w:tcPr>
            <w:tcW w:w="1155" w:type="dxa"/>
            <w:tcBorders>
              <w:bottom w:val="single" w:sz="4" w:space="0" w:color="000000"/>
            </w:tcBorders>
            <w:tcMar>
              <w:top w:w="20" w:type="dxa"/>
              <w:left w:w="20" w:type="dxa"/>
              <w:bottom w:w="100" w:type="dxa"/>
              <w:right w:w="20" w:type="dxa"/>
            </w:tcMar>
            <w:vAlign w:val="bottom"/>
          </w:tcPr>
          <w:p w14:paraId="7C1A4F31" w14:textId="77777777" w:rsidR="001C0937" w:rsidRDefault="00000000">
            <w:pPr>
              <w:jc w:val="right"/>
            </w:pPr>
            <w:r>
              <w:rPr>
                <w:color w:val="000000"/>
              </w:rPr>
              <w:t>(0.078)</w:t>
            </w:r>
          </w:p>
        </w:tc>
        <w:tc>
          <w:tcPr>
            <w:tcW w:w="900" w:type="dxa"/>
            <w:tcBorders>
              <w:bottom w:val="single" w:sz="4" w:space="0" w:color="000000"/>
            </w:tcBorders>
            <w:tcMar>
              <w:top w:w="20" w:type="dxa"/>
              <w:left w:w="20" w:type="dxa"/>
              <w:bottom w:w="100" w:type="dxa"/>
              <w:right w:w="20" w:type="dxa"/>
            </w:tcMar>
            <w:vAlign w:val="bottom"/>
          </w:tcPr>
          <w:p w14:paraId="185D17E5" w14:textId="77777777" w:rsidR="001C0937" w:rsidRDefault="00000000">
            <w:pPr>
              <w:jc w:val="right"/>
            </w:pPr>
            <w:r>
              <w:rPr>
                <w:color w:val="000000"/>
              </w:rPr>
              <w:t>(0.026)</w:t>
            </w:r>
          </w:p>
        </w:tc>
        <w:tc>
          <w:tcPr>
            <w:tcW w:w="900" w:type="dxa"/>
            <w:tcBorders>
              <w:bottom w:val="single" w:sz="4" w:space="0" w:color="000000"/>
            </w:tcBorders>
            <w:tcMar>
              <w:top w:w="20" w:type="dxa"/>
              <w:left w:w="20" w:type="dxa"/>
              <w:bottom w:w="100" w:type="dxa"/>
              <w:right w:w="20" w:type="dxa"/>
            </w:tcMar>
            <w:vAlign w:val="bottom"/>
          </w:tcPr>
          <w:p w14:paraId="466A60DE" w14:textId="77777777" w:rsidR="001C0937" w:rsidRDefault="00000000">
            <w:pPr>
              <w:jc w:val="right"/>
            </w:pPr>
            <w:r>
              <w:rPr>
                <w:color w:val="000000"/>
              </w:rPr>
              <w:t>(0.022)</w:t>
            </w:r>
          </w:p>
        </w:tc>
        <w:tc>
          <w:tcPr>
            <w:tcW w:w="855" w:type="dxa"/>
            <w:tcBorders>
              <w:bottom w:val="single" w:sz="4" w:space="0" w:color="000000"/>
              <w:right w:val="single" w:sz="4" w:space="0" w:color="000000"/>
            </w:tcBorders>
            <w:tcMar>
              <w:top w:w="20" w:type="dxa"/>
              <w:left w:w="20" w:type="dxa"/>
              <w:bottom w:w="100" w:type="dxa"/>
              <w:right w:w="20" w:type="dxa"/>
            </w:tcMar>
            <w:vAlign w:val="bottom"/>
          </w:tcPr>
          <w:p w14:paraId="7A12F2B8" w14:textId="77777777" w:rsidR="001C0937" w:rsidRDefault="00000000">
            <w:pPr>
              <w:jc w:val="right"/>
            </w:pPr>
            <w:r>
              <w:rPr>
                <w:color w:val="000000"/>
              </w:rPr>
              <w:t>(0.022)</w:t>
            </w:r>
          </w:p>
        </w:tc>
      </w:tr>
      <w:tr w:rsidR="001C0937" w14:paraId="7FE115FE" w14:textId="77777777">
        <w:trPr>
          <w:trHeight w:val="534"/>
          <w:jc w:val="center"/>
        </w:trPr>
        <w:tc>
          <w:tcPr>
            <w:tcW w:w="7620" w:type="dxa"/>
            <w:gridSpan w:val="6"/>
            <w:vMerge w:val="restart"/>
            <w:tcBorders>
              <w:top w:val="single" w:sz="4" w:space="0" w:color="000000"/>
              <w:left w:val="single" w:sz="4" w:space="0" w:color="000000"/>
              <w:right w:val="single" w:sz="4" w:space="0" w:color="000000"/>
            </w:tcBorders>
            <w:tcMar>
              <w:top w:w="20" w:type="dxa"/>
              <w:left w:w="20" w:type="dxa"/>
              <w:bottom w:w="100" w:type="dxa"/>
              <w:right w:w="20" w:type="dxa"/>
            </w:tcMar>
            <w:vAlign w:val="bottom"/>
          </w:tcPr>
          <w:p w14:paraId="63B4B542" w14:textId="1556FD2A" w:rsidR="001C0937" w:rsidRDefault="00000000">
            <w:pPr>
              <w:rPr>
                <w:color w:val="000000"/>
                <w:sz w:val="20"/>
                <w:szCs w:val="20"/>
              </w:rPr>
            </w:pPr>
            <w:r>
              <w:rPr>
                <w:color w:val="000000"/>
                <w:sz w:val="20"/>
                <w:szCs w:val="20"/>
              </w:rPr>
              <w:t xml:space="preserve">Note: Table reports means for each period with standard deviations in parentheses. </w:t>
            </w:r>
            <w:r w:rsidR="00F80952">
              <w:rPr>
                <w:color w:val="000000"/>
                <w:sz w:val="20"/>
                <w:szCs w:val="20"/>
              </w:rPr>
              <w:t>Difference in means only shown for period-dyads with statistically significant differences.</w:t>
            </w:r>
          </w:p>
          <w:p w14:paraId="269A8C14" w14:textId="0859EB3C" w:rsidR="001C0937" w:rsidRDefault="00D33CC4">
            <w:pPr>
              <w:rPr>
                <w:color w:val="000000"/>
                <w:sz w:val="20"/>
                <w:szCs w:val="20"/>
              </w:rPr>
            </w:pPr>
            <w:r w:rsidRPr="00D33CC4">
              <w:rPr>
                <w:i/>
                <w:iCs/>
                <w:color w:val="000000"/>
                <w:sz w:val="20"/>
                <w:szCs w:val="20"/>
              </w:rPr>
              <w:t>a</w:t>
            </w:r>
            <w:r>
              <w:rPr>
                <w:color w:val="000000"/>
                <w:sz w:val="20"/>
                <w:szCs w:val="20"/>
              </w:rPr>
              <w:t xml:space="preserve">) Difference in means between Pre-Duma and Post-Duma are statistically significant at p &lt; .05. </w:t>
            </w:r>
          </w:p>
          <w:p w14:paraId="11FCB2B6" w14:textId="2555E515" w:rsidR="001C0937" w:rsidRDefault="00D33CC4">
            <w:pPr>
              <w:rPr>
                <w:color w:val="000000"/>
                <w:sz w:val="20"/>
                <w:szCs w:val="20"/>
              </w:rPr>
            </w:pPr>
            <w:r>
              <w:rPr>
                <w:i/>
                <w:iCs/>
                <w:color w:val="000000"/>
                <w:sz w:val="20"/>
                <w:szCs w:val="20"/>
              </w:rPr>
              <w:t>b</w:t>
            </w:r>
            <w:r>
              <w:rPr>
                <w:color w:val="000000"/>
                <w:sz w:val="20"/>
                <w:szCs w:val="20"/>
              </w:rPr>
              <w:t xml:space="preserve">) Difference in means between Post-Duma and Post-Protest are statistically significant at p &lt; .05. </w:t>
            </w:r>
          </w:p>
          <w:p w14:paraId="2660A29F" w14:textId="61258CFC" w:rsidR="001C0937" w:rsidRDefault="00D33CC4">
            <w:pPr>
              <w:rPr>
                <w:color w:val="000000"/>
                <w:sz w:val="20"/>
                <w:szCs w:val="20"/>
              </w:rPr>
            </w:pPr>
            <w:r>
              <w:rPr>
                <w:i/>
                <w:iCs/>
                <w:color w:val="000000"/>
                <w:sz w:val="20"/>
                <w:szCs w:val="20"/>
              </w:rPr>
              <w:t>c</w:t>
            </w:r>
            <w:r>
              <w:rPr>
                <w:color w:val="000000"/>
                <w:sz w:val="20"/>
                <w:szCs w:val="20"/>
              </w:rPr>
              <w:t xml:space="preserve">) Difference in means between Pre-Duma and Post-Protest are statistically significant at p &lt; .05. </w:t>
            </w:r>
          </w:p>
          <w:p w14:paraId="644B7192" w14:textId="56B0D3E6" w:rsidR="001C0937" w:rsidRDefault="00D33CC4">
            <w:pPr>
              <w:rPr>
                <w:sz w:val="20"/>
                <w:szCs w:val="20"/>
              </w:rPr>
            </w:pPr>
            <w:r>
              <w:rPr>
                <w:i/>
                <w:iCs/>
                <w:color w:val="000000"/>
                <w:sz w:val="20"/>
                <w:szCs w:val="20"/>
              </w:rPr>
              <w:t>d</w:t>
            </w:r>
            <w:r>
              <w:rPr>
                <w:color w:val="000000"/>
                <w:sz w:val="20"/>
                <w:szCs w:val="20"/>
              </w:rPr>
              <w:t>) Difference in means between Pre-Presidential and Post-Presidential are statistically significant at p &lt; .05. </w:t>
            </w:r>
          </w:p>
          <w:p w14:paraId="3D50D6A4" w14:textId="233E0823" w:rsidR="001C0937" w:rsidRDefault="00D33CC4">
            <w:pPr>
              <w:rPr>
                <w:sz w:val="20"/>
                <w:szCs w:val="20"/>
              </w:rPr>
            </w:pPr>
            <w:r>
              <w:rPr>
                <w:i/>
                <w:iCs/>
                <w:color w:val="000000"/>
                <w:sz w:val="20"/>
                <w:szCs w:val="20"/>
              </w:rPr>
              <w:t>e</w:t>
            </w:r>
            <w:r>
              <w:rPr>
                <w:color w:val="000000"/>
                <w:sz w:val="20"/>
                <w:szCs w:val="20"/>
              </w:rPr>
              <w:t>) Difference in means between Pre-Duma and Pre-Presidential are statistically significant at p &lt; .05.</w:t>
            </w:r>
          </w:p>
          <w:p w14:paraId="61471AEE" w14:textId="0DA23320" w:rsidR="001C0937" w:rsidRDefault="00D33CC4">
            <w:r>
              <w:rPr>
                <w:i/>
                <w:iCs/>
                <w:color w:val="000000"/>
                <w:sz w:val="20"/>
                <w:szCs w:val="20"/>
              </w:rPr>
              <w:t>f</w:t>
            </w:r>
            <w:r>
              <w:rPr>
                <w:color w:val="000000"/>
                <w:sz w:val="20"/>
                <w:szCs w:val="20"/>
              </w:rPr>
              <w:t>) Difference in means between Pre-Duma and Post-Presidential are statistically significant at p &lt; .05.</w:t>
            </w:r>
          </w:p>
        </w:tc>
      </w:tr>
      <w:tr w:rsidR="001C0937" w14:paraId="4E18C028" w14:textId="77777777">
        <w:trPr>
          <w:trHeight w:val="317"/>
          <w:jc w:val="center"/>
        </w:trPr>
        <w:tc>
          <w:tcPr>
            <w:tcW w:w="7620" w:type="dxa"/>
            <w:gridSpan w:val="6"/>
            <w:vMerge/>
            <w:tcBorders>
              <w:top w:val="single" w:sz="4" w:space="0" w:color="000000"/>
              <w:left w:val="single" w:sz="4" w:space="0" w:color="000000"/>
              <w:right w:val="single" w:sz="4" w:space="0" w:color="000000"/>
            </w:tcBorders>
            <w:tcMar>
              <w:top w:w="20" w:type="dxa"/>
              <w:left w:w="20" w:type="dxa"/>
              <w:bottom w:w="100" w:type="dxa"/>
              <w:right w:w="20" w:type="dxa"/>
            </w:tcMar>
            <w:vAlign w:val="bottom"/>
          </w:tcPr>
          <w:p w14:paraId="7915A2F0" w14:textId="77777777" w:rsidR="001C0937" w:rsidRDefault="001C0937">
            <w:pPr>
              <w:widowControl w:val="0"/>
              <w:pBdr>
                <w:top w:val="nil"/>
                <w:left w:val="nil"/>
                <w:bottom w:val="nil"/>
                <w:right w:val="nil"/>
                <w:between w:val="nil"/>
              </w:pBdr>
              <w:spacing w:line="276" w:lineRule="auto"/>
            </w:pPr>
          </w:p>
        </w:tc>
      </w:tr>
    </w:tbl>
    <w:p w14:paraId="269098D2" w14:textId="77777777" w:rsidR="001C0937" w:rsidRDefault="001C0937"/>
    <w:p w14:paraId="14438569" w14:textId="77777777" w:rsidR="001C0937" w:rsidRDefault="001C0937"/>
    <w:p w14:paraId="7D61CDCE" w14:textId="101DC63E" w:rsidR="001C0937" w:rsidRDefault="001C0937"/>
    <w:p w14:paraId="1BACAE23" w14:textId="4AA124E5" w:rsidR="002C4D81" w:rsidRDefault="002C4D81"/>
    <w:p w14:paraId="2311372A" w14:textId="77777777" w:rsidR="002C4D81" w:rsidRDefault="002C4D81"/>
    <w:tbl>
      <w:tblPr>
        <w:tblStyle w:val="af1"/>
        <w:tblW w:w="6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1457"/>
        <w:gridCol w:w="1258"/>
        <w:gridCol w:w="1557"/>
      </w:tblGrid>
      <w:tr w:rsidR="001C0937" w14:paraId="14D3F9A0" w14:textId="77777777">
        <w:trPr>
          <w:trHeight w:val="242"/>
          <w:jc w:val="center"/>
        </w:trPr>
        <w:tc>
          <w:tcPr>
            <w:tcW w:w="6320" w:type="dxa"/>
            <w:gridSpan w:val="4"/>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C214EAC" w14:textId="750EB396" w:rsidR="001C0937" w:rsidRDefault="00B45B5B">
            <w:pPr>
              <w:rPr>
                <w:b/>
              </w:rPr>
            </w:pPr>
            <w:r>
              <w:rPr>
                <w:b/>
                <w:color w:val="000000"/>
              </w:rPr>
              <w:lastRenderedPageBreak/>
              <w:t>Table A</w:t>
            </w:r>
            <w:r w:rsidR="00BD02EA">
              <w:rPr>
                <w:b/>
                <w:color w:val="000000"/>
              </w:rPr>
              <w:t>4</w:t>
            </w:r>
            <w:r w:rsidR="00000000">
              <w:rPr>
                <w:b/>
                <w:color w:val="000000"/>
              </w:rPr>
              <w:t>: Weighted Trust in…</w:t>
            </w:r>
          </w:p>
        </w:tc>
      </w:tr>
      <w:tr w:rsidR="001C0937" w14:paraId="3F7973BA" w14:textId="77777777">
        <w:trPr>
          <w:trHeight w:val="242"/>
          <w:jc w:val="center"/>
        </w:trPr>
        <w:tc>
          <w:tcPr>
            <w:tcW w:w="2048" w:type="dxa"/>
            <w:tcBorders>
              <w:top w:val="single" w:sz="4" w:space="0" w:color="000000"/>
              <w:left w:val="single" w:sz="4" w:space="0" w:color="000000"/>
            </w:tcBorders>
            <w:tcMar>
              <w:top w:w="20" w:type="dxa"/>
              <w:left w:w="20" w:type="dxa"/>
              <w:bottom w:w="100" w:type="dxa"/>
              <w:right w:w="20" w:type="dxa"/>
            </w:tcMar>
            <w:vAlign w:val="bottom"/>
          </w:tcPr>
          <w:p w14:paraId="231C1A23" w14:textId="77777777" w:rsidR="001C0937" w:rsidRDefault="001C0937">
            <w:pPr>
              <w:jc w:val="center"/>
              <w:rPr>
                <w:b/>
              </w:rPr>
            </w:pPr>
          </w:p>
        </w:tc>
        <w:tc>
          <w:tcPr>
            <w:tcW w:w="1457" w:type="dxa"/>
            <w:tcBorders>
              <w:top w:val="single" w:sz="4" w:space="0" w:color="000000"/>
            </w:tcBorders>
            <w:tcMar>
              <w:top w:w="20" w:type="dxa"/>
              <w:left w:w="20" w:type="dxa"/>
              <w:bottom w:w="100" w:type="dxa"/>
              <w:right w:w="20" w:type="dxa"/>
            </w:tcMar>
            <w:vAlign w:val="bottom"/>
          </w:tcPr>
          <w:p w14:paraId="08236E3C" w14:textId="77777777" w:rsidR="001C0937" w:rsidRDefault="00000000">
            <w:pPr>
              <w:jc w:val="center"/>
            </w:pPr>
            <w:r>
              <w:rPr>
                <w:b/>
                <w:color w:val="000000"/>
              </w:rPr>
              <w:t xml:space="preserve">Pre-Duma </w:t>
            </w:r>
          </w:p>
        </w:tc>
        <w:tc>
          <w:tcPr>
            <w:tcW w:w="1258" w:type="dxa"/>
            <w:tcBorders>
              <w:top w:val="single" w:sz="4" w:space="0" w:color="000000"/>
            </w:tcBorders>
            <w:tcMar>
              <w:top w:w="20" w:type="dxa"/>
              <w:left w:w="20" w:type="dxa"/>
              <w:bottom w:w="100" w:type="dxa"/>
              <w:right w:w="20" w:type="dxa"/>
            </w:tcMar>
            <w:vAlign w:val="bottom"/>
          </w:tcPr>
          <w:p w14:paraId="5248AC24" w14:textId="77777777" w:rsidR="001C0937" w:rsidRDefault="00000000">
            <w:pPr>
              <w:jc w:val="center"/>
            </w:pPr>
            <w:r>
              <w:rPr>
                <w:b/>
                <w:color w:val="000000"/>
              </w:rPr>
              <w:t>Post-Duma</w:t>
            </w:r>
          </w:p>
        </w:tc>
        <w:tc>
          <w:tcPr>
            <w:tcW w:w="1557" w:type="dxa"/>
            <w:tcBorders>
              <w:top w:val="single" w:sz="4" w:space="0" w:color="000000"/>
              <w:right w:val="single" w:sz="4" w:space="0" w:color="000000"/>
            </w:tcBorders>
            <w:tcMar>
              <w:top w:w="20" w:type="dxa"/>
              <w:left w:w="20" w:type="dxa"/>
              <w:bottom w:w="100" w:type="dxa"/>
              <w:right w:w="20" w:type="dxa"/>
            </w:tcMar>
            <w:vAlign w:val="bottom"/>
          </w:tcPr>
          <w:p w14:paraId="4900D1B2" w14:textId="77777777" w:rsidR="001C0937" w:rsidRDefault="00000000">
            <w:pPr>
              <w:jc w:val="center"/>
            </w:pPr>
            <w:r>
              <w:rPr>
                <w:b/>
              </w:rPr>
              <w:t>Post-Protest</w:t>
            </w:r>
          </w:p>
        </w:tc>
      </w:tr>
      <w:tr w:rsidR="001C0937" w14:paraId="6D7F6826" w14:textId="77777777">
        <w:trPr>
          <w:trHeight w:val="161"/>
          <w:jc w:val="center"/>
        </w:trPr>
        <w:tc>
          <w:tcPr>
            <w:tcW w:w="2048" w:type="dxa"/>
            <w:tcBorders>
              <w:left w:val="single" w:sz="4" w:space="0" w:color="000000"/>
            </w:tcBorders>
            <w:tcMar>
              <w:top w:w="20" w:type="dxa"/>
              <w:left w:w="20" w:type="dxa"/>
              <w:bottom w:w="100" w:type="dxa"/>
              <w:right w:w="20" w:type="dxa"/>
            </w:tcMar>
            <w:vAlign w:val="bottom"/>
          </w:tcPr>
          <w:p w14:paraId="31598D26" w14:textId="77777777" w:rsidR="001C0937" w:rsidRDefault="00000000">
            <w:r>
              <w:rPr>
                <w:b/>
                <w:color w:val="000000"/>
              </w:rPr>
              <w:t>Putin</w:t>
            </w:r>
          </w:p>
        </w:tc>
        <w:tc>
          <w:tcPr>
            <w:tcW w:w="1457" w:type="dxa"/>
            <w:tcMar>
              <w:top w:w="20" w:type="dxa"/>
              <w:left w:w="20" w:type="dxa"/>
              <w:bottom w:w="100" w:type="dxa"/>
              <w:right w:w="20" w:type="dxa"/>
            </w:tcMar>
            <w:vAlign w:val="bottom"/>
          </w:tcPr>
          <w:p w14:paraId="5388B7D5" w14:textId="77777777" w:rsidR="001C0937" w:rsidRDefault="00000000">
            <w:pPr>
              <w:jc w:val="center"/>
            </w:pPr>
            <w:r>
              <w:rPr>
                <w:color w:val="000000"/>
              </w:rPr>
              <w:t>3.423</w:t>
            </w:r>
            <w:r w:rsidRPr="00D33CC4">
              <w:rPr>
                <w:i/>
                <w:iCs/>
                <w:color w:val="000000"/>
              </w:rPr>
              <w:t>a</w:t>
            </w:r>
          </w:p>
        </w:tc>
        <w:tc>
          <w:tcPr>
            <w:tcW w:w="1258" w:type="dxa"/>
            <w:tcMar>
              <w:top w:w="20" w:type="dxa"/>
              <w:left w:w="20" w:type="dxa"/>
              <w:bottom w:w="100" w:type="dxa"/>
              <w:right w:w="20" w:type="dxa"/>
            </w:tcMar>
            <w:vAlign w:val="bottom"/>
          </w:tcPr>
          <w:p w14:paraId="3F0135BA" w14:textId="77777777" w:rsidR="001C0937" w:rsidRDefault="00000000">
            <w:pPr>
              <w:jc w:val="center"/>
            </w:pPr>
            <w:r>
              <w:rPr>
                <w:color w:val="000000"/>
              </w:rPr>
              <w:t>3.000</w:t>
            </w:r>
            <w:r w:rsidRPr="00D33CC4">
              <w:rPr>
                <w:i/>
                <w:iCs/>
                <w:color w:val="000000"/>
              </w:rPr>
              <w:t>b</w:t>
            </w:r>
          </w:p>
        </w:tc>
        <w:tc>
          <w:tcPr>
            <w:tcW w:w="1557" w:type="dxa"/>
            <w:tcBorders>
              <w:right w:val="single" w:sz="4" w:space="0" w:color="000000"/>
            </w:tcBorders>
            <w:tcMar>
              <w:top w:w="20" w:type="dxa"/>
              <w:left w:w="20" w:type="dxa"/>
              <w:bottom w:w="100" w:type="dxa"/>
              <w:right w:w="20" w:type="dxa"/>
            </w:tcMar>
            <w:vAlign w:val="bottom"/>
          </w:tcPr>
          <w:p w14:paraId="2C77081F" w14:textId="77777777" w:rsidR="001C0937" w:rsidRDefault="00000000">
            <w:pPr>
              <w:jc w:val="center"/>
            </w:pPr>
            <w:r>
              <w:rPr>
                <w:color w:val="000000"/>
              </w:rPr>
              <w:t>3.300</w:t>
            </w:r>
            <w:r w:rsidRPr="00D33CC4">
              <w:rPr>
                <w:i/>
                <w:iCs/>
                <w:color w:val="000000"/>
              </w:rPr>
              <w:t>c</w:t>
            </w:r>
          </w:p>
        </w:tc>
      </w:tr>
      <w:tr w:rsidR="001C0937" w14:paraId="6F4928C3" w14:textId="77777777">
        <w:trPr>
          <w:trHeight w:val="38"/>
          <w:jc w:val="center"/>
        </w:trPr>
        <w:tc>
          <w:tcPr>
            <w:tcW w:w="2048" w:type="dxa"/>
            <w:tcBorders>
              <w:left w:val="single" w:sz="4" w:space="0" w:color="000000"/>
            </w:tcBorders>
            <w:tcMar>
              <w:top w:w="20" w:type="dxa"/>
              <w:left w:w="20" w:type="dxa"/>
              <w:bottom w:w="100" w:type="dxa"/>
              <w:right w:w="20" w:type="dxa"/>
            </w:tcMar>
            <w:vAlign w:val="bottom"/>
          </w:tcPr>
          <w:p w14:paraId="4BCB604E" w14:textId="77777777" w:rsidR="001C0937" w:rsidRDefault="001C0937"/>
        </w:tc>
        <w:tc>
          <w:tcPr>
            <w:tcW w:w="1457" w:type="dxa"/>
            <w:tcMar>
              <w:top w:w="20" w:type="dxa"/>
              <w:left w:w="20" w:type="dxa"/>
              <w:bottom w:w="100" w:type="dxa"/>
              <w:right w:w="20" w:type="dxa"/>
            </w:tcMar>
            <w:vAlign w:val="bottom"/>
          </w:tcPr>
          <w:p w14:paraId="543A7CC2" w14:textId="77777777" w:rsidR="001C0937" w:rsidRDefault="00000000">
            <w:pPr>
              <w:jc w:val="center"/>
            </w:pPr>
            <w:r>
              <w:rPr>
                <w:color w:val="000000"/>
              </w:rPr>
              <w:t>(0.038)</w:t>
            </w:r>
          </w:p>
        </w:tc>
        <w:tc>
          <w:tcPr>
            <w:tcW w:w="1258" w:type="dxa"/>
            <w:tcMar>
              <w:top w:w="20" w:type="dxa"/>
              <w:left w:w="20" w:type="dxa"/>
              <w:bottom w:w="100" w:type="dxa"/>
              <w:right w:w="20" w:type="dxa"/>
            </w:tcMar>
            <w:vAlign w:val="bottom"/>
          </w:tcPr>
          <w:p w14:paraId="62D0F1F2" w14:textId="77777777" w:rsidR="001C0937" w:rsidRDefault="00000000">
            <w:pPr>
              <w:jc w:val="center"/>
            </w:pPr>
            <w:r>
              <w:rPr>
                <w:color w:val="000000"/>
              </w:rPr>
              <w:t>(0.120)</w:t>
            </w:r>
          </w:p>
        </w:tc>
        <w:tc>
          <w:tcPr>
            <w:tcW w:w="1557" w:type="dxa"/>
            <w:tcBorders>
              <w:right w:val="single" w:sz="4" w:space="0" w:color="000000"/>
            </w:tcBorders>
            <w:tcMar>
              <w:top w:w="20" w:type="dxa"/>
              <w:left w:w="20" w:type="dxa"/>
              <w:bottom w:w="100" w:type="dxa"/>
              <w:right w:w="20" w:type="dxa"/>
            </w:tcMar>
            <w:vAlign w:val="bottom"/>
          </w:tcPr>
          <w:p w14:paraId="04DEB818" w14:textId="77777777" w:rsidR="001C0937" w:rsidRDefault="00000000">
            <w:pPr>
              <w:jc w:val="center"/>
            </w:pPr>
            <w:r>
              <w:rPr>
                <w:color w:val="000000"/>
              </w:rPr>
              <w:t>(0.043)</w:t>
            </w:r>
          </w:p>
        </w:tc>
      </w:tr>
      <w:tr w:rsidR="001C0937" w14:paraId="2A533088" w14:textId="77777777">
        <w:trPr>
          <w:trHeight w:val="242"/>
          <w:jc w:val="center"/>
        </w:trPr>
        <w:tc>
          <w:tcPr>
            <w:tcW w:w="2048" w:type="dxa"/>
            <w:tcBorders>
              <w:left w:val="single" w:sz="4" w:space="0" w:color="000000"/>
            </w:tcBorders>
            <w:tcMar>
              <w:top w:w="20" w:type="dxa"/>
              <w:left w:w="20" w:type="dxa"/>
              <w:bottom w:w="100" w:type="dxa"/>
              <w:right w:w="20" w:type="dxa"/>
            </w:tcMar>
            <w:vAlign w:val="bottom"/>
          </w:tcPr>
          <w:p w14:paraId="64ADBBF2" w14:textId="77777777" w:rsidR="001C0937" w:rsidRDefault="00000000">
            <w:r>
              <w:rPr>
                <w:b/>
                <w:color w:val="000000"/>
              </w:rPr>
              <w:t>Duma</w:t>
            </w:r>
          </w:p>
        </w:tc>
        <w:tc>
          <w:tcPr>
            <w:tcW w:w="1457" w:type="dxa"/>
            <w:tcMar>
              <w:top w:w="20" w:type="dxa"/>
              <w:left w:w="20" w:type="dxa"/>
              <w:bottom w:w="100" w:type="dxa"/>
              <w:right w:w="20" w:type="dxa"/>
            </w:tcMar>
            <w:vAlign w:val="bottom"/>
          </w:tcPr>
          <w:p w14:paraId="78101D89" w14:textId="77777777" w:rsidR="001C0937" w:rsidRDefault="00000000">
            <w:pPr>
              <w:jc w:val="center"/>
            </w:pPr>
            <w:r>
              <w:rPr>
                <w:color w:val="000000"/>
              </w:rPr>
              <w:t>2.521</w:t>
            </w:r>
          </w:p>
        </w:tc>
        <w:tc>
          <w:tcPr>
            <w:tcW w:w="1258" w:type="dxa"/>
            <w:tcMar>
              <w:top w:w="20" w:type="dxa"/>
              <w:left w:w="20" w:type="dxa"/>
              <w:bottom w:w="100" w:type="dxa"/>
              <w:right w:w="20" w:type="dxa"/>
            </w:tcMar>
            <w:vAlign w:val="bottom"/>
          </w:tcPr>
          <w:p w14:paraId="1D49FCD2" w14:textId="77777777" w:rsidR="001C0937" w:rsidRDefault="00000000">
            <w:pPr>
              <w:jc w:val="center"/>
            </w:pPr>
            <w:r>
              <w:rPr>
                <w:color w:val="000000"/>
              </w:rPr>
              <w:t>2.607</w:t>
            </w:r>
          </w:p>
        </w:tc>
        <w:tc>
          <w:tcPr>
            <w:tcW w:w="1557" w:type="dxa"/>
            <w:tcBorders>
              <w:right w:val="single" w:sz="4" w:space="0" w:color="000000"/>
            </w:tcBorders>
            <w:tcMar>
              <w:top w:w="20" w:type="dxa"/>
              <w:left w:w="20" w:type="dxa"/>
              <w:bottom w:w="100" w:type="dxa"/>
              <w:right w:w="20" w:type="dxa"/>
            </w:tcMar>
            <w:vAlign w:val="bottom"/>
          </w:tcPr>
          <w:p w14:paraId="3A74B511" w14:textId="77777777" w:rsidR="001C0937" w:rsidRDefault="00000000">
            <w:pPr>
              <w:jc w:val="center"/>
            </w:pPr>
            <w:r>
              <w:rPr>
                <w:color w:val="000000"/>
              </w:rPr>
              <w:t>2.640</w:t>
            </w:r>
          </w:p>
        </w:tc>
      </w:tr>
      <w:tr w:rsidR="001C0937" w14:paraId="107134D4" w14:textId="77777777">
        <w:trPr>
          <w:trHeight w:val="38"/>
          <w:jc w:val="center"/>
        </w:trPr>
        <w:tc>
          <w:tcPr>
            <w:tcW w:w="2048" w:type="dxa"/>
            <w:tcBorders>
              <w:left w:val="single" w:sz="4" w:space="0" w:color="000000"/>
            </w:tcBorders>
            <w:tcMar>
              <w:top w:w="20" w:type="dxa"/>
              <w:left w:w="20" w:type="dxa"/>
              <w:bottom w:w="100" w:type="dxa"/>
              <w:right w:w="20" w:type="dxa"/>
            </w:tcMar>
            <w:vAlign w:val="bottom"/>
          </w:tcPr>
          <w:p w14:paraId="5479A5B3" w14:textId="77777777" w:rsidR="001C0937" w:rsidRDefault="001C0937"/>
        </w:tc>
        <w:tc>
          <w:tcPr>
            <w:tcW w:w="1457" w:type="dxa"/>
            <w:tcMar>
              <w:top w:w="20" w:type="dxa"/>
              <w:left w:w="20" w:type="dxa"/>
              <w:bottom w:w="100" w:type="dxa"/>
              <w:right w:w="20" w:type="dxa"/>
            </w:tcMar>
            <w:vAlign w:val="bottom"/>
          </w:tcPr>
          <w:p w14:paraId="59D6AB21" w14:textId="77777777" w:rsidR="001C0937" w:rsidRDefault="00000000">
            <w:pPr>
              <w:jc w:val="center"/>
            </w:pPr>
            <w:r>
              <w:rPr>
                <w:color w:val="000000"/>
              </w:rPr>
              <w:t>(0.107)</w:t>
            </w:r>
          </w:p>
        </w:tc>
        <w:tc>
          <w:tcPr>
            <w:tcW w:w="1258" w:type="dxa"/>
            <w:tcMar>
              <w:top w:w="20" w:type="dxa"/>
              <w:left w:w="20" w:type="dxa"/>
              <w:bottom w:w="100" w:type="dxa"/>
              <w:right w:w="20" w:type="dxa"/>
            </w:tcMar>
            <w:vAlign w:val="bottom"/>
          </w:tcPr>
          <w:p w14:paraId="1B6FE86F" w14:textId="77777777" w:rsidR="001C0937" w:rsidRDefault="00000000">
            <w:pPr>
              <w:jc w:val="center"/>
            </w:pPr>
            <w:r>
              <w:rPr>
                <w:color w:val="000000"/>
              </w:rPr>
              <w:t>(0.039)</w:t>
            </w:r>
          </w:p>
        </w:tc>
        <w:tc>
          <w:tcPr>
            <w:tcW w:w="1557" w:type="dxa"/>
            <w:tcBorders>
              <w:right w:val="single" w:sz="4" w:space="0" w:color="000000"/>
            </w:tcBorders>
            <w:tcMar>
              <w:top w:w="20" w:type="dxa"/>
              <w:left w:w="20" w:type="dxa"/>
              <w:bottom w:w="100" w:type="dxa"/>
              <w:right w:w="20" w:type="dxa"/>
            </w:tcMar>
            <w:vAlign w:val="bottom"/>
          </w:tcPr>
          <w:p w14:paraId="2F349CD4" w14:textId="77777777" w:rsidR="001C0937" w:rsidRDefault="00000000">
            <w:pPr>
              <w:jc w:val="center"/>
            </w:pPr>
            <w:r>
              <w:rPr>
                <w:color w:val="000000"/>
              </w:rPr>
              <w:t>(0.041)</w:t>
            </w:r>
          </w:p>
        </w:tc>
      </w:tr>
      <w:tr w:rsidR="001C0937" w14:paraId="1FA03F42" w14:textId="77777777">
        <w:trPr>
          <w:trHeight w:val="242"/>
          <w:jc w:val="center"/>
        </w:trPr>
        <w:tc>
          <w:tcPr>
            <w:tcW w:w="2048" w:type="dxa"/>
            <w:tcBorders>
              <w:left w:val="single" w:sz="4" w:space="0" w:color="000000"/>
            </w:tcBorders>
            <w:tcMar>
              <w:top w:w="20" w:type="dxa"/>
              <w:left w:w="20" w:type="dxa"/>
              <w:bottom w:w="100" w:type="dxa"/>
              <w:right w:w="20" w:type="dxa"/>
            </w:tcMar>
            <w:vAlign w:val="bottom"/>
          </w:tcPr>
          <w:p w14:paraId="62046B40" w14:textId="77777777" w:rsidR="001C0937" w:rsidRDefault="00000000">
            <w:r>
              <w:rPr>
                <w:b/>
                <w:color w:val="000000"/>
              </w:rPr>
              <w:t>Army</w:t>
            </w:r>
          </w:p>
        </w:tc>
        <w:tc>
          <w:tcPr>
            <w:tcW w:w="1457" w:type="dxa"/>
            <w:tcMar>
              <w:top w:w="20" w:type="dxa"/>
              <w:left w:w="20" w:type="dxa"/>
              <w:bottom w:w="100" w:type="dxa"/>
              <w:right w:w="20" w:type="dxa"/>
            </w:tcMar>
            <w:vAlign w:val="bottom"/>
          </w:tcPr>
          <w:p w14:paraId="5E9365F7" w14:textId="77777777" w:rsidR="001C0937" w:rsidRDefault="00000000">
            <w:pPr>
              <w:jc w:val="center"/>
            </w:pPr>
            <w:r>
              <w:rPr>
                <w:color w:val="000000"/>
              </w:rPr>
              <w:t>3.389</w:t>
            </w:r>
          </w:p>
        </w:tc>
        <w:tc>
          <w:tcPr>
            <w:tcW w:w="1258" w:type="dxa"/>
            <w:tcMar>
              <w:top w:w="20" w:type="dxa"/>
              <w:left w:w="20" w:type="dxa"/>
              <w:bottom w:w="100" w:type="dxa"/>
              <w:right w:w="20" w:type="dxa"/>
            </w:tcMar>
            <w:vAlign w:val="bottom"/>
          </w:tcPr>
          <w:p w14:paraId="57BBAE43" w14:textId="77777777" w:rsidR="001C0937" w:rsidRDefault="00000000">
            <w:pPr>
              <w:jc w:val="center"/>
            </w:pPr>
            <w:r>
              <w:rPr>
                <w:color w:val="000000"/>
              </w:rPr>
              <w:t>3.359</w:t>
            </w:r>
          </w:p>
        </w:tc>
        <w:tc>
          <w:tcPr>
            <w:tcW w:w="1557" w:type="dxa"/>
            <w:tcBorders>
              <w:right w:val="single" w:sz="4" w:space="0" w:color="000000"/>
            </w:tcBorders>
            <w:tcMar>
              <w:top w:w="20" w:type="dxa"/>
              <w:left w:w="20" w:type="dxa"/>
              <w:bottom w:w="100" w:type="dxa"/>
              <w:right w:w="20" w:type="dxa"/>
            </w:tcMar>
            <w:vAlign w:val="bottom"/>
          </w:tcPr>
          <w:p w14:paraId="56193201" w14:textId="77777777" w:rsidR="001C0937" w:rsidRDefault="00000000">
            <w:pPr>
              <w:jc w:val="center"/>
            </w:pPr>
            <w:r>
              <w:rPr>
                <w:color w:val="000000"/>
              </w:rPr>
              <w:t>3.379</w:t>
            </w:r>
          </w:p>
        </w:tc>
      </w:tr>
      <w:tr w:rsidR="001C0937" w14:paraId="1F3B87CE" w14:textId="77777777">
        <w:trPr>
          <w:trHeight w:val="38"/>
          <w:jc w:val="center"/>
        </w:trPr>
        <w:tc>
          <w:tcPr>
            <w:tcW w:w="2048" w:type="dxa"/>
            <w:tcBorders>
              <w:left w:val="single" w:sz="4" w:space="0" w:color="000000"/>
            </w:tcBorders>
            <w:tcMar>
              <w:top w:w="20" w:type="dxa"/>
              <w:left w:w="20" w:type="dxa"/>
              <w:bottom w:w="100" w:type="dxa"/>
              <w:right w:w="20" w:type="dxa"/>
            </w:tcMar>
            <w:vAlign w:val="bottom"/>
          </w:tcPr>
          <w:p w14:paraId="61A79A38" w14:textId="77777777" w:rsidR="001C0937" w:rsidRDefault="001C0937"/>
        </w:tc>
        <w:tc>
          <w:tcPr>
            <w:tcW w:w="1457" w:type="dxa"/>
            <w:tcMar>
              <w:top w:w="20" w:type="dxa"/>
              <w:left w:w="20" w:type="dxa"/>
              <w:bottom w:w="100" w:type="dxa"/>
              <w:right w:w="20" w:type="dxa"/>
            </w:tcMar>
            <w:vAlign w:val="bottom"/>
          </w:tcPr>
          <w:p w14:paraId="75D44EFA" w14:textId="77777777" w:rsidR="001C0937" w:rsidRDefault="00000000">
            <w:pPr>
              <w:jc w:val="center"/>
            </w:pPr>
            <w:r>
              <w:rPr>
                <w:color w:val="000000"/>
              </w:rPr>
              <w:t>(0.038)</w:t>
            </w:r>
          </w:p>
        </w:tc>
        <w:tc>
          <w:tcPr>
            <w:tcW w:w="1258" w:type="dxa"/>
            <w:tcMar>
              <w:top w:w="20" w:type="dxa"/>
              <w:left w:w="20" w:type="dxa"/>
              <w:bottom w:w="100" w:type="dxa"/>
              <w:right w:w="20" w:type="dxa"/>
            </w:tcMar>
            <w:vAlign w:val="bottom"/>
          </w:tcPr>
          <w:p w14:paraId="6CE6B797" w14:textId="77777777" w:rsidR="001C0937" w:rsidRDefault="00000000">
            <w:pPr>
              <w:jc w:val="center"/>
            </w:pPr>
            <w:r>
              <w:rPr>
                <w:color w:val="000000"/>
              </w:rPr>
              <w:t>(0.112)</w:t>
            </w:r>
          </w:p>
        </w:tc>
        <w:tc>
          <w:tcPr>
            <w:tcW w:w="1557" w:type="dxa"/>
            <w:tcBorders>
              <w:right w:val="single" w:sz="4" w:space="0" w:color="000000"/>
            </w:tcBorders>
            <w:tcMar>
              <w:top w:w="20" w:type="dxa"/>
              <w:left w:w="20" w:type="dxa"/>
              <w:bottom w:w="100" w:type="dxa"/>
              <w:right w:w="20" w:type="dxa"/>
            </w:tcMar>
            <w:vAlign w:val="bottom"/>
          </w:tcPr>
          <w:p w14:paraId="6A1E15E9" w14:textId="77777777" w:rsidR="001C0937" w:rsidRDefault="00000000">
            <w:pPr>
              <w:jc w:val="center"/>
            </w:pPr>
            <w:r>
              <w:rPr>
                <w:color w:val="000000"/>
              </w:rPr>
              <w:t>(0.041)</w:t>
            </w:r>
          </w:p>
        </w:tc>
      </w:tr>
      <w:tr w:rsidR="001C0937" w14:paraId="631BABF3" w14:textId="77777777">
        <w:trPr>
          <w:trHeight w:val="242"/>
          <w:jc w:val="center"/>
        </w:trPr>
        <w:tc>
          <w:tcPr>
            <w:tcW w:w="2048" w:type="dxa"/>
            <w:tcBorders>
              <w:left w:val="single" w:sz="4" w:space="0" w:color="000000"/>
            </w:tcBorders>
            <w:tcMar>
              <w:top w:w="20" w:type="dxa"/>
              <w:left w:w="20" w:type="dxa"/>
              <w:bottom w:w="100" w:type="dxa"/>
              <w:right w:w="20" w:type="dxa"/>
            </w:tcMar>
            <w:vAlign w:val="bottom"/>
          </w:tcPr>
          <w:p w14:paraId="49D59C7D" w14:textId="77777777" w:rsidR="001C0937" w:rsidRDefault="00000000">
            <w:r>
              <w:rPr>
                <w:b/>
                <w:color w:val="000000"/>
              </w:rPr>
              <w:t>Courts</w:t>
            </w:r>
          </w:p>
        </w:tc>
        <w:tc>
          <w:tcPr>
            <w:tcW w:w="1457" w:type="dxa"/>
            <w:tcMar>
              <w:top w:w="20" w:type="dxa"/>
              <w:left w:w="20" w:type="dxa"/>
              <w:bottom w:w="100" w:type="dxa"/>
              <w:right w:w="20" w:type="dxa"/>
            </w:tcMar>
            <w:vAlign w:val="bottom"/>
          </w:tcPr>
          <w:p w14:paraId="22E13929" w14:textId="77777777" w:rsidR="001C0937" w:rsidRDefault="00000000">
            <w:pPr>
              <w:jc w:val="center"/>
            </w:pPr>
            <w:r>
              <w:rPr>
                <w:color w:val="000000"/>
              </w:rPr>
              <w:t>2.758</w:t>
            </w:r>
          </w:p>
        </w:tc>
        <w:tc>
          <w:tcPr>
            <w:tcW w:w="1258" w:type="dxa"/>
            <w:tcMar>
              <w:top w:w="20" w:type="dxa"/>
              <w:left w:w="20" w:type="dxa"/>
              <w:bottom w:w="100" w:type="dxa"/>
              <w:right w:w="20" w:type="dxa"/>
            </w:tcMar>
            <w:vAlign w:val="bottom"/>
          </w:tcPr>
          <w:p w14:paraId="355A93E4" w14:textId="77777777" w:rsidR="001C0937" w:rsidRDefault="00000000">
            <w:pPr>
              <w:jc w:val="center"/>
            </w:pPr>
            <w:r>
              <w:rPr>
                <w:color w:val="000000"/>
              </w:rPr>
              <w:t>2.791</w:t>
            </w:r>
          </w:p>
        </w:tc>
        <w:tc>
          <w:tcPr>
            <w:tcW w:w="1557" w:type="dxa"/>
            <w:tcBorders>
              <w:right w:val="single" w:sz="4" w:space="0" w:color="000000"/>
            </w:tcBorders>
            <w:tcMar>
              <w:top w:w="20" w:type="dxa"/>
              <w:left w:w="20" w:type="dxa"/>
              <w:bottom w:w="100" w:type="dxa"/>
              <w:right w:w="20" w:type="dxa"/>
            </w:tcMar>
            <w:vAlign w:val="bottom"/>
          </w:tcPr>
          <w:p w14:paraId="6EE85BEE" w14:textId="77777777" w:rsidR="001C0937" w:rsidRDefault="00000000">
            <w:pPr>
              <w:jc w:val="center"/>
            </w:pPr>
            <w:r>
              <w:rPr>
                <w:color w:val="000000"/>
              </w:rPr>
              <w:t>2.725</w:t>
            </w:r>
          </w:p>
        </w:tc>
      </w:tr>
      <w:tr w:rsidR="001C0937" w14:paraId="14D1DB83" w14:textId="77777777">
        <w:trPr>
          <w:trHeight w:val="38"/>
          <w:jc w:val="center"/>
        </w:trPr>
        <w:tc>
          <w:tcPr>
            <w:tcW w:w="2048" w:type="dxa"/>
            <w:tcBorders>
              <w:left w:val="single" w:sz="4" w:space="0" w:color="000000"/>
            </w:tcBorders>
            <w:tcMar>
              <w:top w:w="20" w:type="dxa"/>
              <w:left w:w="20" w:type="dxa"/>
              <w:bottom w:w="100" w:type="dxa"/>
              <w:right w:w="20" w:type="dxa"/>
            </w:tcMar>
            <w:vAlign w:val="bottom"/>
          </w:tcPr>
          <w:p w14:paraId="37A07819" w14:textId="77777777" w:rsidR="001C0937" w:rsidRDefault="001C0937"/>
        </w:tc>
        <w:tc>
          <w:tcPr>
            <w:tcW w:w="1457" w:type="dxa"/>
            <w:tcMar>
              <w:top w:w="20" w:type="dxa"/>
              <w:left w:w="20" w:type="dxa"/>
              <w:bottom w:w="100" w:type="dxa"/>
              <w:right w:w="20" w:type="dxa"/>
            </w:tcMar>
            <w:vAlign w:val="bottom"/>
          </w:tcPr>
          <w:p w14:paraId="222C235C" w14:textId="77777777" w:rsidR="001C0937" w:rsidRDefault="00000000">
            <w:pPr>
              <w:jc w:val="center"/>
            </w:pPr>
            <w:r>
              <w:rPr>
                <w:color w:val="000000"/>
              </w:rPr>
              <w:t>(0.039)</w:t>
            </w:r>
          </w:p>
        </w:tc>
        <w:tc>
          <w:tcPr>
            <w:tcW w:w="1258" w:type="dxa"/>
            <w:tcMar>
              <w:top w:w="20" w:type="dxa"/>
              <w:left w:w="20" w:type="dxa"/>
              <w:bottom w:w="100" w:type="dxa"/>
              <w:right w:w="20" w:type="dxa"/>
            </w:tcMar>
            <w:vAlign w:val="bottom"/>
          </w:tcPr>
          <w:p w14:paraId="125556D1" w14:textId="77777777" w:rsidR="001C0937" w:rsidRDefault="00000000">
            <w:pPr>
              <w:jc w:val="center"/>
            </w:pPr>
            <w:r>
              <w:rPr>
                <w:color w:val="000000"/>
              </w:rPr>
              <w:t>(0.112)</w:t>
            </w:r>
          </w:p>
        </w:tc>
        <w:tc>
          <w:tcPr>
            <w:tcW w:w="1557" w:type="dxa"/>
            <w:tcBorders>
              <w:right w:val="single" w:sz="4" w:space="0" w:color="000000"/>
            </w:tcBorders>
            <w:tcMar>
              <w:top w:w="20" w:type="dxa"/>
              <w:left w:w="20" w:type="dxa"/>
              <w:bottom w:w="100" w:type="dxa"/>
              <w:right w:w="20" w:type="dxa"/>
            </w:tcMar>
            <w:vAlign w:val="bottom"/>
          </w:tcPr>
          <w:p w14:paraId="6EF053F5" w14:textId="77777777" w:rsidR="001C0937" w:rsidRDefault="00000000">
            <w:pPr>
              <w:jc w:val="center"/>
            </w:pPr>
            <w:r>
              <w:rPr>
                <w:color w:val="000000"/>
              </w:rPr>
              <w:t>(0.043)</w:t>
            </w:r>
          </w:p>
        </w:tc>
      </w:tr>
      <w:tr w:rsidR="001C0937" w14:paraId="181DE6AE" w14:textId="77777777">
        <w:trPr>
          <w:trHeight w:val="242"/>
          <w:jc w:val="center"/>
        </w:trPr>
        <w:tc>
          <w:tcPr>
            <w:tcW w:w="2048" w:type="dxa"/>
            <w:tcBorders>
              <w:left w:val="single" w:sz="4" w:space="0" w:color="000000"/>
            </w:tcBorders>
            <w:tcMar>
              <w:top w:w="20" w:type="dxa"/>
              <w:left w:w="20" w:type="dxa"/>
              <w:bottom w:w="100" w:type="dxa"/>
              <w:right w:w="20" w:type="dxa"/>
            </w:tcMar>
            <w:vAlign w:val="bottom"/>
          </w:tcPr>
          <w:p w14:paraId="51DEEDA8" w14:textId="77777777" w:rsidR="001C0937" w:rsidRDefault="00000000">
            <w:r>
              <w:rPr>
                <w:b/>
                <w:color w:val="000000"/>
              </w:rPr>
              <w:t>Local Government</w:t>
            </w:r>
          </w:p>
        </w:tc>
        <w:tc>
          <w:tcPr>
            <w:tcW w:w="1457" w:type="dxa"/>
            <w:tcMar>
              <w:top w:w="20" w:type="dxa"/>
              <w:left w:w="20" w:type="dxa"/>
              <w:bottom w:w="100" w:type="dxa"/>
              <w:right w:w="20" w:type="dxa"/>
            </w:tcMar>
            <w:vAlign w:val="bottom"/>
          </w:tcPr>
          <w:p w14:paraId="7050214B" w14:textId="77777777" w:rsidR="001C0937" w:rsidRDefault="00000000">
            <w:pPr>
              <w:jc w:val="center"/>
            </w:pPr>
            <w:r>
              <w:rPr>
                <w:color w:val="000000"/>
              </w:rPr>
              <w:t>2.612</w:t>
            </w:r>
          </w:p>
        </w:tc>
        <w:tc>
          <w:tcPr>
            <w:tcW w:w="1258" w:type="dxa"/>
            <w:tcMar>
              <w:top w:w="20" w:type="dxa"/>
              <w:left w:w="20" w:type="dxa"/>
              <w:bottom w:w="100" w:type="dxa"/>
              <w:right w:w="20" w:type="dxa"/>
            </w:tcMar>
            <w:vAlign w:val="bottom"/>
          </w:tcPr>
          <w:p w14:paraId="4D1A1D3A" w14:textId="77777777" w:rsidR="001C0937" w:rsidRDefault="00000000">
            <w:pPr>
              <w:jc w:val="center"/>
            </w:pPr>
            <w:r>
              <w:rPr>
                <w:color w:val="000000"/>
              </w:rPr>
              <w:t>2.579</w:t>
            </w:r>
          </w:p>
        </w:tc>
        <w:tc>
          <w:tcPr>
            <w:tcW w:w="1557" w:type="dxa"/>
            <w:tcBorders>
              <w:right w:val="single" w:sz="4" w:space="0" w:color="000000"/>
            </w:tcBorders>
            <w:tcMar>
              <w:top w:w="20" w:type="dxa"/>
              <w:left w:w="20" w:type="dxa"/>
              <w:bottom w:w="100" w:type="dxa"/>
              <w:right w:w="20" w:type="dxa"/>
            </w:tcMar>
            <w:vAlign w:val="bottom"/>
          </w:tcPr>
          <w:p w14:paraId="7DE011F5" w14:textId="77777777" w:rsidR="001C0937" w:rsidRDefault="00000000">
            <w:pPr>
              <w:jc w:val="center"/>
            </w:pPr>
            <w:r>
              <w:rPr>
                <w:color w:val="000000"/>
              </w:rPr>
              <w:t>2.650</w:t>
            </w:r>
          </w:p>
        </w:tc>
      </w:tr>
      <w:tr w:rsidR="001C0937" w14:paraId="0AD3C5FD" w14:textId="77777777">
        <w:trPr>
          <w:trHeight w:val="38"/>
          <w:jc w:val="center"/>
        </w:trPr>
        <w:tc>
          <w:tcPr>
            <w:tcW w:w="2048" w:type="dxa"/>
            <w:tcBorders>
              <w:left w:val="single" w:sz="4" w:space="0" w:color="000000"/>
            </w:tcBorders>
            <w:tcMar>
              <w:top w:w="20" w:type="dxa"/>
              <w:left w:w="20" w:type="dxa"/>
              <w:bottom w:w="100" w:type="dxa"/>
              <w:right w:w="20" w:type="dxa"/>
            </w:tcMar>
            <w:vAlign w:val="bottom"/>
          </w:tcPr>
          <w:p w14:paraId="4E2772A8" w14:textId="77777777" w:rsidR="001C0937" w:rsidRDefault="001C0937"/>
        </w:tc>
        <w:tc>
          <w:tcPr>
            <w:tcW w:w="1457" w:type="dxa"/>
            <w:tcMar>
              <w:top w:w="20" w:type="dxa"/>
              <w:left w:w="20" w:type="dxa"/>
              <w:bottom w:w="100" w:type="dxa"/>
              <w:right w:w="20" w:type="dxa"/>
            </w:tcMar>
            <w:vAlign w:val="bottom"/>
          </w:tcPr>
          <w:p w14:paraId="5A6681E1" w14:textId="77777777" w:rsidR="001C0937" w:rsidRDefault="00000000">
            <w:pPr>
              <w:jc w:val="center"/>
            </w:pPr>
            <w:r>
              <w:rPr>
                <w:color w:val="000000"/>
              </w:rPr>
              <w:t>(0.039)</w:t>
            </w:r>
          </w:p>
        </w:tc>
        <w:tc>
          <w:tcPr>
            <w:tcW w:w="1258" w:type="dxa"/>
            <w:tcMar>
              <w:top w:w="20" w:type="dxa"/>
              <w:left w:w="20" w:type="dxa"/>
              <w:bottom w:w="100" w:type="dxa"/>
              <w:right w:w="20" w:type="dxa"/>
            </w:tcMar>
            <w:vAlign w:val="bottom"/>
          </w:tcPr>
          <w:p w14:paraId="29916F54" w14:textId="77777777" w:rsidR="001C0937" w:rsidRDefault="00000000">
            <w:pPr>
              <w:jc w:val="center"/>
            </w:pPr>
            <w:r>
              <w:rPr>
                <w:color w:val="000000"/>
              </w:rPr>
              <w:t>(0.109)</w:t>
            </w:r>
          </w:p>
        </w:tc>
        <w:tc>
          <w:tcPr>
            <w:tcW w:w="1557" w:type="dxa"/>
            <w:tcBorders>
              <w:right w:val="single" w:sz="4" w:space="0" w:color="000000"/>
            </w:tcBorders>
            <w:tcMar>
              <w:top w:w="20" w:type="dxa"/>
              <w:left w:w="20" w:type="dxa"/>
              <w:bottom w:w="100" w:type="dxa"/>
              <w:right w:w="20" w:type="dxa"/>
            </w:tcMar>
            <w:vAlign w:val="bottom"/>
          </w:tcPr>
          <w:p w14:paraId="4B68B425" w14:textId="77777777" w:rsidR="001C0937" w:rsidRDefault="00000000">
            <w:pPr>
              <w:jc w:val="center"/>
            </w:pPr>
            <w:r>
              <w:rPr>
                <w:color w:val="000000"/>
              </w:rPr>
              <w:t>(0.040)</w:t>
            </w:r>
          </w:p>
        </w:tc>
      </w:tr>
      <w:tr w:rsidR="001C0937" w14:paraId="7EE116AA" w14:textId="77777777">
        <w:trPr>
          <w:trHeight w:val="277"/>
          <w:jc w:val="center"/>
        </w:trPr>
        <w:tc>
          <w:tcPr>
            <w:tcW w:w="2048" w:type="dxa"/>
            <w:tcBorders>
              <w:left w:val="single" w:sz="4" w:space="0" w:color="000000"/>
            </w:tcBorders>
            <w:tcMar>
              <w:top w:w="20" w:type="dxa"/>
              <w:left w:w="20" w:type="dxa"/>
              <w:bottom w:w="100" w:type="dxa"/>
              <w:right w:w="20" w:type="dxa"/>
            </w:tcMar>
            <w:vAlign w:val="bottom"/>
          </w:tcPr>
          <w:p w14:paraId="795F2684" w14:textId="77777777" w:rsidR="001C0937" w:rsidRDefault="00000000">
            <w:r>
              <w:rPr>
                <w:b/>
                <w:color w:val="000000"/>
              </w:rPr>
              <w:t>Police</w:t>
            </w:r>
          </w:p>
        </w:tc>
        <w:tc>
          <w:tcPr>
            <w:tcW w:w="1457" w:type="dxa"/>
            <w:tcMar>
              <w:top w:w="20" w:type="dxa"/>
              <w:left w:w="20" w:type="dxa"/>
              <w:bottom w:w="100" w:type="dxa"/>
              <w:right w:w="20" w:type="dxa"/>
            </w:tcMar>
            <w:vAlign w:val="bottom"/>
          </w:tcPr>
          <w:p w14:paraId="52558B37" w14:textId="77777777" w:rsidR="001C0937" w:rsidRDefault="00000000">
            <w:pPr>
              <w:jc w:val="center"/>
            </w:pPr>
            <w:r>
              <w:rPr>
                <w:color w:val="000000"/>
              </w:rPr>
              <w:t>2.737</w:t>
            </w:r>
          </w:p>
        </w:tc>
        <w:tc>
          <w:tcPr>
            <w:tcW w:w="1258" w:type="dxa"/>
            <w:tcMar>
              <w:top w:w="20" w:type="dxa"/>
              <w:left w:w="20" w:type="dxa"/>
              <w:bottom w:w="100" w:type="dxa"/>
              <w:right w:w="20" w:type="dxa"/>
            </w:tcMar>
            <w:vAlign w:val="bottom"/>
          </w:tcPr>
          <w:p w14:paraId="36CAA129" w14:textId="77777777" w:rsidR="001C0937" w:rsidRDefault="00000000">
            <w:pPr>
              <w:jc w:val="center"/>
            </w:pPr>
            <w:r>
              <w:rPr>
                <w:color w:val="000000"/>
              </w:rPr>
              <w:t>2.683</w:t>
            </w:r>
          </w:p>
        </w:tc>
        <w:tc>
          <w:tcPr>
            <w:tcW w:w="1557" w:type="dxa"/>
            <w:tcBorders>
              <w:right w:val="single" w:sz="4" w:space="0" w:color="000000"/>
            </w:tcBorders>
            <w:tcMar>
              <w:top w:w="20" w:type="dxa"/>
              <w:left w:w="20" w:type="dxa"/>
              <w:bottom w:w="100" w:type="dxa"/>
              <w:right w:w="20" w:type="dxa"/>
            </w:tcMar>
            <w:vAlign w:val="bottom"/>
          </w:tcPr>
          <w:p w14:paraId="1695761E" w14:textId="77777777" w:rsidR="001C0937" w:rsidRDefault="00000000">
            <w:pPr>
              <w:jc w:val="center"/>
            </w:pPr>
            <w:r>
              <w:rPr>
                <w:color w:val="000000"/>
              </w:rPr>
              <w:t>2.665</w:t>
            </w:r>
          </w:p>
        </w:tc>
      </w:tr>
      <w:tr w:rsidR="001C0937" w14:paraId="6525326D" w14:textId="77777777">
        <w:trPr>
          <w:trHeight w:val="58"/>
          <w:jc w:val="center"/>
        </w:trPr>
        <w:tc>
          <w:tcPr>
            <w:tcW w:w="2048" w:type="dxa"/>
            <w:tcBorders>
              <w:left w:val="single" w:sz="4" w:space="0" w:color="000000"/>
              <w:bottom w:val="single" w:sz="4" w:space="0" w:color="000000"/>
            </w:tcBorders>
            <w:tcMar>
              <w:top w:w="20" w:type="dxa"/>
              <w:left w:w="20" w:type="dxa"/>
              <w:bottom w:w="100" w:type="dxa"/>
              <w:right w:w="20" w:type="dxa"/>
            </w:tcMar>
            <w:vAlign w:val="bottom"/>
          </w:tcPr>
          <w:p w14:paraId="1C2F79B0" w14:textId="77777777" w:rsidR="001C0937" w:rsidRDefault="001C0937">
            <w:pPr>
              <w:jc w:val="center"/>
            </w:pPr>
          </w:p>
        </w:tc>
        <w:tc>
          <w:tcPr>
            <w:tcW w:w="1457" w:type="dxa"/>
            <w:tcBorders>
              <w:bottom w:val="single" w:sz="4" w:space="0" w:color="000000"/>
            </w:tcBorders>
            <w:tcMar>
              <w:top w:w="20" w:type="dxa"/>
              <w:left w:w="20" w:type="dxa"/>
              <w:bottom w:w="100" w:type="dxa"/>
              <w:right w:w="20" w:type="dxa"/>
            </w:tcMar>
            <w:vAlign w:val="bottom"/>
          </w:tcPr>
          <w:p w14:paraId="645C0736" w14:textId="77777777" w:rsidR="001C0937" w:rsidRDefault="00000000">
            <w:pPr>
              <w:jc w:val="center"/>
            </w:pPr>
            <w:r>
              <w:rPr>
                <w:color w:val="000000"/>
              </w:rPr>
              <w:t>(0.039)</w:t>
            </w:r>
          </w:p>
        </w:tc>
        <w:tc>
          <w:tcPr>
            <w:tcW w:w="1258" w:type="dxa"/>
            <w:tcBorders>
              <w:bottom w:val="single" w:sz="4" w:space="0" w:color="000000"/>
            </w:tcBorders>
            <w:tcMar>
              <w:top w:w="20" w:type="dxa"/>
              <w:left w:w="20" w:type="dxa"/>
              <w:bottom w:w="100" w:type="dxa"/>
              <w:right w:w="20" w:type="dxa"/>
            </w:tcMar>
            <w:vAlign w:val="bottom"/>
          </w:tcPr>
          <w:p w14:paraId="398D9E40" w14:textId="77777777" w:rsidR="001C0937" w:rsidRDefault="00000000">
            <w:pPr>
              <w:jc w:val="center"/>
            </w:pPr>
            <w:r>
              <w:rPr>
                <w:color w:val="000000"/>
              </w:rPr>
              <w:t>(0.117)</w:t>
            </w:r>
          </w:p>
        </w:tc>
        <w:tc>
          <w:tcPr>
            <w:tcW w:w="1557" w:type="dxa"/>
            <w:tcBorders>
              <w:bottom w:val="single" w:sz="4" w:space="0" w:color="000000"/>
              <w:right w:val="single" w:sz="4" w:space="0" w:color="000000"/>
            </w:tcBorders>
            <w:tcMar>
              <w:top w:w="20" w:type="dxa"/>
              <w:left w:w="20" w:type="dxa"/>
              <w:bottom w:w="100" w:type="dxa"/>
              <w:right w:w="20" w:type="dxa"/>
            </w:tcMar>
            <w:vAlign w:val="bottom"/>
          </w:tcPr>
          <w:p w14:paraId="08FCCBDA" w14:textId="77777777" w:rsidR="001C0937" w:rsidRDefault="00000000">
            <w:pPr>
              <w:jc w:val="center"/>
            </w:pPr>
            <w:r>
              <w:rPr>
                <w:color w:val="000000"/>
              </w:rPr>
              <w:t>(0.040)</w:t>
            </w:r>
          </w:p>
        </w:tc>
      </w:tr>
      <w:tr w:rsidR="001C0937" w14:paraId="70140231" w14:textId="77777777">
        <w:trPr>
          <w:trHeight w:val="612"/>
          <w:jc w:val="center"/>
        </w:trPr>
        <w:tc>
          <w:tcPr>
            <w:tcW w:w="6320" w:type="dxa"/>
            <w:gridSpan w:val="4"/>
            <w:vMerge w:val="restart"/>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F0C5D55" w14:textId="42D41B02" w:rsidR="001C0937" w:rsidRPr="002846BD" w:rsidRDefault="00000000">
            <w:pPr>
              <w:rPr>
                <w:color w:val="000000"/>
                <w:sz w:val="20"/>
                <w:szCs w:val="20"/>
              </w:rPr>
            </w:pPr>
            <w:r>
              <w:rPr>
                <w:color w:val="000000"/>
                <w:sz w:val="20"/>
                <w:szCs w:val="20"/>
              </w:rPr>
              <w:t>Note: Table reports weighted means for each period with standard deviations in parentheses.</w:t>
            </w:r>
            <w:r w:rsidR="002846BD">
              <w:rPr>
                <w:color w:val="000000"/>
                <w:sz w:val="20"/>
                <w:szCs w:val="20"/>
              </w:rPr>
              <w:t xml:space="preserve"> Difference in means only shown for period-dyads with statistically significant differences.</w:t>
            </w:r>
          </w:p>
          <w:p w14:paraId="786568A2" w14:textId="6494AFF6" w:rsidR="001C0937" w:rsidRDefault="00D33CC4">
            <w:pPr>
              <w:rPr>
                <w:sz w:val="20"/>
                <w:szCs w:val="20"/>
              </w:rPr>
            </w:pPr>
            <w:r w:rsidRPr="00D33CC4">
              <w:rPr>
                <w:i/>
                <w:iCs/>
                <w:color w:val="000000"/>
                <w:sz w:val="20"/>
                <w:szCs w:val="20"/>
              </w:rPr>
              <w:t>a</w:t>
            </w:r>
            <w:r>
              <w:rPr>
                <w:color w:val="000000"/>
                <w:sz w:val="20"/>
                <w:szCs w:val="20"/>
              </w:rPr>
              <w:t>) Difference in means between Pre-Duma and Post-Duma are statistically significant at p &lt; .05.</w:t>
            </w:r>
          </w:p>
          <w:p w14:paraId="656BF820" w14:textId="2C97C0EB" w:rsidR="001C0937" w:rsidRDefault="00D33CC4">
            <w:pPr>
              <w:rPr>
                <w:sz w:val="20"/>
                <w:szCs w:val="20"/>
              </w:rPr>
            </w:pPr>
            <w:r w:rsidRPr="00D33CC4">
              <w:rPr>
                <w:i/>
                <w:iCs/>
                <w:color w:val="000000"/>
                <w:sz w:val="20"/>
                <w:szCs w:val="20"/>
              </w:rPr>
              <w:t>b</w:t>
            </w:r>
            <w:r>
              <w:rPr>
                <w:color w:val="000000"/>
                <w:sz w:val="20"/>
                <w:szCs w:val="20"/>
              </w:rPr>
              <w:t>) Difference in means between Post-Duma and Post-Protest are statistically significant at p &lt; .05.</w:t>
            </w:r>
          </w:p>
          <w:p w14:paraId="7A1AC567" w14:textId="67FFCCEB" w:rsidR="001C0937" w:rsidRDefault="00D33CC4">
            <w:r>
              <w:rPr>
                <w:i/>
                <w:iCs/>
                <w:color w:val="000000"/>
                <w:sz w:val="20"/>
                <w:szCs w:val="20"/>
              </w:rPr>
              <w:t>c</w:t>
            </w:r>
            <w:r>
              <w:rPr>
                <w:color w:val="000000"/>
                <w:sz w:val="20"/>
                <w:szCs w:val="20"/>
              </w:rPr>
              <w:t>) Difference in means between Pre-Duma and Post-Protest are statistically significant at p &lt; .05.</w:t>
            </w:r>
          </w:p>
        </w:tc>
      </w:tr>
      <w:tr w:rsidR="001C0937" w14:paraId="37661C7E" w14:textId="77777777">
        <w:trPr>
          <w:trHeight w:val="317"/>
          <w:jc w:val="center"/>
        </w:trPr>
        <w:tc>
          <w:tcPr>
            <w:tcW w:w="6320" w:type="dxa"/>
            <w:gridSpan w:val="4"/>
            <w:vMerge/>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AA502B8" w14:textId="77777777" w:rsidR="001C0937" w:rsidRDefault="001C0937">
            <w:pPr>
              <w:widowControl w:val="0"/>
              <w:pBdr>
                <w:top w:val="nil"/>
                <w:left w:val="nil"/>
                <w:bottom w:val="nil"/>
                <w:right w:val="nil"/>
                <w:between w:val="nil"/>
              </w:pBdr>
              <w:spacing w:line="276" w:lineRule="auto"/>
            </w:pPr>
          </w:p>
        </w:tc>
      </w:tr>
    </w:tbl>
    <w:p w14:paraId="635FEAD5" w14:textId="77777777" w:rsidR="001C0937" w:rsidRDefault="001C0937"/>
    <w:p w14:paraId="71C0DE25" w14:textId="77777777" w:rsidR="001C0937" w:rsidRDefault="001C0937"/>
    <w:p w14:paraId="0F171972" w14:textId="77777777" w:rsidR="001C0937" w:rsidRDefault="001C0937">
      <w:pPr>
        <w:spacing w:line="480" w:lineRule="auto"/>
      </w:pPr>
    </w:p>
    <w:p w14:paraId="0437E264" w14:textId="77777777" w:rsidR="001C0937" w:rsidRDefault="001C0937">
      <w:pPr>
        <w:spacing w:line="480" w:lineRule="auto"/>
      </w:pPr>
    </w:p>
    <w:p w14:paraId="6EF4BDBD" w14:textId="77777777" w:rsidR="001C0937" w:rsidRDefault="001C0937">
      <w:pPr>
        <w:spacing w:line="480" w:lineRule="auto"/>
      </w:pPr>
    </w:p>
    <w:p w14:paraId="3E1FEA54" w14:textId="667E1528" w:rsidR="001C0937" w:rsidRDefault="001C0937">
      <w:pPr>
        <w:spacing w:line="480" w:lineRule="auto"/>
      </w:pPr>
    </w:p>
    <w:p w14:paraId="0DFE83A4" w14:textId="780CD176" w:rsidR="002C4D81" w:rsidRDefault="002C4D81">
      <w:pPr>
        <w:spacing w:line="480" w:lineRule="auto"/>
      </w:pPr>
    </w:p>
    <w:p w14:paraId="1ECCA67D" w14:textId="2C1BBE63" w:rsidR="002C4D81" w:rsidRDefault="002C4D81">
      <w:pPr>
        <w:spacing w:line="480" w:lineRule="auto"/>
      </w:pPr>
    </w:p>
    <w:p w14:paraId="3F639F8D" w14:textId="77777777" w:rsidR="002C4D81" w:rsidRDefault="002C4D81">
      <w:pPr>
        <w:spacing w:line="480" w:lineRule="auto"/>
      </w:pPr>
    </w:p>
    <w:p w14:paraId="696D7D4B" w14:textId="77777777" w:rsidR="001C0937" w:rsidRDefault="001C0937">
      <w:pPr>
        <w:spacing w:line="480" w:lineRule="auto"/>
      </w:pPr>
    </w:p>
    <w:p w14:paraId="286C8BDA" w14:textId="77777777" w:rsidR="001C0937" w:rsidRDefault="001C0937">
      <w:pPr>
        <w:spacing w:line="480" w:lineRule="auto"/>
      </w:pPr>
    </w:p>
    <w:tbl>
      <w:tblPr>
        <w:tblStyle w:val="af2"/>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230"/>
        <w:gridCol w:w="1320"/>
        <w:gridCol w:w="1230"/>
        <w:gridCol w:w="1215"/>
        <w:gridCol w:w="1170"/>
        <w:gridCol w:w="1215"/>
      </w:tblGrid>
      <w:tr w:rsidR="001C0937" w14:paraId="4D2E4CFB" w14:textId="77777777">
        <w:trPr>
          <w:trHeight w:val="440"/>
        </w:trPr>
        <w:tc>
          <w:tcPr>
            <w:tcW w:w="9420" w:type="dxa"/>
            <w:gridSpan w:val="7"/>
            <w:shd w:val="clear" w:color="auto" w:fill="auto"/>
            <w:tcMar>
              <w:top w:w="100" w:type="dxa"/>
              <w:left w:w="100" w:type="dxa"/>
              <w:bottom w:w="100" w:type="dxa"/>
              <w:right w:w="100" w:type="dxa"/>
            </w:tcMar>
          </w:tcPr>
          <w:p w14:paraId="673DE95C" w14:textId="0831F9EF" w:rsidR="001C0937" w:rsidRDefault="00B45B5B">
            <w:pPr>
              <w:widowControl w:val="0"/>
              <w:rPr>
                <w:b/>
              </w:rPr>
            </w:pPr>
            <w:r>
              <w:rPr>
                <w:b/>
              </w:rPr>
              <w:t>Table A</w:t>
            </w:r>
            <w:r w:rsidR="00BD02EA">
              <w:rPr>
                <w:b/>
              </w:rPr>
              <w:t>5</w:t>
            </w:r>
            <w:r w:rsidR="00000000">
              <w:rPr>
                <w:b/>
              </w:rPr>
              <w:t>: Trust in Institutions</w:t>
            </w:r>
          </w:p>
        </w:tc>
      </w:tr>
      <w:tr w:rsidR="001C0937" w14:paraId="46E72331" w14:textId="77777777">
        <w:tc>
          <w:tcPr>
            <w:tcW w:w="2040" w:type="dxa"/>
            <w:shd w:val="clear" w:color="auto" w:fill="auto"/>
            <w:tcMar>
              <w:top w:w="100" w:type="dxa"/>
              <w:left w:w="100" w:type="dxa"/>
              <w:bottom w:w="100" w:type="dxa"/>
              <w:right w:w="100" w:type="dxa"/>
            </w:tcMar>
          </w:tcPr>
          <w:p w14:paraId="044C1BDE" w14:textId="77777777" w:rsidR="001C0937" w:rsidRDefault="001C0937">
            <w:pPr>
              <w:widowControl w:val="0"/>
            </w:pPr>
          </w:p>
        </w:tc>
        <w:tc>
          <w:tcPr>
            <w:tcW w:w="1230" w:type="dxa"/>
            <w:shd w:val="clear" w:color="auto" w:fill="auto"/>
            <w:tcMar>
              <w:top w:w="100" w:type="dxa"/>
              <w:left w:w="100" w:type="dxa"/>
              <w:bottom w:w="100" w:type="dxa"/>
              <w:right w:w="100" w:type="dxa"/>
            </w:tcMar>
          </w:tcPr>
          <w:p w14:paraId="76D5CF97" w14:textId="77777777" w:rsidR="001C0937" w:rsidRDefault="00000000">
            <w:pPr>
              <w:widowControl w:val="0"/>
              <w:jc w:val="center"/>
              <w:rPr>
                <w:b/>
              </w:rPr>
            </w:pPr>
            <w:r>
              <w:rPr>
                <w:b/>
              </w:rPr>
              <w:t>Putin</w:t>
            </w:r>
          </w:p>
        </w:tc>
        <w:tc>
          <w:tcPr>
            <w:tcW w:w="1320" w:type="dxa"/>
            <w:shd w:val="clear" w:color="auto" w:fill="auto"/>
            <w:tcMar>
              <w:top w:w="100" w:type="dxa"/>
              <w:left w:w="100" w:type="dxa"/>
              <w:bottom w:w="100" w:type="dxa"/>
              <w:right w:w="100" w:type="dxa"/>
            </w:tcMar>
          </w:tcPr>
          <w:p w14:paraId="0389B9B0" w14:textId="77777777" w:rsidR="001C0937" w:rsidRDefault="00000000">
            <w:pPr>
              <w:widowControl w:val="0"/>
              <w:jc w:val="center"/>
              <w:rPr>
                <w:b/>
              </w:rPr>
            </w:pPr>
            <w:r>
              <w:rPr>
                <w:b/>
              </w:rPr>
              <w:t>Duma</w:t>
            </w:r>
          </w:p>
        </w:tc>
        <w:tc>
          <w:tcPr>
            <w:tcW w:w="1230" w:type="dxa"/>
            <w:shd w:val="clear" w:color="auto" w:fill="auto"/>
            <w:tcMar>
              <w:top w:w="100" w:type="dxa"/>
              <w:left w:w="100" w:type="dxa"/>
              <w:bottom w:w="100" w:type="dxa"/>
              <w:right w:w="100" w:type="dxa"/>
            </w:tcMar>
          </w:tcPr>
          <w:p w14:paraId="55A542B8" w14:textId="77777777" w:rsidR="001C0937" w:rsidRDefault="00000000">
            <w:pPr>
              <w:widowControl w:val="0"/>
              <w:jc w:val="center"/>
              <w:rPr>
                <w:b/>
              </w:rPr>
            </w:pPr>
            <w:r>
              <w:rPr>
                <w:b/>
              </w:rPr>
              <w:t>Army</w:t>
            </w:r>
          </w:p>
        </w:tc>
        <w:tc>
          <w:tcPr>
            <w:tcW w:w="1215" w:type="dxa"/>
            <w:shd w:val="clear" w:color="auto" w:fill="auto"/>
            <w:tcMar>
              <w:top w:w="100" w:type="dxa"/>
              <w:left w:w="100" w:type="dxa"/>
              <w:bottom w:w="100" w:type="dxa"/>
              <w:right w:w="100" w:type="dxa"/>
            </w:tcMar>
          </w:tcPr>
          <w:p w14:paraId="3FFD6602" w14:textId="77777777" w:rsidR="001C0937" w:rsidRDefault="00000000">
            <w:pPr>
              <w:widowControl w:val="0"/>
              <w:jc w:val="center"/>
              <w:rPr>
                <w:b/>
              </w:rPr>
            </w:pPr>
            <w:r>
              <w:rPr>
                <w:b/>
              </w:rPr>
              <w:t>Courts</w:t>
            </w:r>
          </w:p>
        </w:tc>
        <w:tc>
          <w:tcPr>
            <w:tcW w:w="1170" w:type="dxa"/>
            <w:shd w:val="clear" w:color="auto" w:fill="auto"/>
            <w:tcMar>
              <w:top w:w="100" w:type="dxa"/>
              <w:left w:w="100" w:type="dxa"/>
              <w:bottom w:w="100" w:type="dxa"/>
              <w:right w:w="100" w:type="dxa"/>
            </w:tcMar>
          </w:tcPr>
          <w:p w14:paraId="773F3A68" w14:textId="77777777" w:rsidR="001C0937" w:rsidRDefault="00000000">
            <w:pPr>
              <w:widowControl w:val="0"/>
              <w:jc w:val="center"/>
              <w:rPr>
                <w:b/>
              </w:rPr>
            </w:pPr>
            <w:r>
              <w:rPr>
                <w:b/>
              </w:rPr>
              <w:t>Local Gov’t</w:t>
            </w:r>
          </w:p>
        </w:tc>
        <w:tc>
          <w:tcPr>
            <w:tcW w:w="1215" w:type="dxa"/>
            <w:shd w:val="clear" w:color="auto" w:fill="auto"/>
            <w:tcMar>
              <w:top w:w="100" w:type="dxa"/>
              <w:left w:w="100" w:type="dxa"/>
              <w:bottom w:w="100" w:type="dxa"/>
              <w:right w:w="100" w:type="dxa"/>
            </w:tcMar>
          </w:tcPr>
          <w:p w14:paraId="4FB0A642" w14:textId="77777777" w:rsidR="001C0937" w:rsidRDefault="00000000">
            <w:pPr>
              <w:widowControl w:val="0"/>
              <w:jc w:val="center"/>
              <w:rPr>
                <w:b/>
              </w:rPr>
            </w:pPr>
            <w:r>
              <w:rPr>
                <w:b/>
              </w:rPr>
              <w:t>Police</w:t>
            </w:r>
          </w:p>
        </w:tc>
      </w:tr>
      <w:tr w:rsidR="001C0937" w14:paraId="5333054A" w14:textId="77777777">
        <w:tc>
          <w:tcPr>
            <w:tcW w:w="2040" w:type="dxa"/>
            <w:shd w:val="clear" w:color="auto" w:fill="auto"/>
            <w:tcMar>
              <w:top w:w="100" w:type="dxa"/>
              <w:left w:w="100" w:type="dxa"/>
              <w:bottom w:w="100" w:type="dxa"/>
              <w:right w:w="100" w:type="dxa"/>
            </w:tcMar>
          </w:tcPr>
          <w:p w14:paraId="2C3DFA40" w14:textId="77777777" w:rsidR="001C0937" w:rsidRDefault="00000000">
            <w:pPr>
              <w:widowControl w:val="0"/>
              <w:rPr>
                <w:b/>
              </w:rPr>
            </w:pPr>
            <w:r>
              <w:rPr>
                <w:b/>
              </w:rPr>
              <w:t>Post-Duma</w:t>
            </w:r>
          </w:p>
        </w:tc>
        <w:tc>
          <w:tcPr>
            <w:tcW w:w="1230" w:type="dxa"/>
            <w:shd w:val="clear" w:color="auto" w:fill="auto"/>
            <w:tcMar>
              <w:top w:w="100" w:type="dxa"/>
              <w:left w:w="100" w:type="dxa"/>
              <w:bottom w:w="100" w:type="dxa"/>
              <w:right w:w="100" w:type="dxa"/>
            </w:tcMar>
          </w:tcPr>
          <w:p w14:paraId="60B62EDB" w14:textId="77777777" w:rsidR="001C0937" w:rsidRDefault="00000000">
            <w:pPr>
              <w:widowControl w:val="0"/>
              <w:jc w:val="center"/>
            </w:pPr>
            <w:r>
              <w:t>-0.382***</w:t>
            </w:r>
          </w:p>
          <w:p w14:paraId="48307DF2" w14:textId="77777777" w:rsidR="001C0937" w:rsidRDefault="00000000">
            <w:pPr>
              <w:widowControl w:val="0"/>
              <w:jc w:val="center"/>
            </w:pPr>
            <w:r>
              <w:t>(0.122)</w:t>
            </w:r>
          </w:p>
        </w:tc>
        <w:tc>
          <w:tcPr>
            <w:tcW w:w="1320" w:type="dxa"/>
            <w:shd w:val="clear" w:color="auto" w:fill="auto"/>
            <w:tcMar>
              <w:top w:w="100" w:type="dxa"/>
              <w:left w:w="100" w:type="dxa"/>
              <w:bottom w:w="100" w:type="dxa"/>
              <w:right w:w="100" w:type="dxa"/>
            </w:tcMar>
          </w:tcPr>
          <w:p w14:paraId="075C8675" w14:textId="77777777" w:rsidR="001C0937" w:rsidRDefault="00000000">
            <w:pPr>
              <w:widowControl w:val="0"/>
              <w:jc w:val="center"/>
            </w:pPr>
            <w:r>
              <w:t>-0.052</w:t>
            </w:r>
          </w:p>
          <w:p w14:paraId="039EEC4E" w14:textId="77777777" w:rsidR="001C0937" w:rsidRDefault="00000000">
            <w:pPr>
              <w:widowControl w:val="0"/>
              <w:jc w:val="center"/>
            </w:pPr>
            <w:r>
              <w:t>(0.112)</w:t>
            </w:r>
          </w:p>
        </w:tc>
        <w:tc>
          <w:tcPr>
            <w:tcW w:w="1230" w:type="dxa"/>
            <w:shd w:val="clear" w:color="auto" w:fill="auto"/>
            <w:tcMar>
              <w:top w:w="100" w:type="dxa"/>
              <w:left w:w="100" w:type="dxa"/>
              <w:bottom w:w="100" w:type="dxa"/>
              <w:right w:w="100" w:type="dxa"/>
            </w:tcMar>
          </w:tcPr>
          <w:p w14:paraId="02DC2FDA" w14:textId="77777777" w:rsidR="001C0937" w:rsidRDefault="00000000">
            <w:pPr>
              <w:widowControl w:val="0"/>
              <w:jc w:val="center"/>
            </w:pPr>
            <w:r>
              <w:t>-0.020</w:t>
            </w:r>
          </w:p>
          <w:p w14:paraId="5424648F" w14:textId="77777777" w:rsidR="001C0937" w:rsidRDefault="00000000">
            <w:pPr>
              <w:widowControl w:val="0"/>
              <w:jc w:val="center"/>
            </w:pPr>
            <w:r>
              <w:t>(0.118)</w:t>
            </w:r>
          </w:p>
        </w:tc>
        <w:tc>
          <w:tcPr>
            <w:tcW w:w="1215" w:type="dxa"/>
            <w:shd w:val="clear" w:color="auto" w:fill="auto"/>
            <w:tcMar>
              <w:top w:w="100" w:type="dxa"/>
              <w:left w:w="100" w:type="dxa"/>
              <w:bottom w:w="100" w:type="dxa"/>
              <w:right w:w="100" w:type="dxa"/>
            </w:tcMar>
          </w:tcPr>
          <w:p w14:paraId="13329BCB" w14:textId="77777777" w:rsidR="001C0937" w:rsidRDefault="00000000">
            <w:pPr>
              <w:widowControl w:val="0"/>
              <w:jc w:val="center"/>
            </w:pPr>
            <w:r>
              <w:t>0.118</w:t>
            </w:r>
          </w:p>
          <w:p w14:paraId="178F7D0F" w14:textId="77777777" w:rsidR="001C0937" w:rsidRDefault="00000000">
            <w:pPr>
              <w:widowControl w:val="0"/>
              <w:jc w:val="center"/>
            </w:pPr>
            <w:r>
              <w:t>(0.120)</w:t>
            </w:r>
          </w:p>
        </w:tc>
        <w:tc>
          <w:tcPr>
            <w:tcW w:w="1170" w:type="dxa"/>
            <w:shd w:val="clear" w:color="auto" w:fill="auto"/>
            <w:tcMar>
              <w:top w:w="100" w:type="dxa"/>
              <w:left w:w="100" w:type="dxa"/>
              <w:bottom w:w="100" w:type="dxa"/>
              <w:right w:w="100" w:type="dxa"/>
            </w:tcMar>
          </w:tcPr>
          <w:p w14:paraId="76BD78C5" w14:textId="77777777" w:rsidR="001C0937" w:rsidRDefault="00000000">
            <w:pPr>
              <w:widowControl w:val="0"/>
              <w:jc w:val="center"/>
            </w:pPr>
            <w:r>
              <w:t>-0.011</w:t>
            </w:r>
          </w:p>
          <w:p w14:paraId="5DCF12FA" w14:textId="77777777" w:rsidR="001C0937" w:rsidRDefault="00000000">
            <w:pPr>
              <w:widowControl w:val="0"/>
              <w:jc w:val="center"/>
            </w:pPr>
            <w:r>
              <w:t>(0.116)</w:t>
            </w:r>
          </w:p>
        </w:tc>
        <w:tc>
          <w:tcPr>
            <w:tcW w:w="1215" w:type="dxa"/>
            <w:shd w:val="clear" w:color="auto" w:fill="auto"/>
            <w:tcMar>
              <w:top w:w="100" w:type="dxa"/>
              <w:left w:w="100" w:type="dxa"/>
              <w:bottom w:w="100" w:type="dxa"/>
              <w:right w:w="100" w:type="dxa"/>
            </w:tcMar>
          </w:tcPr>
          <w:p w14:paraId="6C17F2EF" w14:textId="77777777" w:rsidR="001C0937" w:rsidRDefault="00000000">
            <w:pPr>
              <w:widowControl w:val="0"/>
              <w:jc w:val="center"/>
            </w:pPr>
            <w:r>
              <w:t>-0.038</w:t>
            </w:r>
          </w:p>
          <w:p w14:paraId="6DCFAD2A" w14:textId="77777777" w:rsidR="001C0937" w:rsidRDefault="00000000">
            <w:pPr>
              <w:widowControl w:val="0"/>
              <w:jc w:val="center"/>
            </w:pPr>
            <w:r>
              <w:t>(0.121)</w:t>
            </w:r>
          </w:p>
        </w:tc>
      </w:tr>
      <w:tr w:rsidR="001C0937" w14:paraId="73E83CDA" w14:textId="77777777">
        <w:tc>
          <w:tcPr>
            <w:tcW w:w="2040" w:type="dxa"/>
            <w:shd w:val="clear" w:color="auto" w:fill="auto"/>
            <w:tcMar>
              <w:top w:w="100" w:type="dxa"/>
              <w:left w:w="100" w:type="dxa"/>
              <w:bottom w:w="100" w:type="dxa"/>
              <w:right w:w="100" w:type="dxa"/>
            </w:tcMar>
          </w:tcPr>
          <w:p w14:paraId="675ECA69" w14:textId="77777777" w:rsidR="001C0937" w:rsidRDefault="00000000">
            <w:pPr>
              <w:widowControl w:val="0"/>
              <w:rPr>
                <w:b/>
              </w:rPr>
            </w:pPr>
            <w:r>
              <w:rPr>
                <w:b/>
              </w:rPr>
              <w:t>Post-Protest</w:t>
            </w:r>
          </w:p>
        </w:tc>
        <w:tc>
          <w:tcPr>
            <w:tcW w:w="1230" w:type="dxa"/>
            <w:shd w:val="clear" w:color="auto" w:fill="auto"/>
            <w:tcMar>
              <w:top w:w="100" w:type="dxa"/>
              <w:left w:w="100" w:type="dxa"/>
              <w:bottom w:w="100" w:type="dxa"/>
              <w:right w:w="100" w:type="dxa"/>
            </w:tcMar>
          </w:tcPr>
          <w:p w14:paraId="3A8818E1" w14:textId="77777777" w:rsidR="001C0937" w:rsidRDefault="00000000">
            <w:pPr>
              <w:widowControl w:val="0"/>
              <w:jc w:val="center"/>
            </w:pPr>
            <w:r>
              <w:t>-0.109*</w:t>
            </w:r>
          </w:p>
          <w:p w14:paraId="122F3773" w14:textId="77777777" w:rsidR="001C0937" w:rsidRDefault="00000000">
            <w:pPr>
              <w:widowControl w:val="0"/>
              <w:jc w:val="center"/>
            </w:pPr>
            <w:r>
              <w:t>(0.058)</w:t>
            </w:r>
          </w:p>
        </w:tc>
        <w:tc>
          <w:tcPr>
            <w:tcW w:w="1320" w:type="dxa"/>
            <w:shd w:val="clear" w:color="auto" w:fill="auto"/>
            <w:tcMar>
              <w:top w:w="100" w:type="dxa"/>
              <w:left w:w="100" w:type="dxa"/>
              <w:bottom w:w="100" w:type="dxa"/>
              <w:right w:w="100" w:type="dxa"/>
            </w:tcMar>
          </w:tcPr>
          <w:p w14:paraId="386EE3BC" w14:textId="77777777" w:rsidR="001C0937" w:rsidRDefault="00000000">
            <w:pPr>
              <w:widowControl w:val="0"/>
              <w:jc w:val="center"/>
            </w:pPr>
            <w:r>
              <w:t>0.010</w:t>
            </w:r>
          </w:p>
          <w:p w14:paraId="11237C8A" w14:textId="77777777" w:rsidR="001C0937" w:rsidRDefault="00000000">
            <w:pPr>
              <w:widowControl w:val="0"/>
              <w:jc w:val="center"/>
            </w:pPr>
            <w:r>
              <w:t>(0.056)</w:t>
            </w:r>
          </w:p>
        </w:tc>
        <w:tc>
          <w:tcPr>
            <w:tcW w:w="1230" w:type="dxa"/>
            <w:shd w:val="clear" w:color="auto" w:fill="auto"/>
            <w:tcMar>
              <w:top w:w="100" w:type="dxa"/>
              <w:left w:w="100" w:type="dxa"/>
              <w:bottom w:w="100" w:type="dxa"/>
              <w:right w:w="100" w:type="dxa"/>
            </w:tcMar>
          </w:tcPr>
          <w:p w14:paraId="196D7A6D" w14:textId="77777777" w:rsidR="001C0937" w:rsidRDefault="00000000">
            <w:pPr>
              <w:widowControl w:val="0"/>
              <w:jc w:val="center"/>
            </w:pPr>
            <w:r>
              <w:t>-0.030</w:t>
            </w:r>
          </w:p>
          <w:p w14:paraId="17FE553B" w14:textId="77777777" w:rsidR="001C0937" w:rsidRDefault="00000000">
            <w:pPr>
              <w:widowControl w:val="0"/>
              <w:jc w:val="center"/>
            </w:pPr>
            <w:r>
              <w:t>(0.055)</w:t>
            </w:r>
          </w:p>
        </w:tc>
        <w:tc>
          <w:tcPr>
            <w:tcW w:w="1215" w:type="dxa"/>
            <w:shd w:val="clear" w:color="auto" w:fill="auto"/>
            <w:tcMar>
              <w:top w:w="100" w:type="dxa"/>
              <w:left w:w="100" w:type="dxa"/>
              <w:bottom w:w="100" w:type="dxa"/>
              <w:right w:w="100" w:type="dxa"/>
            </w:tcMar>
          </w:tcPr>
          <w:p w14:paraId="131883AA" w14:textId="77777777" w:rsidR="001C0937" w:rsidRDefault="00000000">
            <w:pPr>
              <w:widowControl w:val="0"/>
              <w:jc w:val="center"/>
            </w:pPr>
            <w:r>
              <w:t>-0.037</w:t>
            </w:r>
          </w:p>
          <w:p w14:paraId="2E7FD252" w14:textId="77777777" w:rsidR="001C0937" w:rsidRDefault="00000000">
            <w:pPr>
              <w:widowControl w:val="0"/>
              <w:jc w:val="center"/>
            </w:pPr>
            <w:r>
              <w:t>(0.058)</w:t>
            </w:r>
          </w:p>
        </w:tc>
        <w:tc>
          <w:tcPr>
            <w:tcW w:w="1170" w:type="dxa"/>
            <w:shd w:val="clear" w:color="auto" w:fill="auto"/>
            <w:tcMar>
              <w:top w:w="100" w:type="dxa"/>
              <w:left w:w="100" w:type="dxa"/>
              <w:bottom w:w="100" w:type="dxa"/>
              <w:right w:w="100" w:type="dxa"/>
            </w:tcMar>
          </w:tcPr>
          <w:p w14:paraId="78B46B27" w14:textId="77777777" w:rsidR="001C0937" w:rsidRDefault="00000000">
            <w:pPr>
              <w:widowControl w:val="0"/>
              <w:jc w:val="center"/>
            </w:pPr>
            <w:r>
              <w:t>0.056</w:t>
            </w:r>
          </w:p>
          <w:p w14:paraId="3C7FAF6E" w14:textId="77777777" w:rsidR="001C0937" w:rsidRDefault="00000000">
            <w:pPr>
              <w:widowControl w:val="0"/>
              <w:jc w:val="center"/>
            </w:pPr>
            <w:r>
              <w:t>(0.058)</w:t>
            </w:r>
          </w:p>
        </w:tc>
        <w:tc>
          <w:tcPr>
            <w:tcW w:w="1215" w:type="dxa"/>
            <w:shd w:val="clear" w:color="auto" w:fill="auto"/>
            <w:tcMar>
              <w:top w:w="100" w:type="dxa"/>
              <w:left w:w="100" w:type="dxa"/>
              <w:bottom w:w="100" w:type="dxa"/>
              <w:right w:w="100" w:type="dxa"/>
            </w:tcMar>
          </w:tcPr>
          <w:p w14:paraId="0979D6F8" w14:textId="77777777" w:rsidR="001C0937" w:rsidRDefault="00000000">
            <w:pPr>
              <w:widowControl w:val="0"/>
              <w:jc w:val="center"/>
            </w:pPr>
            <w:r>
              <w:t>-0.079</w:t>
            </w:r>
          </w:p>
          <w:p w14:paraId="2238B0ED" w14:textId="77777777" w:rsidR="001C0937" w:rsidRDefault="00000000">
            <w:pPr>
              <w:widowControl w:val="0"/>
              <w:jc w:val="center"/>
            </w:pPr>
            <w:r>
              <w:t>(0.057)</w:t>
            </w:r>
          </w:p>
        </w:tc>
      </w:tr>
      <w:tr w:rsidR="001C0937" w14:paraId="2472C98F" w14:textId="77777777">
        <w:tc>
          <w:tcPr>
            <w:tcW w:w="2040" w:type="dxa"/>
            <w:shd w:val="clear" w:color="auto" w:fill="auto"/>
            <w:tcMar>
              <w:top w:w="100" w:type="dxa"/>
              <w:left w:w="100" w:type="dxa"/>
              <w:bottom w:w="100" w:type="dxa"/>
              <w:right w:w="100" w:type="dxa"/>
            </w:tcMar>
          </w:tcPr>
          <w:p w14:paraId="2F735F59" w14:textId="7FDAA604" w:rsidR="001C0937" w:rsidRDefault="00000000">
            <w:pPr>
              <w:widowControl w:val="0"/>
              <w:rPr>
                <w:b/>
              </w:rPr>
            </w:pPr>
            <w:r>
              <w:rPr>
                <w:b/>
              </w:rPr>
              <w:t>Pre-Pres</w:t>
            </w:r>
            <w:r w:rsidR="003D5C37">
              <w:rPr>
                <w:b/>
              </w:rPr>
              <w:t>idential</w:t>
            </w:r>
          </w:p>
        </w:tc>
        <w:tc>
          <w:tcPr>
            <w:tcW w:w="1230" w:type="dxa"/>
            <w:shd w:val="clear" w:color="auto" w:fill="auto"/>
            <w:tcMar>
              <w:top w:w="100" w:type="dxa"/>
              <w:left w:w="100" w:type="dxa"/>
              <w:bottom w:w="100" w:type="dxa"/>
              <w:right w:w="100" w:type="dxa"/>
            </w:tcMar>
          </w:tcPr>
          <w:p w14:paraId="781D9F63" w14:textId="77777777" w:rsidR="001C0937" w:rsidRDefault="00000000">
            <w:pPr>
              <w:widowControl w:val="0"/>
              <w:jc w:val="center"/>
            </w:pPr>
            <w:r>
              <w:t>-0.035</w:t>
            </w:r>
          </w:p>
          <w:p w14:paraId="237892CD" w14:textId="77777777" w:rsidR="001C0937" w:rsidRDefault="00000000">
            <w:pPr>
              <w:widowControl w:val="0"/>
              <w:jc w:val="center"/>
            </w:pPr>
            <w:r>
              <w:t>(0.052)</w:t>
            </w:r>
          </w:p>
        </w:tc>
        <w:tc>
          <w:tcPr>
            <w:tcW w:w="1320" w:type="dxa"/>
            <w:shd w:val="clear" w:color="auto" w:fill="auto"/>
            <w:tcMar>
              <w:top w:w="100" w:type="dxa"/>
              <w:left w:w="100" w:type="dxa"/>
              <w:bottom w:w="100" w:type="dxa"/>
              <w:right w:w="100" w:type="dxa"/>
            </w:tcMar>
          </w:tcPr>
          <w:p w14:paraId="63A4836F" w14:textId="77777777" w:rsidR="001C0937" w:rsidRDefault="00000000">
            <w:pPr>
              <w:widowControl w:val="0"/>
              <w:jc w:val="center"/>
            </w:pPr>
            <w:r>
              <w:t>0.056</w:t>
            </w:r>
          </w:p>
          <w:p w14:paraId="395325AC" w14:textId="77777777" w:rsidR="001C0937" w:rsidRDefault="00000000">
            <w:pPr>
              <w:widowControl w:val="0"/>
              <w:jc w:val="center"/>
            </w:pPr>
            <w:r>
              <w:t>(0.052)</w:t>
            </w:r>
          </w:p>
        </w:tc>
        <w:tc>
          <w:tcPr>
            <w:tcW w:w="1230" w:type="dxa"/>
            <w:shd w:val="clear" w:color="auto" w:fill="auto"/>
            <w:tcMar>
              <w:top w:w="100" w:type="dxa"/>
              <w:left w:w="100" w:type="dxa"/>
              <w:bottom w:w="100" w:type="dxa"/>
              <w:right w:w="100" w:type="dxa"/>
            </w:tcMar>
          </w:tcPr>
          <w:p w14:paraId="45D903FC" w14:textId="77777777" w:rsidR="001C0937" w:rsidRDefault="00000000">
            <w:pPr>
              <w:widowControl w:val="0"/>
              <w:jc w:val="center"/>
            </w:pPr>
            <w:r>
              <w:t>-0.081</w:t>
            </w:r>
          </w:p>
          <w:p w14:paraId="317AC5D8" w14:textId="77777777" w:rsidR="001C0937" w:rsidRDefault="00000000">
            <w:pPr>
              <w:widowControl w:val="0"/>
              <w:jc w:val="center"/>
            </w:pPr>
            <w:r>
              <w:t>(0.051)</w:t>
            </w:r>
          </w:p>
        </w:tc>
        <w:tc>
          <w:tcPr>
            <w:tcW w:w="1215" w:type="dxa"/>
            <w:shd w:val="clear" w:color="auto" w:fill="auto"/>
            <w:tcMar>
              <w:top w:w="100" w:type="dxa"/>
              <w:left w:w="100" w:type="dxa"/>
              <w:bottom w:w="100" w:type="dxa"/>
              <w:right w:w="100" w:type="dxa"/>
            </w:tcMar>
          </w:tcPr>
          <w:p w14:paraId="4E04CD81" w14:textId="77777777" w:rsidR="001C0937" w:rsidRDefault="00000000">
            <w:pPr>
              <w:widowControl w:val="0"/>
              <w:jc w:val="center"/>
            </w:pPr>
            <w:r>
              <w:t>-0.026</w:t>
            </w:r>
          </w:p>
          <w:p w14:paraId="294CA621" w14:textId="77777777" w:rsidR="001C0937" w:rsidRDefault="00000000">
            <w:pPr>
              <w:widowControl w:val="0"/>
              <w:jc w:val="center"/>
            </w:pPr>
            <w:r>
              <w:t>(0.054)</w:t>
            </w:r>
          </w:p>
        </w:tc>
        <w:tc>
          <w:tcPr>
            <w:tcW w:w="1170" w:type="dxa"/>
            <w:shd w:val="clear" w:color="auto" w:fill="auto"/>
            <w:tcMar>
              <w:top w:w="100" w:type="dxa"/>
              <w:left w:w="100" w:type="dxa"/>
              <w:bottom w:w="100" w:type="dxa"/>
              <w:right w:w="100" w:type="dxa"/>
            </w:tcMar>
          </w:tcPr>
          <w:p w14:paraId="7C8E18C6" w14:textId="77777777" w:rsidR="001C0937" w:rsidRDefault="00000000">
            <w:pPr>
              <w:widowControl w:val="0"/>
              <w:jc w:val="center"/>
            </w:pPr>
            <w:r>
              <w:t>0.113**</w:t>
            </w:r>
          </w:p>
          <w:p w14:paraId="72596D7F" w14:textId="77777777" w:rsidR="001C0937" w:rsidRDefault="00000000">
            <w:pPr>
              <w:widowControl w:val="0"/>
              <w:jc w:val="center"/>
            </w:pPr>
            <w:r>
              <w:t>(0.053)</w:t>
            </w:r>
          </w:p>
        </w:tc>
        <w:tc>
          <w:tcPr>
            <w:tcW w:w="1215" w:type="dxa"/>
            <w:shd w:val="clear" w:color="auto" w:fill="auto"/>
            <w:tcMar>
              <w:top w:w="100" w:type="dxa"/>
              <w:left w:w="100" w:type="dxa"/>
              <w:bottom w:w="100" w:type="dxa"/>
              <w:right w:w="100" w:type="dxa"/>
            </w:tcMar>
          </w:tcPr>
          <w:p w14:paraId="6BCA8DDB" w14:textId="77777777" w:rsidR="001C0937" w:rsidRDefault="00000000">
            <w:pPr>
              <w:widowControl w:val="0"/>
              <w:jc w:val="center"/>
            </w:pPr>
            <w:r>
              <w:t>-0.069</w:t>
            </w:r>
          </w:p>
          <w:p w14:paraId="54B0F9FA" w14:textId="77777777" w:rsidR="001C0937" w:rsidRDefault="00000000">
            <w:pPr>
              <w:widowControl w:val="0"/>
              <w:jc w:val="center"/>
            </w:pPr>
            <w:r>
              <w:t>(0.053)</w:t>
            </w:r>
          </w:p>
        </w:tc>
      </w:tr>
      <w:tr w:rsidR="001C0937" w14:paraId="2FE3690E" w14:textId="77777777">
        <w:tc>
          <w:tcPr>
            <w:tcW w:w="2040" w:type="dxa"/>
            <w:shd w:val="clear" w:color="auto" w:fill="auto"/>
            <w:tcMar>
              <w:top w:w="100" w:type="dxa"/>
              <w:left w:w="100" w:type="dxa"/>
              <w:bottom w:w="100" w:type="dxa"/>
              <w:right w:w="100" w:type="dxa"/>
            </w:tcMar>
          </w:tcPr>
          <w:p w14:paraId="62AB2F57" w14:textId="471073A9" w:rsidR="001C0937" w:rsidRDefault="00000000">
            <w:pPr>
              <w:widowControl w:val="0"/>
              <w:spacing w:after="200"/>
              <w:rPr>
                <w:b/>
              </w:rPr>
            </w:pPr>
            <w:r>
              <w:rPr>
                <w:b/>
              </w:rPr>
              <w:t>Post-Pres</w:t>
            </w:r>
            <w:r w:rsidR="003D5C37">
              <w:rPr>
                <w:b/>
              </w:rPr>
              <w:t>idential</w:t>
            </w:r>
          </w:p>
        </w:tc>
        <w:tc>
          <w:tcPr>
            <w:tcW w:w="1230" w:type="dxa"/>
            <w:shd w:val="clear" w:color="auto" w:fill="auto"/>
            <w:tcMar>
              <w:top w:w="100" w:type="dxa"/>
              <w:left w:w="100" w:type="dxa"/>
              <w:bottom w:w="100" w:type="dxa"/>
              <w:right w:w="100" w:type="dxa"/>
            </w:tcMar>
          </w:tcPr>
          <w:p w14:paraId="5C4405E1" w14:textId="77777777" w:rsidR="001C0937" w:rsidRDefault="00000000">
            <w:pPr>
              <w:widowControl w:val="0"/>
              <w:jc w:val="center"/>
            </w:pPr>
            <w:r>
              <w:t>-0.035</w:t>
            </w:r>
          </w:p>
          <w:p w14:paraId="38A26A72" w14:textId="77777777" w:rsidR="001C0937" w:rsidRDefault="00000000">
            <w:pPr>
              <w:widowControl w:val="0"/>
              <w:jc w:val="center"/>
            </w:pPr>
            <w:r>
              <w:t>(0.053)</w:t>
            </w:r>
          </w:p>
        </w:tc>
        <w:tc>
          <w:tcPr>
            <w:tcW w:w="1320" w:type="dxa"/>
            <w:shd w:val="clear" w:color="auto" w:fill="auto"/>
            <w:tcMar>
              <w:top w:w="100" w:type="dxa"/>
              <w:left w:w="100" w:type="dxa"/>
              <w:bottom w:w="100" w:type="dxa"/>
              <w:right w:w="100" w:type="dxa"/>
            </w:tcMar>
          </w:tcPr>
          <w:p w14:paraId="49DA6BDC" w14:textId="77777777" w:rsidR="001C0937" w:rsidRDefault="00000000">
            <w:pPr>
              <w:widowControl w:val="0"/>
              <w:jc w:val="center"/>
            </w:pPr>
            <w:r>
              <w:t>0.101</w:t>
            </w:r>
          </w:p>
          <w:p w14:paraId="5B68A598" w14:textId="77777777" w:rsidR="001C0937" w:rsidRDefault="00000000">
            <w:pPr>
              <w:widowControl w:val="0"/>
              <w:jc w:val="center"/>
            </w:pPr>
            <w:r>
              <w:t>(0.052)</w:t>
            </w:r>
          </w:p>
        </w:tc>
        <w:tc>
          <w:tcPr>
            <w:tcW w:w="1230" w:type="dxa"/>
            <w:shd w:val="clear" w:color="auto" w:fill="auto"/>
            <w:tcMar>
              <w:top w:w="100" w:type="dxa"/>
              <w:left w:w="100" w:type="dxa"/>
              <w:bottom w:w="100" w:type="dxa"/>
              <w:right w:w="100" w:type="dxa"/>
            </w:tcMar>
          </w:tcPr>
          <w:p w14:paraId="58A5ADC8" w14:textId="77777777" w:rsidR="001C0937" w:rsidRDefault="00000000">
            <w:pPr>
              <w:widowControl w:val="0"/>
              <w:jc w:val="center"/>
            </w:pPr>
            <w:r>
              <w:t>-0.086*</w:t>
            </w:r>
          </w:p>
          <w:p w14:paraId="6708AB45" w14:textId="77777777" w:rsidR="001C0937" w:rsidRDefault="00000000">
            <w:pPr>
              <w:widowControl w:val="0"/>
              <w:jc w:val="center"/>
            </w:pPr>
            <w:r>
              <w:t>(0.052)</w:t>
            </w:r>
          </w:p>
        </w:tc>
        <w:tc>
          <w:tcPr>
            <w:tcW w:w="1215" w:type="dxa"/>
            <w:shd w:val="clear" w:color="auto" w:fill="auto"/>
            <w:tcMar>
              <w:top w:w="100" w:type="dxa"/>
              <w:left w:w="100" w:type="dxa"/>
              <w:bottom w:w="100" w:type="dxa"/>
              <w:right w:w="100" w:type="dxa"/>
            </w:tcMar>
          </w:tcPr>
          <w:p w14:paraId="529F5932" w14:textId="77777777" w:rsidR="001C0937" w:rsidRDefault="00000000">
            <w:pPr>
              <w:widowControl w:val="0"/>
              <w:jc w:val="center"/>
            </w:pPr>
            <w:r>
              <w:t>-0.096</w:t>
            </w:r>
          </w:p>
          <w:p w14:paraId="462DB8EB" w14:textId="77777777" w:rsidR="001C0937" w:rsidRDefault="00000000">
            <w:pPr>
              <w:widowControl w:val="0"/>
              <w:jc w:val="center"/>
            </w:pPr>
            <w:r>
              <w:t>(0.054)</w:t>
            </w:r>
          </w:p>
        </w:tc>
        <w:tc>
          <w:tcPr>
            <w:tcW w:w="1170" w:type="dxa"/>
            <w:shd w:val="clear" w:color="auto" w:fill="auto"/>
            <w:tcMar>
              <w:top w:w="100" w:type="dxa"/>
              <w:left w:w="100" w:type="dxa"/>
              <w:bottom w:w="100" w:type="dxa"/>
              <w:right w:w="100" w:type="dxa"/>
            </w:tcMar>
          </w:tcPr>
          <w:p w14:paraId="631BDC78" w14:textId="77777777" w:rsidR="001C0937" w:rsidRDefault="00000000">
            <w:pPr>
              <w:widowControl w:val="0"/>
              <w:jc w:val="center"/>
            </w:pPr>
            <w:r>
              <w:t>0.044</w:t>
            </w:r>
          </w:p>
          <w:p w14:paraId="3EE5E446" w14:textId="77777777" w:rsidR="001C0937" w:rsidRDefault="00000000">
            <w:pPr>
              <w:widowControl w:val="0"/>
              <w:jc w:val="center"/>
            </w:pPr>
            <w:r>
              <w:t>(0.054)</w:t>
            </w:r>
          </w:p>
        </w:tc>
        <w:tc>
          <w:tcPr>
            <w:tcW w:w="1215" w:type="dxa"/>
            <w:shd w:val="clear" w:color="auto" w:fill="auto"/>
            <w:tcMar>
              <w:top w:w="100" w:type="dxa"/>
              <w:left w:w="100" w:type="dxa"/>
              <w:bottom w:w="100" w:type="dxa"/>
              <w:right w:w="100" w:type="dxa"/>
            </w:tcMar>
          </w:tcPr>
          <w:p w14:paraId="147334DD" w14:textId="77777777" w:rsidR="001C0937" w:rsidRDefault="00000000">
            <w:pPr>
              <w:widowControl w:val="0"/>
              <w:jc w:val="center"/>
            </w:pPr>
            <w:r>
              <w:t>-0.359***</w:t>
            </w:r>
          </w:p>
          <w:p w14:paraId="22BFB730" w14:textId="77777777" w:rsidR="001C0937" w:rsidRDefault="00000000">
            <w:pPr>
              <w:widowControl w:val="0"/>
              <w:jc w:val="center"/>
            </w:pPr>
            <w:r>
              <w:t>(0.054)</w:t>
            </w:r>
          </w:p>
        </w:tc>
      </w:tr>
      <w:tr w:rsidR="001C0937" w14:paraId="6C98D9FE" w14:textId="77777777">
        <w:tc>
          <w:tcPr>
            <w:tcW w:w="2040" w:type="dxa"/>
            <w:shd w:val="clear" w:color="auto" w:fill="auto"/>
            <w:tcMar>
              <w:top w:w="100" w:type="dxa"/>
              <w:left w:w="100" w:type="dxa"/>
              <w:bottom w:w="100" w:type="dxa"/>
              <w:right w:w="100" w:type="dxa"/>
            </w:tcMar>
          </w:tcPr>
          <w:p w14:paraId="424215E7" w14:textId="77777777" w:rsidR="001C0937" w:rsidRDefault="00000000">
            <w:pPr>
              <w:widowControl w:val="0"/>
            </w:pPr>
            <w:r>
              <w:t>Constant</w:t>
            </w:r>
          </w:p>
        </w:tc>
        <w:tc>
          <w:tcPr>
            <w:tcW w:w="1230" w:type="dxa"/>
            <w:shd w:val="clear" w:color="auto" w:fill="auto"/>
            <w:tcMar>
              <w:top w:w="100" w:type="dxa"/>
              <w:left w:w="100" w:type="dxa"/>
              <w:bottom w:w="100" w:type="dxa"/>
              <w:right w:w="100" w:type="dxa"/>
            </w:tcMar>
          </w:tcPr>
          <w:p w14:paraId="7C4F1442" w14:textId="77777777" w:rsidR="001C0937" w:rsidRDefault="00000000">
            <w:pPr>
              <w:widowControl w:val="0"/>
              <w:jc w:val="center"/>
            </w:pPr>
            <w:r>
              <w:t>3.609***</w:t>
            </w:r>
          </w:p>
          <w:p w14:paraId="00C923EA" w14:textId="77777777" w:rsidR="001C0937" w:rsidRDefault="00000000">
            <w:pPr>
              <w:widowControl w:val="0"/>
              <w:jc w:val="center"/>
            </w:pPr>
            <w:r>
              <w:t>(0.071)</w:t>
            </w:r>
          </w:p>
        </w:tc>
        <w:tc>
          <w:tcPr>
            <w:tcW w:w="1320" w:type="dxa"/>
            <w:shd w:val="clear" w:color="auto" w:fill="auto"/>
            <w:tcMar>
              <w:top w:w="100" w:type="dxa"/>
              <w:left w:w="100" w:type="dxa"/>
              <w:bottom w:w="100" w:type="dxa"/>
              <w:right w:w="100" w:type="dxa"/>
            </w:tcMar>
          </w:tcPr>
          <w:p w14:paraId="3F7365E8" w14:textId="77777777" w:rsidR="001C0937" w:rsidRDefault="00000000">
            <w:pPr>
              <w:widowControl w:val="0"/>
              <w:jc w:val="center"/>
            </w:pPr>
            <w:r>
              <w:t>2.737***</w:t>
            </w:r>
          </w:p>
          <w:p w14:paraId="49193AF7" w14:textId="77777777" w:rsidR="001C0937" w:rsidRDefault="00000000">
            <w:pPr>
              <w:widowControl w:val="0"/>
              <w:jc w:val="center"/>
            </w:pPr>
            <w:r>
              <w:t>(0.079)</w:t>
            </w:r>
          </w:p>
        </w:tc>
        <w:tc>
          <w:tcPr>
            <w:tcW w:w="1230" w:type="dxa"/>
            <w:shd w:val="clear" w:color="auto" w:fill="auto"/>
            <w:tcMar>
              <w:top w:w="100" w:type="dxa"/>
              <w:left w:w="100" w:type="dxa"/>
              <w:bottom w:w="100" w:type="dxa"/>
              <w:right w:w="100" w:type="dxa"/>
            </w:tcMar>
          </w:tcPr>
          <w:p w14:paraId="67F7F82F" w14:textId="77777777" w:rsidR="001C0937" w:rsidRDefault="00000000">
            <w:pPr>
              <w:widowControl w:val="0"/>
              <w:jc w:val="center"/>
            </w:pPr>
            <w:r>
              <w:t>3.733***</w:t>
            </w:r>
          </w:p>
          <w:p w14:paraId="2EF916D7" w14:textId="77777777" w:rsidR="001C0937" w:rsidRDefault="00000000">
            <w:pPr>
              <w:widowControl w:val="0"/>
              <w:jc w:val="center"/>
            </w:pPr>
            <w:r>
              <w:t>(0.065)</w:t>
            </w:r>
          </w:p>
        </w:tc>
        <w:tc>
          <w:tcPr>
            <w:tcW w:w="1215" w:type="dxa"/>
            <w:shd w:val="clear" w:color="auto" w:fill="auto"/>
            <w:tcMar>
              <w:top w:w="100" w:type="dxa"/>
              <w:left w:w="100" w:type="dxa"/>
              <w:bottom w:w="100" w:type="dxa"/>
              <w:right w:w="100" w:type="dxa"/>
            </w:tcMar>
          </w:tcPr>
          <w:p w14:paraId="24EE01EF" w14:textId="77777777" w:rsidR="001C0937" w:rsidRDefault="00000000">
            <w:pPr>
              <w:widowControl w:val="0"/>
              <w:jc w:val="center"/>
            </w:pPr>
            <w:r>
              <w:t>2.883***</w:t>
            </w:r>
          </w:p>
          <w:p w14:paraId="59CD00C5" w14:textId="77777777" w:rsidR="001C0937" w:rsidRDefault="00000000">
            <w:pPr>
              <w:widowControl w:val="0"/>
              <w:jc w:val="center"/>
            </w:pPr>
            <w:r>
              <w:t>(0.070)</w:t>
            </w:r>
          </w:p>
        </w:tc>
        <w:tc>
          <w:tcPr>
            <w:tcW w:w="1170" w:type="dxa"/>
            <w:shd w:val="clear" w:color="auto" w:fill="auto"/>
            <w:tcMar>
              <w:top w:w="100" w:type="dxa"/>
              <w:left w:w="100" w:type="dxa"/>
              <w:bottom w:w="100" w:type="dxa"/>
              <w:right w:w="100" w:type="dxa"/>
            </w:tcMar>
          </w:tcPr>
          <w:p w14:paraId="28A36254" w14:textId="77777777" w:rsidR="001C0937" w:rsidRDefault="00000000">
            <w:pPr>
              <w:widowControl w:val="0"/>
              <w:jc w:val="center"/>
            </w:pPr>
            <w:r>
              <w:t>3.662***</w:t>
            </w:r>
          </w:p>
          <w:p w14:paraId="1F000569" w14:textId="77777777" w:rsidR="001C0937" w:rsidRDefault="00000000">
            <w:pPr>
              <w:widowControl w:val="0"/>
              <w:jc w:val="center"/>
            </w:pPr>
            <w:r>
              <w:t>(0.070)</w:t>
            </w:r>
          </w:p>
        </w:tc>
        <w:tc>
          <w:tcPr>
            <w:tcW w:w="1215" w:type="dxa"/>
            <w:shd w:val="clear" w:color="auto" w:fill="auto"/>
            <w:tcMar>
              <w:top w:w="100" w:type="dxa"/>
              <w:left w:w="100" w:type="dxa"/>
              <w:bottom w:w="100" w:type="dxa"/>
              <w:right w:w="100" w:type="dxa"/>
            </w:tcMar>
          </w:tcPr>
          <w:p w14:paraId="5EDC5F44" w14:textId="77777777" w:rsidR="001C0937" w:rsidRDefault="00000000">
            <w:pPr>
              <w:widowControl w:val="0"/>
              <w:jc w:val="center"/>
            </w:pPr>
            <w:r>
              <w:t>2.832***</w:t>
            </w:r>
          </w:p>
          <w:p w14:paraId="473F908A" w14:textId="77777777" w:rsidR="001C0937" w:rsidRDefault="00000000">
            <w:pPr>
              <w:widowControl w:val="0"/>
              <w:jc w:val="center"/>
            </w:pPr>
            <w:r>
              <w:t>(0.070)</w:t>
            </w:r>
          </w:p>
        </w:tc>
      </w:tr>
      <w:tr w:rsidR="001C0937" w14:paraId="79D6ACB7" w14:textId="77777777">
        <w:tc>
          <w:tcPr>
            <w:tcW w:w="2040" w:type="dxa"/>
            <w:shd w:val="clear" w:color="auto" w:fill="auto"/>
            <w:tcMar>
              <w:top w:w="100" w:type="dxa"/>
              <w:left w:w="100" w:type="dxa"/>
              <w:bottom w:w="100" w:type="dxa"/>
              <w:right w:w="100" w:type="dxa"/>
            </w:tcMar>
          </w:tcPr>
          <w:p w14:paraId="3EEFD9A3" w14:textId="77777777" w:rsidR="001C0937" w:rsidRDefault="00000000">
            <w:pPr>
              <w:widowControl w:val="0"/>
            </w:pPr>
            <w:r>
              <w:t>N</w:t>
            </w:r>
          </w:p>
        </w:tc>
        <w:tc>
          <w:tcPr>
            <w:tcW w:w="1230" w:type="dxa"/>
            <w:shd w:val="clear" w:color="auto" w:fill="auto"/>
            <w:tcMar>
              <w:top w:w="100" w:type="dxa"/>
              <w:left w:w="100" w:type="dxa"/>
              <w:bottom w:w="100" w:type="dxa"/>
              <w:right w:w="100" w:type="dxa"/>
            </w:tcMar>
          </w:tcPr>
          <w:p w14:paraId="127D1F81" w14:textId="77777777" w:rsidR="001C0937" w:rsidRDefault="00000000">
            <w:pPr>
              <w:widowControl w:val="0"/>
              <w:jc w:val="center"/>
            </w:pPr>
            <w:r>
              <w:t>4,231</w:t>
            </w:r>
          </w:p>
        </w:tc>
        <w:tc>
          <w:tcPr>
            <w:tcW w:w="1320" w:type="dxa"/>
            <w:shd w:val="clear" w:color="auto" w:fill="auto"/>
            <w:tcMar>
              <w:top w:w="100" w:type="dxa"/>
              <w:left w:w="100" w:type="dxa"/>
              <w:bottom w:w="100" w:type="dxa"/>
              <w:right w:w="100" w:type="dxa"/>
            </w:tcMar>
          </w:tcPr>
          <w:p w14:paraId="652E50CF" w14:textId="77777777" w:rsidR="001C0937" w:rsidRDefault="00000000">
            <w:pPr>
              <w:widowControl w:val="0"/>
              <w:jc w:val="center"/>
            </w:pPr>
            <w:r>
              <w:t>4,280</w:t>
            </w:r>
          </w:p>
        </w:tc>
        <w:tc>
          <w:tcPr>
            <w:tcW w:w="1230" w:type="dxa"/>
            <w:shd w:val="clear" w:color="auto" w:fill="auto"/>
            <w:tcMar>
              <w:top w:w="100" w:type="dxa"/>
              <w:left w:w="100" w:type="dxa"/>
              <w:bottom w:w="100" w:type="dxa"/>
              <w:right w:w="100" w:type="dxa"/>
            </w:tcMar>
          </w:tcPr>
          <w:p w14:paraId="3CDEF0D6" w14:textId="77777777" w:rsidR="001C0937" w:rsidRDefault="00000000">
            <w:pPr>
              <w:widowControl w:val="0"/>
              <w:jc w:val="center"/>
            </w:pPr>
            <w:r>
              <w:t>4,285</w:t>
            </w:r>
          </w:p>
        </w:tc>
        <w:tc>
          <w:tcPr>
            <w:tcW w:w="1215" w:type="dxa"/>
            <w:shd w:val="clear" w:color="auto" w:fill="auto"/>
            <w:tcMar>
              <w:top w:w="100" w:type="dxa"/>
              <w:left w:w="100" w:type="dxa"/>
              <w:bottom w:w="100" w:type="dxa"/>
              <w:right w:w="100" w:type="dxa"/>
            </w:tcMar>
          </w:tcPr>
          <w:p w14:paraId="4FCA2133" w14:textId="77777777" w:rsidR="001C0937" w:rsidRDefault="00000000">
            <w:pPr>
              <w:widowControl w:val="0"/>
              <w:jc w:val="center"/>
            </w:pPr>
            <w:r>
              <w:t>4,266</w:t>
            </w:r>
          </w:p>
        </w:tc>
        <w:tc>
          <w:tcPr>
            <w:tcW w:w="1170" w:type="dxa"/>
            <w:shd w:val="clear" w:color="auto" w:fill="auto"/>
            <w:tcMar>
              <w:top w:w="100" w:type="dxa"/>
              <w:left w:w="100" w:type="dxa"/>
              <w:bottom w:w="100" w:type="dxa"/>
              <w:right w:w="100" w:type="dxa"/>
            </w:tcMar>
          </w:tcPr>
          <w:p w14:paraId="18688B1B" w14:textId="77777777" w:rsidR="001C0937" w:rsidRDefault="00000000">
            <w:pPr>
              <w:widowControl w:val="0"/>
              <w:jc w:val="center"/>
            </w:pPr>
            <w:r>
              <w:t>4,265</w:t>
            </w:r>
          </w:p>
        </w:tc>
        <w:tc>
          <w:tcPr>
            <w:tcW w:w="1215" w:type="dxa"/>
            <w:shd w:val="clear" w:color="auto" w:fill="auto"/>
            <w:tcMar>
              <w:top w:w="100" w:type="dxa"/>
              <w:left w:w="100" w:type="dxa"/>
              <w:bottom w:w="100" w:type="dxa"/>
              <w:right w:w="100" w:type="dxa"/>
            </w:tcMar>
          </w:tcPr>
          <w:p w14:paraId="7DAD3BA9" w14:textId="77777777" w:rsidR="001C0937" w:rsidRDefault="00000000">
            <w:pPr>
              <w:widowControl w:val="0"/>
              <w:jc w:val="center"/>
            </w:pPr>
            <w:r>
              <w:t>4,274</w:t>
            </w:r>
          </w:p>
        </w:tc>
      </w:tr>
      <w:tr w:rsidR="001C0937" w14:paraId="79F01D5D" w14:textId="77777777">
        <w:tc>
          <w:tcPr>
            <w:tcW w:w="2040" w:type="dxa"/>
            <w:shd w:val="clear" w:color="auto" w:fill="auto"/>
            <w:tcMar>
              <w:top w:w="100" w:type="dxa"/>
              <w:left w:w="100" w:type="dxa"/>
              <w:bottom w:w="100" w:type="dxa"/>
              <w:right w:w="100" w:type="dxa"/>
            </w:tcMar>
          </w:tcPr>
          <w:p w14:paraId="3BACDF18" w14:textId="77777777" w:rsidR="001C0937" w:rsidRDefault="00000000">
            <w:pPr>
              <w:widowControl w:val="0"/>
              <w:rPr>
                <w:vertAlign w:val="superscript"/>
              </w:rPr>
            </w:pPr>
            <w:r>
              <w:t>R</w:t>
            </w:r>
            <w:r>
              <w:rPr>
                <w:vertAlign w:val="superscript"/>
              </w:rPr>
              <w:t>2</w:t>
            </w:r>
          </w:p>
        </w:tc>
        <w:tc>
          <w:tcPr>
            <w:tcW w:w="1230" w:type="dxa"/>
            <w:shd w:val="clear" w:color="auto" w:fill="auto"/>
            <w:tcMar>
              <w:top w:w="100" w:type="dxa"/>
              <w:left w:w="100" w:type="dxa"/>
              <w:bottom w:w="100" w:type="dxa"/>
              <w:right w:w="100" w:type="dxa"/>
            </w:tcMar>
          </w:tcPr>
          <w:p w14:paraId="71F763DF" w14:textId="77777777" w:rsidR="001C0937" w:rsidRDefault="00000000">
            <w:pPr>
              <w:widowControl w:val="0"/>
              <w:jc w:val="center"/>
            </w:pPr>
            <w:r>
              <w:t>.021</w:t>
            </w:r>
          </w:p>
        </w:tc>
        <w:tc>
          <w:tcPr>
            <w:tcW w:w="1320" w:type="dxa"/>
            <w:shd w:val="clear" w:color="auto" w:fill="auto"/>
            <w:tcMar>
              <w:top w:w="100" w:type="dxa"/>
              <w:left w:w="100" w:type="dxa"/>
              <w:bottom w:w="100" w:type="dxa"/>
              <w:right w:w="100" w:type="dxa"/>
            </w:tcMar>
          </w:tcPr>
          <w:p w14:paraId="3ABF5F25" w14:textId="77777777" w:rsidR="001C0937" w:rsidRDefault="00000000">
            <w:pPr>
              <w:widowControl w:val="0"/>
              <w:jc w:val="center"/>
            </w:pPr>
            <w:r>
              <w:t>.013</w:t>
            </w:r>
          </w:p>
        </w:tc>
        <w:tc>
          <w:tcPr>
            <w:tcW w:w="1230" w:type="dxa"/>
            <w:shd w:val="clear" w:color="auto" w:fill="auto"/>
            <w:tcMar>
              <w:top w:w="100" w:type="dxa"/>
              <w:left w:w="100" w:type="dxa"/>
              <w:bottom w:w="100" w:type="dxa"/>
              <w:right w:w="100" w:type="dxa"/>
            </w:tcMar>
          </w:tcPr>
          <w:p w14:paraId="5AB1CF1A" w14:textId="77777777" w:rsidR="001C0937" w:rsidRDefault="00000000">
            <w:pPr>
              <w:widowControl w:val="0"/>
              <w:jc w:val="center"/>
            </w:pPr>
            <w:r>
              <w:t>.04</w:t>
            </w:r>
          </w:p>
        </w:tc>
        <w:tc>
          <w:tcPr>
            <w:tcW w:w="1215" w:type="dxa"/>
            <w:shd w:val="clear" w:color="auto" w:fill="auto"/>
            <w:tcMar>
              <w:top w:w="100" w:type="dxa"/>
              <w:left w:w="100" w:type="dxa"/>
              <w:bottom w:w="100" w:type="dxa"/>
              <w:right w:w="100" w:type="dxa"/>
            </w:tcMar>
          </w:tcPr>
          <w:p w14:paraId="72630F47" w14:textId="77777777" w:rsidR="001C0937" w:rsidRDefault="00000000">
            <w:pPr>
              <w:widowControl w:val="0"/>
              <w:jc w:val="center"/>
            </w:pPr>
            <w:r>
              <w:t>.014</w:t>
            </w:r>
          </w:p>
        </w:tc>
        <w:tc>
          <w:tcPr>
            <w:tcW w:w="1170" w:type="dxa"/>
            <w:shd w:val="clear" w:color="auto" w:fill="auto"/>
            <w:tcMar>
              <w:top w:w="100" w:type="dxa"/>
              <w:left w:w="100" w:type="dxa"/>
              <w:bottom w:w="100" w:type="dxa"/>
              <w:right w:w="100" w:type="dxa"/>
            </w:tcMar>
          </w:tcPr>
          <w:p w14:paraId="5D4E1A24" w14:textId="77777777" w:rsidR="001C0937" w:rsidRDefault="00000000">
            <w:pPr>
              <w:widowControl w:val="0"/>
              <w:jc w:val="center"/>
            </w:pPr>
            <w:r>
              <w:t>.009</w:t>
            </w:r>
          </w:p>
        </w:tc>
        <w:tc>
          <w:tcPr>
            <w:tcW w:w="1215" w:type="dxa"/>
            <w:shd w:val="clear" w:color="auto" w:fill="auto"/>
            <w:tcMar>
              <w:top w:w="100" w:type="dxa"/>
              <w:left w:w="100" w:type="dxa"/>
              <w:bottom w:w="100" w:type="dxa"/>
              <w:right w:w="100" w:type="dxa"/>
            </w:tcMar>
          </w:tcPr>
          <w:p w14:paraId="184DC0F4" w14:textId="77777777" w:rsidR="001C0937" w:rsidRDefault="00000000">
            <w:pPr>
              <w:widowControl w:val="0"/>
              <w:jc w:val="center"/>
            </w:pPr>
            <w:r>
              <w:t>.025</w:t>
            </w:r>
          </w:p>
        </w:tc>
      </w:tr>
      <w:tr w:rsidR="001C0937" w14:paraId="196553A9" w14:textId="77777777">
        <w:trPr>
          <w:trHeight w:val="440"/>
        </w:trPr>
        <w:tc>
          <w:tcPr>
            <w:tcW w:w="9420" w:type="dxa"/>
            <w:gridSpan w:val="7"/>
            <w:shd w:val="clear" w:color="auto" w:fill="auto"/>
            <w:tcMar>
              <w:top w:w="100" w:type="dxa"/>
              <w:left w:w="100" w:type="dxa"/>
              <w:bottom w:w="100" w:type="dxa"/>
              <w:right w:w="100" w:type="dxa"/>
            </w:tcMar>
          </w:tcPr>
          <w:p w14:paraId="0BA378FE" w14:textId="77777777" w:rsidR="001C0937" w:rsidRDefault="00000000">
            <w:pPr>
              <w:widowControl w:val="0"/>
            </w:pPr>
            <w:r>
              <w:t>Ordinary least squares regression with robust standard errors. Controls for income and education not shown. Reference period is “pre-Duma.” ***p&lt;.01, **p&lt;.05, *p&lt;.1</w:t>
            </w:r>
          </w:p>
        </w:tc>
      </w:tr>
    </w:tbl>
    <w:p w14:paraId="5F473463" w14:textId="6BECB7EA" w:rsidR="001C0937" w:rsidRDefault="001C0937"/>
    <w:p w14:paraId="73588816" w14:textId="2669AC67" w:rsidR="002C4D81" w:rsidRDefault="002C4D81"/>
    <w:p w14:paraId="3F07C15C" w14:textId="2791CD60" w:rsidR="002C4D81" w:rsidRDefault="002C4D81"/>
    <w:p w14:paraId="1F80A562" w14:textId="25555B59" w:rsidR="002C4D81" w:rsidRDefault="002C4D81"/>
    <w:p w14:paraId="569E2864" w14:textId="0C8073FA" w:rsidR="002C4D81" w:rsidRDefault="002C4D81"/>
    <w:p w14:paraId="36EDE3A9" w14:textId="5F4399D1" w:rsidR="002C4D81" w:rsidRDefault="002C4D81"/>
    <w:p w14:paraId="3F70D572" w14:textId="66B94D2E" w:rsidR="002C4D81" w:rsidRDefault="002C4D81"/>
    <w:p w14:paraId="6DD2C496" w14:textId="49CC9764" w:rsidR="002C4D81" w:rsidRDefault="002C4D81"/>
    <w:p w14:paraId="48D8BC8E" w14:textId="3DC67CA3" w:rsidR="002C4D81" w:rsidRDefault="002C4D81"/>
    <w:p w14:paraId="02A84605" w14:textId="0C92E844" w:rsidR="002C4D81" w:rsidRDefault="002C4D81"/>
    <w:p w14:paraId="7AE51FE4" w14:textId="43055E96" w:rsidR="002C4D81" w:rsidRDefault="002C4D81"/>
    <w:p w14:paraId="400A7948" w14:textId="6CDBA25C" w:rsidR="002C4D81" w:rsidRDefault="002C4D81"/>
    <w:p w14:paraId="40F09025" w14:textId="67D6A47F" w:rsidR="002C4D81" w:rsidRDefault="002C4D81"/>
    <w:p w14:paraId="307179CC" w14:textId="0C5A62E6" w:rsidR="002C4D81" w:rsidRDefault="002C4D81"/>
    <w:p w14:paraId="0290D897" w14:textId="09D1D3D4" w:rsidR="002C4D81" w:rsidRDefault="002C4D81"/>
    <w:p w14:paraId="51B81D9F" w14:textId="1F5530AD" w:rsidR="002C4D81" w:rsidRDefault="002C4D81"/>
    <w:p w14:paraId="223911D3" w14:textId="026D8F3E" w:rsidR="002C4D81" w:rsidRDefault="002C4D81"/>
    <w:p w14:paraId="401CEADB" w14:textId="306AA948" w:rsidR="002C4D81" w:rsidRDefault="002C4D81"/>
    <w:p w14:paraId="06ECF1D9" w14:textId="4B06B845" w:rsidR="002C4D81" w:rsidRDefault="002C4D81"/>
    <w:p w14:paraId="5BD80FDF" w14:textId="0AE5D1EE" w:rsidR="002C4D81" w:rsidRDefault="002C4D81"/>
    <w:p w14:paraId="2DB34ADD" w14:textId="77777777" w:rsidR="002C4D81" w:rsidRDefault="002C4D81"/>
    <w:tbl>
      <w:tblPr>
        <w:tblStyle w:val="af3"/>
        <w:tblW w:w="7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1950"/>
      </w:tblGrid>
      <w:tr w:rsidR="001C0937" w14:paraId="3FE43074" w14:textId="77777777">
        <w:trPr>
          <w:jc w:val="center"/>
        </w:trPr>
        <w:tc>
          <w:tcPr>
            <w:tcW w:w="7470" w:type="dxa"/>
            <w:gridSpan w:val="2"/>
            <w:tcBorders>
              <w:bottom w:val="single" w:sz="4" w:space="0" w:color="000000"/>
            </w:tcBorders>
            <w:vAlign w:val="bottom"/>
          </w:tcPr>
          <w:p w14:paraId="49B1AA6F" w14:textId="4D614E1D" w:rsidR="001C0937" w:rsidRDefault="00B45B5B">
            <w:pPr>
              <w:jc w:val="center"/>
              <w:rPr>
                <w:color w:val="000000"/>
              </w:rPr>
            </w:pPr>
            <w:r>
              <w:rPr>
                <w:b/>
                <w:color w:val="000000"/>
              </w:rPr>
              <w:t>Table A</w:t>
            </w:r>
            <w:r w:rsidR="00BD02EA">
              <w:rPr>
                <w:b/>
                <w:color w:val="000000"/>
              </w:rPr>
              <w:t>6</w:t>
            </w:r>
            <w:r w:rsidR="00000000">
              <w:rPr>
                <w:b/>
                <w:color w:val="000000"/>
              </w:rPr>
              <w:t>: Trust in Putin by Views of United Russia</w:t>
            </w:r>
          </w:p>
        </w:tc>
      </w:tr>
      <w:tr w:rsidR="001C0937" w14:paraId="3F43ED51" w14:textId="77777777">
        <w:trPr>
          <w:jc w:val="center"/>
        </w:trPr>
        <w:tc>
          <w:tcPr>
            <w:tcW w:w="5520" w:type="dxa"/>
            <w:tcBorders>
              <w:bottom w:val="nil"/>
              <w:right w:val="nil"/>
            </w:tcBorders>
            <w:vAlign w:val="bottom"/>
          </w:tcPr>
          <w:p w14:paraId="30239A99" w14:textId="77777777" w:rsidR="001C0937" w:rsidRDefault="00000000">
            <w:pPr>
              <w:rPr>
                <w:color w:val="000000"/>
              </w:rPr>
            </w:pPr>
            <w:r>
              <w:rPr>
                <w:b/>
                <w:color w:val="000000"/>
              </w:rPr>
              <w:t>Support UR</w:t>
            </w:r>
          </w:p>
        </w:tc>
        <w:tc>
          <w:tcPr>
            <w:tcW w:w="1950" w:type="dxa"/>
            <w:tcBorders>
              <w:left w:val="nil"/>
              <w:bottom w:val="nil"/>
            </w:tcBorders>
          </w:tcPr>
          <w:p w14:paraId="60EEABDB" w14:textId="77777777" w:rsidR="001C0937" w:rsidRDefault="00000000">
            <w:pPr>
              <w:jc w:val="center"/>
              <w:rPr>
                <w:color w:val="000000"/>
              </w:rPr>
            </w:pPr>
            <w:r>
              <w:rPr>
                <w:color w:val="000000"/>
              </w:rPr>
              <w:t>0.703***</w:t>
            </w:r>
          </w:p>
        </w:tc>
      </w:tr>
      <w:tr w:rsidR="001C0937" w14:paraId="239BDE15" w14:textId="77777777">
        <w:trPr>
          <w:jc w:val="center"/>
        </w:trPr>
        <w:tc>
          <w:tcPr>
            <w:tcW w:w="5520" w:type="dxa"/>
            <w:tcBorders>
              <w:top w:val="nil"/>
              <w:bottom w:val="nil"/>
              <w:right w:val="nil"/>
            </w:tcBorders>
            <w:vAlign w:val="bottom"/>
          </w:tcPr>
          <w:p w14:paraId="2BF40076" w14:textId="77777777" w:rsidR="001C0937" w:rsidRDefault="001C0937">
            <w:pPr>
              <w:rPr>
                <w:color w:val="000000"/>
              </w:rPr>
            </w:pPr>
          </w:p>
        </w:tc>
        <w:tc>
          <w:tcPr>
            <w:tcW w:w="1950" w:type="dxa"/>
            <w:tcBorders>
              <w:top w:val="nil"/>
              <w:left w:val="nil"/>
              <w:bottom w:val="nil"/>
            </w:tcBorders>
          </w:tcPr>
          <w:p w14:paraId="4AC28602" w14:textId="77777777" w:rsidR="001C0937" w:rsidRDefault="00000000">
            <w:pPr>
              <w:jc w:val="center"/>
              <w:rPr>
                <w:color w:val="000000"/>
              </w:rPr>
            </w:pPr>
            <w:r>
              <w:rPr>
                <w:color w:val="000000"/>
              </w:rPr>
              <w:t>(0.104)</w:t>
            </w:r>
          </w:p>
        </w:tc>
      </w:tr>
      <w:tr w:rsidR="001C0937" w14:paraId="68A8742E" w14:textId="77777777">
        <w:trPr>
          <w:jc w:val="center"/>
        </w:trPr>
        <w:tc>
          <w:tcPr>
            <w:tcW w:w="5520" w:type="dxa"/>
            <w:tcBorders>
              <w:top w:val="nil"/>
              <w:bottom w:val="nil"/>
              <w:right w:val="nil"/>
            </w:tcBorders>
            <w:vAlign w:val="bottom"/>
          </w:tcPr>
          <w:p w14:paraId="2DA39FED" w14:textId="77777777" w:rsidR="001C0937" w:rsidRDefault="00000000">
            <w:pPr>
              <w:rPr>
                <w:color w:val="000000"/>
              </w:rPr>
            </w:pPr>
            <w:r>
              <w:rPr>
                <w:b/>
                <w:color w:val="000000"/>
              </w:rPr>
              <w:t>Support Opposition</w:t>
            </w:r>
          </w:p>
        </w:tc>
        <w:tc>
          <w:tcPr>
            <w:tcW w:w="1950" w:type="dxa"/>
            <w:tcBorders>
              <w:top w:val="nil"/>
              <w:left w:val="nil"/>
              <w:bottom w:val="nil"/>
            </w:tcBorders>
          </w:tcPr>
          <w:p w14:paraId="793B07D5" w14:textId="77777777" w:rsidR="001C0937" w:rsidRDefault="00000000">
            <w:pPr>
              <w:jc w:val="center"/>
              <w:rPr>
                <w:color w:val="000000"/>
              </w:rPr>
            </w:pPr>
            <w:r>
              <w:rPr>
                <w:color w:val="000000"/>
              </w:rPr>
              <w:t>-0.801***</w:t>
            </w:r>
          </w:p>
        </w:tc>
      </w:tr>
      <w:tr w:rsidR="001C0937" w14:paraId="3BA757EA" w14:textId="77777777">
        <w:trPr>
          <w:jc w:val="center"/>
        </w:trPr>
        <w:tc>
          <w:tcPr>
            <w:tcW w:w="5520" w:type="dxa"/>
            <w:tcBorders>
              <w:top w:val="nil"/>
              <w:bottom w:val="nil"/>
              <w:right w:val="nil"/>
            </w:tcBorders>
            <w:vAlign w:val="bottom"/>
          </w:tcPr>
          <w:p w14:paraId="217E0804" w14:textId="77777777" w:rsidR="001C0937" w:rsidRDefault="001C0937">
            <w:pPr>
              <w:rPr>
                <w:color w:val="000000"/>
              </w:rPr>
            </w:pPr>
          </w:p>
        </w:tc>
        <w:tc>
          <w:tcPr>
            <w:tcW w:w="1950" w:type="dxa"/>
            <w:tcBorders>
              <w:top w:val="nil"/>
              <w:left w:val="nil"/>
              <w:bottom w:val="nil"/>
            </w:tcBorders>
          </w:tcPr>
          <w:p w14:paraId="7B064C3A" w14:textId="77777777" w:rsidR="001C0937" w:rsidRDefault="00000000">
            <w:pPr>
              <w:jc w:val="center"/>
              <w:rPr>
                <w:color w:val="000000"/>
              </w:rPr>
            </w:pPr>
            <w:r>
              <w:rPr>
                <w:color w:val="000000"/>
              </w:rPr>
              <w:t>(0.125)</w:t>
            </w:r>
          </w:p>
        </w:tc>
      </w:tr>
      <w:tr w:rsidR="001C0937" w14:paraId="701D54A6" w14:textId="77777777">
        <w:trPr>
          <w:jc w:val="center"/>
        </w:trPr>
        <w:tc>
          <w:tcPr>
            <w:tcW w:w="5520" w:type="dxa"/>
            <w:tcBorders>
              <w:top w:val="nil"/>
              <w:bottom w:val="nil"/>
              <w:right w:val="nil"/>
            </w:tcBorders>
            <w:vAlign w:val="bottom"/>
          </w:tcPr>
          <w:p w14:paraId="1DE475D1" w14:textId="77777777" w:rsidR="001C0937" w:rsidRDefault="00000000">
            <w:pPr>
              <w:rPr>
                <w:color w:val="000000"/>
              </w:rPr>
            </w:pPr>
            <w:r>
              <w:rPr>
                <w:b/>
                <w:color w:val="000000"/>
              </w:rPr>
              <w:t>Post-Duma</w:t>
            </w:r>
          </w:p>
        </w:tc>
        <w:tc>
          <w:tcPr>
            <w:tcW w:w="1950" w:type="dxa"/>
            <w:tcBorders>
              <w:top w:val="nil"/>
              <w:left w:val="nil"/>
              <w:bottom w:val="nil"/>
            </w:tcBorders>
          </w:tcPr>
          <w:p w14:paraId="6088832E" w14:textId="77777777" w:rsidR="001C0937" w:rsidRDefault="00000000">
            <w:pPr>
              <w:jc w:val="center"/>
              <w:rPr>
                <w:color w:val="000000"/>
              </w:rPr>
            </w:pPr>
            <w:r>
              <w:rPr>
                <w:color w:val="000000"/>
              </w:rPr>
              <w:t>-0.153</w:t>
            </w:r>
          </w:p>
        </w:tc>
      </w:tr>
      <w:tr w:rsidR="001C0937" w14:paraId="693F0CA9" w14:textId="77777777">
        <w:trPr>
          <w:jc w:val="center"/>
        </w:trPr>
        <w:tc>
          <w:tcPr>
            <w:tcW w:w="5520" w:type="dxa"/>
            <w:tcBorders>
              <w:top w:val="nil"/>
              <w:bottom w:val="nil"/>
              <w:right w:val="nil"/>
            </w:tcBorders>
            <w:vAlign w:val="bottom"/>
          </w:tcPr>
          <w:p w14:paraId="30455573" w14:textId="77777777" w:rsidR="001C0937" w:rsidRDefault="001C0937">
            <w:pPr>
              <w:rPr>
                <w:color w:val="000000"/>
              </w:rPr>
            </w:pPr>
          </w:p>
        </w:tc>
        <w:tc>
          <w:tcPr>
            <w:tcW w:w="1950" w:type="dxa"/>
            <w:tcBorders>
              <w:top w:val="nil"/>
              <w:left w:val="nil"/>
              <w:bottom w:val="nil"/>
            </w:tcBorders>
          </w:tcPr>
          <w:p w14:paraId="6EEBDB0A" w14:textId="77777777" w:rsidR="001C0937" w:rsidRDefault="00000000">
            <w:pPr>
              <w:jc w:val="center"/>
              <w:rPr>
                <w:color w:val="000000"/>
              </w:rPr>
            </w:pPr>
            <w:r>
              <w:rPr>
                <w:color w:val="000000"/>
              </w:rPr>
              <w:t>(0.251)</w:t>
            </w:r>
          </w:p>
        </w:tc>
      </w:tr>
      <w:tr w:rsidR="001C0937" w14:paraId="674973AE" w14:textId="77777777">
        <w:trPr>
          <w:jc w:val="center"/>
        </w:trPr>
        <w:tc>
          <w:tcPr>
            <w:tcW w:w="5520" w:type="dxa"/>
            <w:tcBorders>
              <w:top w:val="nil"/>
              <w:bottom w:val="nil"/>
              <w:right w:val="nil"/>
            </w:tcBorders>
            <w:vAlign w:val="bottom"/>
          </w:tcPr>
          <w:p w14:paraId="32D59D51" w14:textId="77777777" w:rsidR="001C0937" w:rsidRDefault="00000000">
            <w:pPr>
              <w:rPr>
                <w:color w:val="000000"/>
              </w:rPr>
            </w:pPr>
            <w:r>
              <w:rPr>
                <w:b/>
                <w:color w:val="000000"/>
              </w:rPr>
              <w:t>Post-Duma*Support UR</w:t>
            </w:r>
          </w:p>
        </w:tc>
        <w:tc>
          <w:tcPr>
            <w:tcW w:w="1950" w:type="dxa"/>
            <w:tcBorders>
              <w:top w:val="nil"/>
              <w:left w:val="nil"/>
              <w:bottom w:val="nil"/>
            </w:tcBorders>
          </w:tcPr>
          <w:p w14:paraId="4800F1CF" w14:textId="77777777" w:rsidR="001C0937" w:rsidRDefault="00000000">
            <w:pPr>
              <w:jc w:val="center"/>
              <w:rPr>
                <w:color w:val="000000"/>
              </w:rPr>
            </w:pPr>
            <w:r>
              <w:rPr>
                <w:color w:val="000000"/>
              </w:rPr>
              <w:t>-0.136</w:t>
            </w:r>
          </w:p>
        </w:tc>
      </w:tr>
      <w:tr w:rsidR="001C0937" w14:paraId="0BAA1C7B" w14:textId="77777777">
        <w:trPr>
          <w:jc w:val="center"/>
        </w:trPr>
        <w:tc>
          <w:tcPr>
            <w:tcW w:w="5520" w:type="dxa"/>
            <w:tcBorders>
              <w:top w:val="nil"/>
              <w:bottom w:val="nil"/>
              <w:right w:val="nil"/>
            </w:tcBorders>
            <w:vAlign w:val="bottom"/>
          </w:tcPr>
          <w:p w14:paraId="07E7C01E" w14:textId="77777777" w:rsidR="001C0937" w:rsidRDefault="001C0937">
            <w:pPr>
              <w:rPr>
                <w:color w:val="000000"/>
              </w:rPr>
            </w:pPr>
          </w:p>
        </w:tc>
        <w:tc>
          <w:tcPr>
            <w:tcW w:w="1950" w:type="dxa"/>
            <w:tcBorders>
              <w:top w:val="nil"/>
              <w:left w:val="nil"/>
              <w:bottom w:val="nil"/>
            </w:tcBorders>
          </w:tcPr>
          <w:p w14:paraId="60C1F392" w14:textId="77777777" w:rsidR="001C0937" w:rsidRDefault="00000000">
            <w:pPr>
              <w:jc w:val="center"/>
              <w:rPr>
                <w:color w:val="000000"/>
              </w:rPr>
            </w:pPr>
            <w:r>
              <w:rPr>
                <w:color w:val="000000"/>
              </w:rPr>
              <w:t>(0.311)</w:t>
            </w:r>
          </w:p>
        </w:tc>
      </w:tr>
      <w:tr w:rsidR="001C0937" w14:paraId="0D3D44FB" w14:textId="77777777">
        <w:trPr>
          <w:jc w:val="center"/>
        </w:trPr>
        <w:tc>
          <w:tcPr>
            <w:tcW w:w="5520" w:type="dxa"/>
            <w:tcBorders>
              <w:top w:val="nil"/>
              <w:bottom w:val="nil"/>
              <w:right w:val="nil"/>
            </w:tcBorders>
            <w:vAlign w:val="bottom"/>
          </w:tcPr>
          <w:p w14:paraId="18135881" w14:textId="77777777" w:rsidR="001C0937" w:rsidRDefault="00000000">
            <w:pPr>
              <w:rPr>
                <w:color w:val="000000"/>
              </w:rPr>
            </w:pPr>
            <w:r>
              <w:rPr>
                <w:b/>
                <w:color w:val="000000"/>
              </w:rPr>
              <w:t>Post-Duma*Support Opposition</w:t>
            </w:r>
          </w:p>
        </w:tc>
        <w:tc>
          <w:tcPr>
            <w:tcW w:w="1950" w:type="dxa"/>
            <w:tcBorders>
              <w:top w:val="nil"/>
              <w:left w:val="nil"/>
              <w:bottom w:val="nil"/>
            </w:tcBorders>
          </w:tcPr>
          <w:p w14:paraId="3936FAB8" w14:textId="77777777" w:rsidR="001C0937" w:rsidRDefault="00000000">
            <w:pPr>
              <w:jc w:val="center"/>
              <w:rPr>
                <w:color w:val="000000"/>
              </w:rPr>
            </w:pPr>
            <w:r>
              <w:rPr>
                <w:color w:val="000000"/>
              </w:rPr>
              <w:t>-0.082</w:t>
            </w:r>
          </w:p>
        </w:tc>
      </w:tr>
      <w:tr w:rsidR="001C0937" w14:paraId="649F7E0D" w14:textId="77777777">
        <w:trPr>
          <w:jc w:val="center"/>
        </w:trPr>
        <w:tc>
          <w:tcPr>
            <w:tcW w:w="5520" w:type="dxa"/>
            <w:tcBorders>
              <w:top w:val="nil"/>
              <w:bottom w:val="nil"/>
              <w:right w:val="nil"/>
            </w:tcBorders>
            <w:vAlign w:val="bottom"/>
          </w:tcPr>
          <w:p w14:paraId="028C0663" w14:textId="77777777" w:rsidR="001C0937" w:rsidRDefault="001C0937">
            <w:pPr>
              <w:rPr>
                <w:color w:val="000000"/>
              </w:rPr>
            </w:pPr>
          </w:p>
        </w:tc>
        <w:tc>
          <w:tcPr>
            <w:tcW w:w="1950" w:type="dxa"/>
            <w:tcBorders>
              <w:top w:val="nil"/>
              <w:left w:val="nil"/>
              <w:bottom w:val="nil"/>
            </w:tcBorders>
          </w:tcPr>
          <w:p w14:paraId="50DDB617" w14:textId="77777777" w:rsidR="001C0937" w:rsidRDefault="00000000">
            <w:pPr>
              <w:jc w:val="center"/>
              <w:rPr>
                <w:color w:val="000000"/>
              </w:rPr>
            </w:pPr>
            <w:r>
              <w:rPr>
                <w:color w:val="000000"/>
              </w:rPr>
              <w:t>(0.240)</w:t>
            </w:r>
          </w:p>
        </w:tc>
      </w:tr>
      <w:tr w:rsidR="001C0937" w14:paraId="5FE760BE" w14:textId="77777777">
        <w:trPr>
          <w:jc w:val="center"/>
        </w:trPr>
        <w:tc>
          <w:tcPr>
            <w:tcW w:w="5520" w:type="dxa"/>
            <w:tcBorders>
              <w:top w:val="nil"/>
              <w:bottom w:val="nil"/>
              <w:right w:val="nil"/>
            </w:tcBorders>
            <w:vAlign w:val="bottom"/>
          </w:tcPr>
          <w:p w14:paraId="55B3A691" w14:textId="77777777" w:rsidR="001C0937" w:rsidRDefault="00000000">
            <w:pPr>
              <w:rPr>
                <w:color w:val="000000"/>
              </w:rPr>
            </w:pPr>
            <w:r>
              <w:rPr>
                <w:b/>
                <w:color w:val="000000"/>
              </w:rPr>
              <w:t>Post-Protest</w:t>
            </w:r>
          </w:p>
        </w:tc>
        <w:tc>
          <w:tcPr>
            <w:tcW w:w="1950" w:type="dxa"/>
            <w:tcBorders>
              <w:top w:val="nil"/>
              <w:left w:val="nil"/>
              <w:bottom w:val="nil"/>
            </w:tcBorders>
          </w:tcPr>
          <w:p w14:paraId="6809ED74" w14:textId="77777777" w:rsidR="001C0937" w:rsidRDefault="00000000">
            <w:pPr>
              <w:jc w:val="center"/>
              <w:rPr>
                <w:color w:val="000000"/>
              </w:rPr>
            </w:pPr>
            <w:r>
              <w:rPr>
                <w:color w:val="000000"/>
              </w:rPr>
              <w:t>-0.197</w:t>
            </w:r>
          </w:p>
        </w:tc>
      </w:tr>
      <w:tr w:rsidR="001C0937" w14:paraId="44C42C56" w14:textId="77777777">
        <w:trPr>
          <w:jc w:val="center"/>
        </w:trPr>
        <w:tc>
          <w:tcPr>
            <w:tcW w:w="5520" w:type="dxa"/>
            <w:tcBorders>
              <w:top w:val="nil"/>
              <w:bottom w:val="nil"/>
              <w:right w:val="nil"/>
            </w:tcBorders>
            <w:vAlign w:val="bottom"/>
          </w:tcPr>
          <w:p w14:paraId="4A773E8D" w14:textId="77777777" w:rsidR="001C0937" w:rsidRDefault="001C0937">
            <w:pPr>
              <w:rPr>
                <w:color w:val="000000"/>
              </w:rPr>
            </w:pPr>
          </w:p>
        </w:tc>
        <w:tc>
          <w:tcPr>
            <w:tcW w:w="1950" w:type="dxa"/>
            <w:tcBorders>
              <w:top w:val="nil"/>
              <w:left w:val="nil"/>
              <w:bottom w:val="nil"/>
            </w:tcBorders>
          </w:tcPr>
          <w:p w14:paraId="5BA785C8" w14:textId="77777777" w:rsidR="001C0937" w:rsidRDefault="00000000">
            <w:pPr>
              <w:jc w:val="center"/>
              <w:rPr>
                <w:color w:val="000000"/>
              </w:rPr>
            </w:pPr>
            <w:r>
              <w:rPr>
                <w:color w:val="000000"/>
              </w:rPr>
              <w:t>(0.132)</w:t>
            </w:r>
          </w:p>
        </w:tc>
      </w:tr>
      <w:tr w:rsidR="001C0937" w14:paraId="24971D02" w14:textId="77777777">
        <w:trPr>
          <w:jc w:val="center"/>
        </w:trPr>
        <w:tc>
          <w:tcPr>
            <w:tcW w:w="5520" w:type="dxa"/>
            <w:tcBorders>
              <w:top w:val="nil"/>
              <w:bottom w:val="nil"/>
              <w:right w:val="nil"/>
            </w:tcBorders>
            <w:vAlign w:val="bottom"/>
          </w:tcPr>
          <w:p w14:paraId="34E5C18D" w14:textId="77777777" w:rsidR="001C0937" w:rsidRDefault="00000000">
            <w:pPr>
              <w:rPr>
                <w:color w:val="000000"/>
              </w:rPr>
            </w:pPr>
            <w:r>
              <w:rPr>
                <w:b/>
                <w:color w:val="000000"/>
              </w:rPr>
              <w:t>Post-Protest*Support UR</w:t>
            </w:r>
          </w:p>
        </w:tc>
        <w:tc>
          <w:tcPr>
            <w:tcW w:w="1950" w:type="dxa"/>
            <w:tcBorders>
              <w:top w:val="nil"/>
              <w:left w:val="nil"/>
              <w:bottom w:val="nil"/>
            </w:tcBorders>
          </w:tcPr>
          <w:p w14:paraId="6D3EFDAF" w14:textId="77777777" w:rsidR="001C0937" w:rsidRDefault="00000000">
            <w:pPr>
              <w:jc w:val="center"/>
              <w:rPr>
                <w:color w:val="000000"/>
              </w:rPr>
            </w:pPr>
            <w:r>
              <w:rPr>
                <w:color w:val="000000"/>
              </w:rPr>
              <w:t>0.135</w:t>
            </w:r>
          </w:p>
        </w:tc>
      </w:tr>
      <w:tr w:rsidR="001C0937" w14:paraId="7CEA15A7" w14:textId="77777777">
        <w:trPr>
          <w:jc w:val="center"/>
        </w:trPr>
        <w:tc>
          <w:tcPr>
            <w:tcW w:w="5520" w:type="dxa"/>
            <w:tcBorders>
              <w:top w:val="nil"/>
              <w:bottom w:val="nil"/>
              <w:right w:val="nil"/>
            </w:tcBorders>
            <w:vAlign w:val="bottom"/>
          </w:tcPr>
          <w:p w14:paraId="5440A812" w14:textId="77777777" w:rsidR="001C0937" w:rsidRDefault="001C0937">
            <w:pPr>
              <w:rPr>
                <w:color w:val="000000"/>
              </w:rPr>
            </w:pPr>
          </w:p>
        </w:tc>
        <w:tc>
          <w:tcPr>
            <w:tcW w:w="1950" w:type="dxa"/>
            <w:tcBorders>
              <w:top w:val="nil"/>
              <w:left w:val="nil"/>
              <w:bottom w:val="nil"/>
            </w:tcBorders>
          </w:tcPr>
          <w:p w14:paraId="4F7CAC48" w14:textId="77777777" w:rsidR="001C0937" w:rsidRDefault="00000000">
            <w:pPr>
              <w:jc w:val="center"/>
              <w:rPr>
                <w:color w:val="000000"/>
              </w:rPr>
            </w:pPr>
            <w:r>
              <w:rPr>
                <w:color w:val="000000"/>
              </w:rPr>
              <w:t>(0.146)</w:t>
            </w:r>
          </w:p>
        </w:tc>
      </w:tr>
      <w:tr w:rsidR="001C0937" w14:paraId="3BC8D799" w14:textId="77777777">
        <w:trPr>
          <w:jc w:val="center"/>
        </w:trPr>
        <w:tc>
          <w:tcPr>
            <w:tcW w:w="5520" w:type="dxa"/>
            <w:tcBorders>
              <w:top w:val="nil"/>
              <w:bottom w:val="nil"/>
              <w:right w:val="nil"/>
            </w:tcBorders>
            <w:vAlign w:val="bottom"/>
          </w:tcPr>
          <w:p w14:paraId="3B4D9D28" w14:textId="77777777" w:rsidR="001C0937" w:rsidRDefault="00000000">
            <w:pPr>
              <w:rPr>
                <w:color w:val="000000"/>
              </w:rPr>
            </w:pPr>
            <w:r>
              <w:rPr>
                <w:b/>
                <w:color w:val="000000"/>
              </w:rPr>
              <w:t>Post-Protest*Support Opposition</w:t>
            </w:r>
          </w:p>
        </w:tc>
        <w:tc>
          <w:tcPr>
            <w:tcW w:w="1950" w:type="dxa"/>
            <w:tcBorders>
              <w:top w:val="nil"/>
              <w:left w:val="nil"/>
              <w:bottom w:val="nil"/>
            </w:tcBorders>
          </w:tcPr>
          <w:p w14:paraId="2B92DA2E" w14:textId="77777777" w:rsidR="001C0937" w:rsidRDefault="00000000">
            <w:pPr>
              <w:jc w:val="center"/>
              <w:rPr>
                <w:color w:val="000000"/>
              </w:rPr>
            </w:pPr>
            <w:r>
              <w:rPr>
                <w:color w:val="000000"/>
              </w:rPr>
              <w:t>-0.099</w:t>
            </w:r>
          </w:p>
        </w:tc>
      </w:tr>
      <w:tr w:rsidR="001C0937" w14:paraId="12FAC2D6" w14:textId="77777777">
        <w:trPr>
          <w:jc w:val="center"/>
        </w:trPr>
        <w:tc>
          <w:tcPr>
            <w:tcW w:w="5520" w:type="dxa"/>
            <w:tcBorders>
              <w:top w:val="nil"/>
              <w:right w:val="nil"/>
            </w:tcBorders>
          </w:tcPr>
          <w:p w14:paraId="2303EDF6" w14:textId="77777777" w:rsidR="001C0937" w:rsidRDefault="001C0937">
            <w:pPr>
              <w:rPr>
                <w:color w:val="000000"/>
              </w:rPr>
            </w:pPr>
          </w:p>
        </w:tc>
        <w:tc>
          <w:tcPr>
            <w:tcW w:w="1950" w:type="dxa"/>
            <w:tcBorders>
              <w:top w:val="nil"/>
              <w:left w:val="nil"/>
            </w:tcBorders>
          </w:tcPr>
          <w:p w14:paraId="68CCC6FD" w14:textId="77777777" w:rsidR="001C0937" w:rsidRDefault="00000000">
            <w:pPr>
              <w:jc w:val="center"/>
              <w:rPr>
                <w:color w:val="000000"/>
              </w:rPr>
            </w:pPr>
            <w:r>
              <w:rPr>
                <w:color w:val="000000"/>
              </w:rPr>
              <w:t>(0.178)</w:t>
            </w:r>
          </w:p>
        </w:tc>
      </w:tr>
      <w:tr w:rsidR="001C0937" w14:paraId="66DB2BB1" w14:textId="77777777">
        <w:trPr>
          <w:jc w:val="center"/>
        </w:trPr>
        <w:tc>
          <w:tcPr>
            <w:tcW w:w="7470" w:type="dxa"/>
            <w:gridSpan w:val="2"/>
          </w:tcPr>
          <w:p w14:paraId="391146F0" w14:textId="77777777" w:rsidR="001C0937" w:rsidRDefault="00000000">
            <w:pPr>
              <w:rPr>
                <w:color w:val="000000"/>
                <w:sz w:val="20"/>
                <w:szCs w:val="20"/>
              </w:rPr>
            </w:pPr>
            <w:r>
              <w:rPr>
                <w:color w:val="000000"/>
                <w:sz w:val="20"/>
                <w:szCs w:val="20"/>
              </w:rPr>
              <w:t>Note: OLS results with robust standard errors, fixed effects for education and income not shown. Reference group are those indifferent to UR.  * p&lt;.1, ** p&lt;.05, *** p&lt;.01</w:t>
            </w:r>
          </w:p>
        </w:tc>
      </w:tr>
    </w:tbl>
    <w:p w14:paraId="01282296" w14:textId="77777777" w:rsidR="001C0937" w:rsidRDefault="001C0937">
      <w:pPr>
        <w:rPr>
          <w:color w:val="000000"/>
        </w:rPr>
      </w:pPr>
    </w:p>
    <w:p w14:paraId="42793F13" w14:textId="77777777" w:rsidR="0098198F" w:rsidRDefault="0098198F">
      <w:pPr>
        <w:rPr>
          <w:color w:val="000000"/>
        </w:rPr>
      </w:pPr>
    </w:p>
    <w:p w14:paraId="64FC3080" w14:textId="77777777" w:rsidR="0098198F" w:rsidRDefault="0098198F">
      <w:pPr>
        <w:rPr>
          <w:color w:val="000000"/>
        </w:rPr>
      </w:pPr>
    </w:p>
    <w:tbl>
      <w:tblPr>
        <w:tblStyle w:val="af4"/>
        <w:tblW w:w="720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tblGrid>
      <w:tr w:rsidR="001C0937" w14:paraId="158F1A6D" w14:textId="77777777" w:rsidTr="0098198F">
        <w:trPr>
          <w:trHeight w:val="138"/>
        </w:trPr>
        <w:tc>
          <w:tcPr>
            <w:tcW w:w="7200" w:type="dxa"/>
          </w:tcPr>
          <w:p w14:paraId="7BC37C93" w14:textId="6A1A022C" w:rsidR="001C0937" w:rsidRDefault="00B45B5B">
            <w:pPr>
              <w:jc w:val="center"/>
              <w:rPr>
                <w:b/>
              </w:rPr>
            </w:pPr>
            <w:r>
              <w:rPr>
                <w:b/>
              </w:rPr>
              <w:t>Figure A</w:t>
            </w:r>
            <w:r w:rsidR="00BD02EA">
              <w:rPr>
                <w:b/>
              </w:rPr>
              <w:t>2</w:t>
            </w:r>
            <w:r w:rsidR="00000000">
              <w:rPr>
                <w:b/>
              </w:rPr>
              <w:t xml:space="preserve">: Predicted Margins for Trust in Putin by Preferred Government </w:t>
            </w:r>
          </w:p>
        </w:tc>
      </w:tr>
      <w:tr w:rsidR="001C0937" w14:paraId="410BB0B5" w14:textId="77777777" w:rsidTr="0098198F">
        <w:trPr>
          <w:trHeight w:val="4670"/>
        </w:trPr>
        <w:tc>
          <w:tcPr>
            <w:tcW w:w="7200" w:type="dxa"/>
          </w:tcPr>
          <w:p w14:paraId="2DF592C1" w14:textId="6F2AADAB" w:rsidR="001C0937" w:rsidRDefault="005757CF">
            <w:pPr>
              <w:jc w:val="center"/>
              <w:rPr>
                <w:color w:val="000000"/>
              </w:rPr>
            </w:pPr>
            <w:r>
              <w:rPr>
                <w:noProof/>
                <w:color w:val="000000"/>
              </w:rPr>
              <w:drawing>
                <wp:inline distT="0" distB="0" distL="0" distR="0" wp14:anchorId="5355689D" wp14:editId="4A672D20">
                  <wp:extent cx="4267998" cy="3105665"/>
                  <wp:effectExtent l="0" t="0" r="0" b="6350"/>
                  <wp:docPr id="884346204" name="Picture 5" descr="A graph of a number of people with different levels of 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46204" name="Picture 5" descr="A graph of a number of people with different levels of ag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5640" cy="3111226"/>
                          </a:xfrm>
                          <a:prstGeom prst="rect">
                            <a:avLst/>
                          </a:prstGeom>
                        </pic:spPr>
                      </pic:pic>
                    </a:graphicData>
                  </a:graphic>
                </wp:inline>
              </w:drawing>
            </w:r>
          </w:p>
        </w:tc>
      </w:tr>
    </w:tbl>
    <w:p w14:paraId="7886EB3D" w14:textId="39DD7844" w:rsidR="001C0937" w:rsidRDefault="00000000" w:rsidP="00E14AAD">
      <w:pPr>
        <w:jc w:val="center"/>
      </w:pPr>
      <w:r>
        <w:t>Note: Predicted trust in Vladimir Putin by preferred government with 95% confidence intervals. Ordinary least squares with robust standard errors. Fixed effects for income and education are not shown.</w:t>
      </w:r>
    </w:p>
    <w:p w14:paraId="02D39988" w14:textId="77777777" w:rsidR="002C4D81" w:rsidRDefault="002C4D81">
      <w:pPr>
        <w:rPr>
          <w:b/>
        </w:rPr>
      </w:pPr>
    </w:p>
    <w:tbl>
      <w:tblPr>
        <w:tblStyle w:val="af5"/>
        <w:tblW w:w="720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tblGrid>
      <w:tr w:rsidR="001C0937" w14:paraId="1F4A8DC8" w14:textId="77777777" w:rsidTr="00AB5367">
        <w:trPr>
          <w:trHeight w:val="138"/>
        </w:trPr>
        <w:tc>
          <w:tcPr>
            <w:tcW w:w="7200" w:type="dxa"/>
          </w:tcPr>
          <w:p w14:paraId="0825701C" w14:textId="57158AB9" w:rsidR="001C0937" w:rsidRDefault="00B45B5B">
            <w:pPr>
              <w:jc w:val="center"/>
              <w:rPr>
                <w:b/>
              </w:rPr>
            </w:pPr>
            <w:r>
              <w:rPr>
                <w:b/>
              </w:rPr>
              <w:t>Figure A</w:t>
            </w:r>
            <w:r w:rsidR="00BD02EA">
              <w:rPr>
                <w:b/>
              </w:rPr>
              <w:t>3</w:t>
            </w:r>
            <w:r w:rsidR="00000000">
              <w:rPr>
                <w:b/>
              </w:rPr>
              <w:t>: Predicted Margins for Trust in Putin by Attitudes about Russia’s Path</w:t>
            </w:r>
          </w:p>
        </w:tc>
      </w:tr>
      <w:tr w:rsidR="001C0937" w14:paraId="21D82BB1" w14:textId="77777777" w:rsidTr="00AB5367">
        <w:trPr>
          <w:trHeight w:val="4670"/>
        </w:trPr>
        <w:tc>
          <w:tcPr>
            <w:tcW w:w="7200" w:type="dxa"/>
          </w:tcPr>
          <w:p w14:paraId="0A2E008F" w14:textId="4F45C5D4" w:rsidR="001C0937" w:rsidRDefault="005757CF">
            <w:pPr>
              <w:jc w:val="center"/>
              <w:rPr>
                <w:color w:val="000000"/>
              </w:rPr>
            </w:pPr>
            <w:r>
              <w:rPr>
                <w:noProof/>
                <w:color w:val="000000"/>
              </w:rPr>
              <w:drawing>
                <wp:inline distT="0" distB="0" distL="0" distR="0" wp14:anchorId="42C34669" wp14:editId="46C9E51C">
                  <wp:extent cx="4317262" cy="3141513"/>
                  <wp:effectExtent l="0" t="0" r="1270" b="0"/>
                  <wp:docPr id="1265743666" name="Picture 4" descr="A graph of a graph showing the difference between a path and a weak opin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43666" name="Picture 4" descr="A graph of a graph showing the difference between a path and a weak opinio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5068" cy="3147193"/>
                          </a:xfrm>
                          <a:prstGeom prst="rect">
                            <a:avLst/>
                          </a:prstGeom>
                        </pic:spPr>
                      </pic:pic>
                    </a:graphicData>
                  </a:graphic>
                </wp:inline>
              </w:drawing>
            </w:r>
          </w:p>
        </w:tc>
      </w:tr>
    </w:tbl>
    <w:p w14:paraId="0E35EF7B" w14:textId="5046C8FC" w:rsidR="001C0937" w:rsidRPr="0098198F" w:rsidRDefault="00000000" w:rsidP="0098198F">
      <w:pPr>
        <w:jc w:val="center"/>
      </w:pPr>
      <w:r>
        <w:t>Note: Predicted trust in Vladimir Putin by attitudes of Russia’s path with 95% confidence intervals. Ordinary least squares with robust standard errors. Fixed effects for income and education are not shown.</w:t>
      </w:r>
    </w:p>
    <w:p w14:paraId="2CD06B08" w14:textId="77777777" w:rsidR="00AD6EAC" w:rsidRDefault="00AD6EAC" w:rsidP="00FD2AB5">
      <w:pPr>
        <w:rPr>
          <w:b/>
          <w:color w:val="000000"/>
          <w:sz w:val="30"/>
          <w:szCs w:val="30"/>
        </w:rPr>
        <w:sectPr w:rsidR="00AD6EAC" w:rsidSect="00D414AC">
          <w:pgSz w:w="12240" w:h="15840"/>
          <w:pgMar w:top="1440" w:right="1440" w:bottom="1440" w:left="1440" w:header="720" w:footer="720" w:gutter="0"/>
          <w:cols w:space="720"/>
        </w:sectPr>
      </w:pPr>
    </w:p>
    <w:p w14:paraId="59D228DA" w14:textId="3683B141" w:rsidR="00394183" w:rsidRDefault="00394183" w:rsidP="00FD2AB5">
      <w:pPr>
        <w:rPr>
          <w:b/>
          <w:color w:val="000000"/>
          <w:sz w:val="30"/>
          <w:szCs w:val="30"/>
        </w:rPr>
      </w:pPr>
      <w:r>
        <w:rPr>
          <w:b/>
          <w:color w:val="000000"/>
          <w:sz w:val="30"/>
          <w:szCs w:val="30"/>
        </w:rPr>
        <w:lastRenderedPageBreak/>
        <w:t>Appendix B: Political Trust and the 2012 Presidential Elections</w:t>
      </w:r>
    </w:p>
    <w:p w14:paraId="633A6307" w14:textId="77777777" w:rsidR="00394183" w:rsidRDefault="00394183" w:rsidP="00FD2AB5">
      <w:pPr>
        <w:rPr>
          <w:b/>
          <w:color w:val="000000"/>
          <w:sz w:val="30"/>
          <w:szCs w:val="30"/>
        </w:rPr>
      </w:pPr>
    </w:p>
    <w:p w14:paraId="386734A9" w14:textId="77777777" w:rsidR="00394183" w:rsidRDefault="00394183" w:rsidP="00394183">
      <w:pPr>
        <w:spacing w:line="480" w:lineRule="auto"/>
        <w:ind w:firstLine="720"/>
        <w:rPr>
          <w:color w:val="000000"/>
        </w:rPr>
      </w:pPr>
      <w:r>
        <w:rPr>
          <w:color w:val="000000"/>
        </w:rPr>
        <w:t xml:space="preserve">This study primarily focuses on political trust before and after an election with particularly blatant, egregious fraud—the 2011 Duma elections. As the case study suggests, the Duma elections </w:t>
      </w:r>
      <w:proofErr w:type="gramStart"/>
      <w:r>
        <w:rPr>
          <w:color w:val="000000"/>
        </w:rPr>
        <w:t>were considered to be</w:t>
      </w:r>
      <w:proofErr w:type="gramEnd"/>
      <w:r>
        <w:rPr>
          <w:color w:val="000000"/>
        </w:rPr>
        <w:t xml:space="preserve"> among the most fraudulent in Russian history and were perceived by the public as being particularly unfair compared to other elections. Indeed, the relatively high levels of perceived manipulation sparked the subsequent anti-fraud protests that swept through the country, marking one of the first main challenges to the Putin regime. However, this raises the question: Do we observe a similar change in political trust after elections with seemingly “average” levels of fraud (that are perceive as being neither more nor less honest than usual)? </w:t>
      </w:r>
    </w:p>
    <w:p w14:paraId="6A5BF7FB" w14:textId="07DBE690" w:rsidR="00394183" w:rsidRDefault="00394183" w:rsidP="00394183">
      <w:pPr>
        <w:spacing w:line="480" w:lineRule="auto"/>
        <w:ind w:firstLine="720"/>
        <w:rPr>
          <w:color w:val="000000"/>
        </w:rPr>
      </w:pPr>
      <w:r>
        <w:rPr>
          <w:color w:val="000000"/>
        </w:rPr>
        <w:t>To</w:t>
      </w:r>
      <w:r w:rsidR="00844631">
        <w:rPr>
          <w:color w:val="000000"/>
        </w:rPr>
        <w:t xml:space="preserve"> tentatively</w:t>
      </w:r>
      <w:r>
        <w:rPr>
          <w:color w:val="000000"/>
        </w:rPr>
        <w:t xml:space="preserve"> address this</w:t>
      </w:r>
      <w:r w:rsidR="004F7FC0">
        <w:rPr>
          <w:color w:val="000000"/>
        </w:rPr>
        <w:t xml:space="preserve"> </w:t>
      </w:r>
      <w:r w:rsidR="001C3BF9">
        <w:rPr>
          <w:color w:val="000000"/>
        </w:rPr>
        <w:t>question</w:t>
      </w:r>
      <w:r>
        <w:rPr>
          <w:color w:val="000000"/>
        </w:rPr>
        <w:t>, I examine trust in political institutions and entities following an election with perceived “average” levels of fraud—2012 presidential election. The presidential elections took place after the height of the protest movement when societal support for the protests had wane (see Appendix E). In response to the allegations of fraud and the resulting protests, the government took several steps to assuage concerns about future falsification, such as installing web cameras in polling stations around the country. Overall, the presidential elections were seen as substantially less fraudulent than the 2011 Duma elections and neither more nor less honest than the previous presidential election in 2008 (</w:t>
      </w:r>
      <w:r w:rsidR="004F7FC0">
        <w:t>Levada Analytical Center 2012</w:t>
      </w:r>
      <w:r>
        <w:rPr>
          <w:color w:val="000000"/>
        </w:rPr>
        <w:t xml:space="preserve">). While it is impossible to directly compare the parliamentary and presidential elections elections—people may react to parliamentary and presidential elections in different ways and the elections took place in different political atmospheres—examining trust during the presidential elections can provide some insights into political trust </w:t>
      </w:r>
      <w:r w:rsidR="004F7FC0">
        <w:rPr>
          <w:color w:val="000000"/>
        </w:rPr>
        <w:t>when election manipulation was not viewed as being unusual.</w:t>
      </w:r>
    </w:p>
    <w:p w14:paraId="2418BF0C" w14:textId="4985F6A1" w:rsidR="00394183" w:rsidRDefault="00B45B5B" w:rsidP="00394183">
      <w:pPr>
        <w:jc w:val="center"/>
        <w:rPr>
          <w:b/>
        </w:rPr>
      </w:pPr>
      <w:r>
        <w:rPr>
          <w:b/>
        </w:rPr>
        <w:lastRenderedPageBreak/>
        <w:t>Table A</w:t>
      </w:r>
      <w:r w:rsidR="00E457E9">
        <w:rPr>
          <w:b/>
        </w:rPr>
        <w:t>7</w:t>
      </w:r>
      <w:r w:rsidR="00394183">
        <w:rPr>
          <w:b/>
        </w:rPr>
        <w:t>: Information on Time Periods</w:t>
      </w:r>
    </w:p>
    <w:tbl>
      <w:tblPr>
        <w:tblStyle w:val="af"/>
        <w:tblW w:w="7560"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2"/>
        <w:gridCol w:w="2158"/>
        <w:gridCol w:w="2160"/>
        <w:gridCol w:w="1980"/>
      </w:tblGrid>
      <w:tr w:rsidR="00394183" w14:paraId="6F0CF49F" w14:textId="77777777" w:rsidTr="00CE058F">
        <w:tc>
          <w:tcPr>
            <w:tcW w:w="1262" w:type="dxa"/>
          </w:tcPr>
          <w:p w14:paraId="6466059A" w14:textId="77777777" w:rsidR="00394183" w:rsidRDefault="00394183" w:rsidP="00CE058F">
            <w:pPr>
              <w:jc w:val="center"/>
              <w:rPr>
                <w:b/>
              </w:rPr>
            </w:pPr>
            <w:r>
              <w:rPr>
                <w:b/>
              </w:rPr>
              <w:t>Period</w:t>
            </w:r>
          </w:p>
        </w:tc>
        <w:tc>
          <w:tcPr>
            <w:tcW w:w="2158" w:type="dxa"/>
          </w:tcPr>
          <w:p w14:paraId="38F1C168" w14:textId="77777777" w:rsidR="00394183" w:rsidRDefault="00394183" w:rsidP="00CE058F">
            <w:pPr>
              <w:jc w:val="center"/>
              <w:rPr>
                <w:b/>
              </w:rPr>
            </w:pPr>
            <w:r>
              <w:rPr>
                <w:b/>
              </w:rPr>
              <w:t>Description</w:t>
            </w:r>
          </w:p>
        </w:tc>
        <w:tc>
          <w:tcPr>
            <w:tcW w:w="2160" w:type="dxa"/>
          </w:tcPr>
          <w:p w14:paraId="2D95922B" w14:textId="77777777" w:rsidR="00394183" w:rsidRDefault="00394183" w:rsidP="00CE058F">
            <w:pPr>
              <w:jc w:val="center"/>
              <w:rPr>
                <w:b/>
              </w:rPr>
            </w:pPr>
            <w:r>
              <w:rPr>
                <w:b/>
              </w:rPr>
              <w:t>Dates</w:t>
            </w:r>
          </w:p>
        </w:tc>
        <w:tc>
          <w:tcPr>
            <w:tcW w:w="1980" w:type="dxa"/>
          </w:tcPr>
          <w:p w14:paraId="5E1537DD" w14:textId="77777777" w:rsidR="00394183" w:rsidRDefault="00394183" w:rsidP="00CE058F">
            <w:pPr>
              <w:jc w:val="center"/>
              <w:rPr>
                <w:b/>
              </w:rPr>
            </w:pPr>
            <w:r>
              <w:rPr>
                <w:b/>
              </w:rPr>
              <w:t>Observations</w:t>
            </w:r>
          </w:p>
        </w:tc>
      </w:tr>
      <w:tr w:rsidR="00394183" w14:paraId="36A1C3C2" w14:textId="77777777" w:rsidTr="00CE058F">
        <w:tc>
          <w:tcPr>
            <w:tcW w:w="1262" w:type="dxa"/>
          </w:tcPr>
          <w:p w14:paraId="5F1161B5" w14:textId="77777777" w:rsidR="00394183" w:rsidRDefault="00394183" w:rsidP="00CE058F">
            <w:pPr>
              <w:jc w:val="center"/>
            </w:pPr>
            <w:r>
              <w:t>3</w:t>
            </w:r>
          </w:p>
        </w:tc>
        <w:tc>
          <w:tcPr>
            <w:tcW w:w="2158" w:type="dxa"/>
          </w:tcPr>
          <w:p w14:paraId="38DE56D0" w14:textId="77777777" w:rsidR="00394183" w:rsidRDefault="00394183" w:rsidP="00CE058F">
            <w:pPr>
              <w:jc w:val="center"/>
            </w:pPr>
            <w:r>
              <w:t>Post-Protest</w:t>
            </w:r>
          </w:p>
        </w:tc>
        <w:tc>
          <w:tcPr>
            <w:tcW w:w="2160" w:type="dxa"/>
          </w:tcPr>
          <w:p w14:paraId="44B53F48" w14:textId="77777777" w:rsidR="00394183" w:rsidRDefault="00394183" w:rsidP="00CE058F">
            <w:pPr>
              <w:jc w:val="center"/>
            </w:pPr>
            <w:r>
              <w:t>December 11-22</w:t>
            </w:r>
          </w:p>
        </w:tc>
        <w:tc>
          <w:tcPr>
            <w:tcW w:w="1980" w:type="dxa"/>
          </w:tcPr>
          <w:p w14:paraId="78497F33" w14:textId="77777777" w:rsidR="00394183" w:rsidRDefault="00394183" w:rsidP="00CE058F">
            <w:pPr>
              <w:jc w:val="center"/>
            </w:pPr>
            <w:r>
              <w:t>1,060</w:t>
            </w:r>
          </w:p>
        </w:tc>
      </w:tr>
      <w:tr w:rsidR="00394183" w14:paraId="7EBD6E02" w14:textId="77777777" w:rsidTr="00CE058F">
        <w:tc>
          <w:tcPr>
            <w:tcW w:w="1262" w:type="dxa"/>
          </w:tcPr>
          <w:p w14:paraId="76DFC975" w14:textId="77777777" w:rsidR="00394183" w:rsidRDefault="00394183" w:rsidP="00CE058F">
            <w:pPr>
              <w:jc w:val="center"/>
            </w:pPr>
            <w:r>
              <w:t>4</w:t>
            </w:r>
          </w:p>
        </w:tc>
        <w:tc>
          <w:tcPr>
            <w:tcW w:w="2158" w:type="dxa"/>
          </w:tcPr>
          <w:p w14:paraId="0240817F" w14:textId="77777777" w:rsidR="00394183" w:rsidRDefault="00394183" w:rsidP="00CE058F">
            <w:pPr>
              <w:jc w:val="center"/>
            </w:pPr>
            <w:r>
              <w:t>Pre-Presidential</w:t>
            </w:r>
          </w:p>
        </w:tc>
        <w:tc>
          <w:tcPr>
            <w:tcW w:w="2160" w:type="dxa"/>
          </w:tcPr>
          <w:p w14:paraId="7FB49F81" w14:textId="77777777" w:rsidR="00394183" w:rsidRDefault="00394183" w:rsidP="00CE058F">
            <w:pPr>
              <w:jc w:val="center"/>
            </w:pPr>
            <w:r>
              <w:t>February 16-31</w:t>
            </w:r>
          </w:p>
        </w:tc>
        <w:tc>
          <w:tcPr>
            <w:tcW w:w="1980" w:type="dxa"/>
          </w:tcPr>
          <w:p w14:paraId="4F5804D0" w14:textId="77777777" w:rsidR="00394183" w:rsidRDefault="00394183" w:rsidP="00CE058F">
            <w:pPr>
              <w:jc w:val="center"/>
            </w:pPr>
            <w:r>
              <w:t>1,401</w:t>
            </w:r>
          </w:p>
        </w:tc>
      </w:tr>
      <w:tr w:rsidR="00394183" w14:paraId="06374396" w14:textId="77777777" w:rsidTr="00CE058F">
        <w:tc>
          <w:tcPr>
            <w:tcW w:w="1262" w:type="dxa"/>
          </w:tcPr>
          <w:p w14:paraId="443249BF" w14:textId="77777777" w:rsidR="00394183" w:rsidRDefault="00394183" w:rsidP="00CE058F">
            <w:pPr>
              <w:jc w:val="center"/>
            </w:pPr>
            <w:r>
              <w:t>5</w:t>
            </w:r>
          </w:p>
        </w:tc>
        <w:tc>
          <w:tcPr>
            <w:tcW w:w="2158" w:type="dxa"/>
          </w:tcPr>
          <w:p w14:paraId="58440A5D" w14:textId="77777777" w:rsidR="00394183" w:rsidRDefault="00394183" w:rsidP="00CE058F">
            <w:pPr>
              <w:jc w:val="center"/>
            </w:pPr>
            <w:r>
              <w:t>Post-Presidential</w:t>
            </w:r>
          </w:p>
        </w:tc>
        <w:tc>
          <w:tcPr>
            <w:tcW w:w="2160" w:type="dxa"/>
          </w:tcPr>
          <w:p w14:paraId="454E73CB" w14:textId="77777777" w:rsidR="00394183" w:rsidRDefault="00394183" w:rsidP="00CE058F">
            <w:pPr>
              <w:jc w:val="center"/>
            </w:pPr>
            <w:r>
              <w:t>March 16-April 3</w:t>
            </w:r>
          </w:p>
        </w:tc>
        <w:tc>
          <w:tcPr>
            <w:tcW w:w="1980" w:type="dxa"/>
          </w:tcPr>
          <w:p w14:paraId="6DBCFCB3" w14:textId="77777777" w:rsidR="00394183" w:rsidRDefault="00394183" w:rsidP="00CE058F">
            <w:pPr>
              <w:jc w:val="center"/>
            </w:pPr>
            <w:r>
              <w:t>1,401</w:t>
            </w:r>
          </w:p>
        </w:tc>
      </w:tr>
    </w:tbl>
    <w:p w14:paraId="70D485AA" w14:textId="77777777" w:rsidR="00394183" w:rsidRDefault="00394183" w:rsidP="00394183">
      <w:pPr>
        <w:spacing w:line="480" w:lineRule="auto"/>
        <w:ind w:firstLine="720"/>
        <w:rPr>
          <w:color w:val="000000"/>
        </w:rPr>
      </w:pPr>
    </w:p>
    <w:p w14:paraId="0C255423" w14:textId="6724F0FB" w:rsidR="00394183" w:rsidRDefault="00844631" w:rsidP="00844631">
      <w:pPr>
        <w:spacing w:line="480" w:lineRule="auto"/>
        <w:ind w:firstLine="720"/>
        <w:rPr>
          <w:color w:val="000000"/>
        </w:rPr>
      </w:pPr>
      <w:r>
        <w:rPr>
          <w:color w:val="000000"/>
        </w:rPr>
        <w:t>To assess this idea,</w:t>
      </w:r>
      <w:r w:rsidR="00394183">
        <w:rPr>
          <w:color w:val="000000"/>
        </w:rPr>
        <w:t xml:space="preserve"> I examine trust in political entities and institutions before and after the March 3 presidential elections</w:t>
      </w:r>
      <w:r>
        <w:rPr>
          <w:color w:val="000000"/>
        </w:rPr>
        <w:t xml:space="preserve"> from February 16-31 and from March 16-April 3.</w:t>
      </w:r>
      <w:r>
        <w:rPr>
          <w:rStyle w:val="FootnoteReference"/>
          <w:color w:val="000000"/>
        </w:rPr>
        <w:footnoteReference w:id="2"/>
      </w:r>
      <w:r>
        <w:rPr>
          <w:color w:val="000000"/>
        </w:rPr>
        <w:t xml:space="preserve"> I also examine changes during these periods compared to the post-protest period in December</w:t>
      </w:r>
      <w:r w:rsidR="00394183">
        <w:rPr>
          <w:color w:val="000000"/>
        </w:rPr>
        <w:t>.</w:t>
      </w:r>
      <w:r>
        <w:rPr>
          <w:color w:val="000000"/>
        </w:rPr>
        <w:t xml:space="preserve"> See </w:t>
      </w:r>
      <w:r w:rsidR="00B45B5B">
        <w:rPr>
          <w:color w:val="000000"/>
        </w:rPr>
        <w:t>Table A</w:t>
      </w:r>
      <w:r w:rsidR="00E457E9">
        <w:rPr>
          <w:color w:val="000000"/>
        </w:rPr>
        <w:t>7</w:t>
      </w:r>
      <w:r w:rsidR="00B45B5B">
        <w:rPr>
          <w:color w:val="000000"/>
        </w:rPr>
        <w:t xml:space="preserve"> </w:t>
      </w:r>
      <w:r>
        <w:rPr>
          <w:color w:val="000000"/>
        </w:rPr>
        <w:t xml:space="preserve">for information on these time periods. </w:t>
      </w:r>
      <w:r w:rsidR="00B45B5B">
        <w:rPr>
          <w:color w:val="000000"/>
        </w:rPr>
        <w:t>Table A</w:t>
      </w:r>
      <w:r w:rsidR="00E457E9">
        <w:rPr>
          <w:color w:val="000000"/>
        </w:rPr>
        <w:t xml:space="preserve">8 </w:t>
      </w:r>
      <w:r w:rsidR="00394183">
        <w:rPr>
          <w:color w:val="000000"/>
        </w:rPr>
        <w:t>presents the mean, standard deviation, and t-tests for the post-protest, pre-presidential election, and post-presidential election periods for political trust. There is little evidence to suggest that the presidential election influenced trust in Putin or any other political institution. If anything, there is a slight increase in trust in Putin from the post-protest period during the height of the subsequent protests, to the post-presidential elections period.</w:t>
      </w:r>
      <w:r w:rsidR="00FC2B91">
        <w:rPr>
          <w:rStyle w:val="FootnoteReference"/>
          <w:color w:val="000000"/>
        </w:rPr>
        <w:footnoteReference w:id="3"/>
      </w:r>
      <w:r w:rsidR="00394183">
        <w:rPr>
          <w:color w:val="000000"/>
        </w:rPr>
        <w:t xml:space="preserve"> These findings provide initial evidence to suggest that it is not elections in-and-of themselves, but rather the perceived </w:t>
      </w:r>
      <w:r w:rsidR="00394183" w:rsidRPr="00D45880">
        <w:rPr>
          <w:color w:val="000000"/>
        </w:rPr>
        <w:t>egregious fraud of the Duma elections that impacted trust in Putin. Future research should further</w:t>
      </w:r>
      <w:r w:rsidR="00394183">
        <w:rPr>
          <w:color w:val="000000"/>
        </w:rPr>
        <w:t xml:space="preserve"> consider the extent to which relative levels of perceived manipulation—that is, when electoral manipulation is viewed as </w:t>
      </w:r>
      <w:proofErr w:type="gramStart"/>
      <w:r w:rsidR="00394183">
        <w:rPr>
          <w:color w:val="000000"/>
        </w:rPr>
        <w:t>more or less egregious</w:t>
      </w:r>
      <w:proofErr w:type="gramEnd"/>
      <w:r w:rsidR="00394183">
        <w:rPr>
          <w:color w:val="000000"/>
        </w:rPr>
        <w:t xml:space="preserve"> than usual—influence attitudes toward government entities and officials.  </w:t>
      </w:r>
    </w:p>
    <w:p w14:paraId="3A2A3ADC" w14:textId="77777777" w:rsidR="00E457E9" w:rsidRDefault="00E457E9" w:rsidP="00FC2B91">
      <w:pPr>
        <w:spacing w:line="480" w:lineRule="auto"/>
        <w:rPr>
          <w:color w:val="000000"/>
        </w:rPr>
      </w:pPr>
    </w:p>
    <w:tbl>
      <w:tblPr>
        <w:tblW w:w="6480" w:type="dxa"/>
        <w:jc w:val="center"/>
        <w:tblLayout w:type="fixed"/>
        <w:tblLook w:val="0400" w:firstRow="0" w:lastRow="0" w:firstColumn="0" w:lastColumn="0" w:noHBand="0" w:noVBand="1"/>
      </w:tblPr>
      <w:tblGrid>
        <w:gridCol w:w="2785"/>
        <w:gridCol w:w="1128"/>
        <w:gridCol w:w="1282"/>
        <w:gridCol w:w="1285"/>
      </w:tblGrid>
      <w:tr w:rsidR="00394183" w14:paraId="2DE9FBD5" w14:textId="77777777" w:rsidTr="00CE058F">
        <w:trPr>
          <w:trHeight w:val="242"/>
          <w:jc w:val="center"/>
        </w:trPr>
        <w:tc>
          <w:tcPr>
            <w:tcW w:w="6480" w:type="dxa"/>
            <w:gridSpan w:val="4"/>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6545480D" w14:textId="2B1427DE" w:rsidR="00394183" w:rsidRDefault="00B45B5B" w:rsidP="00CE058F">
            <w:pPr>
              <w:rPr>
                <w:b/>
              </w:rPr>
            </w:pPr>
            <w:r>
              <w:rPr>
                <w:b/>
                <w:color w:val="000000"/>
              </w:rPr>
              <w:lastRenderedPageBreak/>
              <w:t>Table A</w:t>
            </w:r>
            <w:r w:rsidR="00E457E9">
              <w:rPr>
                <w:b/>
                <w:color w:val="000000"/>
              </w:rPr>
              <w:t>8</w:t>
            </w:r>
            <w:r w:rsidR="00394183">
              <w:rPr>
                <w:b/>
                <w:color w:val="000000"/>
              </w:rPr>
              <w:t>: Trust in…</w:t>
            </w:r>
          </w:p>
        </w:tc>
      </w:tr>
      <w:tr w:rsidR="00394183" w14:paraId="672C783D" w14:textId="77777777" w:rsidTr="00CE058F">
        <w:trPr>
          <w:trHeight w:val="242"/>
          <w:jc w:val="center"/>
        </w:trPr>
        <w:tc>
          <w:tcPr>
            <w:tcW w:w="2785" w:type="dxa"/>
            <w:tcBorders>
              <w:top w:val="single" w:sz="4" w:space="0" w:color="000000"/>
              <w:left w:val="single" w:sz="4" w:space="0" w:color="000000"/>
            </w:tcBorders>
            <w:tcMar>
              <w:top w:w="20" w:type="dxa"/>
              <w:left w:w="20" w:type="dxa"/>
              <w:bottom w:w="100" w:type="dxa"/>
              <w:right w:w="20" w:type="dxa"/>
            </w:tcMar>
            <w:vAlign w:val="bottom"/>
          </w:tcPr>
          <w:p w14:paraId="046EDD72" w14:textId="77777777" w:rsidR="00394183" w:rsidRDefault="00394183" w:rsidP="00CE058F"/>
        </w:tc>
        <w:tc>
          <w:tcPr>
            <w:tcW w:w="1128" w:type="dxa"/>
            <w:tcMar>
              <w:top w:w="20" w:type="dxa"/>
              <w:left w:w="20" w:type="dxa"/>
              <w:bottom w:w="100" w:type="dxa"/>
              <w:right w:w="20" w:type="dxa"/>
            </w:tcMar>
            <w:vAlign w:val="bottom"/>
          </w:tcPr>
          <w:p w14:paraId="2C320155" w14:textId="77777777" w:rsidR="00394183" w:rsidRDefault="00394183" w:rsidP="00CE058F">
            <w:pPr>
              <w:jc w:val="center"/>
            </w:pPr>
            <w:r>
              <w:rPr>
                <w:b/>
                <w:color w:val="000000"/>
              </w:rPr>
              <w:t xml:space="preserve">Post-Protest  </w:t>
            </w:r>
          </w:p>
        </w:tc>
        <w:tc>
          <w:tcPr>
            <w:tcW w:w="1282" w:type="dxa"/>
            <w:tcMar>
              <w:top w:w="20" w:type="dxa"/>
              <w:left w:w="20" w:type="dxa"/>
              <w:bottom w:w="100" w:type="dxa"/>
              <w:right w:w="20" w:type="dxa"/>
            </w:tcMar>
            <w:vAlign w:val="bottom"/>
          </w:tcPr>
          <w:p w14:paraId="1569E615" w14:textId="77777777" w:rsidR="00394183" w:rsidRDefault="00394183" w:rsidP="00CE058F">
            <w:pPr>
              <w:jc w:val="center"/>
            </w:pPr>
            <w:r>
              <w:rPr>
                <w:b/>
                <w:color w:val="000000"/>
              </w:rPr>
              <w:t>Pre-Presidential</w:t>
            </w:r>
          </w:p>
        </w:tc>
        <w:tc>
          <w:tcPr>
            <w:tcW w:w="1285" w:type="dxa"/>
            <w:tcBorders>
              <w:right w:val="single" w:sz="4" w:space="0" w:color="000000"/>
            </w:tcBorders>
            <w:tcMar>
              <w:top w:w="20" w:type="dxa"/>
              <w:left w:w="20" w:type="dxa"/>
              <w:bottom w:w="100" w:type="dxa"/>
              <w:right w:w="20" w:type="dxa"/>
            </w:tcMar>
            <w:vAlign w:val="bottom"/>
          </w:tcPr>
          <w:p w14:paraId="1AAC830E" w14:textId="77777777" w:rsidR="00394183" w:rsidRDefault="00394183" w:rsidP="00CE058F">
            <w:pPr>
              <w:jc w:val="center"/>
            </w:pPr>
            <w:r>
              <w:rPr>
                <w:b/>
                <w:color w:val="000000"/>
              </w:rPr>
              <w:t>Post-Presidential</w:t>
            </w:r>
          </w:p>
        </w:tc>
      </w:tr>
      <w:tr w:rsidR="00394183" w14:paraId="44B2037F" w14:textId="77777777" w:rsidTr="00CE058F">
        <w:trPr>
          <w:trHeight w:val="161"/>
          <w:jc w:val="center"/>
        </w:trPr>
        <w:tc>
          <w:tcPr>
            <w:tcW w:w="2785" w:type="dxa"/>
            <w:tcBorders>
              <w:left w:val="single" w:sz="4" w:space="0" w:color="000000"/>
            </w:tcBorders>
            <w:tcMar>
              <w:top w:w="20" w:type="dxa"/>
              <w:left w:w="20" w:type="dxa"/>
              <w:bottom w:w="100" w:type="dxa"/>
              <w:right w:w="20" w:type="dxa"/>
            </w:tcMar>
            <w:vAlign w:val="bottom"/>
          </w:tcPr>
          <w:p w14:paraId="300DB94B" w14:textId="77777777" w:rsidR="00394183" w:rsidRDefault="00394183" w:rsidP="00CE058F">
            <w:r>
              <w:rPr>
                <w:b/>
                <w:color w:val="000000"/>
              </w:rPr>
              <w:t>Putin</w:t>
            </w:r>
          </w:p>
        </w:tc>
        <w:tc>
          <w:tcPr>
            <w:tcW w:w="1128" w:type="dxa"/>
            <w:tcMar>
              <w:top w:w="20" w:type="dxa"/>
              <w:left w:w="20" w:type="dxa"/>
              <w:bottom w:w="100" w:type="dxa"/>
              <w:right w:w="20" w:type="dxa"/>
            </w:tcMar>
            <w:vAlign w:val="bottom"/>
          </w:tcPr>
          <w:p w14:paraId="198A32C3" w14:textId="77777777" w:rsidR="00394183" w:rsidRDefault="00394183" w:rsidP="00CE058F">
            <w:pPr>
              <w:jc w:val="center"/>
            </w:pPr>
            <w:r>
              <w:rPr>
                <w:color w:val="000000"/>
              </w:rPr>
              <w:t>3.301</w:t>
            </w:r>
          </w:p>
        </w:tc>
        <w:tc>
          <w:tcPr>
            <w:tcW w:w="1282" w:type="dxa"/>
            <w:tcMar>
              <w:top w:w="20" w:type="dxa"/>
              <w:left w:w="20" w:type="dxa"/>
              <w:bottom w:w="100" w:type="dxa"/>
              <w:right w:w="20" w:type="dxa"/>
            </w:tcMar>
            <w:vAlign w:val="bottom"/>
          </w:tcPr>
          <w:p w14:paraId="65CA2560" w14:textId="77777777" w:rsidR="00394183" w:rsidRDefault="00394183" w:rsidP="00CE058F">
            <w:pPr>
              <w:jc w:val="center"/>
            </w:pPr>
            <w:r>
              <w:rPr>
                <w:color w:val="000000"/>
              </w:rPr>
              <w:t>3.401</w:t>
            </w:r>
          </w:p>
        </w:tc>
        <w:tc>
          <w:tcPr>
            <w:tcW w:w="1285" w:type="dxa"/>
            <w:tcBorders>
              <w:right w:val="single" w:sz="4" w:space="0" w:color="000000"/>
            </w:tcBorders>
            <w:tcMar>
              <w:top w:w="20" w:type="dxa"/>
              <w:left w:w="20" w:type="dxa"/>
              <w:bottom w:w="100" w:type="dxa"/>
              <w:right w:w="20" w:type="dxa"/>
            </w:tcMar>
            <w:vAlign w:val="bottom"/>
          </w:tcPr>
          <w:p w14:paraId="1708B91B" w14:textId="77777777" w:rsidR="00394183" w:rsidRDefault="00394183" w:rsidP="00CE058F">
            <w:pPr>
              <w:jc w:val="center"/>
            </w:pPr>
            <w:r>
              <w:rPr>
                <w:color w:val="000000"/>
              </w:rPr>
              <w:t>3.411</w:t>
            </w:r>
            <w:r w:rsidRPr="00C77DE2">
              <w:rPr>
                <w:i/>
                <w:iCs/>
                <w:color w:val="000000"/>
              </w:rPr>
              <w:t>c</w:t>
            </w:r>
          </w:p>
        </w:tc>
      </w:tr>
      <w:tr w:rsidR="00394183" w14:paraId="2135C699" w14:textId="77777777" w:rsidTr="00CE058F">
        <w:trPr>
          <w:trHeight w:val="38"/>
          <w:jc w:val="center"/>
        </w:trPr>
        <w:tc>
          <w:tcPr>
            <w:tcW w:w="2785" w:type="dxa"/>
            <w:tcBorders>
              <w:left w:val="single" w:sz="4" w:space="0" w:color="000000"/>
            </w:tcBorders>
            <w:tcMar>
              <w:top w:w="20" w:type="dxa"/>
              <w:left w:w="20" w:type="dxa"/>
              <w:bottom w:w="100" w:type="dxa"/>
              <w:right w:w="20" w:type="dxa"/>
            </w:tcMar>
            <w:vAlign w:val="bottom"/>
          </w:tcPr>
          <w:p w14:paraId="7C3CEBEF" w14:textId="77777777" w:rsidR="00394183" w:rsidRDefault="00394183" w:rsidP="00CE058F"/>
        </w:tc>
        <w:tc>
          <w:tcPr>
            <w:tcW w:w="1128" w:type="dxa"/>
            <w:tcMar>
              <w:top w:w="20" w:type="dxa"/>
              <w:left w:w="20" w:type="dxa"/>
              <w:bottom w:w="100" w:type="dxa"/>
              <w:right w:w="20" w:type="dxa"/>
            </w:tcMar>
            <w:vAlign w:val="bottom"/>
          </w:tcPr>
          <w:p w14:paraId="483436FF" w14:textId="77777777" w:rsidR="00394183" w:rsidRDefault="00394183" w:rsidP="00CE058F">
            <w:pPr>
              <w:jc w:val="center"/>
            </w:pPr>
            <w:r>
              <w:rPr>
                <w:color w:val="000000"/>
              </w:rPr>
              <w:t>(0.039)</w:t>
            </w:r>
          </w:p>
        </w:tc>
        <w:tc>
          <w:tcPr>
            <w:tcW w:w="1282" w:type="dxa"/>
            <w:tcMar>
              <w:top w:w="20" w:type="dxa"/>
              <w:left w:w="20" w:type="dxa"/>
              <w:bottom w:w="100" w:type="dxa"/>
              <w:right w:w="20" w:type="dxa"/>
            </w:tcMar>
            <w:vAlign w:val="bottom"/>
          </w:tcPr>
          <w:p w14:paraId="162EA231" w14:textId="77777777" w:rsidR="00394183" w:rsidRDefault="00394183" w:rsidP="00CE058F">
            <w:pPr>
              <w:jc w:val="center"/>
            </w:pPr>
            <w:r>
              <w:rPr>
                <w:color w:val="000000"/>
              </w:rPr>
              <w:t>(0.033)</w:t>
            </w:r>
          </w:p>
        </w:tc>
        <w:tc>
          <w:tcPr>
            <w:tcW w:w="1285" w:type="dxa"/>
            <w:tcBorders>
              <w:right w:val="single" w:sz="4" w:space="0" w:color="000000"/>
            </w:tcBorders>
            <w:tcMar>
              <w:top w:w="20" w:type="dxa"/>
              <w:left w:w="20" w:type="dxa"/>
              <w:bottom w:w="100" w:type="dxa"/>
              <w:right w:w="20" w:type="dxa"/>
            </w:tcMar>
            <w:vAlign w:val="bottom"/>
          </w:tcPr>
          <w:p w14:paraId="1610E534" w14:textId="77777777" w:rsidR="00394183" w:rsidRDefault="00394183" w:rsidP="00CE058F">
            <w:pPr>
              <w:jc w:val="center"/>
            </w:pPr>
            <w:r>
              <w:rPr>
                <w:color w:val="000000"/>
              </w:rPr>
              <w:t>(0.034)</w:t>
            </w:r>
          </w:p>
        </w:tc>
      </w:tr>
      <w:tr w:rsidR="00394183" w14:paraId="44915C06" w14:textId="77777777" w:rsidTr="00CE058F">
        <w:trPr>
          <w:trHeight w:val="242"/>
          <w:jc w:val="center"/>
        </w:trPr>
        <w:tc>
          <w:tcPr>
            <w:tcW w:w="2785" w:type="dxa"/>
            <w:tcBorders>
              <w:left w:val="single" w:sz="4" w:space="0" w:color="000000"/>
            </w:tcBorders>
            <w:tcMar>
              <w:top w:w="20" w:type="dxa"/>
              <w:left w:w="20" w:type="dxa"/>
              <w:bottom w:w="100" w:type="dxa"/>
              <w:right w:w="20" w:type="dxa"/>
            </w:tcMar>
            <w:vAlign w:val="bottom"/>
          </w:tcPr>
          <w:p w14:paraId="271092BB" w14:textId="77777777" w:rsidR="00394183" w:rsidRDefault="00394183" w:rsidP="00CE058F">
            <w:r>
              <w:rPr>
                <w:b/>
                <w:color w:val="000000"/>
              </w:rPr>
              <w:t>Duma</w:t>
            </w:r>
          </w:p>
        </w:tc>
        <w:tc>
          <w:tcPr>
            <w:tcW w:w="1128" w:type="dxa"/>
            <w:tcMar>
              <w:top w:w="20" w:type="dxa"/>
              <w:left w:w="20" w:type="dxa"/>
              <w:bottom w:w="100" w:type="dxa"/>
              <w:right w:w="20" w:type="dxa"/>
            </w:tcMar>
            <w:vAlign w:val="bottom"/>
          </w:tcPr>
          <w:p w14:paraId="41D9DDC9" w14:textId="77777777" w:rsidR="00394183" w:rsidRDefault="00394183" w:rsidP="00CE058F">
            <w:pPr>
              <w:jc w:val="center"/>
            </w:pPr>
            <w:r>
              <w:rPr>
                <w:color w:val="000000"/>
              </w:rPr>
              <w:t>2.631</w:t>
            </w:r>
          </w:p>
        </w:tc>
        <w:tc>
          <w:tcPr>
            <w:tcW w:w="1282" w:type="dxa"/>
            <w:tcMar>
              <w:top w:w="20" w:type="dxa"/>
              <w:left w:w="20" w:type="dxa"/>
              <w:bottom w:w="100" w:type="dxa"/>
              <w:right w:w="20" w:type="dxa"/>
            </w:tcMar>
            <w:vAlign w:val="bottom"/>
          </w:tcPr>
          <w:p w14:paraId="5E1E374B" w14:textId="77777777" w:rsidR="00394183" w:rsidRDefault="00394183" w:rsidP="00CE058F">
            <w:pPr>
              <w:jc w:val="center"/>
            </w:pPr>
            <w:r>
              <w:rPr>
                <w:color w:val="000000"/>
              </w:rPr>
              <w:t>2.680</w:t>
            </w:r>
          </w:p>
        </w:tc>
        <w:tc>
          <w:tcPr>
            <w:tcW w:w="1285" w:type="dxa"/>
            <w:tcBorders>
              <w:right w:val="single" w:sz="4" w:space="0" w:color="000000"/>
            </w:tcBorders>
            <w:tcMar>
              <w:top w:w="20" w:type="dxa"/>
              <w:left w:w="20" w:type="dxa"/>
              <w:bottom w:w="100" w:type="dxa"/>
              <w:right w:w="20" w:type="dxa"/>
            </w:tcMar>
            <w:vAlign w:val="bottom"/>
          </w:tcPr>
          <w:p w14:paraId="483C18D4" w14:textId="77777777" w:rsidR="00394183" w:rsidRDefault="00394183" w:rsidP="00CE058F">
            <w:pPr>
              <w:jc w:val="center"/>
            </w:pPr>
            <w:r>
              <w:rPr>
                <w:color w:val="000000"/>
              </w:rPr>
              <w:t>2.691</w:t>
            </w:r>
          </w:p>
        </w:tc>
      </w:tr>
      <w:tr w:rsidR="00394183" w14:paraId="3B1C3A4C" w14:textId="77777777" w:rsidTr="00CE058F">
        <w:trPr>
          <w:trHeight w:val="19"/>
          <w:jc w:val="center"/>
        </w:trPr>
        <w:tc>
          <w:tcPr>
            <w:tcW w:w="2785" w:type="dxa"/>
            <w:tcBorders>
              <w:left w:val="single" w:sz="4" w:space="0" w:color="000000"/>
            </w:tcBorders>
            <w:tcMar>
              <w:top w:w="20" w:type="dxa"/>
              <w:left w:w="20" w:type="dxa"/>
              <w:bottom w:w="100" w:type="dxa"/>
              <w:right w:w="20" w:type="dxa"/>
            </w:tcMar>
            <w:vAlign w:val="bottom"/>
          </w:tcPr>
          <w:p w14:paraId="1784384F" w14:textId="77777777" w:rsidR="00394183" w:rsidRDefault="00394183" w:rsidP="00CE058F"/>
        </w:tc>
        <w:tc>
          <w:tcPr>
            <w:tcW w:w="1128" w:type="dxa"/>
            <w:tcMar>
              <w:top w:w="20" w:type="dxa"/>
              <w:left w:w="20" w:type="dxa"/>
              <w:bottom w:w="100" w:type="dxa"/>
              <w:right w:w="20" w:type="dxa"/>
            </w:tcMar>
            <w:vAlign w:val="bottom"/>
          </w:tcPr>
          <w:p w14:paraId="4670F847" w14:textId="77777777" w:rsidR="00394183" w:rsidRDefault="00394183" w:rsidP="00CE058F">
            <w:pPr>
              <w:jc w:val="center"/>
            </w:pPr>
            <w:r>
              <w:rPr>
                <w:color w:val="000000"/>
              </w:rPr>
              <w:t>(0.037)</w:t>
            </w:r>
          </w:p>
        </w:tc>
        <w:tc>
          <w:tcPr>
            <w:tcW w:w="1282" w:type="dxa"/>
            <w:tcMar>
              <w:top w:w="20" w:type="dxa"/>
              <w:left w:w="20" w:type="dxa"/>
              <w:bottom w:w="100" w:type="dxa"/>
              <w:right w:w="20" w:type="dxa"/>
            </w:tcMar>
            <w:vAlign w:val="bottom"/>
          </w:tcPr>
          <w:p w14:paraId="76F1A3DE" w14:textId="77777777" w:rsidR="00394183" w:rsidRDefault="00394183" w:rsidP="00CE058F">
            <w:pPr>
              <w:jc w:val="center"/>
            </w:pPr>
            <w:r>
              <w:rPr>
                <w:color w:val="000000"/>
              </w:rPr>
              <w:t>(0.032)</w:t>
            </w:r>
          </w:p>
        </w:tc>
        <w:tc>
          <w:tcPr>
            <w:tcW w:w="1285" w:type="dxa"/>
            <w:tcBorders>
              <w:right w:val="single" w:sz="4" w:space="0" w:color="000000"/>
            </w:tcBorders>
            <w:tcMar>
              <w:top w:w="20" w:type="dxa"/>
              <w:left w:w="20" w:type="dxa"/>
              <w:bottom w:w="100" w:type="dxa"/>
              <w:right w:w="20" w:type="dxa"/>
            </w:tcMar>
            <w:vAlign w:val="bottom"/>
          </w:tcPr>
          <w:p w14:paraId="2F2860F4" w14:textId="77777777" w:rsidR="00394183" w:rsidRDefault="00394183" w:rsidP="00CE058F">
            <w:pPr>
              <w:jc w:val="center"/>
            </w:pPr>
            <w:r>
              <w:rPr>
                <w:color w:val="000000"/>
              </w:rPr>
              <w:t>(0.0372)</w:t>
            </w:r>
          </w:p>
        </w:tc>
      </w:tr>
      <w:tr w:rsidR="00394183" w14:paraId="2190C929" w14:textId="77777777" w:rsidTr="00CE058F">
        <w:trPr>
          <w:trHeight w:val="242"/>
          <w:jc w:val="center"/>
        </w:trPr>
        <w:tc>
          <w:tcPr>
            <w:tcW w:w="2785" w:type="dxa"/>
            <w:tcBorders>
              <w:left w:val="single" w:sz="4" w:space="0" w:color="000000"/>
            </w:tcBorders>
            <w:tcMar>
              <w:top w:w="20" w:type="dxa"/>
              <w:left w:w="20" w:type="dxa"/>
              <w:bottom w:w="100" w:type="dxa"/>
              <w:right w:w="20" w:type="dxa"/>
            </w:tcMar>
            <w:vAlign w:val="bottom"/>
          </w:tcPr>
          <w:p w14:paraId="44F53E4A" w14:textId="77777777" w:rsidR="00394183" w:rsidRDefault="00394183" w:rsidP="00CE058F">
            <w:r>
              <w:rPr>
                <w:b/>
                <w:color w:val="000000"/>
              </w:rPr>
              <w:t>Army</w:t>
            </w:r>
          </w:p>
        </w:tc>
        <w:tc>
          <w:tcPr>
            <w:tcW w:w="1128" w:type="dxa"/>
            <w:tcMar>
              <w:top w:w="20" w:type="dxa"/>
              <w:left w:w="20" w:type="dxa"/>
              <w:bottom w:w="100" w:type="dxa"/>
              <w:right w:w="20" w:type="dxa"/>
            </w:tcMar>
            <w:vAlign w:val="bottom"/>
          </w:tcPr>
          <w:p w14:paraId="0F637E11" w14:textId="77777777" w:rsidR="00394183" w:rsidRDefault="00394183" w:rsidP="00CE058F">
            <w:pPr>
              <w:jc w:val="center"/>
            </w:pPr>
            <w:r>
              <w:rPr>
                <w:color w:val="000000"/>
              </w:rPr>
              <w:t>3.387</w:t>
            </w:r>
          </w:p>
        </w:tc>
        <w:tc>
          <w:tcPr>
            <w:tcW w:w="1282" w:type="dxa"/>
            <w:tcMar>
              <w:top w:w="20" w:type="dxa"/>
              <w:left w:w="20" w:type="dxa"/>
              <w:bottom w:w="100" w:type="dxa"/>
              <w:right w:w="20" w:type="dxa"/>
            </w:tcMar>
            <w:vAlign w:val="bottom"/>
          </w:tcPr>
          <w:p w14:paraId="76E81C34" w14:textId="77777777" w:rsidR="00394183" w:rsidRDefault="00394183" w:rsidP="00CE058F">
            <w:pPr>
              <w:jc w:val="center"/>
            </w:pPr>
            <w:r>
              <w:rPr>
                <w:color w:val="000000"/>
              </w:rPr>
              <w:t>3.358</w:t>
            </w:r>
          </w:p>
        </w:tc>
        <w:tc>
          <w:tcPr>
            <w:tcW w:w="1285" w:type="dxa"/>
            <w:tcBorders>
              <w:right w:val="single" w:sz="4" w:space="0" w:color="000000"/>
            </w:tcBorders>
            <w:tcMar>
              <w:top w:w="20" w:type="dxa"/>
              <w:left w:w="20" w:type="dxa"/>
              <w:bottom w:w="100" w:type="dxa"/>
              <w:right w:w="20" w:type="dxa"/>
            </w:tcMar>
            <w:vAlign w:val="bottom"/>
          </w:tcPr>
          <w:p w14:paraId="418EE26A" w14:textId="77777777" w:rsidR="00394183" w:rsidRDefault="00394183" w:rsidP="00CE058F">
            <w:pPr>
              <w:jc w:val="center"/>
            </w:pPr>
            <w:r>
              <w:rPr>
                <w:color w:val="000000"/>
              </w:rPr>
              <w:t>3.329</w:t>
            </w:r>
          </w:p>
        </w:tc>
      </w:tr>
      <w:tr w:rsidR="00394183" w14:paraId="510BC1DD" w14:textId="77777777" w:rsidTr="00CE058F">
        <w:trPr>
          <w:trHeight w:val="38"/>
          <w:jc w:val="center"/>
        </w:trPr>
        <w:tc>
          <w:tcPr>
            <w:tcW w:w="2785" w:type="dxa"/>
            <w:tcBorders>
              <w:left w:val="single" w:sz="4" w:space="0" w:color="000000"/>
            </w:tcBorders>
            <w:tcMar>
              <w:top w:w="20" w:type="dxa"/>
              <w:left w:w="20" w:type="dxa"/>
              <w:bottom w:w="100" w:type="dxa"/>
              <w:right w:w="20" w:type="dxa"/>
            </w:tcMar>
            <w:vAlign w:val="bottom"/>
          </w:tcPr>
          <w:p w14:paraId="4A81FCC4" w14:textId="77777777" w:rsidR="00394183" w:rsidRDefault="00394183" w:rsidP="00CE058F"/>
        </w:tc>
        <w:tc>
          <w:tcPr>
            <w:tcW w:w="1128" w:type="dxa"/>
            <w:tcMar>
              <w:top w:w="20" w:type="dxa"/>
              <w:left w:w="20" w:type="dxa"/>
              <w:bottom w:w="100" w:type="dxa"/>
              <w:right w:w="20" w:type="dxa"/>
            </w:tcMar>
            <w:vAlign w:val="bottom"/>
          </w:tcPr>
          <w:p w14:paraId="77CAC0FE" w14:textId="77777777" w:rsidR="00394183" w:rsidRDefault="00394183" w:rsidP="00CE058F">
            <w:pPr>
              <w:jc w:val="center"/>
            </w:pPr>
            <w:r>
              <w:rPr>
                <w:color w:val="000000"/>
              </w:rPr>
              <w:t>(0.037)</w:t>
            </w:r>
          </w:p>
        </w:tc>
        <w:tc>
          <w:tcPr>
            <w:tcW w:w="1282" w:type="dxa"/>
            <w:tcMar>
              <w:top w:w="20" w:type="dxa"/>
              <w:left w:w="20" w:type="dxa"/>
              <w:bottom w:w="100" w:type="dxa"/>
              <w:right w:w="20" w:type="dxa"/>
            </w:tcMar>
            <w:vAlign w:val="bottom"/>
          </w:tcPr>
          <w:p w14:paraId="385ACFA7" w14:textId="77777777" w:rsidR="00394183" w:rsidRDefault="00394183" w:rsidP="00CE058F">
            <w:pPr>
              <w:jc w:val="center"/>
            </w:pPr>
            <w:r>
              <w:rPr>
                <w:color w:val="000000"/>
              </w:rPr>
              <w:t>(0.035)</w:t>
            </w:r>
          </w:p>
        </w:tc>
        <w:tc>
          <w:tcPr>
            <w:tcW w:w="1285" w:type="dxa"/>
            <w:tcBorders>
              <w:right w:val="single" w:sz="4" w:space="0" w:color="000000"/>
            </w:tcBorders>
            <w:tcMar>
              <w:top w:w="20" w:type="dxa"/>
              <w:left w:w="20" w:type="dxa"/>
              <w:bottom w:w="100" w:type="dxa"/>
              <w:right w:w="20" w:type="dxa"/>
            </w:tcMar>
            <w:vAlign w:val="bottom"/>
          </w:tcPr>
          <w:p w14:paraId="0EDD0B6B" w14:textId="77777777" w:rsidR="00394183" w:rsidRDefault="00394183" w:rsidP="00CE058F">
            <w:pPr>
              <w:jc w:val="center"/>
            </w:pPr>
            <w:r>
              <w:rPr>
                <w:color w:val="000000"/>
              </w:rPr>
              <w:t>(0.033)</w:t>
            </w:r>
          </w:p>
        </w:tc>
      </w:tr>
      <w:tr w:rsidR="00394183" w14:paraId="0D0C7F43" w14:textId="77777777" w:rsidTr="00CE058F">
        <w:trPr>
          <w:trHeight w:val="242"/>
          <w:jc w:val="center"/>
        </w:trPr>
        <w:tc>
          <w:tcPr>
            <w:tcW w:w="2785" w:type="dxa"/>
            <w:tcBorders>
              <w:left w:val="single" w:sz="4" w:space="0" w:color="000000"/>
            </w:tcBorders>
            <w:tcMar>
              <w:top w:w="20" w:type="dxa"/>
              <w:left w:w="20" w:type="dxa"/>
              <w:bottom w:w="100" w:type="dxa"/>
              <w:right w:w="20" w:type="dxa"/>
            </w:tcMar>
            <w:vAlign w:val="bottom"/>
          </w:tcPr>
          <w:p w14:paraId="4B192BC1" w14:textId="77777777" w:rsidR="00394183" w:rsidRDefault="00394183" w:rsidP="00CE058F">
            <w:r>
              <w:rPr>
                <w:b/>
                <w:color w:val="000000"/>
              </w:rPr>
              <w:t>Courts</w:t>
            </w:r>
          </w:p>
        </w:tc>
        <w:tc>
          <w:tcPr>
            <w:tcW w:w="1128" w:type="dxa"/>
            <w:tcMar>
              <w:top w:w="20" w:type="dxa"/>
              <w:left w:w="20" w:type="dxa"/>
              <w:bottom w:w="100" w:type="dxa"/>
              <w:right w:w="20" w:type="dxa"/>
            </w:tcMar>
            <w:vAlign w:val="bottom"/>
          </w:tcPr>
          <w:p w14:paraId="1FB0573E" w14:textId="77777777" w:rsidR="00394183" w:rsidRDefault="00394183" w:rsidP="00CE058F">
            <w:pPr>
              <w:jc w:val="center"/>
            </w:pPr>
            <w:r>
              <w:rPr>
                <w:color w:val="000000"/>
              </w:rPr>
              <w:t>2.755</w:t>
            </w:r>
          </w:p>
        </w:tc>
        <w:tc>
          <w:tcPr>
            <w:tcW w:w="1282" w:type="dxa"/>
            <w:tcMar>
              <w:top w:w="20" w:type="dxa"/>
              <w:left w:w="20" w:type="dxa"/>
              <w:bottom w:w="100" w:type="dxa"/>
              <w:right w:w="20" w:type="dxa"/>
            </w:tcMar>
            <w:vAlign w:val="bottom"/>
          </w:tcPr>
          <w:p w14:paraId="4B0FADFB" w14:textId="77777777" w:rsidR="00394183" w:rsidRDefault="00394183" w:rsidP="00CE058F">
            <w:pPr>
              <w:jc w:val="center"/>
            </w:pPr>
            <w:r>
              <w:rPr>
                <w:color w:val="000000"/>
              </w:rPr>
              <w:t>2.741</w:t>
            </w:r>
          </w:p>
        </w:tc>
        <w:tc>
          <w:tcPr>
            <w:tcW w:w="1285" w:type="dxa"/>
            <w:tcBorders>
              <w:right w:val="single" w:sz="4" w:space="0" w:color="000000"/>
            </w:tcBorders>
            <w:tcMar>
              <w:top w:w="20" w:type="dxa"/>
              <w:left w:w="20" w:type="dxa"/>
              <w:bottom w:w="100" w:type="dxa"/>
              <w:right w:w="20" w:type="dxa"/>
            </w:tcMar>
            <w:vAlign w:val="bottom"/>
          </w:tcPr>
          <w:p w14:paraId="33924276" w14:textId="77777777" w:rsidR="00394183" w:rsidRDefault="00394183" w:rsidP="00CE058F">
            <w:pPr>
              <w:jc w:val="center"/>
            </w:pPr>
            <w:r>
              <w:rPr>
                <w:color w:val="000000"/>
              </w:rPr>
              <w:t>2.682</w:t>
            </w:r>
          </w:p>
        </w:tc>
      </w:tr>
      <w:tr w:rsidR="00394183" w14:paraId="6B93DCF3" w14:textId="77777777" w:rsidTr="00CE058F">
        <w:trPr>
          <w:trHeight w:val="38"/>
          <w:jc w:val="center"/>
        </w:trPr>
        <w:tc>
          <w:tcPr>
            <w:tcW w:w="2785" w:type="dxa"/>
            <w:tcBorders>
              <w:left w:val="single" w:sz="4" w:space="0" w:color="000000"/>
            </w:tcBorders>
            <w:tcMar>
              <w:top w:w="20" w:type="dxa"/>
              <w:left w:w="20" w:type="dxa"/>
              <w:bottom w:w="100" w:type="dxa"/>
              <w:right w:w="20" w:type="dxa"/>
            </w:tcMar>
            <w:vAlign w:val="bottom"/>
          </w:tcPr>
          <w:p w14:paraId="337AF160" w14:textId="77777777" w:rsidR="00394183" w:rsidRDefault="00394183" w:rsidP="00CE058F"/>
        </w:tc>
        <w:tc>
          <w:tcPr>
            <w:tcW w:w="1128" w:type="dxa"/>
            <w:tcMar>
              <w:top w:w="20" w:type="dxa"/>
              <w:left w:w="20" w:type="dxa"/>
              <w:bottom w:w="100" w:type="dxa"/>
              <w:right w:w="20" w:type="dxa"/>
            </w:tcMar>
            <w:vAlign w:val="bottom"/>
          </w:tcPr>
          <w:p w14:paraId="0E8AC705" w14:textId="77777777" w:rsidR="00394183" w:rsidRDefault="00394183" w:rsidP="00CE058F">
            <w:pPr>
              <w:jc w:val="center"/>
            </w:pPr>
            <w:r>
              <w:rPr>
                <w:color w:val="000000"/>
              </w:rPr>
              <w:t>(0.038)</w:t>
            </w:r>
          </w:p>
        </w:tc>
        <w:tc>
          <w:tcPr>
            <w:tcW w:w="1282" w:type="dxa"/>
            <w:tcMar>
              <w:top w:w="20" w:type="dxa"/>
              <w:left w:w="20" w:type="dxa"/>
              <w:bottom w:w="100" w:type="dxa"/>
              <w:right w:w="20" w:type="dxa"/>
            </w:tcMar>
            <w:vAlign w:val="bottom"/>
          </w:tcPr>
          <w:p w14:paraId="7D01C7CE" w14:textId="77777777" w:rsidR="00394183" w:rsidRDefault="00394183" w:rsidP="00CE058F">
            <w:pPr>
              <w:jc w:val="center"/>
            </w:pPr>
            <w:r>
              <w:rPr>
                <w:color w:val="000000"/>
              </w:rPr>
              <w:t>(0.034)</w:t>
            </w:r>
          </w:p>
        </w:tc>
        <w:tc>
          <w:tcPr>
            <w:tcW w:w="1285" w:type="dxa"/>
            <w:tcBorders>
              <w:right w:val="single" w:sz="4" w:space="0" w:color="000000"/>
            </w:tcBorders>
            <w:tcMar>
              <w:top w:w="20" w:type="dxa"/>
              <w:left w:w="20" w:type="dxa"/>
              <w:bottom w:w="100" w:type="dxa"/>
              <w:right w:w="20" w:type="dxa"/>
            </w:tcMar>
            <w:vAlign w:val="bottom"/>
          </w:tcPr>
          <w:p w14:paraId="485B247E" w14:textId="77777777" w:rsidR="00394183" w:rsidRDefault="00394183" w:rsidP="00CE058F">
            <w:pPr>
              <w:jc w:val="center"/>
            </w:pPr>
            <w:r>
              <w:rPr>
                <w:color w:val="000000"/>
              </w:rPr>
              <w:t>(0.034)</w:t>
            </w:r>
          </w:p>
        </w:tc>
      </w:tr>
      <w:tr w:rsidR="00394183" w14:paraId="527AFAB3" w14:textId="77777777" w:rsidTr="00CE058F">
        <w:trPr>
          <w:trHeight w:val="242"/>
          <w:jc w:val="center"/>
        </w:trPr>
        <w:tc>
          <w:tcPr>
            <w:tcW w:w="2785" w:type="dxa"/>
            <w:tcBorders>
              <w:left w:val="single" w:sz="4" w:space="0" w:color="000000"/>
            </w:tcBorders>
            <w:tcMar>
              <w:top w:w="20" w:type="dxa"/>
              <w:left w:w="20" w:type="dxa"/>
              <w:bottom w:w="100" w:type="dxa"/>
              <w:right w:w="20" w:type="dxa"/>
            </w:tcMar>
            <w:vAlign w:val="bottom"/>
          </w:tcPr>
          <w:p w14:paraId="229034B0" w14:textId="77777777" w:rsidR="00394183" w:rsidRDefault="00394183" w:rsidP="00CE058F">
            <w:r>
              <w:rPr>
                <w:b/>
                <w:color w:val="000000"/>
              </w:rPr>
              <w:t>Local Government</w:t>
            </w:r>
          </w:p>
        </w:tc>
        <w:tc>
          <w:tcPr>
            <w:tcW w:w="1128" w:type="dxa"/>
            <w:tcMar>
              <w:top w:w="20" w:type="dxa"/>
              <w:left w:w="20" w:type="dxa"/>
              <w:bottom w:w="100" w:type="dxa"/>
              <w:right w:w="20" w:type="dxa"/>
            </w:tcMar>
            <w:vAlign w:val="bottom"/>
          </w:tcPr>
          <w:p w14:paraId="114218AF" w14:textId="77777777" w:rsidR="00394183" w:rsidRDefault="00394183" w:rsidP="00CE058F">
            <w:pPr>
              <w:jc w:val="center"/>
            </w:pPr>
            <w:r>
              <w:rPr>
                <w:color w:val="000000"/>
              </w:rPr>
              <w:t>2.669</w:t>
            </w:r>
          </w:p>
        </w:tc>
        <w:tc>
          <w:tcPr>
            <w:tcW w:w="1282" w:type="dxa"/>
            <w:tcMar>
              <w:top w:w="20" w:type="dxa"/>
              <w:left w:w="20" w:type="dxa"/>
              <w:bottom w:w="100" w:type="dxa"/>
              <w:right w:w="20" w:type="dxa"/>
            </w:tcMar>
            <w:vAlign w:val="bottom"/>
          </w:tcPr>
          <w:p w14:paraId="2FB9B5C3" w14:textId="77777777" w:rsidR="00394183" w:rsidRDefault="00394183" w:rsidP="00CE058F">
            <w:pPr>
              <w:jc w:val="center"/>
            </w:pPr>
            <w:r>
              <w:rPr>
                <w:color w:val="000000"/>
              </w:rPr>
              <w:t>2.738</w:t>
            </w:r>
          </w:p>
        </w:tc>
        <w:tc>
          <w:tcPr>
            <w:tcW w:w="1285" w:type="dxa"/>
            <w:tcBorders>
              <w:right w:val="single" w:sz="4" w:space="0" w:color="000000"/>
            </w:tcBorders>
            <w:tcMar>
              <w:top w:w="20" w:type="dxa"/>
              <w:left w:w="20" w:type="dxa"/>
              <w:bottom w:w="100" w:type="dxa"/>
              <w:right w:w="20" w:type="dxa"/>
            </w:tcMar>
            <w:vAlign w:val="bottom"/>
          </w:tcPr>
          <w:p w14:paraId="027EB88F" w14:textId="77777777" w:rsidR="00394183" w:rsidRDefault="00394183" w:rsidP="00CE058F">
            <w:pPr>
              <w:jc w:val="center"/>
            </w:pPr>
            <w:r>
              <w:rPr>
                <w:color w:val="000000"/>
              </w:rPr>
              <w:t>2.657</w:t>
            </w:r>
          </w:p>
        </w:tc>
      </w:tr>
      <w:tr w:rsidR="00394183" w14:paraId="00C58AA7" w14:textId="77777777" w:rsidTr="00CE058F">
        <w:trPr>
          <w:trHeight w:val="71"/>
          <w:jc w:val="center"/>
        </w:trPr>
        <w:tc>
          <w:tcPr>
            <w:tcW w:w="2785" w:type="dxa"/>
            <w:tcBorders>
              <w:left w:val="single" w:sz="4" w:space="0" w:color="000000"/>
            </w:tcBorders>
            <w:tcMar>
              <w:top w:w="20" w:type="dxa"/>
              <w:left w:w="20" w:type="dxa"/>
              <w:bottom w:w="100" w:type="dxa"/>
              <w:right w:w="20" w:type="dxa"/>
            </w:tcMar>
            <w:vAlign w:val="bottom"/>
          </w:tcPr>
          <w:p w14:paraId="52F07A13" w14:textId="77777777" w:rsidR="00394183" w:rsidRDefault="00394183" w:rsidP="00CE058F"/>
        </w:tc>
        <w:tc>
          <w:tcPr>
            <w:tcW w:w="1128" w:type="dxa"/>
            <w:tcMar>
              <w:top w:w="20" w:type="dxa"/>
              <w:left w:w="20" w:type="dxa"/>
              <w:bottom w:w="100" w:type="dxa"/>
              <w:right w:w="20" w:type="dxa"/>
            </w:tcMar>
            <w:vAlign w:val="bottom"/>
          </w:tcPr>
          <w:p w14:paraId="6E87FB99" w14:textId="77777777" w:rsidR="00394183" w:rsidRDefault="00394183" w:rsidP="00CE058F">
            <w:pPr>
              <w:jc w:val="center"/>
            </w:pPr>
            <w:r>
              <w:rPr>
                <w:color w:val="000000"/>
              </w:rPr>
              <w:t>(0.037)</w:t>
            </w:r>
          </w:p>
        </w:tc>
        <w:tc>
          <w:tcPr>
            <w:tcW w:w="1282" w:type="dxa"/>
            <w:tcMar>
              <w:top w:w="20" w:type="dxa"/>
              <w:left w:w="20" w:type="dxa"/>
              <w:bottom w:w="100" w:type="dxa"/>
              <w:right w:w="20" w:type="dxa"/>
            </w:tcMar>
            <w:vAlign w:val="bottom"/>
          </w:tcPr>
          <w:p w14:paraId="71CC0E78" w14:textId="77777777" w:rsidR="00394183" w:rsidRDefault="00394183" w:rsidP="00CE058F">
            <w:pPr>
              <w:jc w:val="center"/>
            </w:pPr>
            <w:r>
              <w:rPr>
                <w:color w:val="000000"/>
              </w:rPr>
              <w:t>(0.033)</w:t>
            </w:r>
          </w:p>
        </w:tc>
        <w:tc>
          <w:tcPr>
            <w:tcW w:w="1285" w:type="dxa"/>
            <w:tcBorders>
              <w:right w:val="single" w:sz="4" w:space="0" w:color="000000"/>
            </w:tcBorders>
            <w:tcMar>
              <w:top w:w="20" w:type="dxa"/>
              <w:left w:w="20" w:type="dxa"/>
              <w:bottom w:w="100" w:type="dxa"/>
              <w:right w:w="20" w:type="dxa"/>
            </w:tcMar>
            <w:vAlign w:val="bottom"/>
          </w:tcPr>
          <w:p w14:paraId="3C541565" w14:textId="77777777" w:rsidR="00394183" w:rsidRDefault="00394183" w:rsidP="00CE058F">
            <w:pPr>
              <w:jc w:val="center"/>
            </w:pPr>
            <w:r>
              <w:rPr>
                <w:color w:val="000000"/>
              </w:rPr>
              <w:t>(0.034)</w:t>
            </w:r>
          </w:p>
        </w:tc>
      </w:tr>
      <w:tr w:rsidR="00394183" w14:paraId="71DCF8A1" w14:textId="77777777" w:rsidTr="00CE058F">
        <w:trPr>
          <w:trHeight w:val="277"/>
          <w:jc w:val="center"/>
        </w:trPr>
        <w:tc>
          <w:tcPr>
            <w:tcW w:w="2785" w:type="dxa"/>
            <w:tcBorders>
              <w:left w:val="single" w:sz="4" w:space="0" w:color="000000"/>
            </w:tcBorders>
            <w:tcMar>
              <w:top w:w="20" w:type="dxa"/>
              <w:left w:w="20" w:type="dxa"/>
              <w:bottom w:w="100" w:type="dxa"/>
              <w:right w:w="20" w:type="dxa"/>
            </w:tcMar>
            <w:vAlign w:val="bottom"/>
          </w:tcPr>
          <w:p w14:paraId="3564DCAB" w14:textId="77777777" w:rsidR="00394183" w:rsidRDefault="00394183" w:rsidP="00CE058F">
            <w:r>
              <w:rPr>
                <w:b/>
                <w:color w:val="000000"/>
              </w:rPr>
              <w:t>Police</w:t>
            </w:r>
          </w:p>
        </w:tc>
        <w:tc>
          <w:tcPr>
            <w:tcW w:w="1128" w:type="dxa"/>
            <w:tcMar>
              <w:top w:w="20" w:type="dxa"/>
              <w:left w:w="20" w:type="dxa"/>
              <w:bottom w:w="100" w:type="dxa"/>
              <w:right w:w="20" w:type="dxa"/>
            </w:tcMar>
            <w:vAlign w:val="bottom"/>
          </w:tcPr>
          <w:p w14:paraId="79726835" w14:textId="77777777" w:rsidR="00394183" w:rsidRDefault="00394183" w:rsidP="00CE058F">
            <w:pPr>
              <w:jc w:val="center"/>
            </w:pPr>
            <w:r>
              <w:rPr>
                <w:color w:val="000000"/>
              </w:rPr>
              <w:t>2.713</w:t>
            </w:r>
          </w:p>
        </w:tc>
        <w:tc>
          <w:tcPr>
            <w:tcW w:w="1282" w:type="dxa"/>
            <w:tcMar>
              <w:top w:w="20" w:type="dxa"/>
              <w:left w:w="20" w:type="dxa"/>
              <w:bottom w:w="100" w:type="dxa"/>
              <w:right w:w="20" w:type="dxa"/>
            </w:tcMar>
            <w:vAlign w:val="bottom"/>
          </w:tcPr>
          <w:p w14:paraId="3514A7A0" w14:textId="77777777" w:rsidR="00394183" w:rsidRDefault="00394183" w:rsidP="00CE058F">
            <w:pPr>
              <w:jc w:val="center"/>
            </w:pPr>
            <w:r>
              <w:rPr>
                <w:color w:val="000000"/>
              </w:rPr>
              <w:t>2.716</w:t>
            </w:r>
            <w:r w:rsidRPr="00793433">
              <w:rPr>
                <w:i/>
                <w:iCs/>
                <w:color w:val="000000"/>
              </w:rPr>
              <w:t>b</w:t>
            </w:r>
          </w:p>
        </w:tc>
        <w:tc>
          <w:tcPr>
            <w:tcW w:w="1285" w:type="dxa"/>
            <w:tcBorders>
              <w:right w:val="single" w:sz="4" w:space="0" w:color="000000"/>
            </w:tcBorders>
            <w:tcMar>
              <w:top w:w="20" w:type="dxa"/>
              <w:left w:w="20" w:type="dxa"/>
              <w:bottom w:w="100" w:type="dxa"/>
              <w:right w:w="20" w:type="dxa"/>
            </w:tcMar>
            <w:vAlign w:val="bottom"/>
          </w:tcPr>
          <w:p w14:paraId="746F6E07" w14:textId="77777777" w:rsidR="00394183" w:rsidRDefault="00394183" w:rsidP="00CE058F">
            <w:pPr>
              <w:jc w:val="center"/>
            </w:pPr>
            <w:r>
              <w:rPr>
                <w:color w:val="000000"/>
              </w:rPr>
              <w:t>2.427</w:t>
            </w:r>
            <w:r w:rsidRPr="00C77DE2">
              <w:rPr>
                <w:i/>
                <w:iCs/>
                <w:color w:val="000000"/>
              </w:rPr>
              <w:t>c</w:t>
            </w:r>
          </w:p>
        </w:tc>
      </w:tr>
      <w:tr w:rsidR="00394183" w14:paraId="472CCBA9" w14:textId="77777777" w:rsidTr="00CE058F">
        <w:trPr>
          <w:trHeight w:val="38"/>
          <w:jc w:val="center"/>
        </w:trPr>
        <w:tc>
          <w:tcPr>
            <w:tcW w:w="2785" w:type="dxa"/>
            <w:tcBorders>
              <w:left w:val="single" w:sz="4" w:space="0" w:color="000000"/>
              <w:bottom w:val="single" w:sz="4" w:space="0" w:color="000000"/>
            </w:tcBorders>
            <w:tcMar>
              <w:top w:w="20" w:type="dxa"/>
              <w:left w:w="20" w:type="dxa"/>
              <w:bottom w:w="100" w:type="dxa"/>
              <w:right w:w="20" w:type="dxa"/>
            </w:tcMar>
            <w:vAlign w:val="bottom"/>
          </w:tcPr>
          <w:p w14:paraId="453B1C84" w14:textId="77777777" w:rsidR="00394183" w:rsidRDefault="00394183" w:rsidP="00CE058F"/>
        </w:tc>
        <w:tc>
          <w:tcPr>
            <w:tcW w:w="1128" w:type="dxa"/>
            <w:tcBorders>
              <w:bottom w:val="single" w:sz="4" w:space="0" w:color="000000"/>
            </w:tcBorders>
            <w:tcMar>
              <w:top w:w="20" w:type="dxa"/>
              <w:left w:w="20" w:type="dxa"/>
              <w:bottom w:w="100" w:type="dxa"/>
              <w:right w:w="20" w:type="dxa"/>
            </w:tcMar>
            <w:vAlign w:val="bottom"/>
          </w:tcPr>
          <w:p w14:paraId="07C1E0AE" w14:textId="77777777" w:rsidR="00394183" w:rsidRDefault="00394183" w:rsidP="00CE058F">
            <w:pPr>
              <w:jc w:val="center"/>
            </w:pPr>
            <w:r>
              <w:rPr>
                <w:color w:val="000000"/>
              </w:rPr>
              <w:t>(0.037)</w:t>
            </w:r>
          </w:p>
        </w:tc>
        <w:tc>
          <w:tcPr>
            <w:tcW w:w="1282" w:type="dxa"/>
            <w:tcBorders>
              <w:bottom w:val="single" w:sz="4" w:space="0" w:color="000000"/>
            </w:tcBorders>
            <w:tcMar>
              <w:top w:w="20" w:type="dxa"/>
              <w:left w:w="20" w:type="dxa"/>
              <w:bottom w:w="100" w:type="dxa"/>
              <w:right w:w="20" w:type="dxa"/>
            </w:tcMar>
            <w:vAlign w:val="bottom"/>
          </w:tcPr>
          <w:p w14:paraId="33D515D4" w14:textId="77777777" w:rsidR="00394183" w:rsidRDefault="00394183" w:rsidP="00CE058F">
            <w:pPr>
              <w:jc w:val="center"/>
            </w:pPr>
            <w:r>
              <w:rPr>
                <w:color w:val="000000"/>
              </w:rPr>
              <w:t>(0.033)</w:t>
            </w:r>
          </w:p>
        </w:tc>
        <w:tc>
          <w:tcPr>
            <w:tcW w:w="1285" w:type="dxa"/>
            <w:tcBorders>
              <w:bottom w:val="single" w:sz="4" w:space="0" w:color="000000"/>
              <w:right w:val="single" w:sz="4" w:space="0" w:color="000000"/>
            </w:tcBorders>
            <w:tcMar>
              <w:top w:w="20" w:type="dxa"/>
              <w:left w:w="20" w:type="dxa"/>
              <w:bottom w:w="100" w:type="dxa"/>
              <w:right w:w="20" w:type="dxa"/>
            </w:tcMar>
            <w:vAlign w:val="bottom"/>
          </w:tcPr>
          <w:p w14:paraId="10B33CB6" w14:textId="77777777" w:rsidR="00394183" w:rsidRDefault="00394183" w:rsidP="00CE058F">
            <w:pPr>
              <w:jc w:val="center"/>
            </w:pPr>
            <w:r>
              <w:rPr>
                <w:color w:val="000000"/>
              </w:rPr>
              <w:t>(0.033)</w:t>
            </w:r>
          </w:p>
        </w:tc>
      </w:tr>
      <w:tr w:rsidR="00394183" w14:paraId="7095AE24" w14:textId="77777777" w:rsidTr="00CE058F">
        <w:trPr>
          <w:trHeight w:val="612"/>
          <w:jc w:val="center"/>
        </w:trPr>
        <w:tc>
          <w:tcPr>
            <w:tcW w:w="6480" w:type="dxa"/>
            <w:gridSpan w:val="4"/>
            <w:vMerge w:val="restart"/>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1C8DFF6B" w14:textId="77777777" w:rsidR="00394183" w:rsidRDefault="00394183" w:rsidP="00CE058F">
            <w:pPr>
              <w:rPr>
                <w:sz w:val="20"/>
                <w:szCs w:val="20"/>
              </w:rPr>
            </w:pPr>
            <w:r>
              <w:rPr>
                <w:color w:val="000000"/>
                <w:sz w:val="20"/>
                <w:szCs w:val="20"/>
              </w:rPr>
              <w:t>Note: Table reports means for each period with standard errors in parentheses.  </w:t>
            </w:r>
          </w:p>
          <w:p w14:paraId="0E8C6A5D" w14:textId="77777777" w:rsidR="00394183" w:rsidRDefault="00394183" w:rsidP="00CE058F">
            <w:pPr>
              <w:rPr>
                <w:sz w:val="20"/>
                <w:szCs w:val="20"/>
              </w:rPr>
            </w:pPr>
            <w:r w:rsidRPr="00C77DE2">
              <w:rPr>
                <w:i/>
                <w:iCs/>
                <w:color w:val="000000"/>
                <w:sz w:val="20"/>
                <w:szCs w:val="20"/>
              </w:rPr>
              <w:t>a</w:t>
            </w:r>
            <w:r>
              <w:rPr>
                <w:color w:val="000000"/>
                <w:sz w:val="20"/>
                <w:szCs w:val="20"/>
              </w:rPr>
              <w:t>) Difference in means between Post-Protest and Pre-Presidential are statistically significant at p &lt; .05. </w:t>
            </w:r>
          </w:p>
          <w:p w14:paraId="3BD937FE" w14:textId="77777777" w:rsidR="00394183" w:rsidRDefault="00394183" w:rsidP="00CE058F">
            <w:pPr>
              <w:rPr>
                <w:sz w:val="20"/>
                <w:szCs w:val="20"/>
              </w:rPr>
            </w:pPr>
            <w:r w:rsidRPr="00C77DE2">
              <w:rPr>
                <w:i/>
                <w:iCs/>
                <w:color w:val="000000"/>
                <w:sz w:val="20"/>
                <w:szCs w:val="20"/>
              </w:rPr>
              <w:t>b</w:t>
            </w:r>
            <w:r>
              <w:rPr>
                <w:color w:val="000000"/>
                <w:sz w:val="20"/>
                <w:szCs w:val="20"/>
              </w:rPr>
              <w:t>) Difference in means between Pre-Presidential and Post-Presidential are statistically significant at p &lt; .05. </w:t>
            </w:r>
          </w:p>
          <w:p w14:paraId="1745ECAF" w14:textId="77777777" w:rsidR="00394183" w:rsidRDefault="00394183" w:rsidP="00CE058F">
            <w:r w:rsidRPr="00C77DE2">
              <w:rPr>
                <w:i/>
                <w:iCs/>
                <w:color w:val="000000"/>
                <w:sz w:val="20"/>
                <w:szCs w:val="20"/>
              </w:rPr>
              <w:t>c</w:t>
            </w:r>
            <w:r>
              <w:rPr>
                <w:color w:val="000000"/>
                <w:sz w:val="20"/>
                <w:szCs w:val="20"/>
              </w:rPr>
              <w:t>) Difference in means between Post-Protest and Post-Presidential are statistically significant at p &lt; .05.</w:t>
            </w:r>
            <w:r>
              <w:rPr>
                <w:color w:val="000000"/>
              </w:rPr>
              <w:t> </w:t>
            </w:r>
          </w:p>
        </w:tc>
      </w:tr>
      <w:tr w:rsidR="00394183" w14:paraId="658C01A5" w14:textId="77777777" w:rsidTr="00CE058F">
        <w:trPr>
          <w:trHeight w:val="317"/>
          <w:jc w:val="center"/>
        </w:trPr>
        <w:tc>
          <w:tcPr>
            <w:tcW w:w="6480" w:type="dxa"/>
            <w:gridSpan w:val="4"/>
            <w:vMerge/>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946A09A" w14:textId="77777777" w:rsidR="00394183" w:rsidRDefault="00394183" w:rsidP="00CE058F">
            <w:pPr>
              <w:widowControl w:val="0"/>
              <w:pBdr>
                <w:top w:val="nil"/>
                <w:left w:val="nil"/>
                <w:bottom w:val="nil"/>
                <w:right w:val="nil"/>
                <w:between w:val="nil"/>
              </w:pBdr>
              <w:spacing w:line="276" w:lineRule="auto"/>
            </w:pPr>
          </w:p>
        </w:tc>
      </w:tr>
    </w:tbl>
    <w:p w14:paraId="4727FEA4" w14:textId="77777777" w:rsidR="00394183" w:rsidRDefault="00394183" w:rsidP="00394183">
      <w:pPr>
        <w:spacing w:line="480" w:lineRule="auto"/>
        <w:rPr>
          <w:color w:val="000000"/>
        </w:rPr>
      </w:pPr>
    </w:p>
    <w:p w14:paraId="6051C93D" w14:textId="77777777" w:rsidR="00394183" w:rsidRDefault="00394183" w:rsidP="00FD2AB5">
      <w:pPr>
        <w:rPr>
          <w:b/>
          <w:color w:val="000000"/>
          <w:sz w:val="30"/>
          <w:szCs w:val="30"/>
        </w:rPr>
      </w:pPr>
    </w:p>
    <w:p w14:paraId="65B1C2CE" w14:textId="77777777" w:rsidR="00E457E9" w:rsidRDefault="00E457E9" w:rsidP="00FD2AB5">
      <w:pPr>
        <w:rPr>
          <w:b/>
          <w:color w:val="000000"/>
          <w:sz w:val="30"/>
          <w:szCs w:val="30"/>
        </w:rPr>
      </w:pPr>
    </w:p>
    <w:p w14:paraId="4A7FEFD8" w14:textId="77777777" w:rsidR="00E457E9" w:rsidRDefault="00E457E9" w:rsidP="00FD2AB5">
      <w:pPr>
        <w:rPr>
          <w:b/>
          <w:color w:val="000000"/>
          <w:sz w:val="30"/>
          <w:szCs w:val="30"/>
        </w:rPr>
      </w:pPr>
    </w:p>
    <w:p w14:paraId="75B5909B" w14:textId="77777777" w:rsidR="00E457E9" w:rsidRDefault="00E457E9" w:rsidP="00FD2AB5">
      <w:pPr>
        <w:rPr>
          <w:b/>
          <w:color w:val="000000"/>
          <w:sz w:val="30"/>
          <w:szCs w:val="30"/>
        </w:rPr>
      </w:pPr>
    </w:p>
    <w:p w14:paraId="3F3C4FE8" w14:textId="77777777" w:rsidR="00E457E9" w:rsidRDefault="00E457E9" w:rsidP="00FD2AB5">
      <w:pPr>
        <w:rPr>
          <w:b/>
          <w:color w:val="000000"/>
          <w:sz w:val="30"/>
          <w:szCs w:val="30"/>
        </w:rPr>
      </w:pPr>
    </w:p>
    <w:p w14:paraId="2887DA91" w14:textId="77777777" w:rsidR="00E457E9" w:rsidRDefault="00E457E9" w:rsidP="00FD2AB5">
      <w:pPr>
        <w:rPr>
          <w:b/>
          <w:color w:val="000000"/>
          <w:sz w:val="30"/>
          <w:szCs w:val="30"/>
        </w:rPr>
      </w:pPr>
    </w:p>
    <w:p w14:paraId="5C0B35B8" w14:textId="77777777" w:rsidR="00E457E9" w:rsidRDefault="00E457E9" w:rsidP="00FD2AB5">
      <w:pPr>
        <w:rPr>
          <w:b/>
          <w:color w:val="000000"/>
          <w:sz w:val="30"/>
          <w:szCs w:val="30"/>
        </w:rPr>
      </w:pPr>
    </w:p>
    <w:p w14:paraId="12D0F5F3" w14:textId="77777777" w:rsidR="00E457E9" w:rsidRDefault="00E457E9" w:rsidP="00FD2AB5">
      <w:pPr>
        <w:rPr>
          <w:b/>
          <w:color w:val="000000"/>
          <w:sz w:val="30"/>
          <w:szCs w:val="30"/>
        </w:rPr>
      </w:pPr>
    </w:p>
    <w:p w14:paraId="1F4E809C" w14:textId="77777777" w:rsidR="00E457E9" w:rsidRDefault="00E457E9" w:rsidP="00FD2AB5">
      <w:pPr>
        <w:rPr>
          <w:b/>
          <w:color w:val="000000"/>
          <w:sz w:val="30"/>
          <w:szCs w:val="30"/>
        </w:rPr>
      </w:pPr>
    </w:p>
    <w:p w14:paraId="5FB4D485" w14:textId="77777777" w:rsidR="00E457E9" w:rsidRDefault="00E457E9" w:rsidP="00FD2AB5">
      <w:pPr>
        <w:rPr>
          <w:b/>
          <w:color w:val="000000"/>
          <w:sz w:val="30"/>
          <w:szCs w:val="30"/>
        </w:rPr>
      </w:pPr>
    </w:p>
    <w:p w14:paraId="28FB403C" w14:textId="77777777" w:rsidR="00E457E9" w:rsidRDefault="00E457E9" w:rsidP="00FD2AB5">
      <w:pPr>
        <w:rPr>
          <w:b/>
          <w:color w:val="000000"/>
          <w:sz w:val="30"/>
          <w:szCs w:val="30"/>
        </w:rPr>
      </w:pPr>
    </w:p>
    <w:p w14:paraId="186FFD53" w14:textId="77777777" w:rsidR="00E457E9" w:rsidRDefault="00E457E9" w:rsidP="00FD2AB5">
      <w:pPr>
        <w:rPr>
          <w:b/>
          <w:color w:val="000000"/>
          <w:sz w:val="30"/>
          <w:szCs w:val="30"/>
        </w:rPr>
      </w:pPr>
    </w:p>
    <w:p w14:paraId="519C323A" w14:textId="77777777" w:rsidR="00E457E9" w:rsidRDefault="00E457E9" w:rsidP="00FD2AB5">
      <w:pPr>
        <w:rPr>
          <w:b/>
          <w:color w:val="000000"/>
          <w:sz w:val="30"/>
          <w:szCs w:val="30"/>
        </w:rPr>
      </w:pPr>
    </w:p>
    <w:p w14:paraId="643C3454" w14:textId="1B561CD1" w:rsidR="00FD2AB5" w:rsidRPr="00FD2AB5" w:rsidRDefault="00FD2AB5" w:rsidP="00FD2AB5">
      <w:pPr>
        <w:rPr>
          <w:b/>
          <w:color w:val="000000"/>
          <w:sz w:val="30"/>
          <w:szCs w:val="30"/>
        </w:rPr>
      </w:pPr>
      <w:r w:rsidRPr="00FD2AB5">
        <w:rPr>
          <w:b/>
          <w:color w:val="000000"/>
          <w:sz w:val="30"/>
          <w:szCs w:val="30"/>
        </w:rPr>
        <w:lastRenderedPageBreak/>
        <w:t xml:space="preserve">Appendix </w:t>
      </w:r>
      <w:r w:rsidR="00394183">
        <w:rPr>
          <w:b/>
          <w:color w:val="000000"/>
          <w:sz w:val="30"/>
          <w:szCs w:val="30"/>
        </w:rPr>
        <w:t>C</w:t>
      </w:r>
      <w:r w:rsidRPr="00FD2AB5">
        <w:rPr>
          <w:b/>
          <w:color w:val="000000"/>
          <w:sz w:val="30"/>
          <w:szCs w:val="30"/>
        </w:rPr>
        <w:t xml:space="preserve">: </w:t>
      </w:r>
      <w:r w:rsidRPr="00FD2AB5">
        <w:rPr>
          <w:b/>
          <w:sz w:val="30"/>
          <w:szCs w:val="30"/>
        </w:rPr>
        <w:t>Appropriate Authority Response or Fear of Disorder?</w:t>
      </w:r>
    </w:p>
    <w:p w14:paraId="74B05E18" w14:textId="77777777" w:rsidR="00FD2AB5" w:rsidRDefault="00FD2AB5" w:rsidP="00FD2AB5">
      <w:pPr>
        <w:rPr>
          <w:b/>
        </w:rPr>
      </w:pPr>
    </w:p>
    <w:p w14:paraId="2D16A7EB" w14:textId="00545A00" w:rsidR="00FD2AB5" w:rsidRDefault="00D13F48" w:rsidP="00FD2AB5">
      <w:pPr>
        <w:spacing w:line="480" w:lineRule="auto"/>
        <w:ind w:firstLine="720"/>
      </w:pPr>
      <w:r>
        <w:t>Results suggest</w:t>
      </w:r>
      <w:r w:rsidR="00FD2AB5">
        <w:t xml:space="preserve"> that trust in President Putin rebounded to nearly pre-election levels following the anti-regime protests in December 2011. Why do we see this positive shift in attitudes after the protests, </w:t>
      </w:r>
      <w:r w:rsidR="00FD2AB5" w:rsidRPr="00883652">
        <w:t>a shift made even more puzzling by the actively anti-regime and anti-Putin messaging of the protests?</w:t>
      </w:r>
      <w:r w:rsidR="00FD2AB5">
        <w:t xml:space="preserve"> Protests carry different types of information to observers that may influence their attitudes of the government. While anti-regime protests implicitly carry with them messaging that portrays the regime in a negative light, they may also carry information that can improve attitudes toward authorities. Existing scholarship has identified two key mechanisms by which the occurrence of protests may improve trust in existing government institutions and leaders: appropriate authority response and fear of disorder. While my data do not allow me to directly test these mechanisms, I investigate a series of observable implications indicated by them.  </w:t>
      </w:r>
    </w:p>
    <w:p w14:paraId="5934BD1C" w14:textId="77777777" w:rsidR="00FD2AB5" w:rsidRDefault="00FD2AB5" w:rsidP="00FD2AB5">
      <w:pPr>
        <w:spacing w:line="480" w:lineRule="auto"/>
        <w:ind w:firstLine="720"/>
      </w:pPr>
      <w:r>
        <w:t xml:space="preserve">First, Frye and </w:t>
      </w:r>
      <w:proofErr w:type="spellStart"/>
      <w:r>
        <w:t>Borisova</w:t>
      </w:r>
      <w:proofErr w:type="spellEnd"/>
      <w:r>
        <w:t xml:space="preserve"> (2019) argue that when authorities in non-democracies allow protests to occur relatively free of repression, attitudes toward the regime will improve as people adjust their expectations about the freedoms afforded to them—what I call the “authority response” mechanism. According to this theory, it is the authorities’ response to the protests, rather than the protests themselves, that contributes to increased levels of trust. This theory has a couple of observable implications. First, the theory presupposes that changes in trust are predicated on authorities pursuing a mild response to protests that uses repression sparingly, if at all. We should therefore expect people to have positive views of authorities’ response to protests. This does appear to be the case for the 2011-2012 Russian Duma election protests: 55 percent of individuals stated that they believed authorities’ response to the protest was just right while less than 10 percent thought the response was too harsh. </w:t>
      </w:r>
    </w:p>
    <w:p w14:paraId="5747B3BC" w14:textId="51E675DA" w:rsidR="00FD2AB5" w:rsidRDefault="00FD2AB5" w:rsidP="00FD2AB5">
      <w:pPr>
        <w:spacing w:line="480" w:lineRule="auto"/>
        <w:ind w:firstLine="720"/>
      </w:pPr>
      <w:r>
        <w:lastRenderedPageBreak/>
        <w:t xml:space="preserve">Second, the authority response mechanism implies that trust in Putin should increase primarily among those who are supportive of civil liberties, such as the freedom of expression and assembly. If an individual believes that civil liberties are important for society, they will be more likely to be more trusting of the government when they demonstrate a respect for these rights. To examine whether the influence of protest on trust is contingent upon support for civil liberties, I conduct ordinary least squares regressions with robust standard errors and fixed effects for education and </w:t>
      </w:r>
      <w:proofErr w:type="gramStart"/>
      <w:r>
        <w:t>include;</w:t>
      </w:r>
      <w:proofErr w:type="gramEnd"/>
      <w:r>
        <w:t xml:space="preserve"> I include interaction terms for support of protests in general and, separately, support for freedom of expression.</w:t>
      </w:r>
      <w:r>
        <w:rPr>
          <w:vertAlign w:val="superscript"/>
        </w:rPr>
        <w:footnoteReference w:id="4"/>
      </w:r>
      <w:r>
        <w:t xml:space="preserve"> See Figures </w:t>
      </w:r>
      <w:r w:rsidR="00B45B5B">
        <w:t>A</w:t>
      </w:r>
      <w:r>
        <w:t xml:space="preserve">4 and </w:t>
      </w:r>
      <w:r w:rsidR="00B45B5B">
        <w:t>A</w:t>
      </w:r>
      <w:r>
        <w:t xml:space="preserve">5 for results. </w:t>
      </w:r>
    </w:p>
    <w:p w14:paraId="74C727F5" w14:textId="7EFB95E1" w:rsidR="00FD2AB5" w:rsidRDefault="00FD2AB5" w:rsidP="00FD2AB5">
      <w:pPr>
        <w:spacing w:line="480" w:lineRule="auto"/>
        <w:ind w:firstLine="720"/>
      </w:pPr>
      <w:r>
        <w:t xml:space="preserve">There is no evidence to suggest that attitudes toward protests have a discernable impact on trust across any </w:t>
      </w:r>
      <w:proofErr w:type="gramStart"/>
      <w:r>
        <w:t>time period</w:t>
      </w:r>
      <w:proofErr w:type="gramEnd"/>
      <w:r>
        <w:t xml:space="preserve">. However, attitudes toward protests in general are also likely to be influenced by political events. Indeed, support for protests changed during the election and protest periods. I therefore examine support for freedom of expression, which remained constant over time. The results here tell a different story: Trust in Putin decreased after the Duma elections primarily for those who believe that the right to self-expression is a top priority, only to </w:t>
      </w:r>
      <w:r>
        <w:lastRenderedPageBreak/>
        <w:t xml:space="preserve">rebound during the initial protest period. Conversely, trust in Putin increases after the elections for those who believe freedom of expression is harmful for society and decreases after the protests. These results provide some, albeit mixed support for the proposition that permitting protests to occur unmolested can improve trust in authorities.  </w:t>
      </w:r>
    </w:p>
    <w:p w14:paraId="257888FA" w14:textId="77777777" w:rsidR="008A5EF6" w:rsidRDefault="008A5EF6" w:rsidP="00FD2AB5">
      <w:pPr>
        <w:spacing w:line="480" w:lineRule="auto"/>
        <w:ind w:firstLine="720"/>
      </w:pPr>
    </w:p>
    <w:tbl>
      <w:tblPr>
        <w:tblStyle w:val="af2"/>
        <w:tblW w:w="9271"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1"/>
      </w:tblGrid>
      <w:tr w:rsidR="00FD2AB5" w14:paraId="2D65C937" w14:textId="77777777" w:rsidTr="009062DB">
        <w:trPr>
          <w:trHeight w:val="167"/>
        </w:trPr>
        <w:tc>
          <w:tcPr>
            <w:tcW w:w="9271" w:type="dxa"/>
          </w:tcPr>
          <w:p w14:paraId="1754DB17" w14:textId="3ECAAF1C" w:rsidR="00FD2AB5" w:rsidRDefault="00B45B5B" w:rsidP="009062DB">
            <w:pPr>
              <w:jc w:val="center"/>
              <w:rPr>
                <w:b/>
              </w:rPr>
            </w:pPr>
            <w:r>
              <w:rPr>
                <w:b/>
              </w:rPr>
              <w:t>Figure A</w:t>
            </w:r>
            <w:r w:rsidR="00FD2AB5">
              <w:rPr>
                <w:b/>
              </w:rPr>
              <w:t>4: Predicted Margins for Trust in Putin by Views of Protests (95% CI)</w:t>
            </w:r>
          </w:p>
        </w:tc>
      </w:tr>
      <w:tr w:rsidR="00FD2AB5" w14:paraId="4FEC4B5F" w14:textId="77777777" w:rsidTr="009062DB">
        <w:trPr>
          <w:trHeight w:val="4692"/>
        </w:trPr>
        <w:tc>
          <w:tcPr>
            <w:tcW w:w="9271" w:type="dxa"/>
          </w:tcPr>
          <w:p w14:paraId="34E4FDE0" w14:textId="77777777" w:rsidR="00FD2AB5" w:rsidRDefault="00FD2AB5" w:rsidP="009062DB">
            <w:pPr>
              <w:spacing w:line="480" w:lineRule="auto"/>
              <w:jc w:val="center"/>
            </w:pPr>
            <w:r>
              <w:rPr>
                <w:noProof/>
              </w:rPr>
              <w:drawing>
                <wp:inline distT="0" distB="0" distL="0" distR="0" wp14:anchorId="38B40EB7" wp14:editId="7DEFA454">
                  <wp:extent cx="4014726" cy="2916936"/>
                  <wp:effectExtent l="0" t="0" r="0" b="4445"/>
                  <wp:docPr id="33" name="image1.png" descr="A graph of a number of men and wome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 name="image1.png" descr="A graph of a number of men and women&#10;&#10;Description automatically generated with medium confidence"/>
                          <pic:cNvPicPr preferRelativeResize="0"/>
                        </pic:nvPicPr>
                        <pic:blipFill>
                          <a:blip r:embed="rId13"/>
                          <a:srcRect/>
                          <a:stretch>
                            <a:fillRect/>
                          </a:stretch>
                        </pic:blipFill>
                        <pic:spPr>
                          <a:xfrm>
                            <a:off x="0" y="0"/>
                            <a:ext cx="4014726" cy="2916936"/>
                          </a:xfrm>
                          <a:prstGeom prst="rect">
                            <a:avLst/>
                          </a:prstGeom>
                          <a:ln/>
                        </pic:spPr>
                      </pic:pic>
                    </a:graphicData>
                  </a:graphic>
                </wp:inline>
              </w:drawing>
            </w:r>
          </w:p>
        </w:tc>
      </w:tr>
    </w:tbl>
    <w:p w14:paraId="371462EA" w14:textId="13417764" w:rsidR="00FD2AB5" w:rsidRDefault="00FD2AB5" w:rsidP="00FD2AB5">
      <w:pPr>
        <w:jc w:val="center"/>
        <w:rPr>
          <w:color w:val="000000"/>
          <w:highlight w:val="yellow"/>
        </w:rPr>
      </w:pPr>
      <w:r>
        <w:rPr>
          <w:color w:val="000000"/>
        </w:rPr>
        <w:t xml:space="preserve">Note: Predicted trust in Vladimir Putin by views of protests with 95% confidence intervals. </w:t>
      </w:r>
      <w:r>
        <w:t>Ordinary least squares with robust standard errors. Fixed effects for income and education are not shown.</w:t>
      </w:r>
    </w:p>
    <w:p w14:paraId="242377F6" w14:textId="77777777" w:rsidR="00FD2AB5" w:rsidRDefault="00FD2AB5" w:rsidP="00FD2AB5"/>
    <w:p w14:paraId="7FBDE0BF" w14:textId="77777777" w:rsidR="00FD2AB5" w:rsidRDefault="00FD2AB5" w:rsidP="00FD2AB5"/>
    <w:p w14:paraId="3263EB0F" w14:textId="77777777" w:rsidR="00FD2AB5" w:rsidRDefault="00FD2AB5" w:rsidP="00FD2AB5"/>
    <w:p w14:paraId="3E3D790A" w14:textId="77777777" w:rsidR="00FD2AB5" w:rsidRDefault="00FD2AB5" w:rsidP="00FD2AB5"/>
    <w:p w14:paraId="57593F43" w14:textId="77777777" w:rsidR="00FD2AB5" w:rsidRDefault="00FD2AB5" w:rsidP="00FD2AB5"/>
    <w:p w14:paraId="4A7FE942" w14:textId="77777777" w:rsidR="00FD2AB5" w:rsidRDefault="00FD2AB5" w:rsidP="00FD2AB5"/>
    <w:p w14:paraId="4ED1BCB2" w14:textId="77777777" w:rsidR="008A5EF6" w:rsidRDefault="008A5EF6" w:rsidP="00FD2AB5"/>
    <w:p w14:paraId="53ECBB24" w14:textId="77777777" w:rsidR="008A5EF6" w:rsidRDefault="008A5EF6" w:rsidP="00FD2AB5"/>
    <w:p w14:paraId="54C76F7E" w14:textId="77777777" w:rsidR="008A5EF6" w:rsidRDefault="008A5EF6" w:rsidP="00FD2AB5"/>
    <w:p w14:paraId="4AE2241A" w14:textId="77777777" w:rsidR="008A5EF6" w:rsidRDefault="008A5EF6" w:rsidP="00FD2AB5"/>
    <w:p w14:paraId="1516331E" w14:textId="77777777" w:rsidR="008A5EF6" w:rsidRDefault="008A5EF6" w:rsidP="00FD2AB5"/>
    <w:p w14:paraId="08007E2F" w14:textId="77777777" w:rsidR="008A5EF6" w:rsidRDefault="008A5EF6" w:rsidP="00FD2AB5"/>
    <w:p w14:paraId="043214E5" w14:textId="77777777" w:rsidR="008A5EF6" w:rsidRDefault="008A5EF6" w:rsidP="00FD2AB5"/>
    <w:tbl>
      <w:tblPr>
        <w:tblStyle w:val="af3"/>
        <w:tblW w:w="9285"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5"/>
      </w:tblGrid>
      <w:tr w:rsidR="00FD2AB5" w14:paraId="186B2C88" w14:textId="77777777" w:rsidTr="009062DB">
        <w:trPr>
          <w:trHeight w:val="223"/>
        </w:trPr>
        <w:tc>
          <w:tcPr>
            <w:tcW w:w="9285" w:type="dxa"/>
          </w:tcPr>
          <w:p w14:paraId="28246CB5" w14:textId="76046E4C" w:rsidR="00FD2AB5" w:rsidRDefault="00B45B5B" w:rsidP="009062DB">
            <w:pPr>
              <w:jc w:val="center"/>
              <w:rPr>
                <w:b/>
              </w:rPr>
            </w:pPr>
            <w:r>
              <w:rPr>
                <w:b/>
              </w:rPr>
              <w:lastRenderedPageBreak/>
              <w:t>Figure A</w:t>
            </w:r>
            <w:r w:rsidR="00FD2AB5">
              <w:rPr>
                <w:b/>
              </w:rPr>
              <w:t>5: Predicted Margins for Trust in Putin by Freedom of Expression  (95% CI)</w:t>
            </w:r>
          </w:p>
        </w:tc>
      </w:tr>
      <w:tr w:rsidR="00FD2AB5" w14:paraId="7DB2CC72" w14:textId="77777777" w:rsidTr="009062DB">
        <w:trPr>
          <w:trHeight w:val="4734"/>
        </w:trPr>
        <w:tc>
          <w:tcPr>
            <w:tcW w:w="9285" w:type="dxa"/>
          </w:tcPr>
          <w:p w14:paraId="6992F04F" w14:textId="77777777" w:rsidR="005757CF" w:rsidRDefault="005757CF" w:rsidP="009062DB">
            <w:pPr>
              <w:spacing w:line="480" w:lineRule="auto"/>
              <w:jc w:val="center"/>
            </w:pPr>
          </w:p>
          <w:p w14:paraId="6298098A" w14:textId="12FC0686" w:rsidR="00FD2AB5" w:rsidRDefault="00FD2AB5" w:rsidP="009062DB">
            <w:pPr>
              <w:spacing w:line="480" w:lineRule="auto"/>
              <w:jc w:val="center"/>
            </w:pPr>
            <w:r>
              <w:rPr>
                <w:noProof/>
              </w:rPr>
              <w:drawing>
                <wp:inline distT="0" distB="0" distL="0" distR="0" wp14:anchorId="59F8BA45" wp14:editId="360EC41B">
                  <wp:extent cx="4174910" cy="3035731"/>
                  <wp:effectExtent l="0" t="0" r="0" b="0"/>
                  <wp:docPr id="32" name="image5.png" descr="A graph of a number of people with the same number of poin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2" name="image5.png" descr="A graph of a number of people with the same number of points&#10;&#10;Description automatically generated with medium confidence"/>
                          <pic:cNvPicPr preferRelativeResize="0"/>
                        </pic:nvPicPr>
                        <pic:blipFill>
                          <a:blip r:embed="rId14"/>
                          <a:srcRect/>
                          <a:stretch>
                            <a:fillRect/>
                          </a:stretch>
                        </pic:blipFill>
                        <pic:spPr>
                          <a:xfrm>
                            <a:off x="0" y="0"/>
                            <a:ext cx="4174910" cy="3035731"/>
                          </a:xfrm>
                          <a:prstGeom prst="rect">
                            <a:avLst/>
                          </a:prstGeom>
                          <a:ln/>
                        </pic:spPr>
                      </pic:pic>
                    </a:graphicData>
                  </a:graphic>
                </wp:inline>
              </w:drawing>
            </w:r>
          </w:p>
        </w:tc>
      </w:tr>
    </w:tbl>
    <w:p w14:paraId="4F5A1F09" w14:textId="6D80149D" w:rsidR="00FD2AB5" w:rsidRDefault="00FD2AB5" w:rsidP="00FD2AB5">
      <w:pPr>
        <w:jc w:val="center"/>
        <w:rPr>
          <w:color w:val="000000"/>
        </w:rPr>
      </w:pPr>
      <w:r>
        <w:rPr>
          <w:color w:val="000000"/>
        </w:rPr>
        <w:t xml:space="preserve">Note: Predicted trust in Vladimir Putin by views of freedom of expression with 95% confidence intervals. </w:t>
      </w:r>
      <w:r>
        <w:t>Ordinary least squares with robust standard errors. Fixed effects for income and education are not shown.</w:t>
      </w:r>
    </w:p>
    <w:p w14:paraId="4F656C38" w14:textId="77777777" w:rsidR="00FD2AB5" w:rsidRDefault="00FD2AB5" w:rsidP="00FD2AB5">
      <w:pPr>
        <w:spacing w:line="480" w:lineRule="auto"/>
        <w:rPr>
          <w:sz w:val="16"/>
          <w:szCs w:val="16"/>
        </w:rPr>
      </w:pPr>
    </w:p>
    <w:p w14:paraId="00F572EB" w14:textId="639A6B34" w:rsidR="00FD2AB5" w:rsidRDefault="00FD2AB5" w:rsidP="00FD2AB5">
      <w:pPr>
        <w:spacing w:line="480" w:lineRule="auto"/>
        <w:ind w:firstLine="720"/>
      </w:pPr>
      <w:r>
        <w:t>The second potential mechanism—fear of disorder—suggests that oppositional protests may increase public concerns regarding societal stability, leading to an improvement in attitudes of the existing order (</w:t>
      </w:r>
      <w:proofErr w:type="spellStart"/>
      <w:r>
        <w:t>Pepinsky</w:t>
      </w:r>
      <w:proofErr w:type="spellEnd"/>
      <w:r>
        <w:t>, 2017; El-</w:t>
      </w:r>
      <w:proofErr w:type="spellStart"/>
      <w:r>
        <w:t>Mallakh</w:t>
      </w:r>
      <w:proofErr w:type="spellEnd"/>
      <w:r>
        <w:t xml:space="preserve">, 2021; </w:t>
      </w:r>
      <w:proofErr w:type="spellStart"/>
      <w:r>
        <w:t>Tertychnaya</w:t>
      </w:r>
      <w:proofErr w:type="spellEnd"/>
      <w:r>
        <w:t xml:space="preserve"> </w:t>
      </w:r>
      <w:r w:rsidR="003918A7">
        <w:t>and</w:t>
      </w:r>
      <w:r>
        <w:t xml:space="preserve"> </w:t>
      </w:r>
      <w:proofErr w:type="spellStart"/>
      <w:r>
        <w:t>Lankina</w:t>
      </w:r>
      <w:proofErr w:type="spellEnd"/>
      <w:r>
        <w:t xml:space="preserve">, 2020). Some studies have suggested that Russians value social stability and order over democratic ideals (e.g. </w:t>
      </w:r>
      <w:proofErr w:type="spellStart"/>
      <w:r>
        <w:t>Carnaghan</w:t>
      </w:r>
      <w:proofErr w:type="spellEnd"/>
      <w:r>
        <w:t xml:space="preserve">, 2007), though more recent research has pushed back against this conclusion (Hale, 2011; Gerber and Chapman, 2018). Therefore, it may be the case that protests are viewed as a potential societal destabilizer. Indeed, this narrative was one forwarded by authorities during the period under examination: In his annual call-in broadcast, President Putin explicitly stated that the opposition was using false allegations of fraud to “destabilize” society (Direct Line 2011). </w:t>
      </w:r>
    </w:p>
    <w:p w14:paraId="63465B4A" w14:textId="77777777" w:rsidR="00FD2AB5" w:rsidRDefault="00FD2AB5" w:rsidP="00FD2AB5">
      <w:pPr>
        <w:spacing w:line="480" w:lineRule="auto"/>
        <w:ind w:firstLine="720"/>
      </w:pPr>
      <w:r>
        <w:t xml:space="preserve">There is, at best, mixed evidence for this idea. Support for the right to protest in general is somewhat robust in Russia: During the period under examination, 38 percent of respondents </w:t>
      </w:r>
      <w:r>
        <w:lastRenderedPageBreak/>
        <w:t>stated that protests are (</w:t>
      </w:r>
      <w:proofErr w:type="gramStart"/>
      <w:r>
        <w:t>definitely or</w:t>
      </w:r>
      <w:proofErr w:type="gramEnd"/>
      <w:r>
        <w:t xml:space="preserve"> probably) good for Russia compared to 18 percent that said they are (definitely or probably) bad. Even as support for the oppositional protest movement waned in the spring of 2012, there was limited agreement that people should avoid protest in order to preserve order in the event of falsified elections.</w:t>
      </w:r>
      <w:r>
        <w:rPr>
          <w:vertAlign w:val="superscript"/>
        </w:rPr>
        <w:footnoteReference w:id="5"/>
      </w:r>
      <w:r>
        <w:t xml:space="preserve"> Finally, despite claims that Russians prefer order over civil liberties, a majority of Russians express preference for public control of authorities over a strong authority.</w:t>
      </w:r>
      <w:r>
        <w:rPr>
          <w:vertAlign w:val="superscript"/>
        </w:rPr>
        <w:footnoteReference w:id="6"/>
      </w:r>
      <w:r>
        <w:t xml:space="preserve"> On average, public opinion polls during the period under examination provide limited support that Russians value order at the expense of civil liberties. </w:t>
      </w:r>
    </w:p>
    <w:p w14:paraId="1D290F63" w14:textId="77777777" w:rsidR="00FD2AB5" w:rsidRDefault="00FD2AB5" w:rsidP="00FD2AB5">
      <w:pPr>
        <w:spacing w:line="480" w:lineRule="auto"/>
        <w:ind w:firstLine="720"/>
      </w:pPr>
      <w:r>
        <w:t xml:space="preserve">However, these figures cannot tell us whether concerns about societal stability increased after the protests and whether these concerns can be linked to increased trust in the existing order. To further examine this mechanism, I look at how fear of a weak government influenced trust in Putin during the December 2011 elections and protest season. The disorder mechanism implies that people who fear instability will be more likely to express increased trust in authorities after protests than those who do not fear instability. While I do not have a direct measure of fear of instability and disorder, concerns about weak government can provide insight into people’s general concerns about stability in the country. There is little evidence to suggest that fear of a weak government increased during the post-protest period: While the percentage of </w:t>
      </w:r>
      <w:r>
        <w:lastRenderedPageBreak/>
        <w:t>those who stated that they fear a weak government increased from 11 percent during the post-Duma period to 14 percent in the post-protest period, this difference is not statistically significant. Due to the low number of observations in the post-protest period, these results should be viewed as suggestive.</w:t>
      </w:r>
    </w:p>
    <w:p w14:paraId="4B3FFE50" w14:textId="126A5DB4" w:rsidR="00FD2AB5" w:rsidRDefault="00FD2AB5" w:rsidP="00FD2AB5">
      <w:pPr>
        <w:spacing w:line="480" w:lineRule="auto"/>
        <w:ind w:firstLine="720"/>
      </w:pPr>
      <w:r>
        <w:t>However, this still begs the question: Does fear of a weak government condition the impact of protest on trust in President Putin? While anti-regime protests may increase fears of a weak government, do these concerns in turn influence trust in Putin? To examine this question, I create an interaction term for individuals who state that they fear or do not fear a weak government before and after the elections (pre- and post-Duma periods) and after the protests (post-Protest period). Results do not support the proposition that trust in Putin varies across time periods for those that fear a weak government</w:t>
      </w:r>
      <w:r w:rsidR="009E55C6">
        <w:t xml:space="preserve"> (</w:t>
      </w:r>
      <w:r w:rsidR="00B45B5B">
        <w:t>Figure A</w:t>
      </w:r>
      <w:r w:rsidR="009E55C6">
        <w:t>6)</w:t>
      </w:r>
      <w:r>
        <w:t>. Among those that state that they do not fear a weak government, support decreases after the elections and rebounds to roughly pre-election levels after the protest.</w:t>
      </w:r>
    </w:p>
    <w:p w14:paraId="710C297D" w14:textId="77777777" w:rsidR="00FD2AB5" w:rsidRDefault="00FD2AB5" w:rsidP="00FD2AB5">
      <w:pPr>
        <w:spacing w:line="480" w:lineRule="auto"/>
        <w:ind w:firstLine="720"/>
      </w:pPr>
    </w:p>
    <w:p w14:paraId="7AA085DC" w14:textId="77777777" w:rsidR="00FD2AB5" w:rsidRDefault="00FD2AB5" w:rsidP="00FD2AB5">
      <w:pPr>
        <w:spacing w:line="480" w:lineRule="auto"/>
        <w:ind w:firstLine="720"/>
      </w:pPr>
    </w:p>
    <w:p w14:paraId="7B3C46E0" w14:textId="77777777" w:rsidR="00FD2AB5" w:rsidRDefault="00FD2AB5" w:rsidP="00FD2AB5">
      <w:pPr>
        <w:spacing w:line="480" w:lineRule="auto"/>
        <w:ind w:firstLine="720"/>
      </w:pPr>
    </w:p>
    <w:p w14:paraId="79521CD1" w14:textId="77777777" w:rsidR="00B45B5B" w:rsidRDefault="00B45B5B" w:rsidP="00FD2AB5">
      <w:pPr>
        <w:spacing w:line="480" w:lineRule="auto"/>
        <w:ind w:firstLine="720"/>
      </w:pPr>
    </w:p>
    <w:p w14:paraId="53B1FBC4" w14:textId="77777777" w:rsidR="00B45B5B" w:rsidRDefault="00B45B5B" w:rsidP="00FD2AB5">
      <w:pPr>
        <w:spacing w:line="480" w:lineRule="auto"/>
        <w:ind w:firstLine="720"/>
      </w:pPr>
    </w:p>
    <w:p w14:paraId="5277E640" w14:textId="77777777" w:rsidR="00FD2AB5" w:rsidRDefault="00FD2AB5" w:rsidP="00FD2AB5">
      <w:pPr>
        <w:spacing w:line="480" w:lineRule="auto"/>
        <w:ind w:firstLine="720"/>
      </w:pPr>
    </w:p>
    <w:p w14:paraId="5CC90E39" w14:textId="77777777" w:rsidR="00FD2AB5" w:rsidRDefault="00FD2AB5" w:rsidP="00FD2AB5">
      <w:pPr>
        <w:spacing w:line="480" w:lineRule="auto"/>
        <w:ind w:firstLine="720"/>
      </w:pPr>
    </w:p>
    <w:p w14:paraId="28338CE8" w14:textId="77777777" w:rsidR="00FD2AB5" w:rsidRDefault="00FD2AB5" w:rsidP="00FD2AB5">
      <w:pPr>
        <w:spacing w:line="480" w:lineRule="auto"/>
        <w:ind w:firstLine="720"/>
      </w:pPr>
    </w:p>
    <w:p w14:paraId="5CB15ED8" w14:textId="77777777" w:rsidR="00FD2AB5" w:rsidRDefault="00FD2AB5" w:rsidP="00FD2AB5">
      <w:pPr>
        <w:spacing w:line="480" w:lineRule="auto"/>
        <w:ind w:firstLine="720"/>
      </w:pPr>
    </w:p>
    <w:p w14:paraId="3817CC66" w14:textId="77777777" w:rsidR="00FD2AB5" w:rsidRDefault="00FD2AB5" w:rsidP="00D175D1">
      <w:pPr>
        <w:spacing w:line="480" w:lineRule="auto"/>
        <w:rPr>
          <w:highlight w:val="yellow"/>
        </w:rPr>
      </w:pPr>
    </w:p>
    <w:tbl>
      <w:tblPr>
        <w:tblStyle w:val="af4"/>
        <w:tblW w:w="93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5"/>
      </w:tblGrid>
      <w:tr w:rsidR="00FD2AB5" w14:paraId="7203A5C2" w14:textId="77777777" w:rsidTr="009062DB">
        <w:trPr>
          <w:trHeight w:val="187"/>
        </w:trPr>
        <w:tc>
          <w:tcPr>
            <w:tcW w:w="9325" w:type="dxa"/>
          </w:tcPr>
          <w:p w14:paraId="040940B2" w14:textId="3A06C5EF" w:rsidR="00FD2AB5" w:rsidRDefault="00B45B5B" w:rsidP="009062DB">
            <w:pPr>
              <w:jc w:val="center"/>
              <w:rPr>
                <w:b/>
              </w:rPr>
            </w:pPr>
            <w:r>
              <w:rPr>
                <w:b/>
              </w:rPr>
              <w:lastRenderedPageBreak/>
              <w:t>Figure A</w:t>
            </w:r>
            <w:r w:rsidR="00FD2AB5">
              <w:rPr>
                <w:b/>
              </w:rPr>
              <w:t>6: Predicted Margins for Trust in Putin by Fear of Weak Government</w:t>
            </w:r>
          </w:p>
        </w:tc>
      </w:tr>
      <w:tr w:rsidR="00FD2AB5" w14:paraId="0564E305" w14:textId="77777777" w:rsidTr="009062DB">
        <w:trPr>
          <w:trHeight w:val="3974"/>
        </w:trPr>
        <w:tc>
          <w:tcPr>
            <w:tcW w:w="9325" w:type="dxa"/>
          </w:tcPr>
          <w:p w14:paraId="105716D0" w14:textId="77777777" w:rsidR="005757CF" w:rsidRDefault="005757CF" w:rsidP="009062DB">
            <w:pPr>
              <w:spacing w:line="480" w:lineRule="auto"/>
              <w:jc w:val="center"/>
            </w:pPr>
          </w:p>
          <w:p w14:paraId="10FAED0E" w14:textId="4519F84A" w:rsidR="00FD2AB5" w:rsidRDefault="00FD2AB5" w:rsidP="009062DB">
            <w:pPr>
              <w:spacing w:line="480" w:lineRule="auto"/>
              <w:jc w:val="center"/>
            </w:pPr>
            <w:r>
              <w:rPr>
                <w:noProof/>
              </w:rPr>
              <w:drawing>
                <wp:inline distT="0" distB="0" distL="0" distR="0" wp14:anchorId="6F860DE2" wp14:editId="04CF7B49">
                  <wp:extent cx="4040939" cy="2809662"/>
                  <wp:effectExtent l="0" t="0" r="0" b="0"/>
                  <wp:docPr id="35" name="image3.png" descr="A graph of a person with a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5" name="image3.png" descr="A graph of a person with a graph&#10;&#10;Description automatically generated with medium confidence"/>
                          <pic:cNvPicPr preferRelativeResize="0"/>
                        </pic:nvPicPr>
                        <pic:blipFill>
                          <a:blip r:embed="rId15"/>
                          <a:srcRect/>
                          <a:stretch>
                            <a:fillRect/>
                          </a:stretch>
                        </pic:blipFill>
                        <pic:spPr>
                          <a:xfrm>
                            <a:off x="0" y="0"/>
                            <a:ext cx="4040939" cy="2809662"/>
                          </a:xfrm>
                          <a:prstGeom prst="rect">
                            <a:avLst/>
                          </a:prstGeom>
                          <a:ln/>
                        </pic:spPr>
                      </pic:pic>
                    </a:graphicData>
                  </a:graphic>
                </wp:inline>
              </w:drawing>
            </w:r>
          </w:p>
        </w:tc>
      </w:tr>
    </w:tbl>
    <w:p w14:paraId="0A65DB63" w14:textId="23C84540" w:rsidR="00FD2AB5" w:rsidRDefault="00FD2AB5" w:rsidP="00FD2AB5">
      <w:pPr>
        <w:ind w:firstLine="720"/>
        <w:jc w:val="center"/>
        <w:rPr>
          <w:highlight w:val="yellow"/>
        </w:rPr>
      </w:pPr>
      <w:r>
        <w:t>Note: Predicted trust in Vladimir Putin by fear of weak government with 95% confidence intervals. Ordinary least squares with robust standard errors. Fixed effects for income and education are not shown.</w:t>
      </w:r>
    </w:p>
    <w:p w14:paraId="009E0AA8" w14:textId="77777777" w:rsidR="00FD2AB5" w:rsidRDefault="00FD2AB5" w:rsidP="00FD2AB5">
      <w:pPr>
        <w:ind w:firstLine="720"/>
        <w:jc w:val="center"/>
        <w:rPr>
          <w:highlight w:val="yellow"/>
        </w:rPr>
      </w:pPr>
    </w:p>
    <w:p w14:paraId="4E7471BD" w14:textId="4A0B9085" w:rsidR="00FD2AB5" w:rsidRDefault="00FD2AB5" w:rsidP="0041588C">
      <w:pPr>
        <w:spacing w:line="480" w:lineRule="auto"/>
        <w:rPr>
          <w:b/>
          <w:color w:val="000000"/>
          <w:sz w:val="30"/>
          <w:szCs w:val="30"/>
        </w:rPr>
      </w:pPr>
      <w:r>
        <w:t>In sum, preliminary results provide greater, though still mixed, evidence for the appropriate authority response mechanism than for the fear of disorder mechanism. However, as always, conditional results should be viewed as suggestive. Future research is needed to better illuminate the potential mechanisms that link protest and trust in non-democratic institutions and leaders.</w:t>
      </w:r>
    </w:p>
    <w:p w14:paraId="6CA231B9" w14:textId="77777777" w:rsidR="00FD2AB5" w:rsidRDefault="00FD2AB5">
      <w:pPr>
        <w:rPr>
          <w:b/>
          <w:color w:val="000000"/>
          <w:sz w:val="30"/>
          <w:szCs w:val="30"/>
        </w:rPr>
      </w:pPr>
    </w:p>
    <w:p w14:paraId="15FACE5C" w14:textId="77777777" w:rsidR="00D175D1" w:rsidRDefault="00D175D1">
      <w:pPr>
        <w:rPr>
          <w:b/>
          <w:color w:val="000000"/>
          <w:sz w:val="30"/>
          <w:szCs w:val="30"/>
        </w:rPr>
      </w:pPr>
    </w:p>
    <w:p w14:paraId="03710E1D" w14:textId="77777777" w:rsidR="00D175D1" w:rsidRDefault="00D175D1">
      <w:pPr>
        <w:rPr>
          <w:b/>
          <w:color w:val="000000"/>
          <w:sz w:val="30"/>
          <w:szCs w:val="30"/>
        </w:rPr>
      </w:pPr>
    </w:p>
    <w:p w14:paraId="1609744A" w14:textId="77777777" w:rsidR="00D175D1" w:rsidRDefault="00D175D1">
      <w:pPr>
        <w:rPr>
          <w:b/>
          <w:color w:val="000000"/>
          <w:sz w:val="30"/>
          <w:szCs w:val="30"/>
        </w:rPr>
      </w:pPr>
    </w:p>
    <w:p w14:paraId="50719E15" w14:textId="77777777" w:rsidR="00D175D1" w:rsidRDefault="00D175D1">
      <w:pPr>
        <w:rPr>
          <w:b/>
          <w:color w:val="000000"/>
          <w:sz w:val="30"/>
          <w:szCs w:val="30"/>
        </w:rPr>
      </w:pPr>
    </w:p>
    <w:p w14:paraId="3DC5D134" w14:textId="77777777" w:rsidR="00D175D1" w:rsidRDefault="00D175D1">
      <w:pPr>
        <w:rPr>
          <w:b/>
          <w:color w:val="000000"/>
          <w:sz w:val="30"/>
          <w:szCs w:val="30"/>
        </w:rPr>
      </w:pPr>
    </w:p>
    <w:p w14:paraId="7D6A9B6B" w14:textId="77777777" w:rsidR="00D175D1" w:rsidRDefault="00D175D1">
      <w:pPr>
        <w:rPr>
          <w:b/>
          <w:color w:val="000000"/>
          <w:sz w:val="30"/>
          <w:szCs w:val="30"/>
        </w:rPr>
      </w:pPr>
    </w:p>
    <w:p w14:paraId="18286AA7" w14:textId="77777777" w:rsidR="00D175D1" w:rsidRDefault="00D175D1">
      <w:pPr>
        <w:rPr>
          <w:b/>
          <w:color w:val="000000"/>
          <w:sz w:val="30"/>
          <w:szCs w:val="30"/>
        </w:rPr>
      </w:pPr>
    </w:p>
    <w:p w14:paraId="760CA15A" w14:textId="77777777" w:rsidR="00D175D1" w:rsidRDefault="00D175D1">
      <w:pPr>
        <w:rPr>
          <w:b/>
          <w:color w:val="000000"/>
          <w:sz w:val="30"/>
          <w:szCs w:val="30"/>
        </w:rPr>
      </w:pPr>
    </w:p>
    <w:p w14:paraId="015D1C91" w14:textId="77777777" w:rsidR="00D175D1" w:rsidRDefault="00D175D1">
      <w:pPr>
        <w:rPr>
          <w:b/>
          <w:color w:val="000000"/>
          <w:sz w:val="30"/>
          <w:szCs w:val="30"/>
        </w:rPr>
      </w:pPr>
    </w:p>
    <w:p w14:paraId="4872E789" w14:textId="77777777" w:rsidR="00D175D1" w:rsidRDefault="00D175D1">
      <w:pPr>
        <w:rPr>
          <w:b/>
          <w:color w:val="000000"/>
          <w:sz w:val="30"/>
          <w:szCs w:val="30"/>
        </w:rPr>
      </w:pPr>
    </w:p>
    <w:p w14:paraId="4630F6A8" w14:textId="6C1DA5EA" w:rsidR="001C0937" w:rsidRDefault="00000000">
      <w:pPr>
        <w:rPr>
          <w:b/>
          <w:color w:val="000000"/>
          <w:sz w:val="30"/>
          <w:szCs w:val="30"/>
        </w:rPr>
      </w:pPr>
      <w:r>
        <w:rPr>
          <w:b/>
          <w:color w:val="000000"/>
          <w:sz w:val="30"/>
          <w:szCs w:val="30"/>
        </w:rPr>
        <w:lastRenderedPageBreak/>
        <w:t xml:space="preserve">Appendix </w:t>
      </w:r>
      <w:r w:rsidR="00394183">
        <w:rPr>
          <w:b/>
          <w:color w:val="000000"/>
          <w:sz w:val="30"/>
          <w:szCs w:val="30"/>
        </w:rPr>
        <w:t>D</w:t>
      </w:r>
      <w:r>
        <w:rPr>
          <w:b/>
          <w:color w:val="000000"/>
          <w:sz w:val="30"/>
          <w:szCs w:val="30"/>
        </w:rPr>
        <w:t xml:space="preserve">: Additional Mechanisms </w:t>
      </w:r>
    </w:p>
    <w:p w14:paraId="5F7374FA" w14:textId="77777777" w:rsidR="001C0937" w:rsidRDefault="001C0937">
      <w:pPr>
        <w:rPr>
          <w:b/>
          <w:i/>
          <w:color w:val="000000"/>
        </w:rPr>
      </w:pPr>
    </w:p>
    <w:p w14:paraId="6B5B94E0" w14:textId="77777777" w:rsidR="001C0937" w:rsidRDefault="00000000">
      <w:pPr>
        <w:spacing w:line="480" w:lineRule="auto"/>
        <w:rPr>
          <w:i/>
          <w:color w:val="000000"/>
        </w:rPr>
      </w:pPr>
      <w:r>
        <w:rPr>
          <w:b/>
          <w:i/>
          <w:color w:val="000000"/>
        </w:rPr>
        <w:t>Urban Residents</w:t>
      </w:r>
    </w:p>
    <w:p w14:paraId="3720C78D" w14:textId="24154C1E" w:rsidR="001C0937" w:rsidRPr="005757CF" w:rsidRDefault="00000000" w:rsidP="005757CF">
      <w:pPr>
        <w:pStyle w:val="EndnoteText"/>
        <w:spacing w:line="480" w:lineRule="auto"/>
        <w:rPr>
          <w:sz w:val="24"/>
          <w:szCs w:val="24"/>
        </w:rPr>
      </w:pPr>
      <w:r w:rsidRPr="005757CF">
        <w:rPr>
          <w:color w:val="000000"/>
          <w:sz w:val="24"/>
          <w:szCs w:val="24"/>
        </w:rPr>
        <w:t xml:space="preserve">Average results indicate that both electoral manipulation and oppositional protests can influence trust in autocrats, although in opposite directions. However, it is unlikely that these events influence all individuals equally. Indeed, Frye and </w:t>
      </w:r>
      <w:proofErr w:type="spellStart"/>
      <w:r w:rsidRPr="005757CF">
        <w:rPr>
          <w:color w:val="000000"/>
          <w:sz w:val="24"/>
          <w:szCs w:val="24"/>
        </w:rPr>
        <w:t>Borisova</w:t>
      </w:r>
      <w:proofErr w:type="spellEnd"/>
      <w:r w:rsidRPr="005757CF">
        <w:rPr>
          <w:color w:val="000000"/>
          <w:sz w:val="24"/>
          <w:szCs w:val="24"/>
        </w:rPr>
        <w:t xml:space="preserve"> (2019) analyze these same two events in Moscow alone and find contradictory results: They argue that there was no change in trust in Putin after the election and there was an increase in trust after the protests among Muscovites. </w:t>
      </w:r>
      <w:r w:rsidR="005757CF" w:rsidRPr="005757CF">
        <w:rPr>
          <w:color w:val="000000"/>
          <w:sz w:val="24"/>
          <w:szCs w:val="24"/>
        </w:rPr>
        <w:t xml:space="preserve">This difference in results is not totally surprising: </w:t>
      </w:r>
      <w:r w:rsidR="005757CF" w:rsidRPr="005757CF">
        <w:rPr>
          <w:sz w:val="24"/>
          <w:szCs w:val="24"/>
        </w:rPr>
        <w:t>Prior research has shown that residents of “global cities” are exposed to different information than residents of other localities and often hold diverse political attitudes than the rest of the population (cf. Gerber and Chapman 2018). Similarly, a</w:t>
      </w:r>
      <w:r w:rsidRPr="005757CF">
        <w:rPr>
          <w:color w:val="000000"/>
          <w:sz w:val="24"/>
          <w:szCs w:val="24"/>
        </w:rPr>
        <w:t xml:space="preserve">s Treisman (2014) argues in his study of approval for Putin in the 2010s, while declining support for the Kremlin in 2011 was broad-based, it was especially significant among the “creative class” of mainly urban dwellers. </w:t>
      </w:r>
    </w:p>
    <w:p w14:paraId="40626759" w14:textId="3F8C9206" w:rsidR="00230010" w:rsidRDefault="00000000">
      <w:pPr>
        <w:spacing w:line="480" w:lineRule="auto"/>
        <w:rPr>
          <w:color w:val="000000"/>
        </w:rPr>
      </w:pPr>
      <w:r>
        <w:rPr>
          <w:color w:val="000000"/>
        </w:rPr>
        <w:tab/>
        <w:t>To determine whether the influence of protest on trust is conditional on respondents’ residential status, I include an interaction term that captures the impact of living in a rural area, in a small town, or a large city (over 1 million people, including Moscow and St. Petersburg) after the elections (Urban x Post-Duma) and after the protests (Urban x Post-Protest).</w:t>
      </w:r>
      <w:r>
        <w:rPr>
          <w:vertAlign w:val="superscript"/>
        </w:rPr>
        <w:footnoteReference w:id="7"/>
      </w:r>
      <w:r>
        <w:rPr>
          <w:color w:val="000000"/>
        </w:rPr>
        <w:t xml:space="preserve"> I use large city residence as the reference category. If extant scholarship is correct and urban dwellers are more likely to perceive the elections as fraudulent, then we would expect the coefficient for </w:t>
      </w:r>
      <w:proofErr w:type="gramStart"/>
      <w:r>
        <w:rPr>
          <w:color w:val="000000"/>
        </w:rPr>
        <w:t>Post-Duma</w:t>
      </w:r>
      <w:proofErr w:type="gramEnd"/>
      <w:r>
        <w:rPr>
          <w:color w:val="000000"/>
        </w:rPr>
        <w:t xml:space="preserve"> to be negative and significant. Indeed, results suggest that the fraudulent elections decreased trust for Putin primarily for urban residents and that trust rebounded after the protests </w:t>
      </w:r>
      <w:r>
        <w:rPr>
          <w:color w:val="000000"/>
        </w:rPr>
        <w:lastRenderedPageBreak/>
        <w:t>(</w:t>
      </w:r>
      <w:proofErr w:type="gramStart"/>
      <w:r>
        <w:rPr>
          <w:color w:val="000000"/>
        </w:rPr>
        <w:t>Post-Protest</w:t>
      </w:r>
      <w:proofErr w:type="gramEnd"/>
      <w:r>
        <w:rPr>
          <w:color w:val="000000"/>
        </w:rPr>
        <w:t xml:space="preserve">). </w:t>
      </w:r>
      <w:r w:rsidR="00B45B5B">
        <w:rPr>
          <w:color w:val="000000"/>
        </w:rPr>
        <w:t>Figure A</w:t>
      </w:r>
      <w:r w:rsidR="009E55C6">
        <w:rPr>
          <w:color w:val="000000"/>
        </w:rPr>
        <w:t>7</w:t>
      </w:r>
      <w:r>
        <w:rPr>
          <w:color w:val="000000"/>
        </w:rPr>
        <w:t xml:space="preserve"> shows the predictive margins for rural, small/medium city, and large city residents over time. Electoral fraud does not appear to have reduced trust for Putin for rural residents, who are also generally more likely to trust Putin than urban dwellers.</w:t>
      </w:r>
    </w:p>
    <w:tbl>
      <w:tblPr>
        <w:tblStyle w:val="af6"/>
        <w:tblW w:w="891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0"/>
      </w:tblGrid>
      <w:tr w:rsidR="001C0937" w14:paraId="3A55734F" w14:textId="77777777">
        <w:trPr>
          <w:trHeight w:val="111"/>
        </w:trPr>
        <w:tc>
          <w:tcPr>
            <w:tcW w:w="8910" w:type="dxa"/>
          </w:tcPr>
          <w:p w14:paraId="75B84C56" w14:textId="14BD931A" w:rsidR="001C0937" w:rsidRDefault="00B45B5B">
            <w:pPr>
              <w:jc w:val="center"/>
              <w:rPr>
                <w:b/>
                <w:color w:val="000000"/>
              </w:rPr>
            </w:pPr>
            <w:r>
              <w:rPr>
                <w:b/>
                <w:color w:val="000000"/>
              </w:rPr>
              <w:t>Figure A</w:t>
            </w:r>
            <w:r w:rsidR="009E55C6">
              <w:rPr>
                <w:b/>
                <w:color w:val="000000"/>
              </w:rPr>
              <w:t>7</w:t>
            </w:r>
            <w:r w:rsidR="00000000">
              <w:rPr>
                <w:b/>
                <w:color w:val="000000"/>
              </w:rPr>
              <w:t xml:space="preserve">: Predicted Margins for Trust in Putin by Residency </w:t>
            </w:r>
          </w:p>
        </w:tc>
      </w:tr>
      <w:tr w:rsidR="001C0937" w14:paraId="498EA4F7" w14:textId="77777777">
        <w:trPr>
          <w:trHeight w:val="3781"/>
        </w:trPr>
        <w:tc>
          <w:tcPr>
            <w:tcW w:w="8910" w:type="dxa"/>
          </w:tcPr>
          <w:p w14:paraId="1EC070F9" w14:textId="77777777" w:rsidR="00230010" w:rsidRDefault="00230010">
            <w:pPr>
              <w:jc w:val="center"/>
              <w:rPr>
                <w:color w:val="000000"/>
              </w:rPr>
            </w:pPr>
          </w:p>
          <w:p w14:paraId="7B355F1C" w14:textId="1707262D" w:rsidR="001C0937" w:rsidRDefault="005757CF">
            <w:pPr>
              <w:jc w:val="center"/>
              <w:rPr>
                <w:color w:val="000000"/>
              </w:rPr>
            </w:pPr>
            <w:r>
              <w:rPr>
                <w:noProof/>
                <w:color w:val="000000"/>
              </w:rPr>
              <w:drawing>
                <wp:inline distT="0" distB="0" distL="0" distR="0" wp14:anchorId="08505375" wp14:editId="2F6B69E3">
                  <wp:extent cx="3954162" cy="2877160"/>
                  <wp:effectExtent l="0" t="0" r="0" b="6350"/>
                  <wp:docPr id="2103867526" name="Picture 3" descr="A graph of a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67526" name="Picture 3" descr="A graph of a number of individual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4407" cy="2891891"/>
                          </a:xfrm>
                          <a:prstGeom prst="rect">
                            <a:avLst/>
                          </a:prstGeom>
                        </pic:spPr>
                      </pic:pic>
                    </a:graphicData>
                  </a:graphic>
                </wp:inline>
              </w:drawing>
            </w:r>
          </w:p>
        </w:tc>
      </w:tr>
    </w:tbl>
    <w:p w14:paraId="005B71E0" w14:textId="29C06CE2" w:rsidR="001C0937" w:rsidRDefault="00000000">
      <w:pPr>
        <w:jc w:val="center"/>
      </w:pPr>
      <w:r>
        <w:t>Note: Predicted trust in Vladimir Putin by residency with 95% confidence intervals. Ordinary least squares with robust standard errors. Fixed effects for income and education are not shown.</w:t>
      </w:r>
    </w:p>
    <w:p w14:paraId="4F2C3F31" w14:textId="77777777" w:rsidR="001C0937" w:rsidRDefault="001C0937">
      <w:pPr>
        <w:rPr>
          <w:b/>
          <w:i/>
        </w:rPr>
      </w:pPr>
    </w:p>
    <w:p w14:paraId="6F812A11" w14:textId="77777777" w:rsidR="001C0937" w:rsidRDefault="00000000">
      <w:pPr>
        <w:rPr>
          <w:b/>
          <w:i/>
        </w:rPr>
      </w:pPr>
      <w:r>
        <w:rPr>
          <w:b/>
          <w:i/>
        </w:rPr>
        <w:t>Interest in Politics</w:t>
      </w:r>
    </w:p>
    <w:p w14:paraId="4937D2A6" w14:textId="77777777" w:rsidR="001C0937" w:rsidRDefault="001C0937">
      <w:pPr>
        <w:rPr>
          <w:b/>
        </w:rPr>
      </w:pPr>
    </w:p>
    <w:p w14:paraId="7D990989" w14:textId="77777777" w:rsidR="001C0937" w:rsidRDefault="00000000">
      <w:pPr>
        <w:spacing w:line="480" w:lineRule="auto"/>
        <w:ind w:firstLine="720"/>
      </w:pPr>
      <w:r>
        <w:t xml:space="preserve">The results on political affiliation suggest that individuals who have already formed strong political opinions are less likely to update their beliefs when presented with new information than individuals with weaker political opinions. We might expect to see similar results based on individuals’ interest in politics: People who are most interested in politics are more likely to have formed strong political beliefs and may therefore be less likely to update their beliefs based on new information. On the other hand, people with no interest in politics may be least likely to be aware of political events and may therefore be also unlikely to update their beliefs. Rather, we might expect those in the middle—those who have some interest in politics—will likely be exposed to and aware of politically-charged events such as fraud and protests, but </w:t>
      </w:r>
      <w:r>
        <w:lastRenderedPageBreak/>
        <w:t>may not have strongly formed political beliefs, and may therefore be the most likely to update their beliefs based on new information.</w:t>
      </w:r>
    </w:p>
    <w:p w14:paraId="730FC7CD" w14:textId="55FB064E" w:rsidR="001C0937" w:rsidRDefault="00000000">
      <w:pPr>
        <w:spacing w:line="480" w:lineRule="auto"/>
        <w:ind w:firstLine="720"/>
      </w:pPr>
      <w:r>
        <w:t xml:space="preserve">To determine whether the influence of electoral manipulation and protest on trust is conditional on respondents’ interest in politics, I include an interaction term that captures the impact of being extremely uninterested in politics, being ambivalent about politics, and being extremely interested in politics after the elections and after the protests. </w:t>
      </w:r>
      <w:r w:rsidR="00B45B5B">
        <w:t>Figure A</w:t>
      </w:r>
      <w:r w:rsidR="009E55C6">
        <w:t>8</w:t>
      </w:r>
      <w:r>
        <w:t xml:space="preserve"> shows the predictive margins for each group over time.</w:t>
      </w:r>
    </w:p>
    <w:p w14:paraId="0AD7D2D2" w14:textId="1A2387B1" w:rsidR="001C0937" w:rsidRDefault="00000000" w:rsidP="002C4D81">
      <w:pPr>
        <w:spacing w:line="480" w:lineRule="auto"/>
        <w:ind w:firstLine="720"/>
      </w:pPr>
      <w:r>
        <w:t xml:space="preserve">As with political attitudes, the strength of interest in politics conditions the impact of electoral manipulation and oppositional protest on trust in Putin. Individuals on either extreme— those who are extremely uninterested in politics or extremely interested in politics—are not swayed by the new information presented by these events. Individuals who are not at all interested in politics are less likely to be aware or care about political events and update their views of authorities accordingly. On the other extreme, those who are very interested in politics are most likely to have strong pre-existing attitudes and, therefore, are least susceptible to new information (Chapman 2021). Rather, it is those in the middle (those somewhat interested or uninterested in politics) that adjust their views of Putin after </w:t>
      </w:r>
      <w:proofErr w:type="gramStart"/>
      <w:r>
        <w:t>politically-charged</w:t>
      </w:r>
      <w:proofErr w:type="gramEnd"/>
      <w:r>
        <w:t xml:space="preserve"> events. It is precisely these individuals who are simultaneously likely to be aware of political events but have not formed strong political opinions, and therefore are likely to be swayed by new information (Geddes and Zaller, 1989; Zaller, 1992; Chapman, 2021).</w:t>
      </w:r>
    </w:p>
    <w:p w14:paraId="60195A48" w14:textId="47A952D9" w:rsidR="00230010" w:rsidRDefault="00230010" w:rsidP="002C4D81">
      <w:pPr>
        <w:spacing w:line="480" w:lineRule="auto"/>
        <w:ind w:firstLine="720"/>
      </w:pPr>
    </w:p>
    <w:p w14:paraId="09F57F96" w14:textId="77777777" w:rsidR="00230010" w:rsidRDefault="00230010" w:rsidP="00D175D1">
      <w:pPr>
        <w:spacing w:line="480" w:lineRule="auto"/>
      </w:pPr>
    </w:p>
    <w:p w14:paraId="3ECD4685" w14:textId="77777777" w:rsidR="00D175D1" w:rsidRDefault="00D175D1" w:rsidP="00D175D1">
      <w:pPr>
        <w:spacing w:line="480" w:lineRule="auto"/>
      </w:pPr>
    </w:p>
    <w:p w14:paraId="14BF89EC" w14:textId="77777777" w:rsidR="001C0937" w:rsidRDefault="001C0937">
      <w:pPr>
        <w:spacing w:line="480" w:lineRule="auto"/>
        <w:ind w:firstLine="720"/>
      </w:pPr>
    </w:p>
    <w:tbl>
      <w:tblPr>
        <w:tblStyle w:val="af7"/>
        <w:tblW w:w="936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1C0937" w14:paraId="0B52FC5B" w14:textId="77777777">
        <w:trPr>
          <w:trHeight w:val="438"/>
        </w:trPr>
        <w:tc>
          <w:tcPr>
            <w:tcW w:w="9360" w:type="dxa"/>
          </w:tcPr>
          <w:p w14:paraId="131AEF17" w14:textId="690D705A" w:rsidR="001C0937" w:rsidRDefault="00B45B5B">
            <w:pPr>
              <w:jc w:val="center"/>
              <w:rPr>
                <w:b/>
              </w:rPr>
            </w:pPr>
            <w:r>
              <w:rPr>
                <w:b/>
              </w:rPr>
              <w:lastRenderedPageBreak/>
              <w:t>Figure A</w:t>
            </w:r>
            <w:r w:rsidR="009E55C6">
              <w:rPr>
                <w:b/>
              </w:rPr>
              <w:t>8</w:t>
            </w:r>
            <w:r w:rsidR="00000000">
              <w:rPr>
                <w:b/>
              </w:rPr>
              <w:t>: Predicted Margins for Trust in Putin by Interest in Politics</w:t>
            </w:r>
          </w:p>
        </w:tc>
      </w:tr>
      <w:tr w:rsidR="001C0937" w14:paraId="0FC4394B" w14:textId="77777777">
        <w:trPr>
          <w:trHeight w:val="4571"/>
        </w:trPr>
        <w:tc>
          <w:tcPr>
            <w:tcW w:w="9360" w:type="dxa"/>
          </w:tcPr>
          <w:p w14:paraId="09A7EEFA" w14:textId="77777777" w:rsidR="001C0937" w:rsidRDefault="001C0937">
            <w:pPr>
              <w:jc w:val="center"/>
            </w:pPr>
          </w:p>
          <w:p w14:paraId="0A879DFA" w14:textId="77777777" w:rsidR="001C0937" w:rsidRDefault="00000000">
            <w:pPr>
              <w:jc w:val="center"/>
            </w:pPr>
            <w:r>
              <w:rPr>
                <w:noProof/>
              </w:rPr>
              <w:drawing>
                <wp:inline distT="0" distB="0" distL="0" distR="0" wp14:anchorId="2961046E" wp14:editId="09F3A7F0">
                  <wp:extent cx="3737107" cy="2720583"/>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737107" cy="2720583"/>
                          </a:xfrm>
                          <a:prstGeom prst="rect">
                            <a:avLst/>
                          </a:prstGeom>
                          <a:ln/>
                        </pic:spPr>
                      </pic:pic>
                    </a:graphicData>
                  </a:graphic>
                </wp:inline>
              </w:drawing>
            </w:r>
          </w:p>
        </w:tc>
      </w:tr>
    </w:tbl>
    <w:p w14:paraId="75D6B1EF" w14:textId="4235EC8B" w:rsidR="001C0937" w:rsidRDefault="00000000">
      <w:pPr>
        <w:jc w:val="center"/>
      </w:pPr>
      <w:r>
        <w:t>Note: Predicted trust in Vladimir Putin by interest in politics with 95% confidence intervals. Ordinary least squares with robust standard errors. Fixed effects for income and education are not shown.</w:t>
      </w:r>
    </w:p>
    <w:p w14:paraId="5ADC8686" w14:textId="77777777" w:rsidR="002C4D81" w:rsidRDefault="002C4D81">
      <w:pPr>
        <w:rPr>
          <w:b/>
          <w:i/>
        </w:rPr>
      </w:pPr>
    </w:p>
    <w:p w14:paraId="438E94C5" w14:textId="77777777" w:rsidR="001C0937" w:rsidRDefault="00000000">
      <w:pPr>
        <w:rPr>
          <w:b/>
          <w:i/>
          <w:color w:val="000000"/>
        </w:rPr>
      </w:pPr>
      <w:r>
        <w:rPr>
          <w:b/>
          <w:i/>
          <w:color w:val="000000"/>
        </w:rPr>
        <w:t>Exposure to Media</w:t>
      </w:r>
    </w:p>
    <w:p w14:paraId="4FEE273A" w14:textId="77777777" w:rsidR="001C0937" w:rsidRDefault="001C0937">
      <w:pPr>
        <w:rPr>
          <w:color w:val="000000"/>
        </w:rPr>
      </w:pPr>
    </w:p>
    <w:p w14:paraId="7E63B7DB" w14:textId="5F4932F5" w:rsidR="001C0937" w:rsidRDefault="00000000">
      <w:pPr>
        <w:spacing w:line="480" w:lineRule="auto"/>
        <w:rPr>
          <w:color w:val="000000"/>
        </w:rPr>
      </w:pPr>
      <w:r>
        <w:rPr>
          <w:color w:val="000000"/>
        </w:rPr>
        <w:tab/>
        <w:t>Individuals’ understanding of and attitudes toward political-charged events, such as allegedly fraudulent elections and political protests, may be influenced by how these events are framed in the media. In Russia, the government has extensive control over the media landscape, providing the government with a strong tool for framing these events in a positive light—or cover them at all.</w:t>
      </w:r>
      <w:r>
        <w:rPr>
          <w:vertAlign w:val="superscript"/>
        </w:rPr>
        <w:footnoteReference w:id="8"/>
      </w:r>
      <w:r>
        <w:rPr>
          <w:color w:val="000000"/>
        </w:rPr>
        <w:t xml:space="preserve"> To the surprise of many, state media widely covered the protests (</w:t>
      </w:r>
      <w:proofErr w:type="spellStart"/>
      <w:r>
        <w:rPr>
          <w:color w:val="000000"/>
        </w:rPr>
        <w:t>Lankina</w:t>
      </w:r>
      <w:proofErr w:type="spellEnd"/>
      <w:r>
        <w:rPr>
          <w:color w:val="000000"/>
        </w:rPr>
        <w:t xml:space="preserve"> &amp; Watanabe, 2017). At the same time, however, state media downplayed the size of the protests, labeled protesters as foreign agents working for the United States to bring unrest and instability to Russia (</w:t>
      </w:r>
      <w:proofErr w:type="spellStart"/>
      <w:r>
        <w:rPr>
          <w:color w:val="000000"/>
        </w:rPr>
        <w:t>Tisdall</w:t>
      </w:r>
      <w:proofErr w:type="spellEnd"/>
      <w:r>
        <w:rPr>
          <w:color w:val="000000"/>
        </w:rPr>
        <w:t xml:space="preserve"> 2011), and largely ignored protesters demands that Russia’s leaders be held accountable for the electoral manipulation (</w:t>
      </w:r>
      <w:proofErr w:type="spellStart"/>
      <w:r>
        <w:rPr>
          <w:color w:val="000000"/>
        </w:rPr>
        <w:t>Koesel</w:t>
      </w:r>
      <w:proofErr w:type="spellEnd"/>
      <w:r>
        <w:rPr>
          <w:color w:val="000000"/>
        </w:rPr>
        <w:t xml:space="preserve"> &amp; Bunce, 2012; Smyth &amp; Oates, 2015). </w:t>
      </w:r>
      <w:r>
        <w:rPr>
          <w:color w:val="000000"/>
        </w:rPr>
        <w:lastRenderedPageBreak/>
        <w:t>Therefore, how people interpret these events, and their resulting impact on attitudes toward the government, may be conditioned on individual media usage (</w:t>
      </w:r>
      <w:proofErr w:type="spellStart"/>
      <w:r>
        <w:rPr>
          <w:color w:val="000000"/>
        </w:rPr>
        <w:t>Sirotkina</w:t>
      </w:r>
      <w:proofErr w:type="spellEnd"/>
      <w:r>
        <w:rPr>
          <w:color w:val="000000"/>
        </w:rPr>
        <w:t xml:space="preserve"> &amp; </w:t>
      </w:r>
      <w:proofErr w:type="spellStart"/>
      <w:r>
        <w:rPr>
          <w:color w:val="000000"/>
        </w:rPr>
        <w:t>Zavadskaya</w:t>
      </w:r>
      <w:proofErr w:type="spellEnd"/>
      <w:r>
        <w:rPr>
          <w:color w:val="000000"/>
        </w:rPr>
        <w:t>, 2021).</w:t>
      </w:r>
      <w:r>
        <w:rPr>
          <w:vertAlign w:val="superscript"/>
        </w:rPr>
        <w:footnoteReference w:id="9"/>
      </w:r>
      <w:r>
        <w:rPr>
          <w:color w:val="000000"/>
        </w:rPr>
        <w:t xml:space="preserve"> </w:t>
      </w:r>
    </w:p>
    <w:p w14:paraId="404AA5EF" w14:textId="55995196" w:rsidR="00230010" w:rsidRDefault="00000000" w:rsidP="00AD6EAC">
      <w:pPr>
        <w:spacing w:line="480" w:lineRule="auto"/>
        <w:ind w:firstLine="720"/>
        <w:rPr>
          <w:color w:val="000000"/>
        </w:rPr>
      </w:pPr>
      <w:r>
        <w:rPr>
          <w:color w:val="000000"/>
        </w:rPr>
        <w:t xml:space="preserve">To determine whether the influence of electoral manipulation and protest on trust is conditional on respondents’ media use, I include an interaction term that captures the impact of watching television for information about politics after the elections and after the protests. Individuals who stated that they watch television every day or several times a week are coded as being </w:t>
      </w:r>
      <w:r>
        <w:rPr>
          <w:i/>
          <w:color w:val="000000"/>
        </w:rPr>
        <w:t xml:space="preserve">High TV </w:t>
      </w:r>
      <w:r>
        <w:rPr>
          <w:color w:val="000000"/>
        </w:rPr>
        <w:t xml:space="preserve">users, while those who state that they watch television for information about politics less than once a week are coded as </w:t>
      </w:r>
      <w:r>
        <w:rPr>
          <w:i/>
          <w:color w:val="000000"/>
        </w:rPr>
        <w:t>Low TV</w:t>
      </w:r>
      <w:r>
        <w:rPr>
          <w:color w:val="000000"/>
        </w:rPr>
        <w:t xml:space="preserve"> users. </w:t>
      </w:r>
      <w:r w:rsidR="00B45B5B">
        <w:rPr>
          <w:color w:val="000000"/>
        </w:rPr>
        <w:t>Figure A</w:t>
      </w:r>
      <w:r w:rsidR="009E55C6">
        <w:rPr>
          <w:color w:val="000000"/>
        </w:rPr>
        <w:t>9</w:t>
      </w:r>
      <w:r>
        <w:rPr>
          <w:color w:val="000000"/>
        </w:rPr>
        <w:t xml:space="preserve"> shows the predictive margins for each group over time. </w:t>
      </w:r>
    </w:p>
    <w:p w14:paraId="05FB4E1E" w14:textId="77777777" w:rsidR="00AD6EAC" w:rsidRDefault="00AD6EAC" w:rsidP="00AD6EAC">
      <w:pPr>
        <w:spacing w:line="480" w:lineRule="auto"/>
        <w:ind w:firstLine="720"/>
        <w:rPr>
          <w:color w:val="000000"/>
        </w:rPr>
      </w:pPr>
    </w:p>
    <w:p w14:paraId="6B8FB254" w14:textId="77777777" w:rsidR="00AD6EAC" w:rsidRDefault="00AD6EAC" w:rsidP="00AD6EAC">
      <w:pPr>
        <w:spacing w:line="480" w:lineRule="auto"/>
        <w:ind w:firstLine="720"/>
        <w:rPr>
          <w:color w:val="000000"/>
        </w:rPr>
      </w:pPr>
    </w:p>
    <w:p w14:paraId="1517A57F" w14:textId="77777777" w:rsidR="00AD6EAC" w:rsidRDefault="00AD6EAC" w:rsidP="00AD6EAC">
      <w:pPr>
        <w:spacing w:line="480" w:lineRule="auto"/>
        <w:ind w:firstLine="720"/>
        <w:rPr>
          <w:color w:val="000000"/>
        </w:rPr>
      </w:pPr>
    </w:p>
    <w:p w14:paraId="4CFF727E" w14:textId="77777777" w:rsidR="00AD6EAC" w:rsidRDefault="00AD6EAC" w:rsidP="00AD6EAC">
      <w:pPr>
        <w:spacing w:line="480" w:lineRule="auto"/>
        <w:ind w:firstLine="720"/>
        <w:rPr>
          <w:color w:val="000000"/>
        </w:rPr>
      </w:pPr>
    </w:p>
    <w:p w14:paraId="440856A4" w14:textId="77777777" w:rsidR="00AD6EAC" w:rsidRDefault="00AD6EAC" w:rsidP="00AD6EAC">
      <w:pPr>
        <w:spacing w:line="480" w:lineRule="auto"/>
        <w:ind w:firstLine="720"/>
        <w:rPr>
          <w:color w:val="000000"/>
        </w:rPr>
      </w:pPr>
    </w:p>
    <w:p w14:paraId="40604B64" w14:textId="77777777" w:rsidR="00AD6EAC" w:rsidRDefault="00AD6EAC" w:rsidP="00AD6EAC">
      <w:pPr>
        <w:spacing w:line="480" w:lineRule="auto"/>
        <w:ind w:firstLine="720"/>
        <w:rPr>
          <w:color w:val="000000"/>
        </w:rPr>
      </w:pPr>
    </w:p>
    <w:p w14:paraId="2CD9F0B6" w14:textId="77777777" w:rsidR="00AD6EAC" w:rsidRDefault="00AD6EAC" w:rsidP="00AD6EAC">
      <w:pPr>
        <w:spacing w:line="480" w:lineRule="auto"/>
        <w:ind w:firstLine="720"/>
        <w:rPr>
          <w:color w:val="000000"/>
        </w:rPr>
      </w:pPr>
    </w:p>
    <w:p w14:paraId="16A729FA" w14:textId="77777777" w:rsidR="00AD6EAC" w:rsidRDefault="00AD6EAC" w:rsidP="00AD6EAC">
      <w:pPr>
        <w:spacing w:line="480" w:lineRule="auto"/>
        <w:ind w:firstLine="720"/>
        <w:rPr>
          <w:color w:val="000000"/>
        </w:rPr>
      </w:pPr>
    </w:p>
    <w:p w14:paraId="3AA10ACC" w14:textId="77777777" w:rsidR="00AD6EAC" w:rsidRDefault="00AD6EAC" w:rsidP="00AD6EAC">
      <w:pPr>
        <w:spacing w:line="480" w:lineRule="auto"/>
        <w:ind w:firstLine="720"/>
        <w:rPr>
          <w:color w:val="000000"/>
        </w:rPr>
      </w:pPr>
    </w:p>
    <w:p w14:paraId="4BC65651" w14:textId="77777777" w:rsidR="00AD6EAC" w:rsidRDefault="00AD6EAC" w:rsidP="00AD6EAC">
      <w:pPr>
        <w:spacing w:line="480" w:lineRule="auto"/>
        <w:ind w:firstLine="720"/>
        <w:rPr>
          <w:color w:val="000000"/>
        </w:rPr>
      </w:pPr>
    </w:p>
    <w:p w14:paraId="3D3B8508" w14:textId="77777777" w:rsidR="00AD6EAC" w:rsidRPr="002C4D81" w:rsidRDefault="00AD6EAC" w:rsidP="00AD6EAC">
      <w:pPr>
        <w:spacing w:line="480" w:lineRule="auto"/>
        <w:ind w:firstLine="720"/>
        <w:rPr>
          <w:color w:val="000000"/>
        </w:rPr>
      </w:pPr>
    </w:p>
    <w:tbl>
      <w:tblPr>
        <w:tblStyle w:val="af8"/>
        <w:tblW w:w="95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C0937" w14:paraId="26B9B9E7" w14:textId="77777777">
        <w:trPr>
          <w:trHeight w:val="163"/>
        </w:trPr>
        <w:tc>
          <w:tcPr>
            <w:tcW w:w="9540" w:type="dxa"/>
          </w:tcPr>
          <w:p w14:paraId="2F889B47" w14:textId="09A0568C" w:rsidR="001C0937" w:rsidRDefault="00B45B5B">
            <w:pPr>
              <w:jc w:val="center"/>
              <w:rPr>
                <w:b/>
                <w:color w:val="000000"/>
              </w:rPr>
            </w:pPr>
            <w:r>
              <w:rPr>
                <w:b/>
                <w:color w:val="000000"/>
              </w:rPr>
              <w:t>Figure A</w:t>
            </w:r>
            <w:r w:rsidR="009E55C6">
              <w:rPr>
                <w:b/>
                <w:color w:val="000000"/>
              </w:rPr>
              <w:t>9</w:t>
            </w:r>
            <w:r w:rsidR="00000000">
              <w:rPr>
                <w:b/>
                <w:color w:val="000000"/>
              </w:rPr>
              <w:t>: Predicted Margins for Trust in Putin by TV Viewership</w:t>
            </w:r>
          </w:p>
        </w:tc>
      </w:tr>
      <w:tr w:rsidR="001C0937" w14:paraId="0FE46968" w14:textId="77777777">
        <w:trPr>
          <w:trHeight w:val="3481"/>
        </w:trPr>
        <w:tc>
          <w:tcPr>
            <w:tcW w:w="9540" w:type="dxa"/>
          </w:tcPr>
          <w:p w14:paraId="20D92D2B" w14:textId="77777777" w:rsidR="00230010" w:rsidRDefault="00230010">
            <w:pPr>
              <w:spacing w:line="480" w:lineRule="auto"/>
              <w:jc w:val="center"/>
              <w:rPr>
                <w:color w:val="000000"/>
              </w:rPr>
            </w:pPr>
          </w:p>
          <w:p w14:paraId="3E1D94DB" w14:textId="74CABD9D" w:rsidR="001C0937" w:rsidRDefault="00000000">
            <w:pPr>
              <w:spacing w:line="480" w:lineRule="auto"/>
              <w:jc w:val="center"/>
              <w:rPr>
                <w:color w:val="000000"/>
              </w:rPr>
            </w:pPr>
            <w:r>
              <w:rPr>
                <w:noProof/>
                <w:color w:val="000000"/>
              </w:rPr>
              <w:drawing>
                <wp:inline distT="0" distB="0" distL="0" distR="0" wp14:anchorId="637E4999" wp14:editId="7EDA613F">
                  <wp:extent cx="3713067" cy="2700411"/>
                  <wp:effectExtent l="0" t="0" r="0" b="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713067" cy="2700411"/>
                          </a:xfrm>
                          <a:prstGeom prst="rect">
                            <a:avLst/>
                          </a:prstGeom>
                          <a:ln/>
                        </pic:spPr>
                      </pic:pic>
                    </a:graphicData>
                  </a:graphic>
                </wp:inline>
              </w:drawing>
            </w:r>
          </w:p>
        </w:tc>
      </w:tr>
    </w:tbl>
    <w:p w14:paraId="48AC7813" w14:textId="6015DFC2" w:rsidR="001C0937" w:rsidRDefault="00000000">
      <w:pPr>
        <w:jc w:val="center"/>
      </w:pPr>
      <w:r>
        <w:t>Note: Predicted trust in Vladimir Putin by TV viewership with 95% confidence intervals. Ordinary least squares with robust standard errors. Fixed effects for income and education are not shown.</w:t>
      </w:r>
    </w:p>
    <w:p w14:paraId="1B873AB6" w14:textId="77777777" w:rsidR="001C0937" w:rsidRDefault="001C0937"/>
    <w:p w14:paraId="2DE4085F" w14:textId="77777777" w:rsidR="001C0937" w:rsidRDefault="00000000">
      <w:pPr>
        <w:spacing w:line="480" w:lineRule="auto"/>
        <w:rPr>
          <w:color w:val="000000"/>
        </w:rPr>
      </w:pPr>
      <w:r>
        <w:rPr>
          <w:color w:val="000000"/>
        </w:rPr>
        <w:tab/>
        <w:t>Interestingly, media use does not appear to have a significant impact on trust in Putin for either low or high television users. While the predicted margins for trust in Putin is negative for the low television users, it falls short of conventional levels of significance. However, null effects of media use should not be viewed as strong evidence that media do not condition the impact of events on trust in institutions due to the relatively small number of observations in the Low TV group. When the survey was fielded, 90 percent of the sample stated that they watched television for political news at least several times per week. Rather, more fine-grained data are needed to make strong conclusions about the impact of media on trust in institutions.</w:t>
      </w:r>
    </w:p>
    <w:p w14:paraId="2021FD74" w14:textId="77777777" w:rsidR="001C0937" w:rsidRDefault="001C0937">
      <w:pPr>
        <w:spacing w:line="480" w:lineRule="auto"/>
        <w:rPr>
          <w:color w:val="000000"/>
        </w:rPr>
      </w:pPr>
    </w:p>
    <w:p w14:paraId="3A27C0ED" w14:textId="77777777" w:rsidR="001C0937" w:rsidRDefault="001C0937">
      <w:pPr>
        <w:spacing w:line="480" w:lineRule="auto"/>
        <w:rPr>
          <w:b/>
          <w:sz w:val="30"/>
          <w:szCs w:val="30"/>
        </w:rPr>
      </w:pPr>
    </w:p>
    <w:p w14:paraId="222113C0" w14:textId="79E35BB4" w:rsidR="001C0937" w:rsidRDefault="00000000">
      <w:pPr>
        <w:spacing w:line="480" w:lineRule="auto"/>
        <w:rPr>
          <w:b/>
          <w:color w:val="000000"/>
          <w:sz w:val="30"/>
          <w:szCs w:val="30"/>
        </w:rPr>
      </w:pPr>
      <w:r>
        <w:rPr>
          <w:b/>
          <w:color w:val="000000"/>
          <w:sz w:val="30"/>
          <w:szCs w:val="30"/>
        </w:rPr>
        <w:lastRenderedPageBreak/>
        <w:t xml:space="preserve">Appendix </w:t>
      </w:r>
      <w:r w:rsidR="00394183">
        <w:rPr>
          <w:b/>
          <w:color w:val="000000"/>
          <w:sz w:val="30"/>
          <w:szCs w:val="30"/>
        </w:rPr>
        <w:t>E</w:t>
      </w:r>
      <w:r>
        <w:rPr>
          <w:b/>
          <w:color w:val="000000"/>
          <w:sz w:val="30"/>
          <w:szCs w:val="30"/>
        </w:rPr>
        <w:t>: The Rise and Fall of the Protest Movement</w:t>
      </w:r>
    </w:p>
    <w:p w14:paraId="69FF6372" w14:textId="13A1B496" w:rsidR="001C0937" w:rsidRDefault="00000000">
      <w:pPr>
        <w:spacing w:line="480" w:lineRule="auto"/>
        <w:rPr>
          <w:color w:val="000000"/>
        </w:rPr>
      </w:pPr>
      <w:r>
        <w:rPr>
          <w:color w:val="000000"/>
        </w:rPr>
        <w:t xml:space="preserve">The December 10 </w:t>
      </w:r>
      <w:proofErr w:type="spellStart"/>
      <w:r>
        <w:rPr>
          <w:color w:val="000000"/>
        </w:rPr>
        <w:t>Bolotnaya</w:t>
      </w:r>
      <w:proofErr w:type="spellEnd"/>
      <w:r>
        <w:rPr>
          <w:color w:val="000000"/>
        </w:rPr>
        <w:t xml:space="preserve"> protests were only the beginning of the Kremlin’s troubles. The protests continued into 2012 and spread throughout the country. Following the first mass protests on December 10, major rallies occurred in Moscow and Saint Petersburg on December 17-18. The following week, on December 24, protests took place throughout the country, including Saint Petersburg, Nizhny Novgorod, Vladivostok, and Novosibirsk; estimates place between 28,000-120,000 protestors in Moscow alone.</w:t>
      </w:r>
      <w:r>
        <w:rPr>
          <w:vertAlign w:val="superscript"/>
        </w:rPr>
        <w:footnoteReference w:id="10"/>
      </w:r>
      <w:r>
        <w:rPr>
          <w:color w:val="000000"/>
        </w:rPr>
        <w:t xml:space="preserve"> Rallies continued into the new year, with major events occurring from February to May. </w:t>
      </w:r>
    </w:p>
    <w:p w14:paraId="0596FD2F" w14:textId="77777777" w:rsidR="001C0937" w:rsidRDefault="00000000">
      <w:pPr>
        <w:spacing w:line="480" w:lineRule="auto"/>
        <w:rPr>
          <w:color w:val="000000"/>
        </w:rPr>
      </w:pPr>
      <w:r>
        <w:rPr>
          <w:color w:val="000000"/>
        </w:rPr>
        <w:tab/>
        <w:t>Even as the protests continued into the new year, support for the movement began to decline as the movement’s leadership faced internal struggles and ineffective issue framing failed to attract sympathizers (</w:t>
      </w:r>
      <w:proofErr w:type="spellStart"/>
      <w:r>
        <w:rPr>
          <w:color w:val="000000"/>
        </w:rPr>
        <w:t>Lasnier</w:t>
      </w:r>
      <w:proofErr w:type="spellEnd"/>
      <w:r>
        <w:rPr>
          <w:color w:val="000000"/>
        </w:rPr>
        <w:t xml:space="preserve"> 2018). During the first weeks of the protest, views toward the movement were mostly split: 44 percent of Russian stated that they </w:t>
      </w:r>
      <w:proofErr w:type="gramStart"/>
      <w:r>
        <w:rPr>
          <w:color w:val="000000"/>
        </w:rPr>
        <w:t>definitely or</w:t>
      </w:r>
      <w:proofErr w:type="gramEnd"/>
      <w:r>
        <w:rPr>
          <w:color w:val="000000"/>
        </w:rPr>
        <w:t xml:space="preserve"> rather supported the protests while 41 percent said they did not (Levada Analytical Center 2013). However, by March the following year, only 32 percent of respondents stated that they supported the protests, while those that did not support the protests increased to 52 percent. </w:t>
      </w:r>
    </w:p>
    <w:p w14:paraId="0C7BB5B7" w14:textId="1AF8AB60" w:rsidR="001C0937" w:rsidRDefault="00000000">
      <w:pPr>
        <w:spacing w:line="480" w:lineRule="auto"/>
      </w:pPr>
      <w:r>
        <w:tab/>
        <w:t xml:space="preserve">Russians were also skeptical about the effectiveness of the protest and its goals: In November 2012, 58 percent of Russians believed that the protests did nothing to improve the situation in the country (Levada Analytical Center, 2013, p. 113); the percentage of people who viewed the opposition as not having a sound program increased from 49 percent in 2011 to 57 percent in 2012. Indeed, this public souring was not limited to the December 2011 protest </w:t>
      </w:r>
      <w:r>
        <w:lastRenderedPageBreak/>
        <w:t>movement: Approval of protests in general, which had increased following the Duma elections, faltered as the protests continued into 2012 (</w:t>
      </w:r>
      <w:r w:rsidR="00B45B5B">
        <w:t>Table A</w:t>
      </w:r>
      <w:r w:rsidR="00E457E9">
        <w:t>9</w:t>
      </w:r>
      <w:r>
        <w:t xml:space="preserve">). </w:t>
      </w:r>
    </w:p>
    <w:tbl>
      <w:tblPr>
        <w:tblStyle w:val="af9"/>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530"/>
        <w:gridCol w:w="1440"/>
        <w:gridCol w:w="1530"/>
        <w:gridCol w:w="1530"/>
        <w:gridCol w:w="1345"/>
      </w:tblGrid>
      <w:tr w:rsidR="001C0937" w14:paraId="1ACD60EB" w14:textId="77777777">
        <w:tc>
          <w:tcPr>
            <w:tcW w:w="9350" w:type="dxa"/>
            <w:gridSpan w:val="6"/>
            <w:tcBorders>
              <w:bottom w:val="single" w:sz="4" w:space="0" w:color="000000"/>
            </w:tcBorders>
          </w:tcPr>
          <w:p w14:paraId="00F6E575" w14:textId="55028937" w:rsidR="001C0937" w:rsidRDefault="00B45B5B">
            <w:pPr>
              <w:rPr>
                <w:b/>
                <w:color w:val="000000"/>
              </w:rPr>
            </w:pPr>
            <w:r>
              <w:rPr>
                <w:b/>
                <w:color w:val="000000"/>
              </w:rPr>
              <w:t>Table A</w:t>
            </w:r>
            <w:r w:rsidR="00E457E9">
              <w:rPr>
                <w:b/>
                <w:color w:val="000000"/>
              </w:rPr>
              <w:t>9</w:t>
            </w:r>
            <w:r w:rsidR="00000000">
              <w:rPr>
                <w:b/>
                <w:color w:val="000000"/>
              </w:rPr>
              <w:t>: Views of Protest</w:t>
            </w:r>
          </w:p>
        </w:tc>
      </w:tr>
      <w:tr w:rsidR="001C0937" w14:paraId="531084D4" w14:textId="77777777">
        <w:tc>
          <w:tcPr>
            <w:tcW w:w="1975" w:type="dxa"/>
            <w:tcBorders>
              <w:bottom w:val="nil"/>
              <w:right w:val="nil"/>
            </w:tcBorders>
          </w:tcPr>
          <w:p w14:paraId="540BDFAD" w14:textId="77777777" w:rsidR="001C0937" w:rsidRDefault="001C0937">
            <w:pPr>
              <w:rPr>
                <w:color w:val="000000"/>
              </w:rPr>
            </w:pPr>
          </w:p>
        </w:tc>
        <w:tc>
          <w:tcPr>
            <w:tcW w:w="1530" w:type="dxa"/>
            <w:tcBorders>
              <w:left w:val="nil"/>
              <w:bottom w:val="nil"/>
              <w:right w:val="nil"/>
            </w:tcBorders>
            <w:vAlign w:val="bottom"/>
          </w:tcPr>
          <w:p w14:paraId="6690E00D" w14:textId="77777777" w:rsidR="001C0937" w:rsidRDefault="00000000">
            <w:pPr>
              <w:jc w:val="center"/>
              <w:rPr>
                <w:b/>
                <w:color w:val="000000"/>
              </w:rPr>
            </w:pPr>
            <w:r>
              <w:rPr>
                <w:b/>
                <w:color w:val="000000"/>
              </w:rPr>
              <w:t xml:space="preserve">Pre-Duma </w:t>
            </w:r>
          </w:p>
        </w:tc>
        <w:tc>
          <w:tcPr>
            <w:tcW w:w="1440" w:type="dxa"/>
            <w:tcBorders>
              <w:left w:val="nil"/>
              <w:bottom w:val="nil"/>
              <w:right w:val="nil"/>
            </w:tcBorders>
            <w:vAlign w:val="bottom"/>
          </w:tcPr>
          <w:p w14:paraId="5EF03FF7" w14:textId="77777777" w:rsidR="001C0937" w:rsidRDefault="00000000">
            <w:pPr>
              <w:jc w:val="center"/>
              <w:rPr>
                <w:b/>
                <w:color w:val="000000"/>
              </w:rPr>
            </w:pPr>
            <w:r>
              <w:rPr>
                <w:b/>
                <w:color w:val="000000"/>
              </w:rPr>
              <w:t>Post-Duma</w:t>
            </w:r>
          </w:p>
        </w:tc>
        <w:tc>
          <w:tcPr>
            <w:tcW w:w="1530" w:type="dxa"/>
            <w:tcBorders>
              <w:left w:val="nil"/>
              <w:bottom w:val="nil"/>
              <w:right w:val="nil"/>
            </w:tcBorders>
            <w:vAlign w:val="bottom"/>
          </w:tcPr>
          <w:p w14:paraId="41D2E07D" w14:textId="77777777" w:rsidR="001C0937" w:rsidRDefault="00000000">
            <w:pPr>
              <w:jc w:val="center"/>
              <w:rPr>
                <w:b/>
                <w:color w:val="000000"/>
              </w:rPr>
            </w:pPr>
            <w:r>
              <w:rPr>
                <w:b/>
              </w:rPr>
              <w:t>Post-Protest</w:t>
            </w:r>
          </w:p>
        </w:tc>
        <w:tc>
          <w:tcPr>
            <w:tcW w:w="1530" w:type="dxa"/>
            <w:tcBorders>
              <w:left w:val="nil"/>
              <w:bottom w:val="nil"/>
              <w:right w:val="nil"/>
            </w:tcBorders>
            <w:vAlign w:val="bottom"/>
          </w:tcPr>
          <w:p w14:paraId="51FAFB9E" w14:textId="77777777" w:rsidR="001C0937" w:rsidRDefault="00000000">
            <w:pPr>
              <w:jc w:val="center"/>
              <w:rPr>
                <w:b/>
                <w:color w:val="000000"/>
              </w:rPr>
            </w:pPr>
            <w:r>
              <w:rPr>
                <w:b/>
                <w:color w:val="000000"/>
              </w:rPr>
              <w:t>Pre-Pres.</w:t>
            </w:r>
          </w:p>
        </w:tc>
        <w:tc>
          <w:tcPr>
            <w:tcW w:w="1345" w:type="dxa"/>
            <w:tcBorders>
              <w:left w:val="nil"/>
              <w:bottom w:val="nil"/>
            </w:tcBorders>
            <w:vAlign w:val="bottom"/>
          </w:tcPr>
          <w:p w14:paraId="2493BEEE" w14:textId="77777777" w:rsidR="001C0937" w:rsidRDefault="00000000">
            <w:pPr>
              <w:jc w:val="center"/>
              <w:rPr>
                <w:b/>
                <w:color w:val="000000"/>
              </w:rPr>
            </w:pPr>
            <w:r>
              <w:rPr>
                <w:b/>
                <w:color w:val="000000"/>
              </w:rPr>
              <w:t>Post-Pres.</w:t>
            </w:r>
          </w:p>
        </w:tc>
      </w:tr>
      <w:tr w:rsidR="001C0937" w14:paraId="09A81496" w14:textId="77777777">
        <w:tc>
          <w:tcPr>
            <w:tcW w:w="1975" w:type="dxa"/>
            <w:tcBorders>
              <w:top w:val="nil"/>
              <w:bottom w:val="nil"/>
              <w:right w:val="nil"/>
            </w:tcBorders>
          </w:tcPr>
          <w:p w14:paraId="3BC4A716" w14:textId="77777777" w:rsidR="001C0937" w:rsidRDefault="00000000">
            <w:pPr>
              <w:rPr>
                <w:color w:val="000000"/>
              </w:rPr>
            </w:pPr>
            <w:r>
              <w:rPr>
                <w:color w:val="000000"/>
              </w:rPr>
              <w:t>Protests</w:t>
            </w:r>
          </w:p>
        </w:tc>
        <w:tc>
          <w:tcPr>
            <w:tcW w:w="1530" w:type="dxa"/>
            <w:tcBorders>
              <w:top w:val="nil"/>
              <w:left w:val="nil"/>
              <w:bottom w:val="nil"/>
              <w:right w:val="nil"/>
            </w:tcBorders>
          </w:tcPr>
          <w:p w14:paraId="024ACA51" w14:textId="77777777" w:rsidR="001C0937" w:rsidRDefault="00000000">
            <w:pPr>
              <w:jc w:val="center"/>
              <w:rPr>
                <w:color w:val="000000"/>
              </w:rPr>
            </w:pPr>
            <w:r>
              <w:rPr>
                <w:color w:val="000000"/>
              </w:rPr>
              <w:t>3.243</w:t>
            </w:r>
            <w:r w:rsidRPr="002846BD">
              <w:rPr>
                <w:i/>
                <w:iCs/>
                <w:color w:val="000000"/>
              </w:rPr>
              <w:t>a</w:t>
            </w:r>
          </w:p>
        </w:tc>
        <w:tc>
          <w:tcPr>
            <w:tcW w:w="1440" w:type="dxa"/>
            <w:tcBorders>
              <w:top w:val="nil"/>
              <w:left w:val="nil"/>
              <w:bottom w:val="nil"/>
              <w:right w:val="nil"/>
            </w:tcBorders>
          </w:tcPr>
          <w:p w14:paraId="0A40384E" w14:textId="77777777" w:rsidR="001C0937" w:rsidRDefault="00000000">
            <w:pPr>
              <w:jc w:val="center"/>
              <w:rPr>
                <w:color w:val="000000"/>
              </w:rPr>
            </w:pPr>
            <w:r>
              <w:rPr>
                <w:color w:val="000000"/>
              </w:rPr>
              <w:t>3.610b</w:t>
            </w:r>
            <w:r w:rsidRPr="002846BD">
              <w:rPr>
                <w:i/>
                <w:iCs/>
                <w:color w:val="000000"/>
              </w:rPr>
              <w:t>c</w:t>
            </w:r>
          </w:p>
        </w:tc>
        <w:tc>
          <w:tcPr>
            <w:tcW w:w="1530" w:type="dxa"/>
            <w:tcBorders>
              <w:top w:val="nil"/>
              <w:left w:val="nil"/>
              <w:bottom w:val="nil"/>
              <w:right w:val="nil"/>
            </w:tcBorders>
          </w:tcPr>
          <w:p w14:paraId="5CBCC8A0" w14:textId="77777777" w:rsidR="001C0937" w:rsidRDefault="00000000">
            <w:pPr>
              <w:jc w:val="center"/>
              <w:rPr>
                <w:color w:val="000000"/>
              </w:rPr>
            </w:pPr>
            <w:r>
              <w:rPr>
                <w:color w:val="000000"/>
              </w:rPr>
              <w:t>3.369</w:t>
            </w:r>
          </w:p>
        </w:tc>
        <w:tc>
          <w:tcPr>
            <w:tcW w:w="1530" w:type="dxa"/>
            <w:tcBorders>
              <w:top w:val="nil"/>
              <w:left w:val="nil"/>
              <w:bottom w:val="nil"/>
              <w:right w:val="nil"/>
            </w:tcBorders>
          </w:tcPr>
          <w:p w14:paraId="51698D1D" w14:textId="77777777" w:rsidR="001C0937" w:rsidRDefault="00000000">
            <w:pPr>
              <w:jc w:val="center"/>
              <w:rPr>
                <w:color w:val="000000"/>
              </w:rPr>
            </w:pPr>
            <w:r>
              <w:rPr>
                <w:color w:val="000000"/>
              </w:rPr>
              <w:t>3.180</w:t>
            </w:r>
          </w:p>
        </w:tc>
        <w:tc>
          <w:tcPr>
            <w:tcW w:w="1345" w:type="dxa"/>
            <w:tcBorders>
              <w:top w:val="nil"/>
              <w:left w:val="nil"/>
              <w:bottom w:val="nil"/>
            </w:tcBorders>
          </w:tcPr>
          <w:p w14:paraId="59576AC6" w14:textId="6752DAB5" w:rsidR="001C0937" w:rsidRPr="002846BD" w:rsidRDefault="00000000">
            <w:pPr>
              <w:jc w:val="center"/>
              <w:rPr>
                <w:i/>
                <w:iCs/>
                <w:color w:val="000000"/>
              </w:rPr>
            </w:pPr>
            <w:r>
              <w:rPr>
                <w:color w:val="000000"/>
              </w:rPr>
              <w:t>3.094</w:t>
            </w:r>
            <w:r w:rsidR="002846BD">
              <w:rPr>
                <w:i/>
                <w:iCs/>
                <w:color w:val="000000"/>
              </w:rPr>
              <w:t>d</w:t>
            </w:r>
          </w:p>
        </w:tc>
      </w:tr>
      <w:tr w:rsidR="001C0937" w14:paraId="12171D6B" w14:textId="77777777">
        <w:tc>
          <w:tcPr>
            <w:tcW w:w="1975" w:type="dxa"/>
            <w:tcBorders>
              <w:top w:val="nil"/>
              <w:right w:val="nil"/>
            </w:tcBorders>
          </w:tcPr>
          <w:p w14:paraId="102A6C20" w14:textId="77777777" w:rsidR="001C0937" w:rsidRDefault="001C0937">
            <w:pPr>
              <w:rPr>
                <w:color w:val="000000"/>
              </w:rPr>
            </w:pPr>
          </w:p>
        </w:tc>
        <w:tc>
          <w:tcPr>
            <w:tcW w:w="1530" w:type="dxa"/>
            <w:tcBorders>
              <w:top w:val="nil"/>
              <w:left w:val="nil"/>
              <w:right w:val="nil"/>
            </w:tcBorders>
          </w:tcPr>
          <w:p w14:paraId="4682D2DA" w14:textId="77777777" w:rsidR="001C0937" w:rsidRDefault="00000000">
            <w:pPr>
              <w:jc w:val="center"/>
              <w:rPr>
                <w:color w:val="000000"/>
              </w:rPr>
            </w:pPr>
            <w:r>
              <w:rPr>
                <w:color w:val="000000"/>
              </w:rPr>
              <w:t>(0.030)</w:t>
            </w:r>
          </w:p>
        </w:tc>
        <w:tc>
          <w:tcPr>
            <w:tcW w:w="1440" w:type="dxa"/>
            <w:tcBorders>
              <w:top w:val="nil"/>
              <w:left w:val="nil"/>
              <w:right w:val="nil"/>
            </w:tcBorders>
          </w:tcPr>
          <w:p w14:paraId="23DFDD1F" w14:textId="77777777" w:rsidR="001C0937" w:rsidRDefault="00000000">
            <w:pPr>
              <w:jc w:val="center"/>
              <w:rPr>
                <w:color w:val="000000"/>
              </w:rPr>
            </w:pPr>
            <w:r>
              <w:rPr>
                <w:color w:val="000000"/>
              </w:rPr>
              <w:t>(0.078)</w:t>
            </w:r>
          </w:p>
        </w:tc>
        <w:tc>
          <w:tcPr>
            <w:tcW w:w="1530" w:type="dxa"/>
            <w:tcBorders>
              <w:top w:val="nil"/>
              <w:left w:val="nil"/>
              <w:right w:val="nil"/>
            </w:tcBorders>
          </w:tcPr>
          <w:p w14:paraId="5E32C5A0" w14:textId="77777777" w:rsidR="001C0937" w:rsidRDefault="00000000">
            <w:pPr>
              <w:jc w:val="center"/>
              <w:rPr>
                <w:color w:val="000000"/>
              </w:rPr>
            </w:pPr>
            <w:r>
              <w:rPr>
                <w:color w:val="000000"/>
              </w:rPr>
              <w:t>(0.030)</w:t>
            </w:r>
          </w:p>
        </w:tc>
        <w:tc>
          <w:tcPr>
            <w:tcW w:w="1530" w:type="dxa"/>
            <w:tcBorders>
              <w:top w:val="nil"/>
              <w:left w:val="nil"/>
              <w:right w:val="nil"/>
            </w:tcBorders>
          </w:tcPr>
          <w:p w14:paraId="5CD48362" w14:textId="77777777" w:rsidR="001C0937" w:rsidRDefault="00000000">
            <w:pPr>
              <w:jc w:val="center"/>
              <w:rPr>
                <w:color w:val="000000"/>
              </w:rPr>
            </w:pPr>
            <w:r>
              <w:rPr>
                <w:color w:val="000000"/>
              </w:rPr>
              <w:t>(0.027)</w:t>
            </w:r>
          </w:p>
        </w:tc>
        <w:tc>
          <w:tcPr>
            <w:tcW w:w="1345" w:type="dxa"/>
            <w:tcBorders>
              <w:top w:val="nil"/>
              <w:left w:val="nil"/>
            </w:tcBorders>
          </w:tcPr>
          <w:p w14:paraId="5FC134E5" w14:textId="77777777" w:rsidR="001C0937" w:rsidRDefault="00000000">
            <w:pPr>
              <w:jc w:val="center"/>
              <w:rPr>
                <w:color w:val="000000"/>
              </w:rPr>
            </w:pPr>
            <w:r>
              <w:rPr>
                <w:color w:val="000000"/>
              </w:rPr>
              <w:t>(0.027)</w:t>
            </w:r>
          </w:p>
        </w:tc>
      </w:tr>
      <w:tr w:rsidR="001C0937" w14:paraId="2B04FD8E" w14:textId="77777777">
        <w:trPr>
          <w:trHeight w:val="962"/>
        </w:trPr>
        <w:tc>
          <w:tcPr>
            <w:tcW w:w="9350" w:type="dxa"/>
            <w:gridSpan w:val="6"/>
          </w:tcPr>
          <w:p w14:paraId="1BD05EC0" w14:textId="281C87B7" w:rsidR="001C0937" w:rsidRDefault="00000000">
            <w:pPr>
              <w:rPr>
                <w:color w:val="000000"/>
                <w:sz w:val="20"/>
                <w:szCs w:val="20"/>
              </w:rPr>
            </w:pPr>
            <w:r>
              <w:rPr>
                <w:color w:val="000000"/>
                <w:sz w:val="20"/>
                <w:szCs w:val="20"/>
              </w:rPr>
              <w:t>Note: Approval of protests measured on a 5-point scale (1 = strongly disapprove, 5 = strongly approve).</w:t>
            </w:r>
            <w:r w:rsidR="002846BD">
              <w:rPr>
                <w:color w:val="000000"/>
                <w:sz w:val="20"/>
                <w:szCs w:val="20"/>
              </w:rPr>
              <w:t xml:space="preserve"> Difference in means only shown for period-dyads with statistically significant differences.</w:t>
            </w:r>
          </w:p>
          <w:p w14:paraId="23CFAD2A" w14:textId="5E80741F" w:rsidR="001C0937" w:rsidRDefault="002846BD">
            <w:pPr>
              <w:rPr>
                <w:color w:val="000000"/>
                <w:sz w:val="20"/>
                <w:szCs w:val="20"/>
              </w:rPr>
            </w:pPr>
            <w:r w:rsidRPr="002846BD">
              <w:rPr>
                <w:i/>
                <w:iCs/>
                <w:color w:val="000000"/>
                <w:sz w:val="20"/>
                <w:szCs w:val="20"/>
              </w:rPr>
              <w:t>a</w:t>
            </w:r>
            <w:r>
              <w:rPr>
                <w:color w:val="000000"/>
                <w:sz w:val="20"/>
                <w:szCs w:val="20"/>
              </w:rPr>
              <w:t>) Difference</w:t>
            </w:r>
            <w:r w:rsidR="00D33CC4">
              <w:rPr>
                <w:color w:val="000000"/>
                <w:sz w:val="20"/>
                <w:szCs w:val="20"/>
              </w:rPr>
              <w:t xml:space="preserve"> in means</w:t>
            </w:r>
            <w:r>
              <w:rPr>
                <w:color w:val="000000"/>
                <w:sz w:val="20"/>
                <w:szCs w:val="20"/>
              </w:rPr>
              <w:t xml:space="preserve"> between </w:t>
            </w:r>
            <w:r w:rsidR="00D33CC4">
              <w:rPr>
                <w:color w:val="000000"/>
                <w:sz w:val="20"/>
                <w:szCs w:val="20"/>
              </w:rPr>
              <w:t>Pre-Duma</w:t>
            </w:r>
            <w:r>
              <w:rPr>
                <w:color w:val="000000"/>
                <w:sz w:val="20"/>
                <w:szCs w:val="20"/>
              </w:rPr>
              <w:t xml:space="preserve"> and </w:t>
            </w:r>
            <w:r w:rsidR="00D33CC4">
              <w:rPr>
                <w:color w:val="000000"/>
                <w:sz w:val="20"/>
                <w:szCs w:val="20"/>
              </w:rPr>
              <w:t xml:space="preserve">Post-Duma </w:t>
            </w:r>
            <w:r>
              <w:rPr>
                <w:color w:val="000000"/>
                <w:sz w:val="20"/>
                <w:szCs w:val="20"/>
              </w:rPr>
              <w:t>are statistically significant at p &lt; .05. </w:t>
            </w:r>
          </w:p>
          <w:p w14:paraId="7132EDAF" w14:textId="21C9FFD2" w:rsidR="001C0937" w:rsidRDefault="002846BD">
            <w:pPr>
              <w:rPr>
                <w:sz w:val="20"/>
                <w:szCs w:val="20"/>
              </w:rPr>
            </w:pPr>
            <w:r>
              <w:rPr>
                <w:i/>
                <w:iCs/>
                <w:color w:val="000000"/>
                <w:sz w:val="20"/>
                <w:szCs w:val="20"/>
              </w:rPr>
              <w:t>b</w:t>
            </w:r>
            <w:r>
              <w:rPr>
                <w:color w:val="000000"/>
                <w:sz w:val="20"/>
                <w:szCs w:val="20"/>
              </w:rPr>
              <w:t>) Difference</w:t>
            </w:r>
            <w:r w:rsidR="00D33CC4">
              <w:rPr>
                <w:color w:val="000000"/>
                <w:sz w:val="20"/>
                <w:szCs w:val="20"/>
              </w:rPr>
              <w:t xml:space="preserve"> in means</w:t>
            </w:r>
            <w:r>
              <w:rPr>
                <w:color w:val="000000"/>
                <w:sz w:val="20"/>
                <w:szCs w:val="20"/>
              </w:rPr>
              <w:t xml:space="preserve"> between </w:t>
            </w:r>
            <w:r w:rsidR="00D33CC4">
              <w:rPr>
                <w:color w:val="000000"/>
                <w:sz w:val="20"/>
                <w:szCs w:val="20"/>
              </w:rPr>
              <w:t>Post-Duma</w:t>
            </w:r>
            <w:r>
              <w:rPr>
                <w:color w:val="000000"/>
                <w:sz w:val="20"/>
                <w:szCs w:val="20"/>
              </w:rPr>
              <w:t xml:space="preserve"> and </w:t>
            </w:r>
            <w:r w:rsidR="00D33CC4">
              <w:rPr>
                <w:color w:val="000000"/>
                <w:sz w:val="20"/>
                <w:szCs w:val="20"/>
              </w:rPr>
              <w:t>Post-Protest</w:t>
            </w:r>
            <w:r>
              <w:rPr>
                <w:color w:val="000000"/>
                <w:sz w:val="20"/>
                <w:szCs w:val="20"/>
              </w:rPr>
              <w:t xml:space="preserve"> are statistically significant at p &lt; .05. </w:t>
            </w:r>
          </w:p>
          <w:p w14:paraId="49D55313" w14:textId="7E988ACE" w:rsidR="001C0937" w:rsidRDefault="002846BD">
            <w:pPr>
              <w:rPr>
                <w:sz w:val="20"/>
                <w:szCs w:val="20"/>
              </w:rPr>
            </w:pPr>
            <w:r>
              <w:rPr>
                <w:i/>
                <w:iCs/>
                <w:color w:val="000000"/>
                <w:sz w:val="20"/>
                <w:szCs w:val="20"/>
              </w:rPr>
              <w:t>c</w:t>
            </w:r>
            <w:r>
              <w:rPr>
                <w:color w:val="000000"/>
                <w:sz w:val="20"/>
                <w:szCs w:val="20"/>
              </w:rPr>
              <w:t xml:space="preserve">) Difference </w:t>
            </w:r>
            <w:r w:rsidR="00D33CC4">
              <w:rPr>
                <w:color w:val="000000"/>
                <w:sz w:val="20"/>
                <w:szCs w:val="20"/>
              </w:rPr>
              <w:t xml:space="preserve">in means </w:t>
            </w:r>
            <w:r>
              <w:rPr>
                <w:color w:val="000000"/>
                <w:sz w:val="20"/>
                <w:szCs w:val="20"/>
              </w:rPr>
              <w:t xml:space="preserve">between </w:t>
            </w:r>
            <w:r w:rsidR="00D33CC4">
              <w:rPr>
                <w:color w:val="000000"/>
                <w:sz w:val="20"/>
                <w:szCs w:val="20"/>
              </w:rPr>
              <w:t xml:space="preserve">Pre-Duma </w:t>
            </w:r>
            <w:r>
              <w:rPr>
                <w:color w:val="000000"/>
                <w:sz w:val="20"/>
                <w:szCs w:val="20"/>
              </w:rPr>
              <w:t xml:space="preserve">and </w:t>
            </w:r>
            <w:r w:rsidR="00D33CC4">
              <w:rPr>
                <w:color w:val="000000"/>
                <w:sz w:val="20"/>
                <w:szCs w:val="20"/>
              </w:rPr>
              <w:t>Post-Protest</w:t>
            </w:r>
            <w:r>
              <w:rPr>
                <w:color w:val="000000"/>
                <w:sz w:val="20"/>
                <w:szCs w:val="20"/>
              </w:rPr>
              <w:t xml:space="preserve"> are statistically significant at p &lt; .05. </w:t>
            </w:r>
          </w:p>
          <w:p w14:paraId="17E0ED86" w14:textId="758B1C24" w:rsidR="001C0937" w:rsidRDefault="002846BD">
            <w:pPr>
              <w:rPr>
                <w:color w:val="000000"/>
              </w:rPr>
            </w:pPr>
            <w:r>
              <w:rPr>
                <w:i/>
                <w:iCs/>
                <w:color w:val="000000"/>
                <w:sz w:val="20"/>
                <w:szCs w:val="20"/>
              </w:rPr>
              <w:t>d</w:t>
            </w:r>
            <w:r>
              <w:rPr>
                <w:color w:val="000000"/>
                <w:sz w:val="20"/>
                <w:szCs w:val="20"/>
              </w:rPr>
              <w:t xml:space="preserve">) Difference </w:t>
            </w:r>
            <w:r w:rsidR="00D33CC4">
              <w:rPr>
                <w:color w:val="000000"/>
                <w:sz w:val="20"/>
                <w:szCs w:val="20"/>
              </w:rPr>
              <w:t xml:space="preserve">in means </w:t>
            </w:r>
            <w:r>
              <w:rPr>
                <w:color w:val="000000"/>
                <w:sz w:val="20"/>
                <w:szCs w:val="20"/>
              </w:rPr>
              <w:t xml:space="preserve">between </w:t>
            </w:r>
            <w:r w:rsidR="00D33CC4">
              <w:rPr>
                <w:color w:val="000000"/>
                <w:sz w:val="20"/>
                <w:szCs w:val="20"/>
              </w:rPr>
              <w:t xml:space="preserve">Pre-Duma </w:t>
            </w:r>
            <w:r>
              <w:rPr>
                <w:color w:val="000000"/>
                <w:sz w:val="20"/>
                <w:szCs w:val="20"/>
              </w:rPr>
              <w:t xml:space="preserve">and </w:t>
            </w:r>
            <w:r w:rsidR="00D33CC4">
              <w:rPr>
                <w:color w:val="000000"/>
                <w:sz w:val="20"/>
                <w:szCs w:val="20"/>
              </w:rPr>
              <w:t>Post-Presidential</w:t>
            </w:r>
            <w:r>
              <w:rPr>
                <w:color w:val="000000"/>
                <w:sz w:val="20"/>
                <w:szCs w:val="20"/>
              </w:rPr>
              <w:t xml:space="preserve"> are statistically</w:t>
            </w:r>
            <w:r w:rsidR="00D33CC4">
              <w:rPr>
                <w:color w:val="000000"/>
                <w:sz w:val="20"/>
                <w:szCs w:val="20"/>
              </w:rPr>
              <w:t xml:space="preserve"> </w:t>
            </w:r>
            <w:r>
              <w:rPr>
                <w:color w:val="000000"/>
                <w:sz w:val="20"/>
                <w:szCs w:val="20"/>
              </w:rPr>
              <w:t>significant at p &lt; .05.</w:t>
            </w:r>
          </w:p>
        </w:tc>
      </w:tr>
    </w:tbl>
    <w:p w14:paraId="797FFC2F" w14:textId="77777777" w:rsidR="001C0937" w:rsidRDefault="001C0937">
      <w:pPr>
        <w:rPr>
          <w:color w:val="000000"/>
        </w:rPr>
      </w:pPr>
    </w:p>
    <w:p w14:paraId="3DFAA1D8" w14:textId="5FE32F20" w:rsidR="001C0937" w:rsidRDefault="00000000">
      <w:pPr>
        <w:spacing w:line="480" w:lineRule="auto"/>
        <w:ind w:firstLine="720"/>
        <w:rPr>
          <w:color w:val="000000"/>
        </w:rPr>
      </w:pPr>
      <w:r>
        <w:rPr>
          <w:color w:val="000000"/>
        </w:rPr>
        <w:t>On March 4, Vladimir Putin handedly won the presidential election with 64 percent of the votes. Following the election, trust in Putin reached and surpassed pre-Duma election levels—doubtlessly influenced by his victory in the presidential elections, increasing disillusionment with the opposition movement, state media coverage of the protests, and government handling of the protests</w:t>
      </w:r>
      <w:r w:rsidR="003918A7">
        <w:rPr>
          <w:color w:val="000000"/>
        </w:rPr>
        <w:t xml:space="preserve">. </w:t>
      </w:r>
      <w:r>
        <w:rPr>
          <w:color w:val="000000"/>
        </w:rPr>
        <w:t xml:space="preserve"> </w:t>
      </w:r>
    </w:p>
    <w:p w14:paraId="531F9E3B" w14:textId="77777777" w:rsidR="001C0937" w:rsidRDefault="00000000">
      <w:pPr>
        <w:spacing w:line="480" w:lineRule="auto"/>
        <w:rPr>
          <w:color w:val="000000"/>
        </w:rPr>
      </w:pPr>
      <w:r>
        <w:rPr>
          <w:color w:val="000000"/>
        </w:rPr>
        <w:tab/>
        <w:t xml:space="preserve">With his position secured, government response toward the protests changed dramatically. Although many of the earlier rallies took place under heavy police presence and some protesters were detained after unsanctioned meetings, the government used repression sparingly. That is, until May 6, 2012—the day before Putin was inaugurated as President for a third term. May 6 marked the first large-scale protest in nearly a month and attracted approximately 20,000 protesters in Moscow. Unlike previous marches, these protests were marred by significant police violence and intimidation. Approximately 400 protesters were arrested, including leading opposition figures Alexei Navalny, Boris Nemtsov, and Sergei </w:t>
      </w:r>
      <w:proofErr w:type="spellStart"/>
      <w:r>
        <w:rPr>
          <w:color w:val="000000"/>
        </w:rPr>
        <w:t>Udaltsov</w:t>
      </w:r>
      <w:proofErr w:type="spellEnd"/>
      <w:r>
        <w:rPr>
          <w:color w:val="000000"/>
        </w:rPr>
        <w:t>; many opposition members were detained by police before the rallies even began.</w:t>
      </w:r>
      <w:r>
        <w:rPr>
          <w:vertAlign w:val="superscript"/>
        </w:rPr>
        <w:footnoteReference w:id="11"/>
      </w:r>
      <w:r>
        <w:rPr>
          <w:color w:val="000000"/>
        </w:rPr>
        <w:t xml:space="preserve"> At </w:t>
      </w:r>
      <w:r>
        <w:rPr>
          <w:color w:val="000000"/>
        </w:rPr>
        <w:lastRenderedPageBreak/>
        <w:t xml:space="preserve">least eighty people were injured. According to Lenta.ru, </w:t>
      </w:r>
      <w:r>
        <w:rPr>
          <w:color w:val="000000"/>
          <w:highlight w:val="white"/>
        </w:rPr>
        <w:t>“Moscow had not seen such large-scale street battles for twenty years.”</w:t>
      </w:r>
    </w:p>
    <w:p w14:paraId="7F061133" w14:textId="77777777" w:rsidR="001C0937" w:rsidRDefault="00000000">
      <w:pPr>
        <w:spacing w:line="480" w:lineRule="auto"/>
      </w:pPr>
      <w:r>
        <w:tab/>
        <w:t xml:space="preserve">As support for the protests waned, support for the state’s response strengthened: In October 2012, a plurality (39%) viewed the government’s actions against the protest organizers as an effort to restore law in order, compared to 27 percent that viewed these actions as political repression (Levada, 2013). A majority (56%) did not view the persecution of protestors and opposition leaders and the toughening of protests laws as an onset of political repressions, compared to 27 percent who did. Protest fatigue and disillusionment with the movement opened the door to crackdown on the protesters with little backlash from the </w:t>
      </w:r>
      <w:proofErr w:type="gramStart"/>
      <w:r>
        <w:t>general public</w:t>
      </w:r>
      <w:proofErr w:type="gramEnd"/>
      <w:r>
        <w:t xml:space="preserve">.  </w:t>
      </w:r>
    </w:p>
    <w:p w14:paraId="26CED494" w14:textId="77777777" w:rsidR="001C0937" w:rsidRDefault="00000000">
      <w:pPr>
        <w:spacing w:line="480" w:lineRule="auto"/>
        <w:rPr>
          <w:b/>
          <w:sz w:val="30"/>
          <w:szCs w:val="30"/>
        </w:rPr>
      </w:pPr>
      <w:r>
        <w:rPr>
          <w:color w:val="000000"/>
        </w:rPr>
        <w:tab/>
        <w:t>The May 6 protests and the unprecedented police response is widely viewed as a turning point in Putin’s regime (</w:t>
      </w:r>
      <w:proofErr w:type="spellStart"/>
      <w:r>
        <w:rPr>
          <w:color w:val="000000"/>
        </w:rPr>
        <w:t>Lankina</w:t>
      </w:r>
      <w:proofErr w:type="spellEnd"/>
      <w:r>
        <w:rPr>
          <w:color w:val="000000"/>
        </w:rPr>
        <w:t xml:space="preserve"> 2015; Taylor 2013). </w:t>
      </w:r>
      <w:r>
        <w:rPr>
          <w:color w:val="000000"/>
          <w:highlight w:val="white"/>
        </w:rPr>
        <w:t xml:space="preserve">According to </w:t>
      </w:r>
      <w:proofErr w:type="spellStart"/>
      <w:r>
        <w:rPr>
          <w:color w:val="000000"/>
          <w:highlight w:val="white"/>
        </w:rPr>
        <w:t>Lankina</w:t>
      </w:r>
      <w:proofErr w:type="spellEnd"/>
      <w:r>
        <w:rPr>
          <w:color w:val="000000"/>
          <w:highlight w:val="white"/>
        </w:rPr>
        <w:t xml:space="preserve"> (2015b), protest activity after mid-2012 has been subject to greater repression. </w:t>
      </w:r>
      <w:r>
        <w:rPr>
          <w:color w:val="000000"/>
        </w:rPr>
        <w:t xml:space="preserve">The May protests </w:t>
      </w:r>
      <w:r>
        <w:rPr>
          <w:color w:val="000000"/>
          <w:highlight w:val="white"/>
        </w:rPr>
        <w:t>“</w:t>
      </w:r>
      <w:r>
        <w:t>provided a convenient basis for a comprehensive crackdown strategy to be put in place” (</w:t>
      </w:r>
      <w:proofErr w:type="spellStart"/>
      <w:r>
        <w:t>Hinsey</w:t>
      </w:r>
      <w:proofErr w:type="spellEnd"/>
      <w:r>
        <w:t>, 2013, p. 132).</w:t>
      </w:r>
      <w:r>
        <w:rPr>
          <w:color w:val="000000"/>
          <w:highlight w:val="white"/>
        </w:rPr>
        <w:t xml:space="preserve"> While future protests were allowed to continue, the Kremlin continued to foster “an atmosphere of intimidation and repression” (ibid)—raiding the homes of opposition leaders, increasing interrogations and arrests against the opposition, passing more stringent protest laws, and further reducing media freedom. If the 2000s were characterized by the cooptation of citizen loyalty and isolation of dissent, </w:t>
      </w:r>
      <w:proofErr w:type="spellStart"/>
      <w:r>
        <w:rPr>
          <w:color w:val="000000"/>
        </w:rPr>
        <w:t>Gel’man</w:t>
      </w:r>
      <w:proofErr w:type="spellEnd"/>
      <w:r>
        <w:rPr>
          <w:color w:val="000000"/>
        </w:rPr>
        <w:t xml:space="preserve"> (2016)</w:t>
      </w:r>
      <w:r>
        <w:rPr>
          <w:color w:val="000000"/>
          <w:highlight w:val="white"/>
        </w:rPr>
        <w:t xml:space="preserve"> argues, upon Putin’s return to power 2012 these methods were “</w:t>
      </w:r>
      <w:r>
        <w:t xml:space="preserve">replaced by the politics of fear, which include overt intimidation and public discrediting of the regime’s critics, and selective persecution and open harassment of opposition activists and/or supporters” (p. 28). Following the 2011-2012 protest movement—and partially as a reaction to them—Russia began its definitive move from a backsliding democracy to a hegemonic authoritarian regime. </w:t>
      </w:r>
    </w:p>
    <w:p w14:paraId="67BDFFC4" w14:textId="77777777" w:rsidR="001C0937" w:rsidRDefault="00000000">
      <w:pPr>
        <w:spacing w:line="480" w:lineRule="auto"/>
        <w:rPr>
          <w:b/>
          <w:sz w:val="30"/>
          <w:szCs w:val="30"/>
        </w:rPr>
      </w:pPr>
      <w:r>
        <w:rPr>
          <w:b/>
          <w:sz w:val="30"/>
          <w:szCs w:val="30"/>
        </w:rPr>
        <w:lastRenderedPageBreak/>
        <w:t>References</w:t>
      </w:r>
    </w:p>
    <w:p w14:paraId="7F09DF69" w14:textId="77777777" w:rsidR="001C0937" w:rsidRDefault="00000000">
      <w:pPr>
        <w:pBdr>
          <w:top w:val="nil"/>
          <w:left w:val="nil"/>
          <w:bottom w:val="nil"/>
          <w:right w:val="nil"/>
          <w:between w:val="nil"/>
        </w:pBdr>
        <w:spacing w:line="480" w:lineRule="auto"/>
        <w:ind w:left="720" w:hanging="720"/>
        <w:rPr>
          <w:color w:val="000000"/>
        </w:rPr>
      </w:pPr>
      <w:proofErr w:type="spellStart"/>
      <w:r>
        <w:rPr>
          <w:color w:val="000000"/>
        </w:rPr>
        <w:t>Gel’man</w:t>
      </w:r>
      <w:proofErr w:type="spellEnd"/>
      <w:r>
        <w:rPr>
          <w:color w:val="000000"/>
        </w:rPr>
        <w:t xml:space="preserve">, Vladimir. 2016. “The Politics of Fear: How Russia’s Rulers Counter Their Rivals.” </w:t>
      </w:r>
      <w:r>
        <w:rPr>
          <w:i/>
          <w:color w:val="000000"/>
        </w:rPr>
        <w:t>Russian Politics</w:t>
      </w:r>
      <w:r>
        <w:rPr>
          <w:color w:val="000000"/>
        </w:rPr>
        <w:t xml:space="preserve"> 1 (1): 27–45. </w:t>
      </w:r>
    </w:p>
    <w:p w14:paraId="38CCBDD9" w14:textId="77777777" w:rsidR="001C0937" w:rsidRDefault="00000000">
      <w:pPr>
        <w:pBdr>
          <w:top w:val="nil"/>
          <w:left w:val="nil"/>
          <w:bottom w:val="nil"/>
          <w:right w:val="nil"/>
          <w:between w:val="nil"/>
        </w:pBdr>
        <w:spacing w:line="480" w:lineRule="auto"/>
        <w:ind w:left="720" w:hanging="720"/>
        <w:rPr>
          <w:color w:val="000000"/>
        </w:rPr>
      </w:pPr>
      <w:r>
        <w:rPr>
          <w:color w:val="000000"/>
        </w:rPr>
        <w:t xml:space="preserve">Gerber, Theodore P., and Hannah S. Chapman. 2018. “Familiarity Breeds Contempt? Knowledge and Understanding of Democracy, Support for Democratization, and Global City Residence in Russia.” </w:t>
      </w:r>
      <w:r>
        <w:rPr>
          <w:i/>
          <w:color w:val="000000"/>
        </w:rPr>
        <w:t>Democratization</w:t>
      </w:r>
      <w:r>
        <w:rPr>
          <w:color w:val="000000"/>
        </w:rPr>
        <w:t xml:space="preserve"> 25 (3): 481–503.</w:t>
      </w:r>
    </w:p>
    <w:p w14:paraId="219C0DAB" w14:textId="77777777" w:rsidR="001C0937" w:rsidRDefault="00000000">
      <w:pPr>
        <w:pBdr>
          <w:top w:val="nil"/>
          <w:left w:val="nil"/>
          <w:bottom w:val="nil"/>
          <w:right w:val="nil"/>
          <w:between w:val="nil"/>
        </w:pBdr>
        <w:spacing w:line="480" w:lineRule="auto"/>
        <w:ind w:left="720" w:hanging="720"/>
        <w:rPr>
          <w:color w:val="000000"/>
        </w:rPr>
      </w:pPr>
      <w:proofErr w:type="spellStart"/>
      <w:r>
        <w:rPr>
          <w:color w:val="000000"/>
        </w:rPr>
        <w:t>Hinsey</w:t>
      </w:r>
      <w:proofErr w:type="spellEnd"/>
      <w:r>
        <w:rPr>
          <w:color w:val="000000"/>
        </w:rPr>
        <w:t xml:space="preserve">, Ellen. 2013. “Putin Cracks Down: The Russian Presidential Election and Its Aftermath.” </w:t>
      </w:r>
      <w:r>
        <w:rPr>
          <w:i/>
          <w:color w:val="000000"/>
        </w:rPr>
        <w:t>New England Review</w:t>
      </w:r>
      <w:r>
        <w:rPr>
          <w:color w:val="000000"/>
        </w:rPr>
        <w:t xml:space="preserve"> 34 (2): 123–41.</w:t>
      </w:r>
    </w:p>
    <w:p w14:paraId="7AC518CF" w14:textId="77777777" w:rsidR="001C0937" w:rsidRDefault="00000000">
      <w:pPr>
        <w:pBdr>
          <w:top w:val="nil"/>
          <w:left w:val="nil"/>
          <w:bottom w:val="nil"/>
          <w:right w:val="nil"/>
          <w:between w:val="nil"/>
        </w:pBdr>
        <w:spacing w:line="480" w:lineRule="auto"/>
        <w:ind w:left="720" w:hanging="720"/>
        <w:rPr>
          <w:color w:val="000000"/>
        </w:rPr>
      </w:pPr>
      <w:r>
        <w:rPr>
          <w:color w:val="000000"/>
        </w:rPr>
        <w:t xml:space="preserve">Karrie J. </w:t>
      </w:r>
      <w:proofErr w:type="spellStart"/>
      <w:r>
        <w:rPr>
          <w:color w:val="000000"/>
        </w:rPr>
        <w:t>Koesel</w:t>
      </w:r>
      <w:proofErr w:type="spellEnd"/>
      <w:r>
        <w:rPr>
          <w:color w:val="000000"/>
        </w:rPr>
        <w:t xml:space="preserve"> and Valerie J. Bunce. 2012. “Putin, Popular Protests, and Political Trajectories in Russia: A Comparative Perspective.” </w:t>
      </w:r>
      <w:r>
        <w:rPr>
          <w:i/>
          <w:color w:val="000000"/>
        </w:rPr>
        <w:t>Post-Soviet Affairs</w:t>
      </w:r>
      <w:r>
        <w:rPr>
          <w:color w:val="000000"/>
        </w:rPr>
        <w:t xml:space="preserve"> 28 (4): 403–23.</w:t>
      </w:r>
    </w:p>
    <w:p w14:paraId="7655A62C" w14:textId="77777777" w:rsidR="001C0937" w:rsidRDefault="00000000">
      <w:pPr>
        <w:pBdr>
          <w:top w:val="nil"/>
          <w:left w:val="nil"/>
          <w:bottom w:val="nil"/>
          <w:right w:val="nil"/>
          <w:between w:val="nil"/>
        </w:pBdr>
        <w:spacing w:line="480" w:lineRule="auto"/>
        <w:ind w:left="720" w:hanging="720"/>
        <w:rPr>
          <w:color w:val="000000"/>
        </w:rPr>
      </w:pPr>
      <w:proofErr w:type="spellStart"/>
      <w:r>
        <w:rPr>
          <w:color w:val="000000"/>
        </w:rPr>
        <w:t>Lankina</w:t>
      </w:r>
      <w:proofErr w:type="spellEnd"/>
      <w:r>
        <w:rPr>
          <w:color w:val="000000"/>
        </w:rPr>
        <w:t xml:space="preserve">, </w:t>
      </w:r>
      <w:proofErr w:type="spellStart"/>
      <w:r>
        <w:rPr>
          <w:color w:val="000000"/>
        </w:rPr>
        <w:t>Tomila</w:t>
      </w:r>
      <w:proofErr w:type="spellEnd"/>
      <w:r>
        <w:rPr>
          <w:color w:val="000000"/>
        </w:rPr>
        <w:t>. 2015. “Daring to Protest: When, Why, and How Russia’s Citizens Engage in Street Protest.” 333. PONARS Eurasia Policy Memo. PONARS Eurasia.</w:t>
      </w:r>
    </w:p>
    <w:p w14:paraId="4ED4D241" w14:textId="77777777" w:rsidR="001C0937" w:rsidRDefault="00000000">
      <w:pPr>
        <w:pBdr>
          <w:top w:val="nil"/>
          <w:left w:val="nil"/>
          <w:bottom w:val="nil"/>
          <w:right w:val="nil"/>
          <w:between w:val="nil"/>
        </w:pBdr>
        <w:spacing w:line="480" w:lineRule="auto"/>
        <w:ind w:left="720" w:hanging="720"/>
        <w:rPr>
          <w:color w:val="000000"/>
        </w:rPr>
      </w:pPr>
      <w:proofErr w:type="spellStart"/>
      <w:r>
        <w:rPr>
          <w:color w:val="000000"/>
        </w:rPr>
        <w:t>Lasnier</w:t>
      </w:r>
      <w:proofErr w:type="spellEnd"/>
      <w:r>
        <w:rPr>
          <w:color w:val="000000"/>
        </w:rPr>
        <w:t xml:space="preserve">, Virginie. 2018. “Russia’s Opposition Movement Five Years After </w:t>
      </w:r>
      <w:proofErr w:type="spellStart"/>
      <w:r>
        <w:rPr>
          <w:color w:val="000000"/>
        </w:rPr>
        <w:t>Bolotnaia</w:t>
      </w:r>
      <w:proofErr w:type="spellEnd"/>
      <w:r>
        <w:rPr>
          <w:color w:val="000000"/>
        </w:rPr>
        <w:t xml:space="preserve">: The Electoral Trap?” </w:t>
      </w:r>
      <w:r>
        <w:rPr>
          <w:i/>
          <w:color w:val="000000"/>
        </w:rPr>
        <w:t xml:space="preserve">Problems of </w:t>
      </w:r>
      <w:proofErr w:type="gramStart"/>
      <w:r>
        <w:rPr>
          <w:i/>
          <w:color w:val="000000"/>
        </w:rPr>
        <w:t>Post-Communism</w:t>
      </w:r>
      <w:proofErr w:type="gramEnd"/>
      <w:r>
        <w:rPr>
          <w:color w:val="000000"/>
        </w:rPr>
        <w:t xml:space="preserve"> 65 (5): 359–71. </w:t>
      </w:r>
    </w:p>
    <w:p w14:paraId="3EC5D4B9" w14:textId="6A4B52AA" w:rsidR="00E457E9" w:rsidRDefault="00E457E9" w:rsidP="00E457E9">
      <w:pPr>
        <w:pBdr>
          <w:top w:val="nil"/>
          <w:left w:val="nil"/>
          <w:bottom w:val="nil"/>
          <w:right w:val="nil"/>
          <w:between w:val="nil"/>
        </w:pBdr>
        <w:spacing w:line="480" w:lineRule="auto"/>
        <w:ind w:left="720" w:hanging="720"/>
        <w:rPr>
          <w:color w:val="000000"/>
        </w:rPr>
      </w:pPr>
      <w:r w:rsidRPr="00E457E9">
        <w:rPr>
          <w:color w:val="000000"/>
        </w:rPr>
        <w:t>Levada Analytical Center.</w:t>
      </w:r>
      <w:r>
        <w:rPr>
          <w:color w:val="000000"/>
        </w:rPr>
        <w:t xml:space="preserve"> 2012a. “</w:t>
      </w:r>
      <w:proofErr w:type="spellStart"/>
      <w:r>
        <w:rPr>
          <w:color w:val="000000"/>
        </w:rPr>
        <w:t>Grazhdanye</w:t>
      </w:r>
      <w:proofErr w:type="spellEnd"/>
      <w:r>
        <w:rPr>
          <w:color w:val="000000"/>
        </w:rPr>
        <w:t xml:space="preserve"> </w:t>
      </w:r>
      <w:proofErr w:type="spellStart"/>
      <w:r>
        <w:rPr>
          <w:color w:val="000000"/>
        </w:rPr>
        <w:t>Rossii</w:t>
      </w:r>
      <w:proofErr w:type="spellEnd"/>
      <w:r>
        <w:rPr>
          <w:color w:val="000000"/>
        </w:rPr>
        <w:t xml:space="preserve"> Ne </w:t>
      </w:r>
      <w:proofErr w:type="spellStart"/>
      <w:r>
        <w:rPr>
          <w:color w:val="000000"/>
        </w:rPr>
        <w:t>Zhaluyutsya</w:t>
      </w:r>
      <w:proofErr w:type="spellEnd"/>
      <w:r>
        <w:rPr>
          <w:color w:val="000000"/>
        </w:rPr>
        <w:t xml:space="preserve"> Na </w:t>
      </w:r>
      <w:proofErr w:type="spellStart"/>
      <w:r>
        <w:rPr>
          <w:color w:val="000000"/>
        </w:rPr>
        <w:t>Davleniye</w:t>
      </w:r>
      <w:proofErr w:type="spellEnd"/>
      <w:r>
        <w:rPr>
          <w:color w:val="000000"/>
        </w:rPr>
        <w:t xml:space="preserve"> Oni </w:t>
      </w:r>
      <w:proofErr w:type="spellStart"/>
      <w:r>
        <w:rPr>
          <w:color w:val="000000"/>
        </w:rPr>
        <w:t>Chitayut</w:t>
      </w:r>
      <w:proofErr w:type="spellEnd"/>
      <w:r>
        <w:rPr>
          <w:color w:val="000000"/>
        </w:rPr>
        <w:t xml:space="preserve"> </w:t>
      </w:r>
      <w:proofErr w:type="spellStart"/>
      <w:r>
        <w:rPr>
          <w:color w:val="000000"/>
        </w:rPr>
        <w:t>Vyiboryi</w:t>
      </w:r>
      <w:proofErr w:type="spellEnd"/>
      <w:r>
        <w:rPr>
          <w:color w:val="000000"/>
        </w:rPr>
        <w:t xml:space="preserve"> </w:t>
      </w:r>
      <w:proofErr w:type="spellStart"/>
      <w:r>
        <w:rPr>
          <w:color w:val="000000"/>
        </w:rPr>
        <w:t>Chestnimi</w:t>
      </w:r>
      <w:proofErr w:type="spellEnd"/>
      <w:r>
        <w:rPr>
          <w:color w:val="000000"/>
        </w:rPr>
        <w:t xml:space="preserve">, No s </w:t>
      </w:r>
      <w:proofErr w:type="spellStart"/>
      <w:r>
        <w:rPr>
          <w:color w:val="000000"/>
        </w:rPr>
        <w:t>Udovols’tviyem</w:t>
      </w:r>
      <w:proofErr w:type="spellEnd"/>
      <w:r>
        <w:rPr>
          <w:color w:val="000000"/>
        </w:rPr>
        <w:t xml:space="preserve"> </w:t>
      </w:r>
      <w:proofErr w:type="spellStart"/>
      <w:r>
        <w:rPr>
          <w:color w:val="000000"/>
        </w:rPr>
        <w:t>Progolosovali</w:t>
      </w:r>
      <w:proofErr w:type="spellEnd"/>
      <w:r>
        <w:rPr>
          <w:color w:val="000000"/>
        </w:rPr>
        <w:t xml:space="preserve"> </w:t>
      </w:r>
      <w:proofErr w:type="spellStart"/>
      <w:r>
        <w:rPr>
          <w:color w:val="000000"/>
        </w:rPr>
        <w:t>Vyi</w:t>
      </w:r>
      <w:proofErr w:type="spellEnd"/>
      <w:r>
        <w:rPr>
          <w:color w:val="000000"/>
        </w:rPr>
        <w:t xml:space="preserve"> </w:t>
      </w:r>
      <w:proofErr w:type="spellStart"/>
      <w:r>
        <w:rPr>
          <w:color w:val="000000"/>
        </w:rPr>
        <w:t>Protiv</w:t>
      </w:r>
      <w:proofErr w:type="spellEnd"/>
      <w:r>
        <w:rPr>
          <w:color w:val="000000"/>
        </w:rPr>
        <w:t xml:space="preserve"> </w:t>
      </w:r>
      <w:proofErr w:type="spellStart"/>
      <w:r>
        <w:rPr>
          <w:color w:val="000000"/>
        </w:rPr>
        <w:t>Vsex</w:t>
      </w:r>
      <w:proofErr w:type="spellEnd"/>
      <w:r>
        <w:rPr>
          <w:color w:val="000000"/>
        </w:rPr>
        <w:t>.” https://www.levada.ru/2012/03/25/grazhdane-rossii-ne-zhaluyutsya-na-davlenie-oni-schitayut-vybory-chestnymi-no-s-udovolstviem-progolosovali-by-protiv-vseh/.</w:t>
      </w:r>
    </w:p>
    <w:p w14:paraId="5592F395" w14:textId="77777777" w:rsidR="001C0937" w:rsidRDefault="00000000">
      <w:pPr>
        <w:pBdr>
          <w:top w:val="nil"/>
          <w:left w:val="nil"/>
          <w:bottom w:val="nil"/>
          <w:right w:val="nil"/>
          <w:between w:val="nil"/>
        </w:pBdr>
        <w:spacing w:line="480" w:lineRule="auto"/>
        <w:ind w:left="720" w:hanging="720"/>
        <w:rPr>
          <w:color w:val="000000"/>
        </w:rPr>
      </w:pPr>
      <w:r>
        <w:rPr>
          <w:color w:val="000000"/>
        </w:rPr>
        <w:t>Levada Analytical Center. 2013. “Russian Public Opinion 2012-2013: From Opinion Toward Understanding.” Levada Analytical Center. http://www.levada.ru/sites/default/files/2012_eng.pdf.</w:t>
      </w:r>
    </w:p>
    <w:p w14:paraId="01979185" w14:textId="77777777" w:rsidR="001C0937" w:rsidRDefault="00000000">
      <w:pPr>
        <w:pBdr>
          <w:top w:val="nil"/>
          <w:left w:val="nil"/>
          <w:bottom w:val="nil"/>
          <w:right w:val="nil"/>
          <w:between w:val="nil"/>
        </w:pBdr>
        <w:spacing w:line="480" w:lineRule="auto"/>
        <w:ind w:left="720" w:hanging="720"/>
        <w:rPr>
          <w:color w:val="000000"/>
        </w:rPr>
      </w:pPr>
      <w:r>
        <w:rPr>
          <w:color w:val="000000"/>
        </w:rPr>
        <w:t xml:space="preserve">Regina Smyth and Sarah Oates. 2015. “Mind the Gaps: Media Use and Mass Action in Russia.” </w:t>
      </w:r>
      <w:r>
        <w:rPr>
          <w:i/>
          <w:color w:val="000000"/>
        </w:rPr>
        <w:t>Europe-Asia Studies</w:t>
      </w:r>
      <w:r>
        <w:rPr>
          <w:color w:val="000000"/>
        </w:rPr>
        <w:t xml:space="preserve"> 67 (2): 285–305.</w:t>
      </w:r>
    </w:p>
    <w:p w14:paraId="2EB64E7E" w14:textId="77777777" w:rsidR="001C0937" w:rsidRDefault="00000000">
      <w:pPr>
        <w:pBdr>
          <w:top w:val="nil"/>
          <w:left w:val="nil"/>
          <w:bottom w:val="nil"/>
          <w:right w:val="nil"/>
          <w:between w:val="nil"/>
        </w:pBdr>
        <w:spacing w:line="480" w:lineRule="auto"/>
        <w:ind w:left="720" w:hanging="720"/>
        <w:rPr>
          <w:color w:val="000000"/>
        </w:rPr>
      </w:pPr>
      <w:r>
        <w:rPr>
          <w:color w:val="000000"/>
        </w:rPr>
        <w:lastRenderedPageBreak/>
        <w:t>Taylor, Brian D. 2013. “Putin’s Crackdown: Sources, Instruments, and Challenges.” 277. PONARS Eurasia Policy Memo. PONARS Eurasia.</w:t>
      </w:r>
    </w:p>
    <w:p w14:paraId="22EE13F0" w14:textId="77777777" w:rsidR="001C0937" w:rsidRDefault="00000000">
      <w:pPr>
        <w:pBdr>
          <w:top w:val="nil"/>
          <w:left w:val="nil"/>
          <w:bottom w:val="nil"/>
          <w:right w:val="nil"/>
          <w:between w:val="nil"/>
        </w:pBdr>
        <w:spacing w:line="480" w:lineRule="auto"/>
        <w:ind w:left="720" w:hanging="720"/>
        <w:rPr>
          <w:color w:val="000000"/>
        </w:rPr>
      </w:pPr>
      <w:proofErr w:type="spellStart"/>
      <w:r>
        <w:rPr>
          <w:color w:val="000000"/>
        </w:rPr>
        <w:t>Tisdall</w:t>
      </w:r>
      <w:proofErr w:type="spellEnd"/>
      <w:r>
        <w:rPr>
          <w:color w:val="000000"/>
        </w:rPr>
        <w:t xml:space="preserve">, Simon. 2011. “Vladimir Putin Accuses Hillary Clinton of Encouraging Russian Protests.” </w:t>
      </w:r>
      <w:r>
        <w:rPr>
          <w:i/>
          <w:color w:val="000000"/>
        </w:rPr>
        <w:t>The Guardian</w:t>
      </w:r>
      <w:r>
        <w:rPr>
          <w:color w:val="000000"/>
        </w:rPr>
        <w:t>, December 8, 2011.</w:t>
      </w:r>
    </w:p>
    <w:p w14:paraId="227FAD34" w14:textId="77777777" w:rsidR="001C0937" w:rsidRDefault="00000000">
      <w:pPr>
        <w:pBdr>
          <w:top w:val="nil"/>
          <w:left w:val="nil"/>
          <w:bottom w:val="nil"/>
          <w:right w:val="nil"/>
          <w:between w:val="nil"/>
        </w:pBdr>
        <w:spacing w:line="480" w:lineRule="auto"/>
        <w:ind w:left="720" w:hanging="720"/>
        <w:rPr>
          <w:color w:val="000000"/>
        </w:rPr>
      </w:pPr>
      <w:proofErr w:type="spellStart"/>
      <w:r>
        <w:rPr>
          <w:color w:val="000000"/>
        </w:rPr>
        <w:t>Tomila</w:t>
      </w:r>
      <w:proofErr w:type="spellEnd"/>
      <w:r>
        <w:rPr>
          <w:color w:val="000000"/>
        </w:rPr>
        <w:t xml:space="preserve"> </w:t>
      </w:r>
      <w:proofErr w:type="spellStart"/>
      <w:r>
        <w:rPr>
          <w:color w:val="000000"/>
        </w:rPr>
        <w:t>Lankina</w:t>
      </w:r>
      <w:proofErr w:type="spellEnd"/>
      <w:r>
        <w:rPr>
          <w:color w:val="000000"/>
        </w:rPr>
        <w:t xml:space="preserve"> and Kohei Watanabe. 2017. “‘Russian Spring’ or ‘Spring Betrayal’? The Media as a Mirror of Putin’s Evolving Strategy in Ukraine.” </w:t>
      </w:r>
      <w:r>
        <w:rPr>
          <w:i/>
          <w:color w:val="000000"/>
        </w:rPr>
        <w:t>Europe-Asia Studies</w:t>
      </w:r>
      <w:r>
        <w:rPr>
          <w:color w:val="000000"/>
        </w:rPr>
        <w:t xml:space="preserve"> 69 (10): 1526–56.</w:t>
      </w:r>
    </w:p>
    <w:p w14:paraId="172458E8" w14:textId="77777777" w:rsidR="001C0937" w:rsidRDefault="00000000">
      <w:pPr>
        <w:pBdr>
          <w:top w:val="nil"/>
          <w:left w:val="nil"/>
          <w:bottom w:val="nil"/>
          <w:right w:val="nil"/>
          <w:between w:val="nil"/>
        </w:pBdr>
        <w:spacing w:line="480" w:lineRule="auto"/>
        <w:ind w:left="720" w:hanging="720"/>
        <w:rPr>
          <w:color w:val="000000"/>
        </w:rPr>
      </w:pPr>
      <w:r>
        <w:rPr>
          <w:color w:val="000000"/>
        </w:rPr>
        <w:t xml:space="preserve">Treisman, Daniel. 2014. “Putin’s Popularity since 2010: Why Did Support for the Kremlin Plunge, Then Stabilize?” </w:t>
      </w:r>
      <w:r>
        <w:rPr>
          <w:i/>
          <w:color w:val="000000"/>
        </w:rPr>
        <w:t>Post-Soviet Affairs</w:t>
      </w:r>
      <w:r>
        <w:rPr>
          <w:color w:val="000000"/>
        </w:rPr>
        <w:t xml:space="preserve"> 30 (5): 370–88. </w:t>
      </w:r>
    </w:p>
    <w:p w14:paraId="6873702B" w14:textId="77777777" w:rsidR="001C0937" w:rsidRDefault="001C0937">
      <w:pPr>
        <w:spacing w:line="480" w:lineRule="auto"/>
      </w:pPr>
    </w:p>
    <w:sectPr w:rsidR="001C09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BDD6" w14:textId="77777777" w:rsidR="00D414AC" w:rsidRDefault="00D414AC">
      <w:r>
        <w:separator/>
      </w:r>
    </w:p>
  </w:endnote>
  <w:endnote w:type="continuationSeparator" w:id="0">
    <w:p w14:paraId="65A06978" w14:textId="77777777" w:rsidR="00D414AC" w:rsidRDefault="00D4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4582" w14:textId="77777777" w:rsidR="00D414AC" w:rsidRDefault="00D414AC">
      <w:r>
        <w:separator/>
      </w:r>
    </w:p>
  </w:footnote>
  <w:footnote w:type="continuationSeparator" w:id="0">
    <w:p w14:paraId="1176C2DF" w14:textId="77777777" w:rsidR="00D414AC" w:rsidRDefault="00D414AC">
      <w:r>
        <w:continuationSeparator/>
      </w:r>
    </w:p>
  </w:footnote>
  <w:footnote w:id="1">
    <w:p w14:paraId="15D985CE" w14:textId="4D303196" w:rsidR="00844631" w:rsidRPr="00844631" w:rsidRDefault="00844631">
      <w:pPr>
        <w:pStyle w:val="FootnoteText"/>
        <w:rPr>
          <w:rFonts w:ascii="Times New Roman" w:hAnsi="Times New Roman" w:cs="Times New Roman"/>
          <w:sz w:val="24"/>
          <w:szCs w:val="24"/>
        </w:rPr>
      </w:pPr>
      <w:r w:rsidRPr="00844631">
        <w:rPr>
          <w:rStyle w:val="FootnoteReference"/>
          <w:rFonts w:ascii="Times New Roman" w:hAnsi="Times New Roman" w:cs="Times New Roman"/>
          <w:sz w:val="24"/>
          <w:szCs w:val="24"/>
        </w:rPr>
        <w:footnoteRef/>
      </w:r>
      <w:r w:rsidRPr="00844631">
        <w:rPr>
          <w:rFonts w:ascii="Times New Roman" w:hAnsi="Times New Roman" w:cs="Times New Roman"/>
          <w:sz w:val="24"/>
          <w:szCs w:val="24"/>
        </w:rPr>
        <w:t xml:space="preserve"> See Appendix B below for more information on the pre-presidential and post-presidential time periods. </w:t>
      </w:r>
    </w:p>
  </w:footnote>
  <w:footnote w:id="2">
    <w:p w14:paraId="1D8469D1" w14:textId="6D662524" w:rsidR="00844631" w:rsidRDefault="00844631" w:rsidP="00844631">
      <w:pPr>
        <w:spacing w:line="480" w:lineRule="auto"/>
      </w:pPr>
      <w:r>
        <w:rPr>
          <w:rStyle w:val="FootnoteReference"/>
        </w:rPr>
        <w:footnoteRef/>
      </w:r>
      <w:r>
        <w:t xml:space="preserve"> These waves include a Moscow oversample. Results are consistent when using post-stratification weights to adjust the sample to concord with population distributions of locality type, gender, age, and education. </w:t>
      </w:r>
    </w:p>
  </w:footnote>
  <w:footnote w:id="3">
    <w:p w14:paraId="325DB2CB" w14:textId="23C9A427" w:rsidR="00FC2B91" w:rsidRPr="00FC2B91" w:rsidRDefault="00FC2B91" w:rsidP="00FC2B91">
      <w:pPr>
        <w:pStyle w:val="FootnoteText"/>
        <w:spacing w:line="480" w:lineRule="auto"/>
        <w:rPr>
          <w:rFonts w:ascii="Times New Roman" w:hAnsi="Times New Roman" w:cs="Times New Roman"/>
          <w:sz w:val="24"/>
          <w:szCs w:val="24"/>
        </w:rPr>
      </w:pPr>
      <w:r w:rsidRPr="00FC2B91">
        <w:rPr>
          <w:rStyle w:val="FootnoteReference"/>
          <w:rFonts w:ascii="Times New Roman" w:hAnsi="Times New Roman" w:cs="Times New Roman"/>
          <w:sz w:val="24"/>
          <w:szCs w:val="24"/>
        </w:rPr>
        <w:footnoteRef/>
      </w:r>
      <w:r w:rsidRPr="00FC2B91">
        <w:rPr>
          <w:rFonts w:ascii="Times New Roman" w:hAnsi="Times New Roman" w:cs="Times New Roman"/>
          <w:sz w:val="24"/>
          <w:szCs w:val="24"/>
        </w:rPr>
        <w:t xml:space="preserve"> The protest movement continued into and beyond the post-presidential election period, though they lost much of their momentum and broad support for the protests waned.</w:t>
      </w:r>
    </w:p>
  </w:footnote>
  <w:footnote w:id="4">
    <w:p w14:paraId="26B94D74" w14:textId="77777777" w:rsidR="00FD2AB5" w:rsidRPr="008B37EA" w:rsidRDefault="00FD2AB5" w:rsidP="00FD2AB5">
      <w:pPr>
        <w:spacing w:line="480" w:lineRule="auto"/>
      </w:pPr>
      <w:r>
        <w:rPr>
          <w:rStyle w:val="FootnoteReference"/>
        </w:rPr>
        <w:footnoteRef/>
      </w:r>
      <w:r>
        <w:t xml:space="preserve"> The variable for support of protests asks, “Are protests good or bad for Russia?”, which is measured on a five-point scale. Due to the low number of observations in Period 2, I collapse the categories to create a three-point scale with 1 being </w:t>
      </w:r>
      <w:proofErr w:type="gramStart"/>
      <w:r>
        <w:t>definitely or</w:t>
      </w:r>
      <w:proofErr w:type="gramEnd"/>
      <w:r>
        <w:t xml:space="preserve"> probably bad, 2 being neither good nor bad, and 3—probably or definitely good. Respondents were also asked to evaluate the importance of freedom of self-expression on a five-point scale with 5 being a “top priority” and 1 being “definitely harmful.” Due to the low number of observations in Period 2, I collapse the five categories into three: </w:t>
      </w:r>
      <w:proofErr w:type="gramStart"/>
      <w:r>
        <w:t>definitely and</w:t>
      </w:r>
      <w:proofErr w:type="gramEnd"/>
      <w:r>
        <w:t xml:space="preserve"> somewhat harmful, neither important nor harmful, and important or a top priority. </w:t>
      </w:r>
    </w:p>
  </w:footnote>
  <w:footnote w:id="5">
    <w:p w14:paraId="2DDD1BE1" w14:textId="77777777" w:rsidR="00FD2AB5" w:rsidRDefault="00FD2AB5" w:rsidP="00FD2AB5">
      <w:pPr>
        <w:spacing w:line="480" w:lineRule="auto"/>
      </w:pPr>
      <w:r>
        <w:rPr>
          <w:rStyle w:val="FootnoteReference"/>
        </w:rPr>
        <w:footnoteRef/>
      </w:r>
      <w:r>
        <w:t xml:space="preserve"> During the spring of 2012, 56 percent of respondents (strongly or somewhat) agreed with the statement, “If there is proof that elections are falsified, people have a duty to protest,” compared to 38 percent who (strongly or somewhat) disagreed with this statement. </w:t>
      </w:r>
    </w:p>
  </w:footnote>
  <w:footnote w:id="6">
    <w:p w14:paraId="16835E2F" w14:textId="77777777" w:rsidR="00FD2AB5" w:rsidRDefault="00FD2AB5" w:rsidP="00FD2AB5">
      <w:pPr>
        <w:spacing w:line="480" w:lineRule="auto"/>
      </w:pPr>
      <w:r>
        <w:rPr>
          <w:rStyle w:val="FootnoteReference"/>
        </w:rPr>
        <w:footnoteRef/>
      </w:r>
      <w:r>
        <w:t xml:space="preserve"> In December 2011, when asked, “What does Russia need more now: strong authority or the public needs to control the authority?” 31 percent of respondents answered strong authority while 60 percent answered public control of the authority (Levada Analytical Center, 2013). </w:t>
      </w:r>
    </w:p>
    <w:p w14:paraId="48C0E393" w14:textId="77777777" w:rsidR="00FD2AB5" w:rsidRDefault="00FD2AB5" w:rsidP="00FD2AB5">
      <w:pPr>
        <w:spacing w:line="480" w:lineRule="auto"/>
        <w:rPr>
          <w:rFonts w:ascii="Calibri" w:eastAsia="Calibri" w:hAnsi="Calibri" w:cs="Calibri"/>
          <w:sz w:val="20"/>
          <w:szCs w:val="20"/>
        </w:rPr>
      </w:pPr>
    </w:p>
  </w:footnote>
  <w:footnote w:id="7">
    <w:p w14:paraId="0030F837" w14:textId="77777777" w:rsidR="001C0937" w:rsidRDefault="00000000">
      <w:pPr>
        <w:pBdr>
          <w:top w:val="nil"/>
          <w:left w:val="nil"/>
          <w:bottom w:val="nil"/>
          <w:right w:val="nil"/>
          <w:between w:val="nil"/>
        </w:pBdr>
        <w:spacing w:line="360" w:lineRule="auto"/>
        <w:rPr>
          <w:color w:val="000000"/>
        </w:rPr>
      </w:pPr>
      <w:r>
        <w:rPr>
          <w:rStyle w:val="FootnoteReference"/>
        </w:rPr>
        <w:footnoteRef/>
      </w:r>
      <w:r>
        <w:rPr>
          <w:color w:val="000000"/>
        </w:rPr>
        <w:t xml:space="preserve"> While it is desirable to further separate St. Petersburg and Moscow from other large cities, the limited number of observations (n=12 in the Post-Duma Period) makes this choice unfeasible. </w:t>
      </w:r>
    </w:p>
  </w:footnote>
  <w:footnote w:id="8">
    <w:p w14:paraId="71AF0302" w14:textId="77777777" w:rsidR="001C0937" w:rsidRDefault="00000000">
      <w:pPr>
        <w:pBdr>
          <w:top w:val="nil"/>
          <w:left w:val="nil"/>
          <w:bottom w:val="nil"/>
          <w:right w:val="nil"/>
          <w:between w:val="nil"/>
        </w:pBdr>
        <w:spacing w:line="360" w:lineRule="auto"/>
        <w:rPr>
          <w:color w:val="000000"/>
        </w:rPr>
      </w:pPr>
      <w:r>
        <w:rPr>
          <w:rStyle w:val="FootnoteReference"/>
        </w:rPr>
        <w:footnoteRef/>
      </w:r>
      <w:r>
        <w:rPr>
          <w:color w:val="000000"/>
        </w:rPr>
        <w:t xml:space="preserve"> In 2011-2012, approximately 75% of Russians stated that they used the television for news </w:t>
      </w:r>
      <w:proofErr w:type="gramStart"/>
      <w:r>
        <w:rPr>
          <w:color w:val="000000"/>
        </w:rPr>
        <w:t>on a daily basis</w:t>
      </w:r>
      <w:proofErr w:type="gramEnd"/>
      <w:r>
        <w:rPr>
          <w:color w:val="000000"/>
        </w:rPr>
        <w:t xml:space="preserve">. </w:t>
      </w:r>
    </w:p>
  </w:footnote>
  <w:footnote w:id="9">
    <w:p w14:paraId="62136A4C" w14:textId="77777777" w:rsidR="001C0937" w:rsidRDefault="00000000">
      <w:pPr>
        <w:spacing w:line="360" w:lineRule="auto"/>
        <w:rPr>
          <w:color w:val="000000"/>
        </w:rPr>
      </w:pPr>
      <w:r>
        <w:rPr>
          <w:rStyle w:val="FootnoteReference"/>
        </w:rPr>
        <w:footnoteRef/>
      </w:r>
      <w:r>
        <w:t xml:space="preserve"> </w:t>
      </w:r>
      <w:r>
        <w:rPr>
          <w:color w:val="000000"/>
        </w:rPr>
        <w:t xml:space="preserve">Of course, an individuals’ decision to use media, and which media they choose to use, cannot be easily separated from existing views of authorities. Individuals with pro-regime views are also more likely to select into state-sponsored news sources, while those with anti-regime views may seek out alternative sources. </w:t>
      </w:r>
    </w:p>
  </w:footnote>
  <w:footnote w:id="10">
    <w:p w14:paraId="1DE1D687" w14:textId="77777777" w:rsidR="001C0937" w:rsidRDefault="00000000">
      <w:pPr>
        <w:pBdr>
          <w:top w:val="nil"/>
          <w:left w:val="nil"/>
          <w:bottom w:val="nil"/>
          <w:right w:val="nil"/>
          <w:between w:val="nil"/>
        </w:pBdr>
        <w:spacing w:line="360" w:lineRule="auto"/>
        <w:rPr>
          <w:color w:val="000000"/>
        </w:rPr>
      </w:pPr>
      <w:r>
        <w:rPr>
          <w:rStyle w:val="FootnoteReference"/>
        </w:rPr>
        <w:footnoteRef/>
      </w:r>
      <w:r>
        <w:rPr>
          <w:color w:val="000000"/>
        </w:rPr>
        <w:t xml:space="preserve"> The exact figures vary widely according to the source: Police estimate that approximately 28,000 individuals attended the protests, while organizers put this number around 120,000. </w:t>
      </w:r>
    </w:p>
  </w:footnote>
  <w:footnote w:id="11">
    <w:p w14:paraId="7BEFC89D" w14:textId="77777777" w:rsidR="001C0937" w:rsidRDefault="00000000">
      <w:pPr>
        <w:pBdr>
          <w:top w:val="nil"/>
          <w:left w:val="nil"/>
          <w:bottom w:val="nil"/>
          <w:right w:val="nil"/>
          <w:between w:val="nil"/>
        </w:pBdr>
        <w:spacing w:line="360" w:lineRule="auto"/>
        <w:rPr>
          <w:color w:val="000000"/>
        </w:rPr>
      </w:pPr>
      <w:r>
        <w:rPr>
          <w:rStyle w:val="FootnoteReference"/>
        </w:rPr>
        <w:footnoteRef/>
      </w:r>
      <w:r>
        <w:rPr>
          <w:color w:val="000000"/>
        </w:rPr>
        <w:t xml:space="preserve"> These arrests resulted in the infamous </w:t>
      </w:r>
      <w:proofErr w:type="spellStart"/>
      <w:r>
        <w:rPr>
          <w:color w:val="000000"/>
        </w:rPr>
        <w:t>Bolotnaya</w:t>
      </w:r>
      <w:proofErr w:type="spellEnd"/>
      <w:r>
        <w:rPr>
          <w:color w:val="000000"/>
        </w:rPr>
        <w:t xml:space="preserve"> Square case in which thirty-seven individuals have been accused of various illegal protest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2EC1" w14:textId="77777777" w:rsidR="001C0937" w:rsidRDefault="00000000">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7F29920D" w14:textId="77777777" w:rsidR="001C0937" w:rsidRDefault="001C0937">
    <w:pPr>
      <w:pBdr>
        <w:top w:val="nil"/>
        <w:left w:val="nil"/>
        <w:bottom w:val="nil"/>
        <w:right w:val="nil"/>
        <w:between w:val="nil"/>
      </w:pBdr>
      <w:tabs>
        <w:tab w:val="center" w:pos="4680"/>
        <w:tab w:val="right" w:pos="9360"/>
      </w:tabs>
      <w:ind w:right="360"/>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946" w14:textId="77777777" w:rsidR="001C0937" w:rsidRDefault="00000000">
    <w:pPr>
      <w:pBdr>
        <w:top w:val="nil"/>
        <w:left w:val="nil"/>
        <w:bottom w:val="nil"/>
        <w:right w:val="nil"/>
        <w:between w:val="nil"/>
      </w:pBdr>
      <w:tabs>
        <w:tab w:val="center" w:pos="4680"/>
        <w:tab w:val="right" w:pos="9360"/>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sidR="00840526">
      <w:rPr>
        <w:rFonts w:ascii="Times" w:eastAsia="Times" w:hAnsi="Times" w:cs="Times"/>
        <w:noProof/>
        <w:color w:val="000000"/>
      </w:rPr>
      <w:t>1</w:t>
    </w:r>
    <w:r>
      <w:rPr>
        <w:rFonts w:ascii="Times" w:eastAsia="Times" w:hAnsi="Times" w:cs="Times"/>
        <w:color w:val="000000"/>
      </w:rPr>
      <w:fldChar w:fldCharType="end"/>
    </w:r>
  </w:p>
  <w:p w14:paraId="21E29321" w14:textId="77777777" w:rsidR="001C0937" w:rsidRDefault="001C0937">
    <w:pPr>
      <w:pBdr>
        <w:top w:val="nil"/>
        <w:left w:val="nil"/>
        <w:bottom w:val="nil"/>
        <w:right w:val="nil"/>
        <w:between w:val="nil"/>
      </w:pBdr>
      <w:tabs>
        <w:tab w:val="center" w:pos="4680"/>
        <w:tab w:val="right" w:pos="9360"/>
      </w:tabs>
      <w:ind w:right="360"/>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37"/>
    <w:rsid w:val="00097E92"/>
    <w:rsid w:val="000F1BA7"/>
    <w:rsid w:val="001534D3"/>
    <w:rsid w:val="001901E0"/>
    <w:rsid w:val="001C0937"/>
    <w:rsid w:val="001C3BF9"/>
    <w:rsid w:val="00230010"/>
    <w:rsid w:val="002846BD"/>
    <w:rsid w:val="002C4D81"/>
    <w:rsid w:val="003918A7"/>
    <w:rsid w:val="00394183"/>
    <w:rsid w:val="003D5C37"/>
    <w:rsid w:val="0041588C"/>
    <w:rsid w:val="004F7FC0"/>
    <w:rsid w:val="005125DC"/>
    <w:rsid w:val="005757CF"/>
    <w:rsid w:val="005A084B"/>
    <w:rsid w:val="005A538E"/>
    <w:rsid w:val="00635CA5"/>
    <w:rsid w:val="00695917"/>
    <w:rsid w:val="00840526"/>
    <w:rsid w:val="00844631"/>
    <w:rsid w:val="008A5EF6"/>
    <w:rsid w:val="0098198F"/>
    <w:rsid w:val="009932B5"/>
    <w:rsid w:val="009E3076"/>
    <w:rsid w:val="009E55C6"/>
    <w:rsid w:val="00AB0F02"/>
    <w:rsid w:val="00AB5367"/>
    <w:rsid w:val="00AD6EAC"/>
    <w:rsid w:val="00B45B5B"/>
    <w:rsid w:val="00B8288F"/>
    <w:rsid w:val="00BD02EA"/>
    <w:rsid w:val="00C14097"/>
    <w:rsid w:val="00CA4B9B"/>
    <w:rsid w:val="00CB1515"/>
    <w:rsid w:val="00D13F48"/>
    <w:rsid w:val="00D175D1"/>
    <w:rsid w:val="00D33CC4"/>
    <w:rsid w:val="00D414AC"/>
    <w:rsid w:val="00E14AAD"/>
    <w:rsid w:val="00E2074D"/>
    <w:rsid w:val="00E457E9"/>
    <w:rsid w:val="00E91428"/>
    <w:rsid w:val="00F72CCF"/>
    <w:rsid w:val="00F80952"/>
    <w:rsid w:val="00FC2B91"/>
    <w:rsid w:val="00FD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DE1B"/>
  <w15:docId w15:val="{692C5865-5142-474D-8229-F3F6B4B6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01C6B"/>
    <w:pPr>
      <w:spacing w:before="100" w:beforeAutospacing="1" w:after="100" w:afterAutospacing="1"/>
    </w:pPr>
  </w:style>
  <w:style w:type="character" w:styleId="Hyperlink">
    <w:name w:val="Hyperlink"/>
    <w:basedOn w:val="DefaultParagraphFont"/>
    <w:uiPriority w:val="99"/>
    <w:unhideWhenUsed/>
    <w:rsid w:val="00201C6B"/>
    <w:rPr>
      <w:color w:val="0000FF"/>
      <w:u w:val="single"/>
    </w:rPr>
  </w:style>
  <w:style w:type="table" w:styleId="TableGrid">
    <w:name w:val="Table Grid"/>
    <w:basedOn w:val="TableNormal"/>
    <w:uiPriority w:val="39"/>
    <w:rsid w:val="00030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DE2"/>
    <w:rPr>
      <w:sz w:val="16"/>
      <w:szCs w:val="16"/>
    </w:rPr>
  </w:style>
  <w:style w:type="paragraph" w:styleId="CommentText">
    <w:name w:val="annotation text"/>
    <w:basedOn w:val="Normal"/>
    <w:link w:val="CommentTextChar"/>
    <w:uiPriority w:val="99"/>
    <w:unhideWhenUsed/>
    <w:rsid w:val="000D5DE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D5DE2"/>
    <w:rPr>
      <w:sz w:val="20"/>
      <w:szCs w:val="20"/>
    </w:rPr>
  </w:style>
  <w:style w:type="paragraph" w:styleId="CommentSubject">
    <w:name w:val="annotation subject"/>
    <w:basedOn w:val="CommentText"/>
    <w:next w:val="CommentText"/>
    <w:link w:val="CommentSubjectChar"/>
    <w:uiPriority w:val="99"/>
    <w:semiHidden/>
    <w:unhideWhenUsed/>
    <w:rsid w:val="000D5DE2"/>
    <w:rPr>
      <w:b/>
      <w:bCs/>
    </w:rPr>
  </w:style>
  <w:style w:type="character" w:customStyle="1" w:styleId="CommentSubjectChar">
    <w:name w:val="Comment Subject Char"/>
    <w:basedOn w:val="CommentTextChar"/>
    <w:link w:val="CommentSubject"/>
    <w:uiPriority w:val="99"/>
    <w:semiHidden/>
    <w:rsid w:val="000D5DE2"/>
    <w:rPr>
      <w:b/>
      <w:bCs/>
      <w:sz w:val="20"/>
      <w:szCs w:val="20"/>
    </w:rPr>
  </w:style>
  <w:style w:type="paragraph" w:styleId="BalloonText">
    <w:name w:val="Balloon Text"/>
    <w:basedOn w:val="Normal"/>
    <w:link w:val="BalloonTextChar"/>
    <w:uiPriority w:val="99"/>
    <w:semiHidden/>
    <w:unhideWhenUsed/>
    <w:rsid w:val="000D5DE2"/>
    <w:rPr>
      <w:rFonts w:eastAsiaTheme="minorHAnsi"/>
      <w:sz w:val="18"/>
      <w:szCs w:val="18"/>
    </w:rPr>
  </w:style>
  <w:style w:type="character" w:customStyle="1" w:styleId="BalloonTextChar">
    <w:name w:val="Balloon Text Char"/>
    <w:basedOn w:val="DefaultParagraphFont"/>
    <w:link w:val="BalloonText"/>
    <w:uiPriority w:val="99"/>
    <w:semiHidden/>
    <w:rsid w:val="000D5DE2"/>
    <w:rPr>
      <w:rFonts w:ascii="Times New Roman" w:hAnsi="Times New Roman" w:cs="Times New Roman"/>
      <w:sz w:val="18"/>
      <w:szCs w:val="18"/>
    </w:rPr>
  </w:style>
  <w:style w:type="paragraph" w:styleId="FootnoteText">
    <w:name w:val="footnote text"/>
    <w:basedOn w:val="Normal"/>
    <w:link w:val="FootnoteTextChar"/>
    <w:uiPriority w:val="99"/>
    <w:unhideWhenUsed/>
    <w:rsid w:val="00DC3E0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C3E0A"/>
    <w:rPr>
      <w:sz w:val="20"/>
      <w:szCs w:val="20"/>
    </w:rPr>
  </w:style>
  <w:style w:type="character" w:styleId="FootnoteReference">
    <w:name w:val="footnote reference"/>
    <w:basedOn w:val="DefaultParagraphFont"/>
    <w:uiPriority w:val="99"/>
    <w:semiHidden/>
    <w:unhideWhenUsed/>
    <w:rsid w:val="00DC3E0A"/>
    <w:rPr>
      <w:vertAlign w:val="superscript"/>
    </w:rPr>
  </w:style>
  <w:style w:type="paragraph" w:styleId="Revision">
    <w:name w:val="Revision"/>
    <w:hidden/>
    <w:uiPriority w:val="99"/>
    <w:semiHidden/>
    <w:rsid w:val="002D3AA9"/>
  </w:style>
  <w:style w:type="character" w:customStyle="1" w:styleId="UnresolvedMention1">
    <w:name w:val="Unresolved Mention1"/>
    <w:basedOn w:val="DefaultParagraphFont"/>
    <w:uiPriority w:val="99"/>
    <w:semiHidden/>
    <w:unhideWhenUsed/>
    <w:rsid w:val="00233436"/>
    <w:rPr>
      <w:color w:val="605E5C"/>
      <w:shd w:val="clear" w:color="auto" w:fill="E1DFDD"/>
    </w:rPr>
  </w:style>
  <w:style w:type="paragraph" w:styleId="ListParagraph">
    <w:name w:val="List Paragraph"/>
    <w:basedOn w:val="Normal"/>
    <w:uiPriority w:val="34"/>
    <w:qFormat/>
    <w:rsid w:val="004E0EA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205018"/>
    <w:rPr>
      <w:color w:val="954F72" w:themeColor="followedHyperlink"/>
      <w:u w:val="single"/>
    </w:rPr>
  </w:style>
  <w:style w:type="character" w:customStyle="1" w:styleId="ref-lnk">
    <w:name w:val="ref-lnk"/>
    <w:basedOn w:val="DefaultParagraphFont"/>
    <w:rsid w:val="00AB2573"/>
  </w:style>
  <w:style w:type="paragraph" w:styleId="Header">
    <w:name w:val="header"/>
    <w:basedOn w:val="Normal"/>
    <w:link w:val="HeaderChar"/>
    <w:uiPriority w:val="99"/>
    <w:unhideWhenUsed/>
    <w:rsid w:val="00226D0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26D08"/>
  </w:style>
  <w:style w:type="paragraph" w:styleId="Footer">
    <w:name w:val="footer"/>
    <w:basedOn w:val="Normal"/>
    <w:link w:val="FooterChar"/>
    <w:uiPriority w:val="99"/>
    <w:unhideWhenUsed/>
    <w:rsid w:val="00226D0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26D08"/>
  </w:style>
  <w:style w:type="paragraph" w:styleId="Bibliography">
    <w:name w:val="Bibliography"/>
    <w:basedOn w:val="Normal"/>
    <w:next w:val="Normal"/>
    <w:uiPriority w:val="37"/>
    <w:unhideWhenUsed/>
    <w:rsid w:val="00E95A47"/>
    <w:pPr>
      <w:ind w:left="720" w:hanging="720"/>
    </w:pPr>
    <w:rPr>
      <w:rFonts w:asciiTheme="minorHAnsi" w:eastAsiaTheme="minorHAnsi" w:hAnsiTheme="minorHAnsi" w:cstheme="minorBidi"/>
    </w:rPr>
  </w:style>
  <w:style w:type="character" w:styleId="PageNumber">
    <w:name w:val="page number"/>
    <w:basedOn w:val="DefaultParagraphFont"/>
    <w:uiPriority w:val="99"/>
    <w:semiHidden/>
    <w:unhideWhenUsed/>
    <w:rsid w:val="00107403"/>
  </w:style>
  <w:style w:type="paragraph" w:customStyle="1" w:styleId="Default">
    <w:name w:val="Default"/>
    <w:rsid w:val="00DC079D"/>
    <w:pPr>
      <w:autoSpaceDE w:val="0"/>
      <w:autoSpaceDN w:val="0"/>
      <w:adjustRightInd w:val="0"/>
    </w:pPr>
    <w:rPr>
      <w:color w:val="000000"/>
    </w:rPr>
  </w:style>
  <w:style w:type="character" w:styleId="UnresolvedMention">
    <w:name w:val="Unresolved Mention"/>
    <w:basedOn w:val="DefaultParagraphFont"/>
    <w:uiPriority w:val="99"/>
    <w:semiHidden/>
    <w:unhideWhenUsed/>
    <w:rsid w:val="00E36E61"/>
    <w:rPr>
      <w:color w:val="605E5C"/>
      <w:shd w:val="clear" w:color="auto" w:fill="E1DFDD"/>
    </w:rPr>
  </w:style>
  <w:style w:type="character" w:customStyle="1" w:styleId="show-for-sr">
    <w:name w:val="show-for-sr"/>
    <w:basedOn w:val="DefaultParagraphFont"/>
    <w:rsid w:val="00DF156E"/>
  </w:style>
  <w:style w:type="character" w:styleId="Emphasis">
    <w:name w:val="Emphasis"/>
    <w:basedOn w:val="DefaultParagraphFont"/>
    <w:uiPriority w:val="20"/>
    <w:qFormat/>
    <w:rsid w:val="00DF156E"/>
    <w:rPr>
      <w:i/>
      <w:iCs/>
    </w:rPr>
  </w:style>
  <w:style w:type="character" w:styleId="EndnoteReference">
    <w:name w:val="endnote reference"/>
    <w:basedOn w:val="DefaultParagraphFont"/>
    <w:uiPriority w:val="99"/>
    <w:semiHidden/>
    <w:unhideWhenUsed/>
    <w:rsid w:val="002030C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paragraph" w:styleId="EndnoteText">
    <w:name w:val="endnote text"/>
    <w:basedOn w:val="Normal"/>
    <w:link w:val="EndnoteTextChar"/>
    <w:uiPriority w:val="99"/>
    <w:unhideWhenUsed/>
    <w:rsid w:val="005757CF"/>
    <w:rPr>
      <w:sz w:val="20"/>
      <w:szCs w:val="20"/>
    </w:rPr>
  </w:style>
  <w:style w:type="character" w:customStyle="1" w:styleId="EndnoteTextChar">
    <w:name w:val="Endnote Text Char"/>
    <w:basedOn w:val="DefaultParagraphFont"/>
    <w:link w:val="EndnoteText"/>
    <w:uiPriority w:val="99"/>
    <w:rsid w:val="005757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61124">
      <w:bodyDiv w:val="1"/>
      <w:marLeft w:val="0"/>
      <w:marRight w:val="0"/>
      <w:marTop w:val="0"/>
      <w:marBottom w:val="0"/>
      <w:divBdr>
        <w:top w:val="none" w:sz="0" w:space="0" w:color="auto"/>
        <w:left w:val="none" w:sz="0" w:space="0" w:color="auto"/>
        <w:bottom w:val="none" w:sz="0" w:space="0" w:color="auto"/>
        <w:right w:val="none" w:sz="0" w:space="0" w:color="auto"/>
      </w:divBdr>
    </w:div>
    <w:div w:id="182250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sifiMEp7glt4qCKKmsGd8CXiQ==">AMUW2mU3Dy42QisheafpTjo07Y1Z3lAQ6+LjgFF8YAUgtLE70OTlob7CFmlxYs9rPRt4+R3cW5ScfdUawBLC5bXX67BpupB6EbtUfcmx2yF0MHH0dZaP3NI=</go:docsCustomData>
</go:gDocsCustomXmlDataStorage>
</file>

<file path=customXml/itemProps1.xml><?xml version="1.0" encoding="utf-8"?>
<ds:datastoreItem xmlns:ds="http://schemas.openxmlformats.org/officeDocument/2006/customXml" ds:itemID="{D33C01A5-CFE4-F943-8A51-BFA7294DD7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4806</Words>
  <Characters>31242</Characters>
  <Application>Microsoft Office Word</Application>
  <DocSecurity>0</DocSecurity>
  <Lines>1952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Chapman, Hannah</cp:lastModifiedBy>
  <cp:revision>3</cp:revision>
  <dcterms:created xsi:type="dcterms:W3CDTF">2024-06-16T19:00:00Z</dcterms:created>
  <dcterms:modified xsi:type="dcterms:W3CDTF">2024-06-16T19:03:00Z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zotero-version="5.0.96.4"&gt;&lt;session id="5KDlAenA"/&gt;&lt;style id="http://www.zotero.org/styles/chicago-author-date"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