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93CD" w14:textId="0E003A02" w:rsidR="00C201E3" w:rsidRPr="005E772E" w:rsidRDefault="00C201E3" w:rsidP="00C201E3">
      <w:pPr>
        <w:ind w:left="142" w:right="277"/>
        <w:jc w:val="both"/>
        <w:rPr>
          <w:rFonts w:cstheme="minorHAnsi"/>
          <w:b/>
          <w:bCs/>
          <w:lang w:val="en-GB"/>
        </w:rPr>
      </w:pPr>
    </w:p>
    <w:p w14:paraId="39CAA1E1" w14:textId="77777777" w:rsidR="00A5479E" w:rsidRDefault="00A5479E" w:rsidP="00C201E3">
      <w:pPr>
        <w:ind w:left="142" w:right="277"/>
        <w:jc w:val="both"/>
        <w:rPr>
          <w:rFonts w:cstheme="minorHAnsi"/>
          <w:b/>
          <w:bCs/>
          <w:sz w:val="20"/>
          <w:szCs w:val="20"/>
          <w:lang w:val="en-GB"/>
        </w:rPr>
      </w:pPr>
    </w:p>
    <w:p w14:paraId="490D2041" w14:textId="77777777" w:rsidR="00A5479E" w:rsidRPr="00D566B8" w:rsidRDefault="00A5479E" w:rsidP="00C201E3">
      <w:pPr>
        <w:ind w:left="142" w:right="277"/>
        <w:jc w:val="both"/>
        <w:rPr>
          <w:rFonts w:cstheme="minorHAnsi"/>
          <w:b/>
          <w:bCs/>
          <w:sz w:val="20"/>
          <w:szCs w:val="20"/>
          <w:lang w:val="en-GB"/>
        </w:rPr>
      </w:pPr>
    </w:p>
    <w:p w14:paraId="16DA0FB8" w14:textId="2E257F3B" w:rsidR="00C201E3" w:rsidRPr="00D566B8" w:rsidRDefault="00C201E3" w:rsidP="00C201E3">
      <w:pPr>
        <w:ind w:left="142" w:right="277"/>
        <w:jc w:val="both"/>
        <w:rPr>
          <w:rFonts w:cstheme="minorHAnsi"/>
          <w:lang w:val="en-GB"/>
        </w:rPr>
      </w:pPr>
      <w:r w:rsidRPr="00D566B8">
        <w:rPr>
          <w:rFonts w:cstheme="minorHAnsi"/>
          <w:b/>
          <w:bCs/>
          <w:lang w:val="en-GB"/>
        </w:rPr>
        <w:t xml:space="preserve">Table </w:t>
      </w:r>
      <w:r w:rsidR="006437F4">
        <w:rPr>
          <w:rFonts w:cstheme="minorHAnsi"/>
          <w:b/>
          <w:bCs/>
          <w:lang w:val="en-GB"/>
        </w:rPr>
        <w:t>A1</w:t>
      </w:r>
      <w:r w:rsidR="00BE7E91">
        <w:rPr>
          <w:rFonts w:cstheme="minorHAnsi"/>
          <w:b/>
          <w:bCs/>
          <w:lang w:val="en-GB"/>
        </w:rPr>
        <w:t xml:space="preserve"> </w:t>
      </w:r>
      <w:r w:rsidR="00D015C6">
        <w:rPr>
          <w:rFonts w:cstheme="minorHAnsi"/>
          <w:lang w:val="en-GB"/>
        </w:rPr>
        <w:t>–</w:t>
      </w:r>
      <w:r w:rsidRPr="00D566B8">
        <w:rPr>
          <w:rFonts w:cstheme="minorHAnsi"/>
          <w:lang w:val="en-GB"/>
        </w:rPr>
        <w:t xml:space="preserve"> 2018 organi</w:t>
      </w:r>
      <w:r w:rsidR="006437F4">
        <w:rPr>
          <w:rFonts w:cstheme="minorHAnsi"/>
          <w:lang w:val="en-GB"/>
        </w:rPr>
        <w:t>z</w:t>
      </w:r>
      <w:r w:rsidRPr="00D566B8">
        <w:rPr>
          <w:rFonts w:cstheme="minorHAnsi"/>
          <w:lang w:val="en-GB"/>
        </w:rPr>
        <w:t xml:space="preserve">ational population densities </w:t>
      </w:r>
    </w:p>
    <w:tbl>
      <w:tblPr>
        <w:tblW w:w="13397" w:type="dxa"/>
        <w:tblCellMar>
          <w:left w:w="70" w:type="dxa"/>
          <w:right w:w="70" w:type="dxa"/>
        </w:tblCellMar>
        <w:tblLook w:val="04A0" w:firstRow="1" w:lastRow="0" w:firstColumn="1" w:lastColumn="0" w:noHBand="0" w:noVBand="1"/>
      </w:tblPr>
      <w:tblGrid>
        <w:gridCol w:w="2164"/>
        <w:gridCol w:w="3633"/>
        <w:gridCol w:w="1520"/>
        <w:gridCol w:w="1520"/>
        <w:gridCol w:w="1520"/>
        <w:gridCol w:w="1520"/>
        <w:gridCol w:w="1520"/>
      </w:tblGrid>
      <w:tr w:rsidR="00C201E3" w:rsidRPr="00D566B8" w14:paraId="1EF18EE1" w14:textId="77777777" w:rsidTr="002B5AC3">
        <w:trPr>
          <w:trHeight w:val="336"/>
        </w:trPr>
        <w:tc>
          <w:tcPr>
            <w:tcW w:w="2164" w:type="dxa"/>
            <w:tcBorders>
              <w:top w:val="single" w:sz="4" w:space="0" w:color="auto"/>
              <w:left w:val="nil"/>
              <w:bottom w:val="single" w:sz="4" w:space="0" w:color="auto"/>
              <w:right w:val="nil"/>
            </w:tcBorders>
            <w:shd w:val="clear" w:color="auto" w:fill="auto"/>
            <w:noWrap/>
            <w:vAlign w:val="bottom"/>
            <w:hideMark/>
          </w:tcPr>
          <w:p w14:paraId="4699BD37"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Policy domain</w:t>
            </w:r>
          </w:p>
        </w:tc>
        <w:tc>
          <w:tcPr>
            <w:tcW w:w="3633" w:type="dxa"/>
            <w:tcBorders>
              <w:top w:val="single" w:sz="4" w:space="0" w:color="auto"/>
              <w:left w:val="nil"/>
              <w:bottom w:val="single" w:sz="4" w:space="0" w:color="auto"/>
              <w:right w:val="nil"/>
            </w:tcBorders>
            <w:shd w:val="clear" w:color="auto" w:fill="auto"/>
            <w:noWrap/>
            <w:vAlign w:val="bottom"/>
            <w:hideMark/>
          </w:tcPr>
          <w:p w14:paraId="12FCC9BD"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Population</w:t>
            </w:r>
          </w:p>
        </w:tc>
        <w:tc>
          <w:tcPr>
            <w:tcW w:w="1520" w:type="dxa"/>
            <w:tcBorders>
              <w:top w:val="single" w:sz="4" w:space="0" w:color="auto"/>
              <w:left w:val="nil"/>
              <w:bottom w:val="single" w:sz="4" w:space="0" w:color="auto"/>
              <w:right w:val="nil"/>
            </w:tcBorders>
            <w:shd w:val="clear" w:color="auto" w:fill="auto"/>
            <w:noWrap/>
            <w:vAlign w:val="bottom"/>
            <w:hideMark/>
          </w:tcPr>
          <w:p w14:paraId="06D41A93"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Czech Republic</w:t>
            </w:r>
          </w:p>
        </w:tc>
        <w:tc>
          <w:tcPr>
            <w:tcW w:w="1520" w:type="dxa"/>
            <w:tcBorders>
              <w:top w:val="single" w:sz="4" w:space="0" w:color="auto"/>
              <w:left w:val="nil"/>
              <w:bottom w:val="single" w:sz="4" w:space="0" w:color="auto"/>
              <w:right w:val="nil"/>
            </w:tcBorders>
            <w:shd w:val="clear" w:color="auto" w:fill="auto"/>
            <w:noWrap/>
            <w:vAlign w:val="bottom"/>
            <w:hideMark/>
          </w:tcPr>
          <w:p w14:paraId="120C34C0"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Hungary</w:t>
            </w:r>
          </w:p>
        </w:tc>
        <w:tc>
          <w:tcPr>
            <w:tcW w:w="1520" w:type="dxa"/>
            <w:tcBorders>
              <w:top w:val="single" w:sz="4" w:space="0" w:color="auto"/>
              <w:left w:val="nil"/>
              <w:bottom w:val="single" w:sz="4" w:space="0" w:color="auto"/>
              <w:right w:val="nil"/>
            </w:tcBorders>
            <w:shd w:val="clear" w:color="auto" w:fill="auto"/>
            <w:noWrap/>
            <w:vAlign w:val="bottom"/>
            <w:hideMark/>
          </w:tcPr>
          <w:p w14:paraId="795057D4"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Poland</w:t>
            </w:r>
          </w:p>
        </w:tc>
        <w:tc>
          <w:tcPr>
            <w:tcW w:w="1520" w:type="dxa"/>
            <w:tcBorders>
              <w:top w:val="single" w:sz="4" w:space="0" w:color="auto"/>
              <w:left w:val="nil"/>
              <w:bottom w:val="single" w:sz="4" w:space="0" w:color="auto"/>
              <w:right w:val="nil"/>
            </w:tcBorders>
            <w:shd w:val="clear" w:color="auto" w:fill="auto"/>
            <w:noWrap/>
            <w:vAlign w:val="bottom"/>
            <w:hideMark/>
          </w:tcPr>
          <w:p w14:paraId="1A46550E"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Slovenia</w:t>
            </w:r>
          </w:p>
        </w:tc>
        <w:tc>
          <w:tcPr>
            <w:tcW w:w="1520" w:type="dxa"/>
            <w:tcBorders>
              <w:top w:val="single" w:sz="4" w:space="0" w:color="auto"/>
              <w:left w:val="nil"/>
              <w:bottom w:val="single" w:sz="4" w:space="0" w:color="auto"/>
              <w:right w:val="nil"/>
            </w:tcBorders>
            <w:shd w:val="clear" w:color="auto" w:fill="auto"/>
            <w:noWrap/>
            <w:vAlign w:val="bottom"/>
            <w:hideMark/>
          </w:tcPr>
          <w:p w14:paraId="1739C970"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Sample total</w:t>
            </w:r>
          </w:p>
        </w:tc>
      </w:tr>
      <w:tr w:rsidR="00C201E3" w:rsidRPr="00D566B8" w14:paraId="74185FFD" w14:textId="77777777" w:rsidTr="002B5AC3">
        <w:trPr>
          <w:trHeight w:val="336"/>
        </w:trPr>
        <w:tc>
          <w:tcPr>
            <w:tcW w:w="2164" w:type="dxa"/>
            <w:tcBorders>
              <w:top w:val="single" w:sz="4" w:space="0" w:color="auto"/>
              <w:left w:val="nil"/>
              <w:bottom w:val="nil"/>
              <w:right w:val="nil"/>
            </w:tcBorders>
            <w:shd w:val="clear" w:color="auto" w:fill="auto"/>
            <w:noWrap/>
            <w:vAlign w:val="bottom"/>
            <w:hideMark/>
          </w:tcPr>
          <w:p w14:paraId="34030244"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healthcare</w:t>
            </w:r>
          </w:p>
        </w:tc>
        <w:tc>
          <w:tcPr>
            <w:tcW w:w="3633" w:type="dxa"/>
            <w:tcBorders>
              <w:top w:val="single" w:sz="4" w:space="0" w:color="auto"/>
              <w:left w:val="nil"/>
              <w:bottom w:val="nil"/>
              <w:right w:val="nil"/>
            </w:tcBorders>
            <w:shd w:val="clear" w:color="auto" w:fill="auto"/>
            <w:noWrap/>
            <w:vAlign w:val="bottom"/>
            <w:hideMark/>
          </w:tcPr>
          <w:p w14:paraId="727AAAD7"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non-medical employees</w:t>
            </w:r>
          </w:p>
        </w:tc>
        <w:tc>
          <w:tcPr>
            <w:tcW w:w="1520" w:type="dxa"/>
            <w:tcBorders>
              <w:top w:val="single" w:sz="4" w:space="0" w:color="auto"/>
              <w:left w:val="nil"/>
              <w:bottom w:val="nil"/>
              <w:right w:val="nil"/>
            </w:tcBorders>
            <w:shd w:val="clear" w:color="auto" w:fill="auto"/>
            <w:noWrap/>
            <w:vAlign w:val="bottom"/>
            <w:hideMark/>
          </w:tcPr>
          <w:p w14:paraId="66F8E686"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8</w:t>
            </w:r>
          </w:p>
        </w:tc>
        <w:tc>
          <w:tcPr>
            <w:tcW w:w="1520" w:type="dxa"/>
            <w:tcBorders>
              <w:top w:val="single" w:sz="4" w:space="0" w:color="auto"/>
              <w:left w:val="nil"/>
              <w:bottom w:val="nil"/>
              <w:right w:val="nil"/>
            </w:tcBorders>
            <w:shd w:val="clear" w:color="auto" w:fill="auto"/>
            <w:noWrap/>
            <w:vAlign w:val="bottom"/>
            <w:hideMark/>
          </w:tcPr>
          <w:p w14:paraId="75B09C96"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6</w:t>
            </w:r>
          </w:p>
        </w:tc>
        <w:tc>
          <w:tcPr>
            <w:tcW w:w="1520" w:type="dxa"/>
            <w:tcBorders>
              <w:top w:val="single" w:sz="4" w:space="0" w:color="auto"/>
              <w:left w:val="nil"/>
              <w:bottom w:val="nil"/>
              <w:right w:val="nil"/>
            </w:tcBorders>
            <w:shd w:val="clear" w:color="auto" w:fill="auto"/>
            <w:noWrap/>
            <w:vAlign w:val="bottom"/>
            <w:hideMark/>
          </w:tcPr>
          <w:p w14:paraId="137414A4"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15</w:t>
            </w:r>
          </w:p>
        </w:tc>
        <w:tc>
          <w:tcPr>
            <w:tcW w:w="1520" w:type="dxa"/>
            <w:tcBorders>
              <w:top w:val="single" w:sz="4" w:space="0" w:color="auto"/>
              <w:left w:val="nil"/>
              <w:bottom w:val="nil"/>
              <w:right w:val="nil"/>
            </w:tcBorders>
            <w:shd w:val="clear" w:color="auto" w:fill="auto"/>
            <w:noWrap/>
            <w:vAlign w:val="bottom"/>
            <w:hideMark/>
          </w:tcPr>
          <w:p w14:paraId="67488BA7"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13</w:t>
            </w:r>
          </w:p>
        </w:tc>
        <w:tc>
          <w:tcPr>
            <w:tcW w:w="1520" w:type="dxa"/>
            <w:tcBorders>
              <w:top w:val="single" w:sz="4" w:space="0" w:color="auto"/>
              <w:left w:val="nil"/>
              <w:bottom w:val="nil"/>
              <w:right w:val="nil"/>
            </w:tcBorders>
            <w:shd w:val="clear" w:color="auto" w:fill="auto"/>
            <w:noWrap/>
            <w:vAlign w:val="bottom"/>
            <w:hideMark/>
          </w:tcPr>
          <w:p w14:paraId="652268B9"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42</w:t>
            </w:r>
          </w:p>
        </w:tc>
      </w:tr>
      <w:tr w:rsidR="00C201E3" w:rsidRPr="00D566B8" w14:paraId="614D65A0" w14:textId="77777777" w:rsidTr="002B5AC3">
        <w:trPr>
          <w:trHeight w:val="336"/>
        </w:trPr>
        <w:tc>
          <w:tcPr>
            <w:tcW w:w="2164" w:type="dxa"/>
            <w:tcBorders>
              <w:top w:val="nil"/>
              <w:left w:val="nil"/>
              <w:bottom w:val="nil"/>
              <w:right w:val="nil"/>
            </w:tcBorders>
            <w:shd w:val="clear" w:color="auto" w:fill="auto"/>
            <w:noWrap/>
            <w:vAlign w:val="bottom"/>
            <w:hideMark/>
          </w:tcPr>
          <w:p w14:paraId="6627647E"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healthcare</w:t>
            </w:r>
          </w:p>
        </w:tc>
        <w:tc>
          <w:tcPr>
            <w:tcW w:w="3633" w:type="dxa"/>
            <w:tcBorders>
              <w:top w:val="nil"/>
              <w:left w:val="nil"/>
              <w:bottom w:val="nil"/>
              <w:right w:val="nil"/>
            </w:tcBorders>
            <w:shd w:val="clear" w:color="auto" w:fill="auto"/>
            <w:noWrap/>
            <w:vAlign w:val="bottom"/>
            <w:hideMark/>
          </w:tcPr>
          <w:p w14:paraId="10473215"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healthcare institutions</w:t>
            </w:r>
          </w:p>
        </w:tc>
        <w:tc>
          <w:tcPr>
            <w:tcW w:w="1520" w:type="dxa"/>
            <w:tcBorders>
              <w:top w:val="nil"/>
              <w:left w:val="nil"/>
              <w:bottom w:val="nil"/>
              <w:right w:val="nil"/>
            </w:tcBorders>
            <w:shd w:val="clear" w:color="auto" w:fill="auto"/>
            <w:noWrap/>
            <w:vAlign w:val="bottom"/>
            <w:hideMark/>
          </w:tcPr>
          <w:p w14:paraId="16591038"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18</w:t>
            </w:r>
          </w:p>
        </w:tc>
        <w:tc>
          <w:tcPr>
            <w:tcW w:w="1520" w:type="dxa"/>
            <w:tcBorders>
              <w:top w:val="nil"/>
              <w:left w:val="nil"/>
              <w:bottom w:val="nil"/>
              <w:right w:val="nil"/>
            </w:tcBorders>
            <w:shd w:val="clear" w:color="auto" w:fill="auto"/>
            <w:noWrap/>
            <w:vAlign w:val="bottom"/>
            <w:hideMark/>
          </w:tcPr>
          <w:p w14:paraId="71CFFDD8"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5</w:t>
            </w:r>
          </w:p>
        </w:tc>
        <w:tc>
          <w:tcPr>
            <w:tcW w:w="1520" w:type="dxa"/>
            <w:tcBorders>
              <w:top w:val="nil"/>
              <w:left w:val="nil"/>
              <w:bottom w:val="nil"/>
              <w:right w:val="nil"/>
            </w:tcBorders>
            <w:shd w:val="clear" w:color="auto" w:fill="auto"/>
            <w:noWrap/>
            <w:vAlign w:val="bottom"/>
            <w:hideMark/>
          </w:tcPr>
          <w:p w14:paraId="534A4EF0"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12</w:t>
            </w:r>
          </w:p>
        </w:tc>
        <w:tc>
          <w:tcPr>
            <w:tcW w:w="1520" w:type="dxa"/>
            <w:tcBorders>
              <w:top w:val="nil"/>
              <w:left w:val="nil"/>
              <w:bottom w:val="nil"/>
              <w:right w:val="nil"/>
            </w:tcBorders>
            <w:shd w:val="clear" w:color="auto" w:fill="auto"/>
            <w:noWrap/>
            <w:vAlign w:val="bottom"/>
            <w:hideMark/>
          </w:tcPr>
          <w:p w14:paraId="64C3369C"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22</w:t>
            </w:r>
          </w:p>
        </w:tc>
        <w:tc>
          <w:tcPr>
            <w:tcW w:w="1520" w:type="dxa"/>
            <w:tcBorders>
              <w:top w:val="nil"/>
              <w:left w:val="nil"/>
              <w:bottom w:val="nil"/>
              <w:right w:val="nil"/>
            </w:tcBorders>
            <w:shd w:val="clear" w:color="auto" w:fill="auto"/>
            <w:noWrap/>
            <w:vAlign w:val="bottom"/>
            <w:hideMark/>
          </w:tcPr>
          <w:p w14:paraId="3012EE51"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57</w:t>
            </w:r>
          </w:p>
        </w:tc>
      </w:tr>
      <w:tr w:rsidR="00C201E3" w:rsidRPr="00D566B8" w14:paraId="2C46EFC9" w14:textId="77777777" w:rsidTr="002B5AC3">
        <w:trPr>
          <w:trHeight w:val="336"/>
        </w:trPr>
        <w:tc>
          <w:tcPr>
            <w:tcW w:w="2164" w:type="dxa"/>
            <w:tcBorders>
              <w:top w:val="nil"/>
              <w:left w:val="nil"/>
              <w:bottom w:val="nil"/>
              <w:right w:val="nil"/>
            </w:tcBorders>
            <w:shd w:val="clear" w:color="auto" w:fill="auto"/>
            <w:noWrap/>
            <w:vAlign w:val="bottom"/>
            <w:hideMark/>
          </w:tcPr>
          <w:p w14:paraId="7140A0E9"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healthcare</w:t>
            </w:r>
          </w:p>
        </w:tc>
        <w:tc>
          <w:tcPr>
            <w:tcW w:w="3633" w:type="dxa"/>
            <w:tcBorders>
              <w:top w:val="nil"/>
              <w:left w:val="nil"/>
              <w:bottom w:val="nil"/>
              <w:right w:val="nil"/>
            </w:tcBorders>
            <w:shd w:val="clear" w:color="auto" w:fill="auto"/>
            <w:noWrap/>
            <w:vAlign w:val="bottom"/>
            <w:hideMark/>
          </w:tcPr>
          <w:p w14:paraId="5769F92A"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medical professionals</w:t>
            </w:r>
          </w:p>
        </w:tc>
        <w:tc>
          <w:tcPr>
            <w:tcW w:w="1520" w:type="dxa"/>
            <w:tcBorders>
              <w:top w:val="nil"/>
              <w:left w:val="nil"/>
              <w:bottom w:val="nil"/>
              <w:right w:val="nil"/>
            </w:tcBorders>
            <w:shd w:val="clear" w:color="auto" w:fill="auto"/>
            <w:noWrap/>
            <w:vAlign w:val="bottom"/>
            <w:hideMark/>
          </w:tcPr>
          <w:p w14:paraId="1788971A"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68</w:t>
            </w:r>
          </w:p>
        </w:tc>
        <w:tc>
          <w:tcPr>
            <w:tcW w:w="1520" w:type="dxa"/>
            <w:tcBorders>
              <w:top w:val="nil"/>
              <w:left w:val="nil"/>
              <w:bottom w:val="nil"/>
              <w:right w:val="nil"/>
            </w:tcBorders>
            <w:shd w:val="clear" w:color="auto" w:fill="auto"/>
            <w:noWrap/>
            <w:vAlign w:val="bottom"/>
            <w:hideMark/>
          </w:tcPr>
          <w:p w14:paraId="6E1987ED"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124</w:t>
            </w:r>
          </w:p>
        </w:tc>
        <w:tc>
          <w:tcPr>
            <w:tcW w:w="1520" w:type="dxa"/>
            <w:tcBorders>
              <w:top w:val="nil"/>
              <w:left w:val="nil"/>
              <w:bottom w:val="nil"/>
              <w:right w:val="nil"/>
            </w:tcBorders>
            <w:shd w:val="clear" w:color="auto" w:fill="auto"/>
            <w:noWrap/>
            <w:vAlign w:val="bottom"/>
            <w:hideMark/>
          </w:tcPr>
          <w:p w14:paraId="648073E0"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139</w:t>
            </w:r>
          </w:p>
        </w:tc>
        <w:tc>
          <w:tcPr>
            <w:tcW w:w="1520" w:type="dxa"/>
            <w:tcBorders>
              <w:top w:val="nil"/>
              <w:left w:val="nil"/>
              <w:bottom w:val="nil"/>
              <w:right w:val="nil"/>
            </w:tcBorders>
            <w:shd w:val="clear" w:color="auto" w:fill="auto"/>
            <w:noWrap/>
            <w:vAlign w:val="bottom"/>
            <w:hideMark/>
          </w:tcPr>
          <w:p w14:paraId="2EEA3E0E"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67</w:t>
            </w:r>
          </w:p>
        </w:tc>
        <w:tc>
          <w:tcPr>
            <w:tcW w:w="1520" w:type="dxa"/>
            <w:tcBorders>
              <w:top w:val="nil"/>
              <w:left w:val="nil"/>
              <w:bottom w:val="nil"/>
              <w:right w:val="nil"/>
            </w:tcBorders>
            <w:shd w:val="clear" w:color="auto" w:fill="auto"/>
            <w:noWrap/>
            <w:vAlign w:val="bottom"/>
            <w:hideMark/>
          </w:tcPr>
          <w:p w14:paraId="6B5B6537"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398</w:t>
            </w:r>
          </w:p>
        </w:tc>
      </w:tr>
      <w:tr w:rsidR="00C201E3" w:rsidRPr="00D566B8" w14:paraId="750B1E54" w14:textId="77777777" w:rsidTr="002B5AC3">
        <w:trPr>
          <w:trHeight w:val="336"/>
        </w:trPr>
        <w:tc>
          <w:tcPr>
            <w:tcW w:w="2164" w:type="dxa"/>
            <w:tcBorders>
              <w:top w:val="nil"/>
              <w:left w:val="nil"/>
              <w:bottom w:val="nil"/>
              <w:right w:val="nil"/>
            </w:tcBorders>
            <w:shd w:val="clear" w:color="auto" w:fill="auto"/>
            <w:noWrap/>
            <w:vAlign w:val="bottom"/>
            <w:hideMark/>
          </w:tcPr>
          <w:p w14:paraId="3869AECA"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healthcare</w:t>
            </w:r>
          </w:p>
        </w:tc>
        <w:tc>
          <w:tcPr>
            <w:tcW w:w="3633" w:type="dxa"/>
            <w:tcBorders>
              <w:top w:val="nil"/>
              <w:left w:val="nil"/>
              <w:bottom w:val="nil"/>
              <w:right w:val="nil"/>
            </w:tcBorders>
            <w:shd w:val="clear" w:color="auto" w:fill="auto"/>
            <w:noWrap/>
            <w:vAlign w:val="bottom"/>
            <w:hideMark/>
          </w:tcPr>
          <w:p w14:paraId="49633AC6"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patients</w:t>
            </w:r>
          </w:p>
        </w:tc>
        <w:tc>
          <w:tcPr>
            <w:tcW w:w="1520" w:type="dxa"/>
            <w:tcBorders>
              <w:top w:val="nil"/>
              <w:left w:val="nil"/>
              <w:bottom w:val="nil"/>
              <w:right w:val="nil"/>
            </w:tcBorders>
            <w:shd w:val="clear" w:color="auto" w:fill="auto"/>
            <w:noWrap/>
            <w:vAlign w:val="bottom"/>
            <w:hideMark/>
          </w:tcPr>
          <w:p w14:paraId="7ED28B07"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92</w:t>
            </w:r>
          </w:p>
        </w:tc>
        <w:tc>
          <w:tcPr>
            <w:tcW w:w="1520" w:type="dxa"/>
            <w:tcBorders>
              <w:top w:val="nil"/>
              <w:left w:val="nil"/>
              <w:bottom w:val="nil"/>
              <w:right w:val="nil"/>
            </w:tcBorders>
            <w:shd w:val="clear" w:color="auto" w:fill="auto"/>
            <w:noWrap/>
            <w:vAlign w:val="bottom"/>
            <w:hideMark/>
          </w:tcPr>
          <w:p w14:paraId="6E2C8839"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29</w:t>
            </w:r>
          </w:p>
        </w:tc>
        <w:tc>
          <w:tcPr>
            <w:tcW w:w="1520" w:type="dxa"/>
            <w:tcBorders>
              <w:top w:val="nil"/>
              <w:left w:val="nil"/>
              <w:bottom w:val="nil"/>
              <w:right w:val="nil"/>
            </w:tcBorders>
            <w:shd w:val="clear" w:color="auto" w:fill="auto"/>
            <w:noWrap/>
            <w:vAlign w:val="bottom"/>
            <w:hideMark/>
          </w:tcPr>
          <w:p w14:paraId="3D72D623"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49</w:t>
            </w:r>
          </w:p>
        </w:tc>
        <w:tc>
          <w:tcPr>
            <w:tcW w:w="1520" w:type="dxa"/>
            <w:tcBorders>
              <w:top w:val="nil"/>
              <w:left w:val="nil"/>
              <w:bottom w:val="nil"/>
              <w:right w:val="nil"/>
            </w:tcBorders>
            <w:shd w:val="clear" w:color="auto" w:fill="auto"/>
            <w:noWrap/>
            <w:vAlign w:val="bottom"/>
            <w:hideMark/>
          </w:tcPr>
          <w:p w14:paraId="798DD80D"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60</w:t>
            </w:r>
          </w:p>
        </w:tc>
        <w:tc>
          <w:tcPr>
            <w:tcW w:w="1520" w:type="dxa"/>
            <w:tcBorders>
              <w:top w:val="nil"/>
              <w:left w:val="nil"/>
              <w:bottom w:val="nil"/>
              <w:right w:val="nil"/>
            </w:tcBorders>
            <w:shd w:val="clear" w:color="auto" w:fill="auto"/>
            <w:noWrap/>
            <w:vAlign w:val="bottom"/>
            <w:hideMark/>
          </w:tcPr>
          <w:p w14:paraId="51A654AC"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230</w:t>
            </w:r>
          </w:p>
        </w:tc>
      </w:tr>
      <w:tr w:rsidR="00C201E3" w:rsidRPr="00D566B8" w14:paraId="77AF551A" w14:textId="77777777" w:rsidTr="002B5AC3">
        <w:trPr>
          <w:trHeight w:val="336"/>
        </w:trPr>
        <w:tc>
          <w:tcPr>
            <w:tcW w:w="2164" w:type="dxa"/>
            <w:tcBorders>
              <w:top w:val="nil"/>
              <w:left w:val="nil"/>
              <w:bottom w:val="nil"/>
              <w:right w:val="nil"/>
            </w:tcBorders>
            <w:shd w:val="clear" w:color="auto" w:fill="auto"/>
            <w:noWrap/>
            <w:vAlign w:val="bottom"/>
            <w:hideMark/>
          </w:tcPr>
          <w:p w14:paraId="4697602C"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healthcare</w:t>
            </w:r>
          </w:p>
        </w:tc>
        <w:tc>
          <w:tcPr>
            <w:tcW w:w="3633" w:type="dxa"/>
            <w:tcBorders>
              <w:top w:val="nil"/>
              <w:left w:val="nil"/>
              <w:bottom w:val="nil"/>
              <w:right w:val="nil"/>
            </w:tcBorders>
            <w:shd w:val="clear" w:color="auto" w:fill="auto"/>
            <w:noWrap/>
            <w:vAlign w:val="bottom"/>
            <w:hideMark/>
          </w:tcPr>
          <w:p w14:paraId="385141F0"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healthcare business</w:t>
            </w:r>
          </w:p>
        </w:tc>
        <w:tc>
          <w:tcPr>
            <w:tcW w:w="1520" w:type="dxa"/>
            <w:tcBorders>
              <w:top w:val="nil"/>
              <w:left w:val="nil"/>
              <w:bottom w:val="nil"/>
              <w:right w:val="nil"/>
            </w:tcBorders>
            <w:shd w:val="clear" w:color="auto" w:fill="auto"/>
            <w:noWrap/>
            <w:vAlign w:val="bottom"/>
            <w:hideMark/>
          </w:tcPr>
          <w:p w14:paraId="205B78BE"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12</w:t>
            </w:r>
          </w:p>
        </w:tc>
        <w:tc>
          <w:tcPr>
            <w:tcW w:w="1520" w:type="dxa"/>
            <w:tcBorders>
              <w:top w:val="nil"/>
              <w:left w:val="nil"/>
              <w:bottom w:val="nil"/>
              <w:right w:val="nil"/>
            </w:tcBorders>
            <w:shd w:val="clear" w:color="auto" w:fill="auto"/>
            <w:noWrap/>
            <w:vAlign w:val="bottom"/>
            <w:hideMark/>
          </w:tcPr>
          <w:p w14:paraId="7033E1B8"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6</w:t>
            </w:r>
          </w:p>
        </w:tc>
        <w:tc>
          <w:tcPr>
            <w:tcW w:w="1520" w:type="dxa"/>
            <w:tcBorders>
              <w:top w:val="nil"/>
              <w:left w:val="nil"/>
              <w:bottom w:val="nil"/>
              <w:right w:val="nil"/>
            </w:tcBorders>
            <w:shd w:val="clear" w:color="auto" w:fill="auto"/>
            <w:noWrap/>
            <w:vAlign w:val="bottom"/>
            <w:hideMark/>
          </w:tcPr>
          <w:p w14:paraId="116741BD"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8</w:t>
            </w:r>
          </w:p>
        </w:tc>
        <w:tc>
          <w:tcPr>
            <w:tcW w:w="1520" w:type="dxa"/>
            <w:tcBorders>
              <w:top w:val="nil"/>
              <w:left w:val="nil"/>
              <w:bottom w:val="nil"/>
              <w:right w:val="nil"/>
            </w:tcBorders>
            <w:shd w:val="clear" w:color="auto" w:fill="auto"/>
            <w:noWrap/>
            <w:vAlign w:val="bottom"/>
            <w:hideMark/>
          </w:tcPr>
          <w:p w14:paraId="4151A6BC"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w:t>
            </w:r>
          </w:p>
        </w:tc>
        <w:tc>
          <w:tcPr>
            <w:tcW w:w="1520" w:type="dxa"/>
            <w:tcBorders>
              <w:top w:val="nil"/>
              <w:left w:val="nil"/>
              <w:bottom w:val="nil"/>
              <w:right w:val="nil"/>
            </w:tcBorders>
            <w:shd w:val="clear" w:color="auto" w:fill="auto"/>
            <w:noWrap/>
            <w:vAlign w:val="bottom"/>
            <w:hideMark/>
          </w:tcPr>
          <w:p w14:paraId="7476412D"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27</w:t>
            </w:r>
          </w:p>
        </w:tc>
      </w:tr>
      <w:tr w:rsidR="00C201E3" w:rsidRPr="00D566B8" w14:paraId="26868A91" w14:textId="77777777" w:rsidTr="002B5AC3">
        <w:trPr>
          <w:trHeight w:val="336"/>
        </w:trPr>
        <w:tc>
          <w:tcPr>
            <w:tcW w:w="2164" w:type="dxa"/>
            <w:tcBorders>
              <w:top w:val="nil"/>
              <w:left w:val="nil"/>
              <w:bottom w:val="nil"/>
              <w:right w:val="nil"/>
            </w:tcBorders>
            <w:shd w:val="clear" w:color="auto" w:fill="auto"/>
            <w:noWrap/>
            <w:vAlign w:val="bottom"/>
            <w:hideMark/>
          </w:tcPr>
          <w:p w14:paraId="1C60CD18"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higher education</w:t>
            </w:r>
          </w:p>
        </w:tc>
        <w:tc>
          <w:tcPr>
            <w:tcW w:w="3633" w:type="dxa"/>
            <w:tcBorders>
              <w:top w:val="nil"/>
              <w:left w:val="nil"/>
              <w:bottom w:val="nil"/>
              <w:right w:val="nil"/>
            </w:tcBorders>
            <w:shd w:val="clear" w:color="auto" w:fill="auto"/>
            <w:noWrap/>
            <w:vAlign w:val="bottom"/>
            <w:hideMark/>
          </w:tcPr>
          <w:p w14:paraId="48A8D4EE"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higher education employees</w:t>
            </w:r>
          </w:p>
        </w:tc>
        <w:tc>
          <w:tcPr>
            <w:tcW w:w="1520" w:type="dxa"/>
            <w:tcBorders>
              <w:top w:val="nil"/>
              <w:left w:val="nil"/>
              <w:bottom w:val="nil"/>
              <w:right w:val="nil"/>
            </w:tcBorders>
            <w:shd w:val="clear" w:color="auto" w:fill="auto"/>
            <w:noWrap/>
            <w:vAlign w:val="bottom"/>
            <w:hideMark/>
          </w:tcPr>
          <w:p w14:paraId="0FFD85AE"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3</w:t>
            </w:r>
          </w:p>
        </w:tc>
        <w:tc>
          <w:tcPr>
            <w:tcW w:w="1520" w:type="dxa"/>
            <w:tcBorders>
              <w:top w:val="nil"/>
              <w:left w:val="nil"/>
              <w:bottom w:val="nil"/>
              <w:right w:val="nil"/>
            </w:tcBorders>
            <w:shd w:val="clear" w:color="auto" w:fill="auto"/>
            <w:noWrap/>
            <w:vAlign w:val="bottom"/>
            <w:hideMark/>
          </w:tcPr>
          <w:p w14:paraId="0BFE282D"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8</w:t>
            </w:r>
          </w:p>
        </w:tc>
        <w:tc>
          <w:tcPr>
            <w:tcW w:w="1520" w:type="dxa"/>
            <w:tcBorders>
              <w:top w:val="nil"/>
              <w:left w:val="nil"/>
              <w:bottom w:val="nil"/>
              <w:right w:val="nil"/>
            </w:tcBorders>
            <w:shd w:val="clear" w:color="auto" w:fill="auto"/>
            <w:noWrap/>
            <w:vAlign w:val="bottom"/>
            <w:hideMark/>
          </w:tcPr>
          <w:p w14:paraId="3057F029"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2</w:t>
            </w:r>
          </w:p>
        </w:tc>
        <w:tc>
          <w:tcPr>
            <w:tcW w:w="1520" w:type="dxa"/>
            <w:tcBorders>
              <w:top w:val="nil"/>
              <w:left w:val="nil"/>
              <w:bottom w:val="nil"/>
              <w:right w:val="nil"/>
            </w:tcBorders>
            <w:shd w:val="clear" w:color="auto" w:fill="auto"/>
            <w:noWrap/>
            <w:vAlign w:val="bottom"/>
            <w:hideMark/>
          </w:tcPr>
          <w:p w14:paraId="38A51602"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4</w:t>
            </w:r>
          </w:p>
        </w:tc>
        <w:tc>
          <w:tcPr>
            <w:tcW w:w="1520" w:type="dxa"/>
            <w:tcBorders>
              <w:top w:val="nil"/>
              <w:left w:val="nil"/>
              <w:bottom w:val="nil"/>
              <w:right w:val="nil"/>
            </w:tcBorders>
            <w:shd w:val="clear" w:color="auto" w:fill="auto"/>
            <w:noWrap/>
            <w:vAlign w:val="bottom"/>
            <w:hideMark/>
          </w:tcPr>
          <w:p w14:paraId="304A1EA6"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17</w:t>
            </w:r>
          </w:p>
        </w:tc>
      </w:tr>
      <w:tr w:rsidR="00C201E3" w:rsidRPr="00D566B8" w14:paraId="7F2F2DEA" w14:textId="77777777" w:rsidTr="002B5AC3">
        <w:trPr>
          <w:trHeight w:val="336"/>
        </w:trPr>
        <w:tc>
          <w:tcPr>
            <w:tcW w:w="2164" w:type="dxa"/>
            <w:tcBorders>
              <w:top w:val="nil"/>
              <w:left w:val="nil"/>
              <w:bottom w:val="nil"/>
              <w:right w:val="nil"/>
            </w:tcBorders>
            <w:shd w:val="clear" w:color="auto" w:fill="auto"/>
            <w:noWrap/>
            <w:vAlign w:val="bottom"/>
            <w:hideMark/>
          </w:tcPr>
          <w:p w14:paraId="127EA25D"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higher education</w:t>
            </w:r>
          </w:p>
        </w:tc>
        <w:tc>
          <w:tcPr>
            <w:tcW w:w="3633" w:type="dxa"/>
            <w:tcBorders>
              <w:top w:val="nil"/>
              <w:left w:val="nil"/>
              <w:bottom w:val="nil"/>
              <w:right w:val="nil"/>
            </w:tcBorders>
            <w:shd w:val="clear" w:color="auto" w:fill="auto"/>
            <w:noWrap/>
            <w:vAlign w:val="bottom"/>
            <w:hideMark/>
          </w:tcPr>
          <w:p w14:paraId="1F277A6A"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higher education institutions</w:t>
            </w:r>
          </w:p>
        </w:tc>
        <w:tc>
          <w:tcPr>
            <w:tcW w:w="1520" w:type="dxa"/>
            <w:tcBorders>
              <w:top w:val="nil"/>
              <w:left w:val="nil"/>
              <w:bottom w:val="nil"/>
              <w:right w:val="nil"/>
            </w:tcBorders>
            <w:shd w:val="clear" w:color="auto" w:fill="auto"/>
            <w:noWrap/>
            <w:vAlign w:val="bottom"/>
            <w:hideMark/>
          </w:tcPr>
          <w:p w14:paraId="489009ED"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7</w:t>
            </w:r>
          </w:p>
        </w:tc>
        <w:tc>
          <w:tcPr>
            <w:tcW w:w="1520" w:type="dxa"/>
            <w:tcBorders>
              <w:top w:val="nil"/>
              <w:left w:val="nil"/>
              <w:bottom w:val="nil"/>
              <w:right w:val="nil"/>
            </w:tcBorders>
            <w:shd w:val="clear" w:color="auto" w:fill="auto"/>
            <w:noWrap/>
            <w:vAlign w:val="bottom"/>
            <w:hideMark/>
          </w:tcPr>
          <w:p w14:paraId="58D9A5A2"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8</w:t>
            </w:r>
          </w:p>
        </w:tc>
        <w:tc>
          <w:tcPr>
            <w:tcW w:w="1520" w:type="dxa"/>
            <w:tcBorders>
              <w:top w:val="nil"/>
              <w:left w:val="nil"/>
              <w:bottom w:val="nil"/>
              <w:right w:val="nil"/>
            </w:tcBorders>
            <w:shd w:val="clear" w:color="auto" w:fill="auto"/>
            <w:noWrap/>
            <w:vAlign w:val="bottom"/>
            <w:hideMark/>
          </w:tcPr>
          <w:p w14:paraId="30B41E34"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8</w:t>
            </w:r>
          </w:p>
        </w:tc>
        <w:tc>
          <w:tcPr>
            <w:tcW w:w="1520" w:type="dxa"/>
            <w:tcBorders>
              <w:top w:val="nil"/>
              <w:left w:val="nil"/>
              <w:bottom w:val="nil"/>
              <w:right w:val="nil"/>
            </w:tcBorders>
            <w:shd w:val="clear" w:color="auto" w:fill="auto"/>
            <w:noWrap/>
            <w:vAlign w:val="bottom"/>
            <w:hideMark/>
          </w:tcPr>
          <w:p w14:paraId="08F78F61"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w:t>
            </w:r>
          </w:p>
        </w:tc>
        <w:tc>
          <w:tcPr>
            <w:tcW w:w="1520" w:type="dxa"/>
            <w:tcBorders>
              <w:top w:val="nil"/>
              <w:left w:val="nil"/>
              <w:bottom w:val="nil"/>
              <w:right w:val="nil"/>
            </w:tcBorders>
            <w:shd w:val="clear" w:color="auto" w:fill="auto"/>
            <w:noWrap/>
            <w:vAlign w:val="bottom"/>
            <w:hideMark/>
          </w:tcPr>
          <w:p w14:paraId="1C443197"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24</w:t>
            </w:r>
          </w:p>
        </w:tc>
      </w:tr>
      <w:tr w:rsidR="00C201E3" w:rsidRPr="00D566B8" w14:paraId="037EA11A" w14:textId="77777777" w:rsidTr="002B5AC3">
        <w:trPr>
          <w:trHeight w:val="336"/>
        </w:trPr>
        <w:tc>
          <w:tcPr>
            <w:tcW w:w="2164" w:type="dxa"/>
            <w:tcBorders>
              <w:top w:val="nil"/>
              <w:left w:val="nil"/>
              <w:bottom w:val="nil"/>
              <w:right w:val="nil"/>
            </w:tcBorders>
            <w:shd w:val="clear" w:color="auto" w:fill="auto"/>
            <w:noWrap/>
            <w:vAlign w:val="bottom"/>
            <w:hideMark/>
          </w:tcPr>
          <w:p w14:paraId="500175D3"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higher education</w:t>
            </w:r>
          </w:p>
        </w:tc>
        <w:tc>
          <w:tcPr>
            <w:tcW w:w="3633" w:type="dxa"/>
            <w:tcBorders>
              <w:top w:val="nil"/>
              <w:left w:val="nil"/>
              <w:bottom w:val="nil"/>
              <w:right w:val="nil"/>
            </w:tcBorders>
            <w:shd w:val="clear" w:color="auto" w:fill="auto"/>
            <w:noWrap/>
            <w:vAlign w:val="bottom"/>
            <w:hideMark/>
          </w:tcPr>
          <w:p w14:paraId="6311F764"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higher education scientific</w:t>
            </w:r>
          </w:p>
        </w:tc>
        <w:tc>
          <w:tcPr>
            <w:tcW w:w="1520" w:type="dxa"/>
            <w:tcBorders>
              <w:top w:val="nil"/>
              <w:left w:val="nil"/>
              <w:bottom w:val="nil"/>
              <w:right w:val="nil"/>
            </w:tcBorders>
            <w:shd w:val="clear" w:color="auto" w:fill="auto"/>
            <w:noWrap/>
            <w:vAlign w:val="bottom"/>
            <w:hideMark/>
          </w:tcPr>
          <w:p w14:paraId="434CAC11"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19</w:t>
            </w:r>
          </w:p>
        </w:tc>
        <w:tc>
          <w:tcPr>
            <w:tcW w:w="1520" w:type="dxa"/>
            <w:tcBorders>
              <w:top w:val="nil"/>
              <w:left w:val="nil"/>
              <w:bottom w:val="nil"/>
              <w:right w:val="nil"/>
            </w:tcBorders>
            <w:shd w:val="clear" w:color="auto" w:fill="auto"/>
            <w:noWrap/>
            <w:vAlign w:val="bottom"/>
            <w:hideMark/>
          </w:tcPr>
          <w:p w14:paraId="6F71E1DD"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30</w:t>
            </w:r>
          </w:p>
        </w:tc>
        <w:tc>
          <w:tcPr>
            <w:tcW w:w="1520" w:type="dxa"/>
            <w:tcBorders>
              <w:top w:val="nil"/>
              <w:left w:val="nil"/>
              <w:bottom w:val="nil"/>
              <w:right w:val="nil"/>
            </w:tcBorders>
            <w:shd w:val="clear" w:color="auto" w:fill="auto"/>
            <w:noWrap/>
            <w:vAlign w:val="bottom"/>
            <w:hideMark/>
          </w:tcPr>
          <w:p w14:paraId="7EF2C561"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37</w:t>
            </w:r>
          </w:p>
        </w:tc>
        <w:tc>
          <w:tcPr>
            <w:tcW w:w="1520" w:type="dxa"/>
            <w:tcBorders>
              <w:top w:val="nil"/>
              <w:left w:val="nil"/>
              <w:bottom w:val="nil"/>
              <w:right w:val="nil"/>
            </w:tcBorders>
            <w:shd w:val="clear" w:color="auto" w:fill="auto"/>
            <w:noWrap/>
            <w:vAlign w:val="bottom"/>
            <w:hideMark/>
          </w:tcPr>
          <w:p w14:paraId="428B223C"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29</w:t>
            </w:r>
          </w:p>
        </w:tc>
        <w:tc>
          <w:tcPr>
            <w:tcW w:w="1520" w:type="dxa"/>
            <w:tcBorders>
              <w:top w:val="nil"/>
              <w:left w:val="nil"/>
              <w:bottom w:val="nil"/>
              <w:right w:val="nil"/>
            </w:tcBorders>
            <w:shd w:val="clear" w:color="auto" w:fill="auto"/>
            <w:noWrap/>
            <w:vAlign w:val="bottom"/>
            <w:hideMark/>
          </w:tcPr>
          <w:p w14:paraId="6EAD2558"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115</w:t>
            </w:r>
          </w:p>
        </w:tc>
      </w:tr>
      <w:tr w:rsidR="00C201E3" w:rsidRPr="00D566B8" w14:paraId="52B9B525" w14:textId="77777777" w:rsidTr="002B5AC3">
        <w:trPr>
          <w:trHeight w:val="336"/>
        </w:trPr>
        <w:tc>
          <w:tcPr>
            <w:tcW w:w="2164" w:type="dxa"/>
            <w:tcBorders>
              <w:top w:val="nil"/>
              <w:left w:val="nil"/>
              <w:bottom w:val="nil"/>
              <w:right w:val="nil"/>
            </w:tcBorders>
            <w:shd w:val="clear" w:color="auto" w:fill="auto"/>
            <w:noWrap/>
            <w:vAlign w:val="bottom"/>
            <w:hideMark/>
          </w:tcPr>
          <w:p w14:paraId="2BF706F0"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higher education</w:t>
            </w:r>
          </w:p>
        </w:tc>
        <w:tc>
          <w:tcPr>
            <w:tcW w:w="3633" w:type="dxa"/>
            <w:tcBorders>
              <w:top w:val="nil"/>
              <w:left w:val="nil"/>
              <w:bottom w:val="nil"/>
              <w:right w:val="nil"/>
            </w:tcBorders>
            <w:shd w:val="clear" w:color="auto" w:fill="auto"/>
            <w:noWrap/>
            <w:vAlign w:val="bottom"/>
            <w:hideMark/>
          </w:tcPr>
          <w:p w14:paraId="3ED1EA46"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higher education students</w:t>
            </w:r>
          </w:p>
        </w:tc>
        <w:tc>
          <w:tcPr>
            <w:tcW w:w="1520" w:type="dxa"/>
            <w:tcBorders>
              <w:top w:val="nil"/>
              <w:left w:val="nil"/>
              <w:bottom w:val="nil"/>
              <w:right w:val="nil"/>
            </w:tcBorders>
            <w:shd w:val="clear" w:color="auto" w:fill="auto"/>
            <w:noWrap/>
            <w:vAlign w:val="bottom"/>
            <w:hideMark/>
          </w:tcPr>
          <w:p w14:paraId="1615450A"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12</w:t>
            </w:r>
          </w:p>
        </w:tc>
        <w:tc>
          <w:tcPr>
            <w:tcW w:w="1520" w:type="dxa"/>
            <w:tcBorders>
              <w:top w:val="nil"/>
              <w:left w:val="nil"/>
              <w:bottom w:val="nil"/>
              <w:right w:val="nil"/>
            </w:tcBorders>
            <w:shd w:val="clear" w:color="auto" w:fill="auto"/>
            <w:noWrap/>
            <w:vAlign w:val="bottom"/>
            <w:hideMark/>
          </w:tcPr>
          <w:p w14:paraId="490660A8"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17</w:t>
            </w:r>
          </w:p>
        </w:tc>
        <w:tc>
          <w:tcPr>
            <w:tcW w:w="1520" w:type="dxa"/>
            <w:tcBorders>
              <w:top w:val="nil"/>
              <w:left w:val="nil"/>
              <w:bottom w:val="nil"/>
              <w:right w:val="nil"/>
            </w:tcBorders>
            <w:shd w:val="clear" w:color="auto" w:fill="auto"/>
            <w:noWrap/>
            <w:vAlign w:val="bottom"/>
            <w:hideMark/>
          </w:tcPr>
          <w:p w14:paraId="14B6E693"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38</w:t>
            </w:r>
          </w:p>
        </w:tc>
        <w:tc>
          <w:tcPr>
            <w:tcW w:w="1520" w:type="dxa"/>
            <w:tcBorders>
              <w:top w:val="nil"/>
              <w:left w:val="nil"/>
              <w:bottom w:val="nil"/>
              <w:right w:val="nil"/>
            </w:tcBorders>
            <w:shd w:val="clear" w:color="auto" w:fill="auto"/>
            <w:noWrap/>
            <w:vAlign w:val="bottom"/>
            <w:hideMark/>
          </w:tcPr>
          <w:p w14:paraId="47B84B33"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44</w:t>
            </w:r>
          </w:p>
        </w:tc>
        <w:tc>
          <w:tcPr>
            <w:tcW w:w="1520" w:type="dxa"/>
            <w:tcBorders>
              <w:top w:val="nil"/>
              <w:left w:val="nil"/>
              <w:bottom w:val="nil"/>
              <w:right w:val="nil"/>
            </w:tcBorders>
            <w:shd w:val="clear" w:color="auto" w:fill="auto"/>
            <w:noWrap/>
            <w:vAlign w:val="bottom"/>
            <w:hideMark/>
          </w:tcPr>
          <w:p w14:paraId="0429CD68"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111</w:t>
            </w:r>
          </w:p>
        </w:tc>
      </w:tr>
      <w:tr w:rsidR="00C201E3" w:rsidRPr="00D566B8" w14:paraId="7E7CF333" w14:textId="77777777" w:rsidTr="002B5AC3">
        <w:trPr>
          <w:trHeight w:val="336"/>
        </w:trPr>
        <w:tc>
          <w:tcPr>
            <w:tcW w:w="2164" w:type="dxa"/>
            <w:tcBorders>
              <w:top w:val="nil"/>
              <w:left w:val="nil"/>
              <w:bottom w:val="nil"/>
              <w:right w:val="nil"/>
            </w:tcBorders>
            <w:shd w:val="clear" w:color="auto" w:fill="auto"/>
            <w:noWrap/>
            <w:vAlign w:val="bottom"/>
            <w:hideMark/>
          </w:tcPr>
          <w:p w14:paraId="39672648"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energy policy</w:t>
            </w:r>
          </w:p>
        </w:tc>
        <w:tc>
          <w:tcPr>
            <w:tcW w:w="3633" w:type="dxa"/>
            <w:tcBorders>
              <w:top w:val="nil"/>
              <w:left w:val="nil"/>
              <w:bottom w:val="nil"/>
              <w:right w:val="nil"/>
            </w:tcBorders>
            <w:shd w:val="clear" w:color="auto" w:fill="auto"/>
            <w:noWrap/>
            <w:vAlign w:val="bottom"/>
            <w:hideMark/>
          </w:tcPr>
          <w:p w14:paraId="453469D4"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nuclear energy</w:t>
            </w:r>
          </w:p>
        </w:tc>
        <w:tc>
          <w:tcPr>
            <w:tcW w:w="1520" w:type="dxa"/>
            <w:tcBorders>
              <w:top w:val="nil"/>
              <w:left w:val="nil"/>
              <w:bottom w:val="nil"/>
              <w:right w:val="nil"/>
            </w:tcBorders>
            <w:shd w:val="clear" w:color="auto" w:fill="auto"/>
            <w:noWrap/>
            <w:vAlign w:val="bottom"/>
            <w:hideMark/>
          </w:tcPr>
          <w:p w14:paraId="06CCC369"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4</w:t>
            </w:r>
          </w:p>
        </w:tc>
        <w:tc>
          <w:tcPr>
            <w:tcW w:w="1520" w:type="dxa"/>
            <w:tcBorders>
              <w:top w:val="nil"/>
              <w:left w:val="nil"/>
              <w:bottom w:val="nil"/>
              <w:right w:val="nil"/>
            </w:tcBorders>
            <w:shd w:val="clear" w:color="auto" w:fill="auto"/>
            <w:noWrap/>
            <w:vAlign w:val="bottom"/>
            <w:hideMark/>
          </w:tcPr>
          <w:p w14:paraId="78713B01"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6</w:t>
            </w:r>
          </w:p>
        </w:tc>
        <w:tc>
          <w:tcPr>
            <w:tcW w:w="1520" w:type="dxa"/>
            <w:tcBorders>
              <w:top w:val="nil"/>
              <w:left w:val="nil"/>
              <w:bottom w:val="nil"/>
              <w:right w:val="nil"/>
            </w:tcBorders>
            <w:shd w:val="clear" w:color="auto" w:fill="auto"/>
            <w:noWrap/>
            <w:vAlign w:val="bottom"/>
            <w:hideMark/>
          </w:tcPr>
          <w:p w14:paraId="2AF1877B"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3</w:t>
            </w:r>
          </w:p>
        </w:tc>
        <w:tc>
          <w:tcPr>
            <w:tcW w:w="1520" w:type="dxa"/>
            <w:tcBorders>
              <w:top w:val="nil"/>
              <w:left w:val="nil"/>
              <w:bottom w:val="nil"/>
              <w:right w:val="nil"/>
            </w:tcBorders>
            <w:shd w:val="clear" w:color="auto" w:fill="auto"/>
            <w:noWrap/>
            <w:vAlign w:val="bottom"/>
            <w:hideMark/>
          </w:tcPr>
          <w:p w14:paraId="0EE745BD"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2</w:t>
            </w:r>
          </w:p>
        </w:tc>
        <w:tc>
          <w:tcPr>
            <w:tcW w:w="1520" w:type="dxa"/>
            <w:tcBorders>
              <w:top w:val="nil"/>
              <w:left w:val="nil"/>
              <w:bottom w:val="nil"/>
              <w:right w:val="nil"/>
            </w:tcBorders>
            <w:shd w:val="clear" w:color="auto" w:fill="auto"/>
            <w:noWrap/>
            <w:vAlign w:val="bottom"/>
            <w:hideMark/>
          </w:tcPr>
          <w:p w14:paraId="596B2525"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15</w:t>
            </w:r>
          </w:p>
        </w:tc>
      </w:tr>
      <w:tr w:rsidR="00C201E3" w:rsidRPr="00D566B8" w14:paraId="4274C5AB" w14:textId="77777777" w:rsidTr="002B5AC3">
        <w:trPr>
          <w:trHeight w:val="336"/>
        </w:trPr>
        <w:tc>
          <w:tcPr>
            <w:tcW w:w="2164" w:type="dxa"/>
            <w:tcBorders>
              <w:top w:val="nil"/>
              <w:left w:val="nil"/>
              <w:bottom w:val="nil"/>
              <w:right w:val="nil"/>
            </w:tcBorders>
            <w:shd w:val="clear" w:color="auto" w:fill="auto"/>
            <w:noWrap/>
            <w:vAlign w:val="bottom"/>
            <w:hideMark/>
          </w:tcPr>
          <w:p w14:paraId="1A8AE7E9"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energy policy</w:t>
            </w:r>
          </w:p>
        </w:tc>
        <w:tc>
          <w:tcPr>
            <w:tcW w:w="3633" w:type="dxa"/>
            <w:tcBorders>
              <w:top w:val="nil"/>
              <w:left w:val="nil"/>
              <w:bottom w:val="nil"/>
              <w:right w:val="nil"/>
            </w:tcBorders>
            <w:shd w:val="clear" w:color="auto" w:fill="auto"/>
            <w:noWrap/>
            <w:vAlign w:val="bottom"/>
            <w:hideMark/>
          </w:tcPr>
          <w:p w14:paraId="5DEF9D33"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environmental protection</w:t>
            </w:r>
          </w:p>
        </w:tc>
        <w:tc>
          <w:tcPr>
            <w:tcW w:w="1520" w:type="dxa"/>
            <w:tcBorders>
              <w:top w:val="nil"/>
              <w:left w:val="nil"/>
              <w:bottom w:val="nil"/>
              <w:right w:val="nil"/>
            </w:tcBorders>
            <w:shd w:val="clear" w:color="auto" w:fill="auto"/>
            <w:noWrap/>
            <w:vAlign w:val="bottom"/>
            <w:hideMark/>
          </w:tcPr>
          <w:p w14:paraId="4C6E9946"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21</w:t>
            </w:r>
          </w:p>
        </w:tc>
        <w:tc>
          <w:tcPr>
            <w:tcW w:w="1520" w:type="dxa"/>
            <w:tcBorders>
              <w:top w:val="nil"/>
              <w:left w:val="nil"/>
              <w:bottom w:val="nil"/>
              <w:right w:val="nil"/>
            </w:tcBorders>
            <w:shd w:val="clear" w:color="auto" w:fill="auto"/>
            <w:noWrap/>
            <w:vAlign w:val="bottom"/>
            <w:hideMark/>
          </w:tcPr>
          <w:p w14:paraId="49FAF3E9"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7</w:t>
            </w:r>
          </w:p>
        </w:tc>
        <w:tc>
          <w:tcPr>
            <w:tcW w:w="1520" w:type="dxa"/>
            <w:tcBorders>
              <w:top w:val="nil"/>
              <w:left w:val="nil"/>
              <w:bottom w:val="nil"/>
              <w:right w:val="nil"/>
            </w:tcBorders>
            <w:shd w:val="clear" w:color="auto" w:fill="auto"/>
            <w:noWrap/>
            <w:vAlign w:val="bottom"/>
            <w:hideMark/>
          </w:tcPr>
          <w:p w14:paraId="3B6C178C"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22</w:t>
            </w:r>
          </w:p>
        </w:tc>
        <w:tc>
          <w:tcPr>
            <w:tcW w:w="1520" w:type="dxa"/>
            <w:tcBorders>
              <w:top w:val="nil"/>
              <w:left w:val="nil"/>
              <w:bottom w:val="nil"/>
              <w:right w:val="nil"/>
            </w:tcBorders>
            <w:shd w:val="clear" w:color="auto" w:fill="auto"/>
            <w:noWrap/>
            <w:vAlign w:val="bottom"/>
            <w:hideMark/>
          </w:tcPr>
          <w:p w14:paraId="3CD030E6"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16</w:t>
            </w:r>
          </w:p>
        </w:tc>
        <w:tc>
          <w:tcPr>
            <w:tcW w:w="1520" w:type="dxa"/>
            <w:tcBorders>
              <w:top w:val="nil"/>
              <w:left w:val="nil"/>
              <w:bottom w:val="nil"/>
              <w:right w:val="nil"/>
            </w:tcBorders>
            <w:shd w:val="clear" w:color="auto" w:fill="auto"/>
            <w:noWrap/>
            <w:vAlign w:val="bottom"/>
            <w:hideMark/>
          </w:tcPr>
          <w:p w14:paraId="19F0B5A2"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66</w:t>
            </w:r>
          </w:p>
        </w:tc>
      </w:tr>
      <w:tr w:rsidR="00C201E3" w:rsidRPr="00D566B8" w14:paraId="2917A48F" w14:textId="77777777" w:rsidTr="002B5AC3">
        <w:trPr>
          <w:trHeight w:val="336"/>
        </w:trPr>
        <w:tc>
          <w:tcPr>
            <w:tcW w:w="2164" w:type="dxa"/>
            <w:tcBorders>
              <w:top w:val="nil"/>
              <w:left w:val="nil"/>
              <w:bottom w:val="nil"/>
              <w:right w:val="nil"/>
            </w:tcBorders>
            <w:shd w:val="clear" w:color="auto" w:fill="auto"/>
            <w:noWrap/>
            <w:vAlign w:val="bottom"/>
            <w:hideMark/>
          </w:tcPr>
          <w:p w14:paraId="14D00558"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energy policy</w:t>
            </w:r>
          </w:p>
        </w:tc>
        <w:tc>
          <w:tcPr>
            <w:tcW w:w="3633" w:type="dxa"/>
            <w:tcBorders>
              <w:top w:val="nil"/>
              <w:left w:val="nil"/>
              <w:bottom w:val="nil"/>
              <w:right w:val="nil"/>
            </w:tcBorders>
            <w:shd w:val="clear" w:color="auto" w:fill="auto"/>
            <w:noWrap/>
            <w:vAlign w:val="bottom"/>
            <w:hideMark/>
          </w:tcPr>
          <w:p w14:paraId="0B69BABE"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renewable energy</w:t>
            </w:r>
          </w:p>
        </w:tc>
        <w:tc>
          <w:tcPr>
            <w:tcW w:w="1520" w:type="dxa"/>
            <w:tcBorders>
              <w:top w:val="nil"/>
              <w:left w:val="nil"/>
              <w:bottom w:val="nil"/>
              <w:right w:val="nil"/>
            </w:tcBorders>
            <w:shd w:val="clear" w:color="auto" w:fill="auto"/>
            <w:noWrap/>
            <w:vAlign w:val="bottom"/>
            <w:hideMark/>
          </w:tcPr>
          <w:p w14:paraId="722DC038"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19</w:t>
            </w:r>
          </w:p>
        </w:tc>
        <w:tc>
          <w:tcPr>
            <w:tcW w:w="1520" w:type="dxa"/>
            <w:tcBorders>
              <w:top w:val="nil"/>
              <w:left w:val="nil"/>
              <w:bottom w:val="nil"/>
              <w:right w:val="nil"/>
            </w:tcBorders>
            <w:shd w:val="clear" w:color="auto" w:fill="auto"/>
            <w:noWrap/>
            <w:vAlign w:val="bottom"/>
            <w:hideMark/>
          </w:tcPr>
          <w:p w14:paraId="60342332"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30</w:t>
            </w:r>
          </w:p>
        </w:tc>
        <w:tc>
          <w:tcPr>
            <w:tcW w:w="1520" w:type="dxa"/>
            <w:tcBorders>
              <w:top w:val="nil"/>
              <w:left w:val="nil"/>
              <w:bottom w:val="nil"/>
              <w:right w:val="nil"/>
            </w:tcBorders>
            <w:shd w:val="clear" w:color="auto" w:fill="auto"/>
            <w:noWrap/>
            <w:vAlign w:val="bottom"/>
            <w:hideMark/>
          </w:tcPr>
          <w:p w14:paraId="4B3722EF"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56</w:t>
            </w:r>
          </w:p>
        </w:tc>
        <w:tc>
          <w:tcPr>
            <w:tcW w:w="1520" w:type="dxa"/>
            <w:tcBorders>
              <w:top w:val="nil"/>
              <w:left w:val="nil"/>
              <w:bottom w:val="nil"/>
              <w:right w:val="nil"/>
            </w:tcBorders>
            <w:shd w:val="clear" w:color="auto" w:fill="auto"/>
            <w:noWrap/>
            <w:vAlign w:val="bottom"/>
            <w:hideMark/>
          </w:tcPr>
          <w:p w14:paraId="1D4408A3"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10</w:t>
            </w:r>
          </w:p>
        </w:tc>
        <w:tc>
          <w:tcPr>
            <w:tcW w:w="1520" w:type="dxa"/>
            <w:tcBorders>
              <w:top w:val="nil"/>
              <w:left w:val="nil"/>
              <w:bottom w:val="nil"/>
              <w:right w:val="nil"/>
            </w:tcBorders>
            <w:shd w:val="clear" w:color="auto" w:fill="auto"/>
            <w:noWrap/>
            <w:vAlign w:val="bottom"/>
            <w:hideMark/>
          </w:tcPr>
          <w:p w14:paraId="560C1893"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115</w:t>
            </w:r>
          </w:p>
        </w:tc>
      </w:tr>
      <w:tr w:rsidR="00C201E3" w:rsidRPr="00D566B8" w14:paraId="5687FFF6" w14:textId="77777777" w:rsidTr="002B5AC3">
        <w:trPr>
          <w:trHeight w:val="336"/>
        </w:trPr>
        <w:tc>
          <w:tcPr>
            <w:tcW w:w="2164" w:type="dxa"/>
            <w:tcBorders>
              <w:top w:val="nil"/>
              <w:left w:val="nil"/>
              <w:right w:val="nil"/>
            </w:tcBorders>
            <w:shd w:val="clear" w:color="auto" w:fill="auto"/>
            <w:noWrap/>
            <w:vAlign w:val="bottom"/>
            <w:hideMark/>
          </w:tcPr>
          <w:p w14:paraId="0B10BDAC"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energy policy</w:t>
            </w:r>
          </w:p>
        </w:tc>
        <w:tc>
          <w:tcPr>
            <w:tcW w:w="3633" w:type="dxa"/>
            <w:tcBorders>
              <w:top w:val="nil"/>
              <w:left w:val="nil"/>
              <w:right w:val="nil"/>
            </w:tcBorders>
            <w:shd w:val="clear" w:color="auto" w:fill="auto"/>
            <w:noWrap/>
            <w:vAlign w:val="bottom"/>
            <w:hideMark/>
          </w:tcPr>
          <w:p w14:paraId="1C491A0C"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fossil energy</w:t>
            </w:r>
          </w:p>
        </w:tc>
        <w:tc>
          <w:tcPr>
            <w:tcW w:w="1520" w:type="dxa"/>
            <w:tcBorders>
              <w:top w:val="nil"/>
              <w:left w:val="nil"/>
              <w:right w:val="nil"/>
            </w:tcBorders>
            <w:shd w:val="clear" w:color="auto" w:fill="auto"/>
            <w:noWrap/>
            <w:vAlign w:val="bottom"/>
            <w:hideMark/>
          </w:tcPr>
          <w:p w14:paraId="3B78F86E"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36</w:t>
            </w:r>
          </w:p>
        </w:tc>
        <w:tc>
          <w:tcPr>
            <w:tcW w:w="1520" w:type="dxa"/>
            <w:tcBorders>
              <w:top w:val="nil"/>
              <w:left w:val="nil"/>
              <w:right w:val="nil"/>
            </w:tcBorders>
            <w:shd w:val="clear" w:color="auto" w:fill="auto"/>
            <w:noWrap/>
            <w:vAlign w:val="bottom"/>
            <w:hideMark/>
          </w:tcPr>
          <w:p w14:paraId="2ADF6509"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48</w:t>
            </w:r>
          </w:p>
        </w:tc>
        <w:tc>
          <w:tcPr>
            <w:tcW w:w="1520" w:type="dxa"/>
            <w:tcBorders>
              <w:top w:val="nil"/>
              <w:left w:val="nil"/>
              <w:right w:val="nil"/>
            </w:tcBorders>
            <w:shd w:val="clear" w:color="auto" w:fill="auto"/>
            <w:noWrap/>
            <w:vAlign w:val="bottom"/>
            <w:hideMark/>
          </w:tcPr>
          <w:p w14:paraId="5733D246"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31</w:t>
            </w:r>
          </w:p>
        </w:tc>
        <w:tc>
          <w:tcPr>
            <w:tcW w:w="1520" w:type="dxa"/>
            <w:tcBorders>
              <w:top w:val="nil"/>
              <w:left w:val="nil"/>
              <w:right w:val="nil"/>
            </w:tcBorders>
            <w:shd w:val="clear" w:color="auto" w:fill="auto"/>
            <w:noWrap/>
            <w:vAlign w:val="bottom"/>
            <w:hideMark/>
          </w:tcPr>
          <w:p w14:paraId="7A16B69F"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13</w:t>
            </w:r>
          </w:p>
        </w:tc>
        <w:tc>
          <w:tcPr>
            <w:tcW w:w="1520" w:type="dxa"/>
            <w:tcBorders>
              <w:top w:val="nil"/>
              <w:left w:val="nil"/>
              <w:right w:val="nil"/>
            </w:tcBorders>
            <w:shd w:val="clear" w:color="auto" w:fill="auto"/>
            <w:noWrap/>
            <w:vAlign w:val="bottom"/>
            <w:hideMark/>
          </w:tcPr>
          <w:p w14:paraId="5468E0E1"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128</w:t>
            </w:r>
          </w:p>
        </w:tc>
      </w:tr>
      <w:tr w:rsidR="00C201E3" w:rsidRPr="00D566B8" w14:paraId="3B7EEBB0" w14:textId="77777777" w:rsidTr="002B5AC3">
        <w:trPr>
          <w:trHeight w:val="336"/>
        </w:trPr>
        <w:tc>
          <w:tcPr>
            <w:tcW w:w="2164" w:type="dxa"/>
            <w:tcBorders>
              <w:top w:val="nil"/>
              <w:left w:val="nil"/>
              <w:bottom w:val="single" w:sz="4" w:space="0" w:color="auto"/>
              <w:right w:val="nil"/>
            </w:tcBorders>
            <w:shd w:val="clear" w:color="auto" w:fill="auto"/>
            <w:noWrap/>
            <w:vAlign w:val="bottom"/>
            <w:hideMark/>
          </w:tcPr>
          <w:p w14:paraId="3A73739C" w14:textId="77777777" w:rsidR="00C201E3" w:rsidRPr="00D566B8" w:rsidRDefault="00C201E3" w:rsidP="002B5AC3">
            <w:pPr>
              <w:jc w:val="center"/>
              <w:rPr>
                <w:rFonts w:eastAsia="Times New Roman" w:cstheme="minorHAnsi"/>
                <w:lang w:val="en-GB" w:eastAsia="hu-HU"/>
              </w:rPr>
            </w:pPr>
          </w:p>
        </w:tc>
        <w:tc>
          <w:tcPr>
            <w:tcW w:w="3633" w:type="dxa"/>
            <w:tcBorders>
              <w:top w:val="nil"/>
              <w:left w:val="nil"/>
              <w:bottom w:val="single" w:sz="4" w:space="0" w:color="auto"/>
              <w:right w:val="nil"/>
            </w:tcBorders>
            <w:shd w:val="clear" w:color="auto" w:fill="auto"/>
            <w:noWrap/>
            <w:vAlign w:val="bottom"/>
            <w:hideMark/>
          </w:tcPr>
          <w:p w14:paraId="7A26E915"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Country total</w:t>
            </w:r>
          </w:p>
        </w:tc>
        <w:tc>
          <w:tcPr>
            <w:tcW w:w="1520" w:type="dxa"/>
            <w:tcBorders>
              <w:top w:val="nil"/>
              <w:left w:val="nil"/>
              <w:bottom w:val="single" w:sz="4" w:space="0" w:color="auto"/>
              <w:right w:val="nil"/>
            </w:tcBorders>
            <w:shd w:val="clear" w:color="auto" w:fill="auto"/>
            <w:noWrap/>
            <w:vAlign w:val="bottom"/>
            <w:hideMark/>
          </w:tcPr>
          <w:p w14:paraId="41C8BA6C"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319</w:t>
            </w:r>
          </w:p>
        </w:tc>
        <w:tc>
          <w:tcPr>
            <w:tcW w:w="1520" w:type="dxa"/>
            <w:tcBorders>
              <w:top w:val="nil"/>
              <w:left w:val="nil"/>
              <w:bottom w:val="single" w:sz="4" w:space="0" w:color="auto"/>
              <w:right w:val="nil"/>
            </w:tcBorders>
            <w:shd w:val="clear" w:color="auto" w:fill="auto"/>
            <w:noWrap/>
            <w:vAlign w:val="bottom"/>
            <w:hideMark/>
          </w:tcPr>
          <w:p w14:paraId="4CA49B5F"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324</w:t>
            </w:r>
          </w:p>
        </w:tc>
        <w:tc>
          <w:tcPr>
            <w:tcW w:w="1520" w:type="dxa"/>
            <w:tcBorders>
              <w:top w:val="nil"/>
              <w:left w:val="nil"/>
              <w:bottom w:val="single" w:sz="4" w:space="0" w:color="auto"/>
              <w:right w:val="nil"/>
            </w:tcBorders>
            <w:shd w:val="clear" w:color="auto" w:fill="auto"/>
            <w:noWrap/>
            <w:vAlign w:val="bottom"/>
            <w:hideMark/>
          </w:tcPr>
          <w:p w14:paraId="61E9790E"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420</w:t>
            </w:r>
          </w:p>
        </w:tc>
        <w:tc>
          <w:tcPr>
            <w:tcW w:w="1520" w:type="dxa"/>
            <w:tcBorders>
              <w:top w:val="nil"/>
              <w:left w:val="nil"/>
              <w:bottom w:val="single" w:sz="4" w:space="0" w:color="auto"/>
              <w:right w:val="nil"/>
            </w:tcBorders>
            <w:shd w:val="clear" w:color="auto" w:fill="auto"/>
            <w:noWrap/>
            <w:vAlign w:val="bottom"/>
            <w:hideMark/>
          </w:tcPr>
          <w:p w14:paraId="54D5FD5A"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282</w:t>
            </w:r>
          </w:p>
        </w:tc>
        <w:tc>
          <w:tcPr>
            <w:tcW w:w="1520" w:type="dxa"/>
            <w:tcBorders>
              <w:top w:val="nil"/>
              <w:left w:val="nil"/>
              <w:bottom w:val="single" w:sz="4" w:space="0" w:color="auto"/>
              <w:right w:val="nil"/>
            </w:tcBorders>
            <w:shd w:val="clear" w:color="auto" w:fill="auto"/>
            <w:noWrap/>
            <w:vAlign w:val="bottom"/>
            <w:hideMark/>
          </w:tcPr>
          <w:p w14:paraId="30655BC9" w14:textId="77777777" w:rsidR="00C201E3" w:rsidRPr="00D566B8" w:rsidRDefault="00C201E3" w:rsidP="002B5AC3">
            <w:pPr>
              <w:jc w:val="center"/>
              <w:rPr>
                <w:rFonts w:eastAsia="Times New Roman" w:cstheme="minorHAnsi"/>
                <w:lang w:val="en-GB" w:eastAsia="hu-HU"/>
              </w:rPr>
            </w:pPr>
            <w:r w:rsidRPr="00D566B8">
              <w:rPr>
                <w:rFonts w:eastAsia="Times New Roman" w:cstheme="minorHAnsi"/>
                <w:lang w:val="en-GB" w:eastAsia="hu-HU"/>
              </w:rPr>
              <w:t>1345</w:t>
            </w:r>
          </w:p>
        </w:tc>
      </w:tr>
    </w:tbl>
    <w:p w14:paraId="0F248539" w14:textId="77777777" w:rsidR="00C201E3" w:rsidRPr="00D566B8" w:rsidRDefault="00C201E3" w:rsidP="00C201E3">
      <w:pPr>
        <w:ind w:left="142" w:right="277"/>
        <w:jc w:val="both"/>
        <w:rPr>
          <w:rFonts w:cstheme="minorHAnsi"/>
          <w:sz w:val="22"/>
          <w:szCs w:val="22"/>
          <w:lang w:val="en-GB"/>
        </w:rPr>
      </w:pPr>
    </w:p>
    <w:p w14:paraId="04CDE6CF" w14:textId="745CC1D4" w:rsidR="00A517A6" w:rsidRDefault="00A517A6"/>
    <w:p w14:paraId="2584DCD3" w14:textId="77777777" w:rsidR="00A517A6" w:rsidRDefault="00A517A6">
      <w:r>
        <w:br w:type="page"/>
      </w:r>
    </w:p>
    <w:p w14:paraId="75185966" w14:textId="77777777" w:rsidR="00A517A6" w:rsidRPr="00D566B8" w:rsidRDefault="00A517A6" w:rsidP="00A517A6">
      <w:pPr>
        <w:rPr>
          <w:lang w:val="en-GB"/>
        </w:rPr>
      </w:pPr>
      <w:r w:rsidRPr="00D566B8">
        <w:rPr>
          <w:b/>
          <w:bCs/>
          <w:lang w:val="en-GB"/>
        </w:rPr>
        <w:lastRenderedPageBreak/>
        <w:t xml:space="preserve">Table </w:t>
      </w:r>
      <w:r>
        <w:rPr>
          <w:b/>
          <w:bCs/>
          <w:lang w:val="en-GB"/>
        </w:rPr>
        <w:t xml:space="preserve">A2 </w:t>
      </w:r>
      <w:r>
        <w:rPr>
          <w:lang w:val="en-GB"/>
        </w:rPr>
        <w:t>–</w:t>
      </w:r>
      <w:r w:rsidRPr="00D566B8">
        <w:rPr>
          <w:b/>
          <w:bCs/>
          <w:lang w:val="en-GB"/>
        </w:rPr>
        <w:t xml:space="preserve"> </w:t>
      </w:r>
      <w:r w:rsidRPr="00D566B8">
        <w:rPr>
          <w:lang w:val="en-GB"/>
        </w:rPr>
        <w:t>Number of surveyed organi</w:t>
      </w:r>
      <w:r>
        <w:rPr>
          <w:lang w:val="en-GB"/>
        </w:rPr>
        <w:t>z</w:t>
      </w:r>
      <w:r w:rsidRPr="00D566B8">
        <w:rPr>
          <w:lang w:val="en-GB"/>
        </w:rPr>
        <w:t>ations per country, policy domain, and population.</w:t>
      </w:r>
    </w:p>
    <w:p w14:paraId="422A9A96" w14:textId="77777777" w:rsidR="00A517A6" w:rsidRPr="00D566B8" w:rsidRDefault="00A517A6" w:rsidP="00A517A6">
      <w:pPr>
        <w:ind w:right="277"/>
        <w:jc w:val="both"/>
        <w:rPr>
          <w:lang w:val="en-GB"/>
        </w:rPr>
      </w:pPr>
    </w:p>
    <w:tbl>
      <w:tblPr>
        <w:tblW w:w="14574" w:type="dxa"/>
        <w:tblCellMar>
          <w:left w:w="70" w:type="dxa"/>
          <w:right w:w="70" w:type="dxa"/>
        </w:tblCellMar>
        <w:tblLook w:val="04A0" w:firstRow="1" w:lastRow="0" w:firstColumn="1" w:lastColumn="0" w:noHBand="0" w:noVBand="1"/>
      </w:tblPr>
      <w:tblGrid>
        <w:gridCol w:w="2491"/>
        <w:gridCol w:w="2419"/>
        <w:gridCol w:w="2418"/>
        <w:gridCol w:w="2416"/>
        <w:gridCol w:w="2418"/>
        <w:gridCol w:w="2412"/>
      </w:tblGrid>
      <w:tr w:rsidR="00A517A6" w:rsidRPr="00D566B8" w14:paraId="05219912" w14:textId="77777777" w:rsidTr="009A444C">
        <w:trPr>
          <w:trHeight w:val="190"/>
        </w:trPr>
        <w:tc>
          <w:tcPr>
            <w:tcW w:w="2491" w:type="dxa"/>
            <w:tcBorders>
              <w:top w:val="single" w:sz="8" w:space="0" w:color="A5A5A5"/>
              <w:left w:val="nil"/>
              <w:bottom w:val="single" w:sz="8" w:space="0" w:color="A5A5A5"/>
              <w:right w:val="nil"/>
            </w:tcBorders>
            <w:shd w:val="clear" w:color="auto" w:fill="auto"/>
            <w:vAlign w:val="center"/>
            <w:hideMark/>
          </w:tcPr>
          <w:p w14:paraId="77794222"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Population</w:t>
            </w:r>
          </w:p>
        </w:tc>
        <w:tc>
          <w:tcPr>
            <w:tcW w:w="2419" w:type="dxa"/>
            <w:tcBorders>
              <w:top w:val="single" w:sz="8" w:space="0" w:color="A5A5A5"/>
              <w:left w:val="nil"/>
              <w:bottom w:val="single" w:sz="8" w:space="0" w:color="A5A5A5"/>
              <w:right w:val="nil"/>
            </w:tcBorders>
            <w:shd w:val="clear" w:color="auto" w:fill="auto"/>
            <w:vAlign w:val="center"/>
            <w:hideMark/>
          </w:tcPr>
          <w:p w14:paraId="01EB03CC"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Czech Republic</w:t>
            </w:r>
          </w:p>
        </w:tc>
        <w:tc>
          <w:tcPr>
            <w:tcW w:w="2418" w:type="dxa"/>
            <w:tcBorders>
              <w:top w:val="single" w:sz="8" w:space="0" w:color="A5A5A5"/>
              <w:left w:val="nil"/>
              <w:bottom w:val="single" w:sz="8" w:space="0" w:color="A5A5A5"/>
              <w:right w:val="nil"/>
            </w:tcBorders>
            <w:shd w:val="clear" w:color="auto" w:fill="auto"/>
            <w:vAlign w:val="center"/>
            <w:hideMark/>
          </w:tcPr>
          <w:p w14:paraId="2FFD5CE3"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Hungary</w:t>
            </w:r>
          </w:p>
        </w:tc>
        <w:tc>
          <w:tcPr>
            <w:tcW w:w="2416" w:type="dxa"/>
            <w:tcBorders>
              <w:top w:val="single" w:sz="8" w:space="0" w:color="A5A5A5"/>
              <w:left w:val="nil"/>
              <w:bottom w:val="single" w:sz="8" w:space="0" w:color="A5A5A5"/>
              <w:right w:val="nil"/>
            </w:tcBorders>
            <w:shd w:val="clear" w:color="auto" w:fill="auto"/>
            <w:vAlign w:val="center"/>
            <w:hideMark/>
          </w:tcPr>
          <w:p w14:paraId="25E137A7"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Poland</w:t>
            </w:r>
          </w:p>
        </w:tc>
        <w:tc>
          <w:tcPr>
            <w:tcW w:w="2418" w:type="dxa"/>
            <w:tcBorders>
              <w:top w:val="single" w:sz="8" w:space="0" w:color="A5A5A5"/>
              <w:left w:val="nil"/>
              <w:bottom w:val="single" w:sz="8" w:space="0" w:color="A5A5A5"/>
              <w:right w:val="nil"/>
            </w:tcBorders>
            <w:shd w:val="clear" w:color="auto" w:fill="auto"/>
            <w:vAlign w:val="center"/>
            <w:hideMark/>
          </w:tcPr>
          <w:p w14:paraId="4C20BB36"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Slovenia</w:t>
            </w:r>
          </w:p>
        </w:tc>
        <w:tc>
          <w:tcPr>
            <w:tcW w:w="2412" w:type="dxa"/>
            <w:tcBorders>
              <w:top w:val="single" w:sz="8" w:space="0" w:color="A5A5A5"/>
              <w:left w:val="nil"/>
              <w:bottom w:val="single" w:sz="8" w:space="0" w:color="A5A5A5"/>
              <w:right w:val="nil"/>
            </w:tcBorders>
            <w:shd w:val="clear" w:color="auto" w:fill="auto"/>
            <w:vAlign w:val="center"/>
            <w:hideMark/>
          </w:tcPr>
          <w:p w14:paraId="1EBAF3A4"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Total</w:t>
            </w:r>
          </w:p>
        </w:tc>
      </w:tr>
      <w:tr w:rsidR="00A517A6" w:rsidRPr="00D566B8" w14:paraId="7F87723F" w14:textId="77777777" w:rsidTr="009A444C">
        <w:trPr>
          <w:trHeight w:val="190"/>
        </w:trPr>
        <w:tc>
          <w:tcPr>
            <w:tcW w:w="2491" w:type="dxa"/>
            <w:tcBorders>
              <w:top w:val="single" w:sz="8" w:space="0" w:color="A5A5A5"/>
              <w:left w:val="nil"/>
              <w:bottom w:val="nil"/>
              <w:right w:val="nil"/>
            </w:tcBorders>
            <w:shd w:val="clear" w:color="auto" w:fill="auto"/>
            <w:vAlign w:val="center"/>
            <w:hideMark/>
          </w:tcPr>
          <w:p w14:paraId="74FA0DBE"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Fossil energy</w:t>
            </w:r>
          </w:p>
        </w:tc>
        <w:tc>
          <w:tcPr>
            <w:tcW w:w="2419" w:type="dxa"/>
            <w:tcBorders>
              <w:top w:val="single" w:sz="8" w:space="0" w:color="A5A5A5"/>
              <w:left w:val="nil"/>
              <w:bottom w:val="nil"/>
              <w:right w:val="nil"/>
            </w:tcBorders>
            <w:shd w:val="clear" w:color="auto" w:fill="auto"/>
            <w:vAlign w:val="center"/>
            <w:hideMark/>
          </w:tcPr>
          <w:p w14:paraId="37EE39CB"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21</w:t>
            </w:r>
          </w:p>
        </w:tc>
        <w:tc>
          <w:tcPr>
            <w:tcW w:w="2418" w:type="dxa"/>
            <w:tcBorders>
              <w:top w:val="single" w:sz="8" w:space="0" w:color="A5A5A5"/>
              <w:left w:val="nil"/>
              <w:bottom w:val="nil"/>
              <w:right w:val="nil"/>
            </w:tcBorders>
            <w:shd w:val="clear" w:color="auto" w:fill="auto"/>
            <w:vAlign w:val="center"/>
            <w:hideMark/>
          </w:tcPr>
          <w:p w14:paraId="492BFFAE"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18</w:t>
            </w:r>
          </w:p>
        </w:tc>
        <w:tc>
          <w:tcPr>
            <w:tcW w:w="2416" w:type="dxa"/>
            <w:tcBorders>
              <w:top w:val="single" w:sz="8" w:space="0" w:color="A5A5A5"/>
              <w:left w:val="nil"/>
              <w:bottom w:val="nil"/>
              <w:right w:val="nil"/>
            </w:tcBorders>
            <w:shd w:val="clear" w:color="auto" w:fill="auto"/>
            <w:vAlign w:val="center"/>
            <w:hideMark/>
          </w:tcPr>
          <w:p w14:paraId="37FC955F"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8</w:t>
            </w:r>
          </w:p>
        </w:tc>
        <w:tc>
          <w:tcPr>
            <w:tcW w:w="2418" w:type="dxa"/>
            <w:tcBorders>
              <w:top w:val="single" w:sz="8" w:space="0" w:color="A5A5A5"/>
              <w:left w:val="nil"/>
              <w:bottom w:val="nil"/>
              <w:right w:val="nil"/>
            </w:tcBorders>
            <w:shd w:val="clear" w:color="auto" w:fill="auto"/>
            <w:vAlign w:val="center"/>
            <w:hideMark/>
          </w:tcPr>
          <w:p w14:paraId="6FFB2B36"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13</w:t>
            </w:r>
          </w:p>
        </w:tc>
        <w:tc>
          <w:tcPr>
            <w:tcW w:w="2412" w:type="dxa"/>
            <w:tcBorders>
              <w:top w:val="single" w:sz="8" w:space="0" w:color="A5A5A5"/>
              <w:left w:val="nil"/>
              <w:bottom w:val="nil"/>
              <w:right w:val="nil"/>
            </w:tcBorders>
            <w:shd w:val="clear" w:color="auto" w:fill="auto"/>
            <w:vAlign w:val="center"/>
            <w:hideMark/>
          </w:tcPr>
          <w:p w14:paraId="11B59E52"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60</w:t>
            </w:r>
          </w:p>
        </w:tc>
      </w:tr>
      <w:tr w:rsidR="00A517A6" w:rsidRPr="00D566B8" w14:paraId="59518CD2" w14:textId="77777777" w:rsidTr="009A444C">
        <w:trPr>
          <w:trHeight w:val="357"/>
        </w:trPr>
        <w:tc>
          <w:tcPr>
            <w:tcW w:w="2491" w:type="dxa"/>
            <w:tcBorders>
              <w:top w:val="nil"/>
              <w:left w:val="nil"/>
              <w:bottom w:val="nil"/>
              <w:right w:val="nil"/>
            </w:tcBorders>
            <w:shd w:val="clear" w:color="auto" w:fill="auto"/>
            <w:vAlign w:val="center"/>
            <w:hideMark/>
          </w:tcPr>
          <w:p w14:paraId="0A36DF83"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Nuclear energy</w:t>
            </w:r>
          </w:p>
        </w:tc>
        <w:tc>
          <w:tcPr>
            <w:tcW w:w="2419" w:type="dxa"/>
            <w:tcBorders>
              <w:top w:val="nil"/>
              <w:left w:val="nil"/>
              <w:bottom w:val="nil"/>
              <w:right w:val="nil"/>
            </w:tcBorders>
            <w:shd w:val="clear" w:color="auto" w:fill="auto"/>
            <w:vAlign w:val="center"/>
            <w:hideMark/>
          </w:tcPr>
          <w:p w14:paraId="76296B8B"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4</w:t>
            </w:r>
          </w:p>
        </w:tc>
        <w:tc>
          <w:tcPr>
            <w:tcW w:w="2418" w:type="dxa"/>
            <w:tcBorders>
              <w:top w:val="nil"/>
              <w:left w:val="nil"/>
              <w:bottom w:val="nil"/>
              <w:right w:val="nil"/>
            </w:tcBorders>
            <w:shd w:val="clear" w:color="auto" w:fill="auto"/>
            <w:vAlign w:val="center"/>
            <w:hideMark/>
          </w:tcPr>
          <w:p w14:paraId="2E0FB439"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0</w:t>
            </w:r>
          </w:p>
        </w:tc>
        <w:tc>
          <w:tcPr>
            <w:tcW w:w="2416" w:type="dxa"/>
            <w:tcBorders>
              <w:top w:val="nil"/>
              <w:left w:val="nil"/>
              <w:bottom w:val="nil"/>
              <w:right w:val="nil"/>
            </w:tcBorders>
            <w:shd w:val="clear" w:color="auto" w:fill="auto"/>
            <w:vAlign w:val="center"/>
            <w:hideMark/>
          </w:tcPr>
          <w:p w14:paraId="2B81CAF2"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w:t>
            </w:r>
          </w:p>
        </w:tc>
        <w:tc>
          <w:tcPr>
            <w:tcW w:w="2418" w:type="dxa"/>
            <w:tcBorders>
              <w:top w:val="nil"/>
              <w:left w:val="nil"/>
              <w:bottom w:val="nil"/>
              <w:right w:val="nil"/>
            </w:tcBorders>
            <w:shd w:val="clear" w:color="auto" w:fill="auto"/>
            <w:vAlign w:val="center"/>
            <w:hideMark/>
          </w:tcPr>
          <w:p w14:paraId="2D537065"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w:t>
            </w:r>
          </w:p>
        </w:tc>
        <w:tc>
          <w:tcPr>
            <w:tcW w:w="2412" w:type="dxa"/>
            <w:tcBorders>
              <w:top w:val="nil"/>
              <w:left w:val="nil"/>
              <w:bottom w:val="nil"/>
              <w:right w:val="nil"/>
            </w:tcBorders>
            <w:shd w:val="clear" w:color="auto" w:fill="auto"/>
            <w:vAlign w:val="center"/>
            <w:hideMark/>
          </w:tcPr>
          <w:p w14:paraId="750B9B4B"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6</w:t>
            </w:r>
          </w:p>
        </w:tc>
      </w:tr>
      <w:tr w:rsidR="00A517A6" w:rsidRPr="00D566B8" w14:paraId="7738ACC4" w14:textId="77777777" w:rsidTr="009A444C">
        <w:trPr>
          <w:trHeight w:val="357"/>
        </w:trPr>
        <w:tc>
          <w:tcPr>
            <w:tcW w:w="2491" w:type="dxa"/>
            <w:tcBorders>
              <w:top w:val="nil"/>
              <w:left w:val="nil"/>
              <w:bottom w:val="nil"/>
              <w:right w:val="nil"/>
            </w:tcBorders>
            <w:shd w:val="clear" w:color="auto" w:fill="auto"/>
            <w:vAlign w:val="center"/>
            <w:hideMark/>
          </w:tcPr>
          <w:p w14:paraId="289448CE"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Environmental protection</w:t>
            </w:r>
          </w:p>
        </w:tc>
        <w:tc>
          <w:tcPr>
            <w:tcW w:w="2419" w:type="dxa"/>
            <w:tcBorders>
              <w:top w:val="nil"/>
              <w:left w:val="nil"/>
              <w:bottom w:val="nil"/>
              <w:right w:val="nil"/>
            </w:tcBorders>
            <w:shd w:val="clear" w:color="auto" w:fill="auto"/>
            <w:vAlign w:val="center"/>
            <w:hideMark/>
          </w:tcPr>
          <w:p w14:paraId="5BB9CB9E"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w:t>
            </w:r>
          </w:p>
        </w:tc>
        <w:tc>
          <w:tcPr>
            <w:tcW w:w="2418" w:type="dxa"/>
            <w:tcBorders>
              <w:top w:val="nil"/>
              <w:left w:val="nil"/>
              <w:bottom w:val="nil"/>
              <w:right w:val="nil"/>
            </w:tcBorders>
            <w:shd w:val="clear" w:color="auto" w:fill="auto"/>
            <w:vAlign w:val="center"/>
            <w:hideMark/>
          </w:tcPr>
          <w:p w14:paraId="01C562DD"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w:t>
            </w:r>
          </w:p>
        </w:tc>
        <w:tc>
          <w:tcPr>
            <w:tcW w:w="2416" w:type="dxa"/>
            <w:tcBorders>
              <w:top w:val="nil"/>
              <w:left w:val="nil"/>
              <w:bottom w:val="nil"/>
              <w:right w:val="nil"/>
            </w:tcBorders>
            <w:shd w:val="clear" w:color="auto" w:fill="auto"/>
            <w:vAlign w:val="center"/>
            <w:hideMark/>
          </w:tcPr>
          <w:p w14:paraId="0C6E726F"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w:t>
            </w:r>
          </w:p>
        </w:tc>
        <w:tc>
          <w:tcPr>
            <w:tcW w:w="2418" w:type="dxa"/>
            <w:tcBorders>
              <w:top w:val="nil"/>
              <w:left w:val="nil"/>
              <w:bottom w:val="nil"/>
              <w:right w:val="nil"/>
            </w:tcBorders>
            <w:shd w:val="clear" w:color="auto" w:fill="auto"/>
            <w:vAlign w:val="center"/>
            <w:hideMark/>
          </w:tcPr>
          <w:p w14:paraId="0428BE02"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11</w:t>
            </w:r>
          </w:p>
        </w:tc>
        <w:tc>
          <w:tcPr>
            <w:tcW w:w="2412" w:type="dxa"/>
            <w:tcBorders>
              <w:top w:val="nil"/>
              <w:left w:val="nil"/>
              <w:bottom w:val="nil"/>
              <w:right w:val="nil"/>
            </w:tcBorders>
            <w:shd w:val="clear" w:color="auto" w:fill="auto"/>
            <w:vAlign w:val="center"/>
            <w:hideMark/>
          </w:tcPr>
          <w:p w14:paraId="2A0E073E"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23</w:t>
            </w:r>
          </w:p>
        </w:tc>
      </w:tr>
      <w:tr w:rsidR="00A517A6" w:rsidRPr="00D566B8" w14:paraId="3C649D68" w14:textId="77777777" w:rsidTr="009A444C">
        <w:trPr>
          <w:trHeight w:val="357"/>
        </w:trPr>
        <w:tc>
          <w:tcPr>
            <w:tcW w:w="2491" w:type="dxa"/>
            <w:tcBorders>
              <w:top w:val="nil"/>
              <w:left w:val="nil"/>
              <w:bottom w:val="nil"/>
              <w:right w:val="nil"/>
            </w:tcBorders>
            <w:shd w:val="clear" w:color="auto" w:fill="auto"/>
            <w:vAlign w:val="center"/>
            <w:hideMark/>
          </w:tcPr>
          <w:p w14:paraId="5448CCF2"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Renewable energy</w:t>
            </w:r>
          </w:p>
        </w:tc>
        <w:tc>
          <w:tcPr>
            <w:tcW w:w="2419" w:type="dxa"/>
            <w:tcBorders>
              <w:top w:val="nil"/>
              <w:left w:val="nil"/>
              <w:bottom w:val="nil"/>
              <w:right w:val="nil"/>
            </w:tcBorders>
            <w:shd w:val="clear" w:color="auto" w:fill="auto"/>
            <w:vAlign w:val="center"/>
            <w:hideMark/>
          </w:tcPr>
          <w:p w14:paraId="07EB2F91"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7</w:t>
            </w:r>
          </w:p>
        </w:tc>
        <w:tc>
          <w:tcPr>
            <w:tcW w:w="2418" w:type="dxa"/>
            <w:tcBorders>
              <w:top w:val="nil"/>
              <w:left w:val="nil"/>
              <w:bottom w:val="nil"/>
              <w:right w:val="nil"/>
            </w:tcBorders>
            <w:shd w:val="clear" w:color="auto" w:fill="auto"/>
            <w:vAlign w:val="center"/>
            <w:hideMark/>
          </w:tcPr>
          <w:p w14:paraId="648C845F"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6</w:t>
            </w:r>
          </w:p>
        </w:tc>
        <w:tc>
          <w:tcPr>
            <w:tcW w:w="2416" w:type="dxa"/>
            <w:tcBorders>
              <w:top w:val="nil"/>
              <w:left w:val="nil"/>
              <w:bottom w:val="nil"/>
              <w:right w:val="nil"/>
            </w:tcBorders>
            <w:shd w:val="clear" w:color="auto" w:fill="auto"/>
            <w:vAlign w:val="center"/>
            <w:hideMark/>
          </w:tcPr>
          <w:p w14:paraId="7DBF2146"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8</w:t>
            </w:r>
          </w:p>
        </w:tc>
        <w:tc>
          <w:tcPr>
            <w:tcW w:w="2418" w:type="dxa"/>
            <w:tcBorders>
              <w:top w:val="nil"/>
              <w:left w:val="nil"/>
              <w:bottom w:val="nil"/>
              <w:right w:val="nil"/>
            </w:tcBorders>
            <w:shd w:val="clear" w:color="auto" w:fill="auto"/>
            <w:vAlign w:val="center"/>
            <w:hideMark/>
          </w:tcPr>
          <w:p w14:paraId="286C88CC"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4</w:t>
            </w:r>
          </w:p>
        </w:tc>
        <w:tc>
          <w:tcPr>
            <w:tcW w:w="2412" w:type="dxa"/>
            <w:tcBorders>
              <w:top w:val="nil"/>
              <w:left w:val="nil"/>
              <w:bottom w:val="nil"/>
              <w:right w:val="nil"/>
            </w:tcBorders>
            <w:shd w:val="clear" w:color="auto" w:fill="auto"/>
            <w:vAlign w:val="center"/>
            <w:hideMark/>
          </w:tcPr>
          <w:p w14:paraId="66C8B214"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25</w:t>
            </w:r>
          </w:p>
        </w:tc>
      </w:tr>
      <w:tr w:rsidR="00A517A6" w:rsidRPr="00D566B8" w14:paraId="5274A682" w14:textId="77777777" w:rsidTr="009A444C">
        <w:trPr>
          <w:trHeight w:val="190"/>
        </w:trPr>
        <w:tc>
          <w:tcPr>
            <w:tcW w:w="2491" w:type="dxa"/>
            <w:tcBorders>
              <w:top w:val="nil"/>
              <w:left w:val="nil"/>
              <w:bottom w:val="nil"/>
              <w:right w:val="nil"/>
            </w:tcBorders>
            <w:shd w:val="clear" w:color="auto" w:fill="auto"/>
            <w:vAlign w:val="center"/>
            <w:hideMark/>
          </w:tcPr>
          <w:p w14:paraId="7AF76715" w14:textId="77777777" w:rsidR="00A517A6" w:rsidRPr="00D566B8" w:rsidRDefault="00A517A6" w:rsidP="009A444C">
            <w:pPr>
              <w:jc w:val="center"/>
              <w:rPr>
                <w:rFonts w:eastAsia="Times New Roman" w:cstheme="minorHAnsi"/>
                <w:b/>
                <w:bCs/>
                <w:color w:val="000000"/>
                <w:lang w:val="en-GB" w:eastAsia="hu-HU"/>
              </w:rPr>
            </w:pPr>
            <w:r w:rsidRPr="00D566B8">
              <w:rPr>
                <w:rFonts w:eastAsia="Times New Roman" w:cstheme="minorHAnsi"/>
                <w:b/>
                <w:bCs/>
                <w:color w:val="000000"/>
                <w:lang w:val="en-GB" w:eastAsia="hu-HU"/>
              </w:rPr>
              <w:t>Energy total</w:t>
            </w:r>
          </w:p>
        </w:tc>
        <w:tc>
          <w:tcPr>
            <w:tcW w:w="2419" w:type="dxa"/>
            <w:tcBorders>
              <w:top w:val="nil"/>
              <w:left w:val="nil"/>
              <w:bottom w:val="nil"/>
              <w:right w:val="nil"/>
            </w:tcBorders>
            <w:shd w:val="clear" w:color="auto" w:fill="auto"/>
            <w:vAlign w:val="center"/>
            <w:hideMark/>
          </w:tcPr>
          <w:p w14:paraId="003A9BB3"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37</w:t>
            </w:r>
          </w:p>
        </w:tc>
        <w:tc>
          <w:tcPr>
            <w:tcW w:w="2418" w:type="dxa"/>
            <w:tcBorders>
              <w:top w:val="nil"/>
              <w:left w:val="nil"/>
              <w:bottom w:val="nil"/>
              <w:right w:val="nil"/>
            </w:tcBorders>
            <w:shd w:val="clear" w:color="auto" w:fill="auto"/>
            <w:vAlign w:val="center"/>
            <w:hideMark/>
          </w:tcPr>
          <w:p w14:paraId="6373DA4C"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26</w:t>
            </w:r>
          </w:p>
        </w:tc>
        <w:tc>
          <w:tcPr>
            <w:tcW w:w="2416" w:type="dxa"/>
            <w:tcBorders>
              <w:top w:val="nil"/>
              <w:left w:val="nil"/>
              <w:bottom w:val="nil"/>
              <w:right w:val="nil"/>
            </w:tcBorders>
            <w:shd w:val="clear" w:color="auto" w:fill="auto"/>
            <w:vAlign w:val="center"/>
            <w:hideMark/>
          </w:tcPr>
          <w:p w14:paraId="6E8A7F42"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22</w:t>
            </w:r>
          </w:p>
        </w:tc>
        <w:tc>
          <w:tcPr>
            <w:tcW w:w="2418" w:type="dxa"/>
            <w:tcBorders>
              <w:top w:val="nil"/>
              <w:left w:val="nil"/>
              <w:bottom w:val="nil"/>
              <w:right w:val="nil"/>
            </w:tcBorders>
            <w:shd w:val="clear" w:color="auto" w:fill="auto"/>
            <w:vAlign w:val="center"/>
            <w:hideMark/>
          </w:tcPr>
          <w:p w14:paraId="5240F38C"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29</w:t>
            </w:r>
          </w:p>
        </w:tc>
        <w:tc>
          <w:tcPr>
            <w:tcW w:w="2412" w:type="dxa"/>
            <w:tcBorders>
              <w:top w:val="nil"/>
              <w:left w:val="nil"/>
              <w:bottom w:val="nil"/>
              <w:right w:val="nil"/>
            </w:tcBorders>
            <w:shd w:val="clear" w:color="auto" w:fill="auto"/>
            <w:vAlign w:val="center"/>
            <w:hideMark/>
          </w:tcPr>
          <w:p w14:paraId="20CC2358"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114</w:t>
            </w:r>
          </w:p>
        </w:tc>
      </w:tr>
      <w:tr w:rsidR="00A517A6" w:rsidRPr="00D566B8" w14:paraId="4C521794" w14:textId="77777777" w:rsidTr="009A444C">
        <w:trPr>
          <w:trHeight w:val="536"/>
        </w:trPr>
        <w:tc>
          <w:tcPr>
            <w:tcW w:w="2491" w:type="dxa"/>
            <w:tcBorders>
              <w:top w:val="nil"/>
              <w:left w:val="nil"/>
              <w:bottom w:val="nil"/>
              <w:right w:val="nil"/>
            </w:tcBorders>
            <w:shd w:val="clear" w:color="auto" w:fill="auto"/>
            <w:vAlign w:val="center"/>
            <w:hideMark/>
          </w:tcPr>
          <w:p w14:paraId="6024A443"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Higher education employees</w:t>
            </w:r>
          </w:p>
        </w:tc>
        <w:tc>
          <w:tcPr>
            <w:tcW w:w="2419" w:type="dxa"/>
            <w:tcBorders>
              <w:top w:val="nil"/>
              <w:left w:val="nil"/>
              <w:bottom w:val="nil"/>
              <w:right w:val="nil"/>
            </w:tcBorders>
            <w:shd w:val="clear" w:color="auto" w:fill="auto"/>
            <w:vAlign w:val="center"/>
            <w:hideMark/>
          </w:tcPr>
          <w:p w14:paraId="78BE92C6"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3</w:t>
            </w:r>
          </w:p>
        </w:tc>
        <w:tc>
          <w:tcPr>
            <w:tcW w:w="2418" w:type="dxa"/>
            <w:tcBorders>
              <w:top w:val="nil"/>
              <w:left w:val="nil"/>
              <w:bottom w:val="nil"/>
              <w:right w:val="nil"/>
            </w:tcBorders>
            <w:shd w:val="clear" w:color="auto" w:fill="auto"/>
            <w:vAlign w:val="center"/>
            <w:hideMark/>
          </w:tcPr>
          <w:p w14:paraId="4211C079"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3</w:t>
            </w:r>
          </w:p>
        </w:tc>
        <w:tc>
          <w:tcPr>
            <w:tcW w:w="2416" w:type="dxa"/>
            <w:tcBorders>
              <w:top w:val="nil"/>
              <w:left w:val="nil"/>
              <w:bottom w:val="nil"/>
              <w:right w:val="nil"/>
            </w:tcBorders>
            <w:shd w:val="clear" w:color="auto" w:fill="auto"/>
            <w:vAlign w:val="center"/>
            <w:hideMark/>
          </w:tcPr>
          <w:p w14:paraId="3E11B640"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3</w:t>
            </w:r>
          </w:p>
        </w:tc>
        <w:tc>
          <w:tcPr>
            <w:tcW w:w="2418" w:type="dxa"/>
            <w:tcBorders>
              <w:top w:val="nil"/>
              <w:left w:val="nil"/>
              <w:bottom w:val="nil"/>
              <w:right w:val="nil"/>
            </w:tcBorders>
            <w:shd w:val="clear" w:color="auto" w:fill="auto"/>
            <w:vAlign w:val="center"/>
            <w:hideMark/>
          </w:tcPr>
          <w:p w14:paraId="48899C5A"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w:t>
            </w:r>
          </w:p>
        </w:tc>
        <w:tc>
          <w:tcPr>
            <w:tcW w:w="2412" w:type="dxa"/>
            <w:tcBorders>
              <w:top w:val="nil"/>
              <w:left w:val="nil"/>
              <w:bottom w:val="nil"/>
              <w:right w:val="nil"/>
            </w:tcBorders>
            <w:shd w:val="clear" w:color="auto" w:fill="auto"/>
            <w:vAlign w:val="center"/>
            <w:hideMark/>
          </w:tcPr>
          <w:p w14:paraId="62400023"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14</w:t>
            </w:r>
          </w:p>
        </w:tc>
      </w:tr>
      <w:tr w:rsidR="00A517A6" w:rsidRPr="00D566B8" w14:paraId="27743B0E" w14:textId="77777777" w:rsidTr="009A444C">
        <w:trPr>
          <w:trHeight w:val="536"/>
        </w:trPr>
        <w:tc>
          <w:tcPr>
            <w:tcW w:w="2491" w:type="dxa"/>
            <w:tcBorders>
              <w:top w:val="nil"/>
              <w:left w:val="nil"/>
              <w:bottom w:val="nil"/>
              <w:right w:val="nil"/>
            </w:tcBorders>
            <w:shd w:val="clear" w:color="auto" w:fill="auto"/>
            <w:vAlign w:val="center"/>
            <w:hideMark/>
          </w:tcPr>
          <w:p w14:paraId="045F72F1"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Higher education scientific</w:t>
            </w:r>
          </w:p>
        </w:tc>
        <w:tc>
          <w:tcPr>
            <w:tcW w:w="2419" w:type="dxa"/>
            <w:tcBorders>
              <w:top w:val="nil"/>
              <w:left w:val="nil"/>
              <w:bottom w:val="nil"/>
              <w:right w:val="nil"/>
            </w:tcBorders>
            <w:shd w:val="clear" w:color="auto" w:fill="auto"/>
            <w:vAlign w:val="center"/>
            <w:hideMark/>
          </w:tcPr>
          <w:p w14:paraId="5CC949C9"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7</w:t>
            </w:r>
          </w:p>
        </w:tc>
        <w:tc>
          <w:tcPr>
            <w:tcW w:w="2418" w:type="dxa"/>
            <w:tcBorders>
              <w:top w:val="nil"/>
              <w:left w:val="nil"/>
              <w:bottom w:val="nil"/>
              <w:right w:val="nil"/>
            </w:tcBorders>
            <w:shd w:val="clear" w:color="auto" w:fill="auto"/>
            <w:vAlign w:val="center"/>
            <w:hideMark/>
          </w:tcPr>
          <w:p w14:paraId="312093BD"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12</w:t>
            </w:r>
          </w:p>
        </w:tc>
        <w:tc>
          <w:tcPr>
            <w:tcW w:w="2416" w:type="dxa"/>
            <w:tcBorders>
              <w:top w:val="nil"/>
              <w:left w:val="nil"/>
              <w:bottom w:val="nil"/>
              <w:right w:val="nil"/>
            </w:tcBorders>
            <w:shd w:val="clear" w:color="auto" w:fill="auto"/>
            <w:vAlign w:val="center"/>
            <w:hideMark/>
          </w:tcPr>
          <w:p w14:paraId="49D08CD5"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9</w:t>
            </w:r>
          </w:p>
        </w:tc>
        <w:tc>
          <w:tcPr>
            <w:tcW w:w="2418" w:type="dxa"/>
            <w:tcBorders>
              <w:top w:val="nil"/>
              <w:left w:val="nil"/>
              <w:bottom w:val="nil"/>
              <w:right w:val="nil"/>
            </w:tcBorders>
            <w:shd w:val="clear" w:color="auto" w:fill="auto"/>
            <w:vAlign w:val="center"/>
            <w:hideMark/>
          </w:tcPr>
          <w:p w14:paraId="60B792AE"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21</w:t>
            </w:r>
          </w:p>
        </w:tc>
        <w:tc>
          <w:tcPr>
            <w:tcW w:w="2412" w:type="dxa"/>
            <w:tcBorders>
              <w:top w:val="nil"/>
              <w:left w:val="nil"/>
              <w:bottom w:val="nil"/>
              <w:right w:val="nil"/>
            </w:tcBorders>
            <w:shd w:val="clear" w:color="auto" w:fill="auto"/>
            <w:vAlign w:val="center"/>
            <w:hideMark/>
          </w:tcPr>
          <w:p w14:paraId="7D830C1A"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49</w:t>
            </w:r>
          </w:p>
        </w:tc>
      </w:tr>
      <w:tr w:rsidR="00A517A6" w:rsidRPr="00D566B8" w14:paraId="10B96926" w14:textId="77777777" w:rsidTr="009A444C">
        <w:trPr>
          <w:trHeight w:val="536"/>
        </w:trPr>
        <w:tc>
          <w:tcPr>
            <w:tcW w:w="2491" w:type="dxa"/>
            <w:tcBorders>
              <w:top w:val="nil"/>
              <w:left w:val="nil"/>
              <w:bottom w:val="nil"/>
              <w:right w:val="nil"/>
            </w:tcBorders>
            <w:shd w:val="clear" w:color="auto" w:fill="auto"/>
            <w:vAlign w:val="center"/>
            <w:hideMark/>
          </w:tcPr>
          <w:p w14:paraId="310A5A6F"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Higher education institutional</w:t>
            </w:r>
          </w:p>
        </w:tc>
        <w:tc>
          <w:tcPr>
            <w:tcW w:w="2419" w:type="dxa"/>
            <w:tcBorders>
              <w:top w:val="nil"/>
              <w:left w:val="nil"/>
              <w:bottom w:val="nil"/>
              <w:right w:val="nil"/>
            </w:tcBorders>
            <w:shd w:val="clear" w:color="auto" w:fill="auto"/>
            <w:vAlign w:val="center"/>
            <w:hideMark/>
          </w:tcPr>
          <w:p w14:paraId="753C1FB3"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w:t>
            </w:r>
          </w:p>
        </w:tc>
        <w:tc>
          <w:tcPr>
            <w:tcW w:w="2418" w:type="dxa"/>
            <w:tcBorders>
              <w:top w:val="nil"/>
              <w:left w:val="nil"/>
              <w:bottom w:val="nil"/>
              <w:right w:val="nil"/>
            </w:tcBorders>
            <w:shd w:val="clear" w:color="auto" w:fill="auto"/>
            <w:vAlign w:val="center"/>
            <w:hideMark/>
          </w:tcPr>
          <w:p w14:paraId="1E990BE4"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w:t>
            </w:r>
          </w:p>
        </w:tc>
        <w:tc>
          <w:tcPr>
            <w:tcW w:w="2416" w:type="dxa"/>
            <w:tcBorders>
              <w:top w:val="nil"/>
              <w:left w:val="nil"/>
              <w:bottom w:val="nil"/>
              <w:right w:val="nil"/>
            </w:tcBorders>
            <w:shd w:val="clear" w:color="auto" w:fill="auto"/>
            <w:vAlign w:val="center"/>
            <w:hideMark/>
          </w:tcPr>
          <w:p w14:paraId="7069F906"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8</w:t>
            </w:r>
          </w:p>
        </w:tc>
        <w:tc>
          <w:tcPr>
            <w:tcW w:w="2418" w:type="dxa"/>
            <w:tcBorders>
              <w:top w:val="nil"/>
              <w:left w:val="nil"/>
              <w:bottom w:val="nil"/>
              <w:right w:val="nil"/>
            </w:tcBorders>
            <w:shd w:val="clear" w:color="auto" w:fill="auto"/>
            <w:vAlign w:val="center"/>
            <w:hideMark/>
          </w:tcPr>
          <w:p w14:paraId="2C835B29"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6</w:t>
            </w:r>
          </w:p>
        </w:tc>
        <w:tc>
          <w:tcPr>
            <w:tcW w:w="2412" w:type="dxa"/>
            <w:tcBorders>
              <w:top w:val="nil"/>
              <w:left w:val="nil"/>
              <w:bottom w:val="nil"/>
              <w:right w:val="nil"/>
            </w:tcBorders>
            <w:shd w:val="clear" w:color="auto" w:fill="auto"/>
            <w:vAlign w:val="center"/>
            <w:hideMark/>
          </w:tcPr>
          <w:p w14:paraId="464CF0A9"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17</w:t>
            </w:r>
          </w:p>
        </w:tc>
      </w:tr>
      <w:tr w:rsidR="00A517A6" w:rsidRPr="00D566B8" w14:paraId="45A6BE1A" w14:textId="77777777" w:rsidTr="009A444C">
        <w:trPr>
          <w:trHeight w:val="536"/>
        </w:trPr>
        <w:tc>
          <w:tcPr>
            <w:tcW w:w="2491" w:type="dxa"/>
            <w:tcBorders>
              <w:top w:val="nil"/>
              <w:left w:val="nil"/>
              <w:bottom w:val="nil"/>
              <w:right w:val="nil"/>
            </w:tcBorders>
            <w:shd w:val="clear" w:color="auto" w:fill="auto"/>
            <w:vAlign w:val="center"/>
            <w:hideMark/>
          </w:tcPr>
          <w:p w14:paraId="3403A3E8"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Higher education students</w:t>
            </w:r>
          </w:p>
        </w:tc>
        <w:tc>
          <w:tcPr>
            <w:tcW w:w="2419" w:type="dxa"/>
            <w:tcBorders>
              <w:top w:val="nil"/>
              <w:left w:val="nil"/>
              <w:bottom w:val="nil"/>
              <w:right w:val="nil"/>
            </w:tcBorders>
            <w:shd w:val="clear" w:color="auto" w:fill="auto"/>
            <w:vAlign w:val="center"/>
            <w:hideMark/>
          </w:tcPr>
          <w:p w14:paraId="0AB3D19A"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4</w:t>
            </w:r>
          </w:p>
        </w:tc>
        <w:tc>
          <w:tcPr>
            <w:tcW w:w="2418" w:type="dxa"/>
            <w:tcBorders>
              <w:top w:val="nil"/>
              <w:left w:val="nil"/>
              <w:bottom w:val="nil"/>
              <w:right w:val="nil"/>
            </w:tcBorders>
            <w:shd w:val="clear" w:color="auto" w:fill="auto"/>
            <w:vAlign w:val="center"/>
            <w:hideMark/>
          </w:tcPr>
          <w:p w14:paraId="2F7CBE03"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w:t>
            </w:r>
          </w:p>
        </w:tc>
        <w:tc>
          <w:tcPr>
            <w:tcW w:w="2416" w:type="dxa"/>
            <w:tcBorders>
              <w:top w:val="nil"/>
              <w:left w:val="nil"/>
              <w:bottom w:val="nil"/>
              <w:right w:val="nil"/>
            </w:tcBorders>
            <w:shd w:val="clear" w:color="auto" w:fill="auto"/>
            <w:vAlign w:val="center"/>
            <w:hideMark/>
          </w:tcPr>
          <w:p w14:paraId="5F92545A"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w:t>
            </w:r>
          </w:p>
        </w:tc>
        <w:tc>
          <w:tcPr>
            <w:tcW w:w="2418" w:type="dxa"/>
            <w:tcBorders>
              <w:top w:val="nil"/>
              <w:left w:val="nil"/>
              <w:bottom w:val="nil"/>
              <w:right w:val="nil"/>
            </w:tcBorders>
            <w:shd w:val="clear" w:color="auto" w:fill="auto"/>
            <w:vAlign w:val="center"/>
            <w:hideMark/>
          </w:tcPr>
          <w:p w14:paraId="0BBAE3AE"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w:t>
            </w:r>
          </w:p>
        </w:tc>
        <w:tc>
          <w:tcPr>
            <w:tcW w:w="2412" w:type="dxa"/>
            <w:tcBorders>
              <w:top w:val="nil"/>
              <w:left w:val="nil"/>
              <w:bottom w:val="nil"/>
              <w:right w:val="nil"/>
            </w:tcBorders>
            <w:shd w:val="clear" w:color="auto" w:fill="auto"/>
            <w:vAlign w:val="center"/>
            <w:hideMark/>
          </w:tcPr>
          <w:p w14:paraId="1BBD3BAB"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16</w:t>
            </w:r>
          </w:p>
        </w:tc>
      </w:tr>
      <w:tr w:rsidR="00A517A6" w:rsidRPr="00D566B8" w14:paraId="3C849363" w14:textId="77777777" w:rsidTr="009A444C">
        <w:trPr>
          <w:trHeight w:val="536"/>
        </w:trPr>
        <w:tc>
          <w:tcPr>
            <w:tcW w:w="2491" w:type="dxa"/>
            <w:tcBorders>
              <w:top w:val="nil"/>
              <w:left w:val="nil"/>
              <w:bottom w:val="nil"/>
              <w:right w:val="nil"/>
            </w:tcBorders>
            <w:shd w:val="clear" w:color="auto" w:fill="auto"/>
            <w:vAlign w:val="center"/>
            <w:hideMark/>
          </w:tcPr>
          <w:p w14:paraId="28D7C104" w14:textId="77777777" w:rsidR="00A517A6" w:rsidRPr="00D566B8" w:rsidRDefault="00A517A6" w:rsidP="009A444C">
            <w:pPr>
              <w:jc w:val="center"/>
              <w:rPr>
                <w:rFonts w:eastAsia="Times New Roman" w:cstheme="minorHAnsi"/>
                <w:b/>
                <w:bCs/>
                <w:color w:val="000000"/>
                <w:lang w:val="en-GB" w:eastAsia="hu-HU"/>
              </w:rPr>
            </w:pPr>
            <w:r w:rsidRPr="00D566B8">
              <w:rPr>
                <w:rFonts w:eastAsia="Times New Roman" w:cstheme="minorHAnsi"/>
                <w:b/>
                <w:bCs/>
                <w:color w:val="000000"/>
                <w:lang w:val="en-GB" w:eastAsia="hu-HU"/>
              </w:rPr>
              <w:t>Higher education total</w:t>
            </w:r>
          </w:p>
        </w:tc>
        <w:tc>
          <w:tcPr>
            <w:tcW w:w="2419" w:type="dxa"/>
            <w:tcBorders>
              <w:top w:val="nil"/>
              <w:left w:val="nil"/>
              <w:bottom w:val="nil"/>
              <w:right w:val="nil"/>
            </w:tcBorders>
            <w:shd w:val="clear" w:color="auto" w:fill="auto"/>
            <w:vAlign w:val="center"/>
            <w:hideMark/>
          </w:tcPr>
          <w:p w14:paraId="78147A8F"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16</w:t>
            </w:r>
          </w:p>
        </w:tc>
        <w:tc>
          <w:tcPr>
            <w:tcW w:w="2418" w:type="dxa"/>
            <w:tcBorders>
              <w:top w:val="nil"/>
              <w:left w:val="nil"/>
              <w:bottom w:val="nil"/>
              <w:right w:val="nil"/>
            </w:tcBorders>
            <w:shd w:val="clear" w:color="auto" w:fill="auto"/>
            <w:vAlign w:val="center"/>
            <w:hideMark/>
          </w:tcPr>
          <w:p w14:paraId="44AEC46C"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18</w:t>
            </w:r>
          </w:p>
        </w:tc>
        <w:tc>
          <w:tcPr>
            <w:tcW w:w="2416" w:type="dxa"/>
            <w:tcBorders>
              <w:top w:val="nil"/>
              <w:left w:val="nil"/>
              <w:bottom w:val="nil"/>
              <w:right w:val="nil"/>
            </w:tcBorders>
            <w:shd w:val="clear" w:color="auto" w:fill="auto"/>
            <w:vAlign w:val="center"/>
            <w:hideMark/>
          </w:tcPr>
          <w:p w14:paraId="7FB24277"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25</w:t>
            </w:r>
          </w:p>
        </w:tc>
        <w:tc>
          <w:tcPr>
            <w:tcW w:w="2418" w:type="dxa"/>
            <w:tcBorders>
              <w:top w:val="nil"/>
              <w:left w:val="nil"/>
              <w:bottom w:val="nil"/>
              <w:right w:val="nil"/>
            </w:tcBorders>
            <w:shd w:val="clear" w:color="auto" w:fill="auto"/>
            <w:vAlign w:val="center"/>
            <w:hideMark/>
          </w:tcPr>
          <w:p w14:paraId="74ACCA43"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37</w:t>
            </w:r>
          </w:p>
        </w:tc>
        <w:tc>
          <w:tcPr>
            <w:tcW w:w="2412" w:type="dxa"/>
            <w:tcBorders>
              <w:top w:val="nil"/>
              <w:left w:val="nil"/>
              <w:bottom w:val="nil"/>
              <w:right w:val="nil"/>
            </w:tcBorders>
            <w:shd w:val="clear" w:color="auto" w:fill="auto"/>
            <w:vAlign w:val="center"/>
            <w:hideMark/>
          </w:tcPr>
          <w:p w14:paraId="23D85012"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96</w:t>
            </w:r>
          </w:p>
        </w:tc>
      </w:tr>
      <w:tr w:rsidR="00A517A6" w:rsidRPr="00D566B8" w14:paraId="4AAC59E3" w14:textId="77777777" w:rsidTr="009A444C">
        <w:trPr>
          <w:trHeight w:val="357"/>
        </w:trPr>
        <w:tc>
          <w:tcPr>
            <w:tcW w:w="2491" w:type="dxa"/>
            <w:tcBorders>
              <w:top w:val="nil"/>
              <w:left w:val="nil"/>
              <w:bottom w:val="nil"/>
              <w:right w:val="nil"/>
            </w:tcBorders>
            <w:shd w:val="clear" w:color="auto" w:fill="auto"/>
            <w:vAlign w:val="center"/>
            <w:hideMark/>
          </w:tcPr>
          <w:p w14:paraId="4517166E"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Healthcare institutional</w:t>
            </w:r>
          </w:p>
        </w:tc>
        <w:tc>
          <w:tcPr>
            <w:tcW w:w="2419" w:type="dxa"/>
            <w:tcBorders>
              <w:top w:val="nil"/>
              <w:left w:val="nil"/>
              <w:bottom w:val="nil"/>
              <w:right w:val="nil"/>
            </w:tcBorders>
            <w:shd w:val="clear" w:color="auto" w:fill="auto"/>
            <w:vAlign w:val="center"/>
            <w:hideMark/>
          </w:tcPr>
          <w:p w14:paraId="21C44F28"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w:t>
            </w:r>
          </w:p>
        </w:tc>
        <w:tc>
          <w:tcPr>
            <w:tcW w:w="2418" w:type="dxa"/>
            <w:tcBorders>
              <w:top w:val="nil"/>
              <w:left w:val="nil"/>
              <w:bottom w:val="nil"/>
              <w:right w:val="nil"/>
            </w:tcBorders>
            <w:shd w:val="clear" w:color="auto" w:fill="auto"/>
            <w:vAlign w:val="center"/>
            <w:hideMark/>
          </w:tcPr>
          <w:p w14:paraId="031D792B"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4</w:t>
            </w:r>
          </w:p>
        </w:tc>
        <w:tc>
          <w:tcPr>
            <w:tcW w:w="2416" w:type="dxa"/>
            <w:tcBorders>
              <w:top w:val="nil"/>
              <w:left w:val="nil"/>
              <w:bottom w:val="nil"/>
              <w:right w:val="nil"/>
            </w:tcBorders>
            <w:shd w:val="clear" w:color="auto" w:fill="auto"/>
            <w:vAlign w:val="center"/>
            <w:hideMark/>
          </w:tcPr>
          <w:p w14:paraId="1CBE0C9D"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w:t>
            </w:r>
          </w:p>
        </w:tc>
        <w:tc>
          <w:tcPr>
            <w:tcW w:w="2418" w:type="dxa"/>
            <w:tcBorders>
              <w:top w:val="nil"/>
              <w:left w:val="nil"/>
              <w:bottom w:val="nil"/>
              <w:right w:val="nil"/>
            </w:tcBorders>
            <w:shd w:val="clear" w:color="auto" w:fill="auto"/>
            <w:vAlign w:val="center"/>
            <w:hideMark/>
          </w:tcPr>
          <w:p w14:paraId="41F69A09"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w:t>
            </w:r>
          </w:p>
        </w:tc>
        <w:tc>
          <w:tcPr>
            <w:tcW w:w="2412" w:type="dxa"/>
            <w:tcBorders>
              <w:top w:val="nil"/>
              <w:left w:val="nil"/>
              <w:bottom w:val="nil"/>
              <w:right w:val="nil"/>
            </w:tcBorders>
            <w:shd w:val="clear" w:color="auto" w:fill="auto"/>
            <w:vAlign w:val="center"/>
            <w:hideMark/>
          </w:tcPr>
          <w:p w14:paraId="2C802230"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16</w:t>
            </w:r>
          </w:p>
        </w:tc>
      </w:tr>
      <w:tr w:rsidR="00A517A6" w:rsidRPr="00D566B8" w14:paraId="1E8C78BD" w14:textId="77777777" w:rsidTr="009A444C">
        <w:trPr>
          <w:trHeight w:val="536"/>
        </w:trPr>
        <w:tc>
          <w:tcPr>
            <w:tcW w:w="2491" w:type="dxa"/>
            <w:tcBorders>
              <w:top w:val="nil"/>
              <w:left w:val="nil"/>
              <w:bottom w:val="nil"/>
              <w:right w:val="nil"/>
            </w:tcBorders>
            <w:shd w:val="clear" w:color="auto" w:fill="auto"/>
            <w:vAlign w:val="center"/>
            <w:hideMark/>
          </w:tcPr>
          <w:p w14:paraId="51013A1F"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Healthcare non-medical employees</w:t>
            </w:r>
          </w:p>
        </w:tc>
        <w:tc>
          <w:tcPr>
            <w:tcW w:w="2419" w:type="dxa"/>
            <w:tcBorders>
              <w:top w:val="nil"/>
              <w:left w:val="nil"/>
              <w:bottom w:val="nil"/>
              <w:right w:val="nil"/>
            </w:tcBorders>
            <w:shd w:val="clear" w:color="auto" w:fill="auto"/>
            <w:vAlign w:val="center"/>
            <w:hideMark/>
          </w:tcPr>
          <w:p w14:paraId="371F9D3D"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w:t>
            </w:r>
          </w:p>
        </w:tc>
        <w:tc>
          <w:tcPr>
            <w:tcW w:w="2418" w:type="dxa"/>
            <w:tcBorders>
              <w:top w:val="nil"/>
              <w:left w:val="nil"/>
              <w:bottom w:val="nil"/>
              <w:right w:val="nil"/>
            </w:tcBorders>
            <w:shd w:val="clear" w:color="auto" w:fill="auto"/>
            <w:vAlign w:val="center"/>
            <w:hideMark/>
          </w:tcPr>
          <w:p w14:paraId="52E00F2A"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3</w:t>
            </w:r>
          </w:p>
        </w:tc>
        <w:tc>
          <w:tcPr>
            <w:tcW w:w="2416" w:type="dxa"/>
            <w:tcBorders>
              <w:top w:val="nil"/>
              <w:left w:val="nil"/>
              <w:bottom w:val="nil"/>
              <w:right w:val="nil"/>
            </w:tcBorders>
            <w:shd w:val="clear" w:color="auto" w:fill="auto"/>
            <w:vAlign w:val="center"/>
            <w:hideMark/>
          </w:tcPr>
          <w:p w14:paraId="78B2AE92"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0</w:t>
            </w:r>
          </w:p>
        </w:tc>
        <w:tc>
          <w:tcPr>
            <w:tcW w:w="2418" w:type="dxa"/>
            <w:tcBorders>
              <w:top w:val="nil"/>
              <w:left w:val="nil"/>
              <w:bottom w:val="nil"/>
              <w:right w:val="nil"/>
            </w:tcBorders>
            <w:shd w:val="clear" w:color="auto" w:fill="auto"/>
            <w:vAlign w:val="center"/>
            <w:hideMark/>
          </w:tcPr>
          <w:p w14:paraId="79E021F4"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w:t>
            </w:r>
          </w:p>
        </w:tc>
        <w:tc>
          <w:tcPr>
            <w:tcW w:w="2412" w:type="dxa"/>
            <w:tcBorders>
              <w:top w:val="nil"/>
              <w:left w:val="nil"/>
              <w:bottom w:val="nil"/>
              <w:right w:val="nil"/>
            </w:tcBorders>
            <w:shd w:val="clear" w:color="auto" w:fill="auto"/>
            <w:vAlign w:val="center"/>
            <w:hideMark/>
          </w:tcPr>
          <w:p w14:paraId="268384DA"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13</w:t>
            </w:r>
          </w:p>
        </w:tc>
      </w:tr>
      <w:tr w:rsidR="00A517A6" w:rsidRPr="00D566B8" w14:paraId="7E16EE31" w14:textId="77777777" w:rsidTr="009A444C">
        <w:trPr>
          <w:trHeight w:val="536"/>
        </w:trPr>
        <w:tc>
          <w:tcPr>
            <w:tcW w:w="2491" w:type="dxa"/>
            <w:tcBorders>
              <w:top w:val="nil"/>
              <w:left w:val="nil"/>
              <w:bottom w:val="nil"/>
              <w:right w:val="nil"/>
            </w:tcBorders>
            <w:shd w:val="clear" w:color="auto" w:fill="auto"/>
            <w:vAlign w:val="center"/>
            <w:hideMark/>
          </w:tcPr>
          <w:p w14:paraId="0E00A076"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Healthcare medical employees</w:t>
            </w:r>
          </w:p>
        </w:tc>
        <w:tc>
          <w:tcPr>
            <w:tcW w:w="2419" w:type="dxa"/>
            <w:tcBorders>
              <w:top w:val="nil"/>
              <w:left w:val="nil"/>
              <w:bottom w:val="nil"/>
              <w:right w:val="nil"/>
            </w:tcBorders>
            <w:shd w:val="clear" w:color="auto" w:fill="auto"/>
            <w:vAlign w:val="center"/>
            <w:hideMark/>
          </w:tcPr>
          <w:p w14:paraId="49189261"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13</w:t>
            </w:r>
          </w:p>
        </w:tc>
        <w:tc>
          <w:tcPr>
            <w:tcW w:w="2418" w:type="dxa"/>
            <w:tcBorders>
              <w:top w:val="nil"/>
              <w:left w:val="nil"/>
              <w:bottom w:val="nil"/>
              <w:right w:val="nil"/>
            </w:tcBorders>
            <w:shd w:val="clear" w:color="auto" w:fill="auto"/>
            <w:vAlign w:val="center"/>
            <w:hideMark/>
          </w:tcPr>
          <w:p w14:paraId="4EB45FF7"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25</w:t>
            </w:r>
          </w:p>
        </w:tc>
        <w:tc>
          <w:tcPr>
            <w:tcW w:w="2416" w:type="dxa"/>
            <w:tcBorders>
              <w:top w:val="nil"/>
              <w:left w:val="nil"/>
              <w:bottom w:val="nil"/>
              <w:right w:val="nil"/>
            </w:tcBorders>
            <w:shd w:val="clear" w:color="auto" w:fill="auto"/>
            <w:vAlign w:val="center"/>
            <w:hideMark/>
          </w:tcPr>
          <w:p w14:paraId="78D26091"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12</w:t>
            </w:r>
          </w:p>
        </w:tc>
        <w:tc>
          <w:tcPr>
            <w:tcW w:w="2418" w:type="dxa"/>
            <w:tcBorders>
              <w:top w:val="nil"/>
              <w:left w:val="nil"/>
              <w:bottom w:val="nil"/>
              <w:right w:val="nil"/>
            </w:tcBorders>
            <w:shd w:val="clear" w:color="auto" w:fill="auto"/>
            <w:vAlign w:val="center"/>
            <w:hideMark/>
          </w:tcPr>
          <w:p w14:paraId="39CF92B6"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9</w:t>
            </w:r>
          </w:p>
        </w:tc>
        <w:tc>
          <w:tcPr>
            <w:tcW w:w="2412" w:type="dxa"/>
            <w:tcBorders>
              <w:top w:val="nil"/>
              <w:left w:val="nil"/>
              <w:bottom w:val="nil"/>
              <w:right w:val="nil"/>
            </w:tcBorders>
            <w:shd w:val="clear" w:color="auto" w:fill="auto"/>
            <w:vAlign w:val="center"/>
            <w:hideMark/>
          </w:tcPr>
          <w:p w14:paraId="6B3C29A7"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59</w:t>
            </w:r>
          </w:p>
        </w:tc>
      </w:tr>
      <w:tr w:rsidR="00A517A6" w:rsidRPr="00D566B8" w14:paraId="4729ABF0" w14:textId="77777777" w:rsidTr="009A444C">
        <w:trPr>
          <w:trHeight w:val="357"/>
        </w:trPr>
        <w:tc>
          <w:tcPr>
            <w:tcW w:w="2491" w:type="dxa"/>
            <w:tcBorders>
              <w:top w:val="nil"/>
              <w:left w:val="nil"/>
              <w:bottom w:val="nil"/>
              <w:right w:val="nil"/>
            </w:tcBorders>
            <w:shd w:val="clear" w:color="auto" w:fill="auto"/>
            <w:vAlign w:val="center"/>
            <w:hideMark/>
          </w:tcPr>
          <w:p w14:paraId="50BCB7D3"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Healthcare patients</w:t>
            </w:r>
          </w:p>
        </w:tc>
        <w:tc>
          <w:tcPr>
            <w:tcW w:w="2419" w:type="dxa"/>
            <w:tcBorders>
              <w:top w:val="nil"/>
              <w:left w:val="nil"/>
              <w:bottom w:val="nil"/>
              <w:right w:val="nil"/>
            </w:tcBorders>
            <w:shd w:val="clear" w:color="auto" w:fill="auto"/>
            <w:vAlign w:val="center"/>
            <w:hideMark/>
          </w:tcPr>
          <w:p w14:paraId="72E4F463"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44</w:t>
            </w:r>
          </w:p>
        </w:tc>
        <w:tc>
          <w:tcPr>
            <w:tcW w:w="2418" w:type="dxa"/>
            <w:tcBorders>
              <w:top w:val="nil"/>
              <w:left w:val="nil"/>
              <w:bottom w:val="nil"/>
              <w:right w:val="nil"/>
            </w:tcBorders>
            <w:shd w:val="clear" w:color="auto" w:fill="auto"/>
            <w:vAlign w:val="center"/>
            <w:hideMark/>
          </w:tcPr>
          <w:p w14:paraId="548078E4"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17</w:t>
            </w:r>
          </w:p>
        </w:tc>
        <w:tc>
          <w:tcPr>
            <w:tcW w:w="2416" w:type="dxa"/>
            <w:tcBorders>
              <w:top w:val="nil"/>
              <w:left w:val="nil"/>
              <w:bottom w:val="nil"/>
              <w:right w:val="nil"/>
            </w:tcBorders>
            <w:shd w:val="clear" w:color="auto" w:fill="auto"/>
            <w:vAlign w:val="center"/>
            <w:hideMark/>
          </w:tcPr>
          <w:p w14:paraId="5FAAB7A4"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25</w:t>
            </w:r>
          </w:p>
        </w:tc>
        <w:tc>
          <w:tcPr>
            <w:tcW w:w="2418" w:type="dxa"/>
            <w:tcBorders>
              <w:top w:val="nil"/>
              <w:left w:val="nil"/>
              <w:bottom w:val="nil"/>
              <w:right w:val="nil"/>
            </w:tcBorders>
            <w:shd w:val="clear" w:color="auto" w:fill="auto"/>
            <w:vAlign w:val="center"/>
            <w:hideMark/>
          </w:tcPr>
          <w:p w14:paraId="3353EF3D"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28</w:t>
            </w:r>
          </w:p>
        </w:tc>
        <w:tc>
          <w:tcPr>
            <w:tcW w:w="2412" w:type="dxa"/>
            <w:tcBorders>
              <w:top w:val="nil"/>
              <w:left w:val="nil"/>
              <w:bottom w:val="nil"/>
              <w:right w:val="nil"/>
            </w:tcBorders>
            <w:shd w:val="clear" w:color="auto" w:fill="auto"/>
            <w:vAlign w:val="center"/>
            <w:hideMark/>
          </w:tcPr>
          <w:p w14:paraId="360DB6C6"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114</w:t>
            </w:r>
          </w:p>
        </w:tc>
      </w:tr>
      <w:tr w:rsidR="00A517A6" w:rsidRPr="00D566B8" w14:paraId="725D5876" w14:textId="77777777" w:rsidTr="009A444C">
        <w:trPr>
          <w:trHeight w:val="357"/>
        </w:trPr>
        <w:tc>
          <w:tcPr>
            <w:tcW w:w="2491" w:type="dxa"/>
            <w:tcBorders>
              <w:top w:val="nil"/>
              <w:left w:val="nil"/>
              <w:bottom w:val="nil"/>
              <w:right w:val="nil"/>
            </w:tcBorders>
            <w:shd w:val="clear" w:color="auto" w:fill="auto"/>
            <w:vAlign w:val="center"/>
            <w:hideMark/>
          </w:tcPr>
          <w:p w14:paraId="24B5E025"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Healthcare business</w:t>
            </w:r>
          </w:p>
        </w:tc>
        <w:tc>
          <w:tcPr>
            <w:tcW w:w="2419" w:type="dxa"/>
            <w:tcBorders>
              <w:top w:val="nil"/>
              <w:left w:val="nil"/>
              <w:bottom w:val="nil"/>
              <w:right w:val="nil"/>
            </w:tcBorders>
            <w:shd w:val="clear" w:color="auto" w:fill="auto"/>
            <w:vAlign w:val="center"/>
            <w:hideMark/>
          </w:tcPr>
          <w:p w14:paraId="7064A9A1"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4</w:t>
            </w:r>
          </w:p>
        </w:tc>
        <w:tc>
          <w:tcPr>
            <w:tcW w:w="2418" w:type="dxa"/>
            <w:tcBorders>
              <w:top w:val="nil"/>
              <w:left w:val="nil"/>
              <w:bottom w:val="nil"/>
              <w:right w:val="nil"/>
            </w:tcBorders>
            <w:shd w:val="clear" w:color="auto" w:fill="auto"/>
            <w:vAlign w:val="center"/>
            <w:hideMark/>
          </w:tcPr>
          <w:p w14:paraId="60CC7C8C"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4</w:t>
            </w:r>
          </w:p>
        </w:tc>
        <w:tc>
          <w:tcPr>
            <w:tcW w:w="2416" w:type="dxa"/>
            <w:tcBorders>
              <w:top w:val="nil"/>
              <w:left w:val="nil"/>
              <w:bottom w:val="nil"/>
              <w:right w:val="nil"/>
            </w:tcBorders>
            <w:shd w:val="clear" w:color="auto" w:fill="auto"/>
            <w:vAlign w:val="center"/>
            <w:hideMark/>
          </w:tcPr>
          <w:p w14:paraId="1FD2F8D4"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4</w:t>
            </w:r>
          </w:p>
        </w:tc>
        <w:tc>
          <w:tcPr>
            <w:tcW w:w="2418" w:type="dxa"/>
            <w:tcBorders>
              <w:top w:val="nil"/>
              <w:left w:val="nil"/>
              <w:bottom w:val="nil"/>
              <w:right w:val="nil"/>
            </w:tcBorders>
            <w:shd w:val="clear" w:color="auto" w:fill="auto"/>
            <w:vAlign w:val="center"/>
            <w:hideMark/>
          </w:tcPr>
          <w:p w14:paraId="7BA09B0E"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3</w:t>
            </w:r>
          </w:p>
        </w:tc>
        <w:tc>
          <w:tcPr>
            <w:tcW w:w="2412" w:type="dxa"/>
            <w:tcBorders>
              <w:top w:val="nil"/>
              <w:left w:val="nil"/>
              <w:bottom w:val="nil"/>
              <w:right w:val="nil"/>
            </w:tcBorders>
            <w:shd w:val="clear" w:color="auto" w:fill="auto"/>
            <w:vAlign w:val="center"/>
            <w:hideMark/>
          </w:tcPr>
          <w:p w14:paraId="5B695136"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15</w:t>
            </w:r>
          </w:p>
        </w:tc>
      </w:tr>
      <w:tr w:rsidR="00A517A6" w:rsidRPr="00D566B8" w14:paraId="13A9B238" w14:textId="77777777" w:rsidTr="009A444C">
        <w:trPr>
          <w:trHeight w:val="357"/>
        </w:trPr>
        <w:tc>
          <w:tcPr>
            <w:tcW w:w="2491" w:type="dxa"/>
            <w:tcBorders>
              <w:top w:val="nil"/>
              <w:left w:val="nil"/>
              <w:right w:val="nil"/>
            </w:tcBorders>
            <w:shd w:val="clear" w:color="auto" w:fill="auto"/>
            <w:vAlign w:val="center"/>
            <w:hideMark/>
          </w:tcPr>
          <w:p w14:paraId="02178A87"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Healthcare total</w:t>
            </w:r>
          </w:p>
        </w:tc>
        <w:tc>
          <w:tcPr>
            <w:tcW w:w="2419" w:type="dxa"/>
            <w:tcBorders>
              <w:top w:val="nil"/>
              <w:left w:val="nil"/>
              <w:right w:val="nil"/>
            </w:tcBorders>
            <w:shd w:val="clear" w:color="auto" w:fill="auto"/>
            <w:vAlign w:val="center"/>
            <w:hideMark/>
          </w:tcPr>
          <w:p w14:paraId="5C2A00A2"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68</w:t>
            </w:r>
          </w:p>
        </w:tc>
        <w:tc>
          <w:tcPr>
            <w:tcW w:w="2418" w:type="dxa"/>
            <w:tcBorders>
              <w:top w:val="nil"/>
              <w:left w:val="nil"/>
              <w:right w:val="nil"/>
            </w:tcBorders>
            <w:shd w:val="clear" w:color="auto" w:fill="auto"/>
            <w:vAlign w:val="center"/>
            <w:hideMark/>
          </w:tcPr>
          <w:p w14:paraId="52672B68"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53</w:t>
            </w:r>
          </w:p>
        </w:tc>
        <w:tc>
          <w:tcPr>
            <w:tcW w:w="2416" w:type="dxa"/>
            <w:tcBorders>
              <w:top w:val="nil"/>
              <w:left w:val="nil"/>
              <w:right w:val="nil"/>
            </w:tcBorders>
            <w:shd w:val="clear" w:color="auto" w:fill="auto"/>
            <w:vAlign w:val="center"/>
            <w:hideMark/>
          </w:tcPr>
          <w:p w14:paraId="5AF91C7B"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46</w:t>
            </w:r>
          </w:p>
        </w:tc>
        <w:tc>
          <w:tcPr>
            <w:tcW w:w="2418" w:type="dxa"/>
            <w:tcBorders>
              <w:top w:val="nil"/>
              <w:left w:val="nil"/>
              <w:right w:val="nil"/>
            </w:tcBorders>
            <w:shd w:val="clear" w:color="auto" w:fill="auto"/>
            <w:vAlign w:val="center"/>
            <w:hideMark/>
          </w:tcPr>
          <w:p w14:paraId="21C68383"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50</w:t>
            </w:r>
          </w:p>
        </w:tc>
        <w:tc>
          <w:tcPr>
            <w:tcW w:w="2412" w:type="dxa"/>
            <w:tcBorders>
              <w:top w:val="nil"/>
              <w:left w:val="nil"/>
              <w:right w:val="nil"/>
            </w:tcBorders>
            <w:shd w:val="clear" w:color="auto" w:fill="auto"/>
            <w:vAlign w:val="center"/>
            <w:hideMark/>
          </w:tcPr>
          <w:p w14:paraId="57AFF07C"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217</w:t>
            </w:r>
          </w:p>
        </w:tc>
      </w:tr>
      <w:tr w:rsidR="00A517A6" w:rsidRPr="00D566B8" w14:paraId="47CF608E" w14:textId="77777777" w:rsidTr="009A444C">
        <w:trPr>
          <w:trHeight w:val="65"/>
        </w:trPr>
        <w:tc>
          <w:tcPr>
            <w:tcW w:w="2491" w:type="dxa"/>
            <w:tcBorders>
              <w:top w:val="nil"/>
              <w:left w:val="nil"/>
              <w:bottom w:val="single" w:sz="8" w:space="0" w:color="A5A5A5"/>
              <w:right w:val="nil"/>
            </w:tcBorders>
            <w:shd w:val="clear" w:color="auto" w:fill="auto"/>
            <w:vAlign w:val="center"/>
            <w:hideMark/>
          </w:tcPr>
          <w:p w14:paraId="7026DAC5" w14:textId="77777777" w:rsidR="00A517A6" w:rsidRPr="00D566B8" w:rsidRDefault="00A517A6" w:rsidP="009A444C">
            <w:pPr>
              <w:jc w:val="center"/>
              <w:rPr>
                <w:rFonts w:eastAsia="Times New Roman" w:cstheme="minorHAnsi"/>
                <w:b/>
                <w:bCs/>
                <w:color w:val="000000"/>
                <w:lang w:val="en-GB" w:eastAsia="hu-HU"/>
              </w:rPr>
            </w:pPr>
            <w:r w:rsidRPr="00D566B8">
              <w:rPr>
                <w:rFonts w:eastAsia="Times New Roman" w:cstheme="minorHAnsi"/>
                <w:b/>
                <w:bCs/>
                <w:color w:val="000000"/>
                <w:lang w:val="en-GB" w:eastAsia="hu-HU"/>
              </w:rPr>
              <w:t>Sample total</w:t>
            </w:r>
          </w:p>
        </w:tc>
        <w:tc>
          <w:tcPr>
            <w:tcW w:w="2419" w:type="dxa"/>
            <w:tcBorders>
              <w:top w:val="nil"/>
              <w:left w:val="nil"/>
              <w:bottom w:val="single" w:sz="8" w:space="0" w:color="A5A5A5"/>
              <w:right w:val="nil"/>
            </w:tcBorders>
            <w:shd w:val="clear" w:color="auto" w:fill="auto"/>
            <w:vAlign w:val="center"/>
            <w:hideMark/>
          </w:tcPr>
          <w:p w14:paraId="1DA39BE6"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121</w:t>
            </w:r>
          </w:p>
        </w:tc>
        <w:tc>
          <w:tcPr>
            <w:tcW w:w="2418" w:type="dxa"/>
            <w:tcBorders>
              <w:top w:val="nil"/>
              <w:left w:val="nil"/>
              <w:bottom w:val="single" w:sz="8" w:space="0" w:color="A5A5A5"/>
              <w:right w:val="nil"/>
            </w:tcBorders>
            <w:shd w:val="clear" w:color="auto" w:fill="auto"/>
            <w:vAlign w:val="center"/>
            <w:hideMark/>
          </w:tcPr>
          <w:p w14:paraId="28A0826D"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97</w:t>
            </w:r>
          </w:p>
        </w:tc>
        <w:tc>
          <w:tcPr>
            <w:tcW w:w="2416" w:type="dxa"/>
            <w:tcBorders>
              <w:top w:val="nil"/>
              <w:left w:val="nil"/>
              <w:bottom w:val="single" w:sz="8" w:space="0" w:color="A5A5A5"/>
              <w:right w:val="nil"/>
            </w:tcBorders>
            <w:shd w:val="clear" w:color="auto" w:fill="auto"/>
            <w:vAlign w:val="center"/>
            <w:hideMark/>
          </w:tcPr>
          <w:p w14:paraId="30B84818"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93</w:t>
            </w:r>
          </w:p>
        </w:tc>
        <w:tc>
          <w:tcPr>
            <w:tcW w:w="2418" w:type="dxa"/>
            <w:tcBorders>
              <w:top w:val="nil"/>
              <w:left w:val="nil"/>
              <w:bottom w:val="single" w:sz="8" w:space="0" w:color="A5A5A5"/>
              <w:right w:val="nil"/>
            </w:tcBorders>
            <w:shd w:val="clear" w:color="auto" w:fill="auto"/>
            <w:vAlign w:val="center"/>
            <w:hideMark/>
          </w:tcPr>
          <w:p w14:paraId="28B298E9"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116</w:t>
            </w:r>
          </w:p>
        </w:tc>
        <w:tc>
          <w:tcPr>
            <w:tcW w:w="2412" w:type="dxa"/>
            <w:tcBorders>
              <w:top w:val="nil"/>
              <w:left w:val="nil"/>
              <w:bottom w:val="single" w:sz="8" w:space="0" w:color="A5A5A5"/>
              <w:right w:val="nil"/>
            </w:tcBorders>
            <w:shd w:val="clear" w:color="auto" w:fill="auto"/>
            <w:vAlign w:val="center"/>
            <w:hideMark/>
          </w:tcPr>
          <w:p w14:paraId="66A0F477" w14:textId="77777777" w:rsidR="00A517A6" w:rsidRPr="00D566B8" w:rsidRDefault="00A517A6" w:rsidP="009A444C">
            <w:pPr>
              <w:jc w:val="center"/>
              <w:rPr>
                <w:rFonts w:eastAsia="Times New Roman" w:cstheme="minorHAnsi"/>
                <w:color w:val="000000"/>
                <w:lang w:val="en-GB" w:eastAsia="hu-HU"/>
              </w:rPr>
            </w:pPr>
            <w:r w:rsidRPr="00D566B8">
              <w:rPr>
                <w:rFonts w:eastAsia="Times New Roman" w:cstheme="minorHAnsi"/>
                <w:color w:val="000000"/>
                <w:lang w:val="en-GB" w:eastAsia="hu-HU"/>
              </w:rPr>
              <w:t>427</w:t>
            </w:r>
          </w:p>
        </w:tc>
      </w:tr>
    </w:tbl>
    <w:p w14:paraId="79B813EE" w14:textId="77777777" w:rsidR="00A517A6" w:rsidRDefault="00A517A6" w:rsidP="00A517A6"/>
    <w:p w14:paraId="6B9FB9E7" w14:textId="77777777" w:rsidR="00FB66C8" w:rsidRPr="002A057F" w:rsidRDefault="00FB66C8" w:rsidP="00FB66C8">
      <w:pPr>
        <w:rPr>
          <w:rFonts w:cstheme="minorHAnsi"/>
          <w:lang w:val="en-GB"/>
        </w:rPr>
      </w:pPr>
      <w:r w:rsidRPr="002A057F">
        <w:rPr>
          <w:rFonts w:cstheme="minorHAnsi"/>
          <w:b/>
          <w:bCs/>
          <w:lang w:val="en-GB"/>
        </w:rPr>
        <w:t xml:space="preserve">Table </w:t>
      </w:r>
      <w:r>
        <w:rPr>
          <w:rFonts w:cstheme="minorHAnsi"/>
          <w:b/>
          <w:bCs/>
          <w:lang w:val="en-GB"/>
        </w:rPr>
        <w:t>A3</w:t>
      </w:r>
      <w:r>
        <w:rPr>
          <w:rFonts w:cstheme="minorHAnsi"/>
          <w:lang w:val="en-GB"/>
        </w:rPr>
        <w:t xml:space="preserve"> </w:t>
      </w:r>
      <w:r w:rsidRPr="00E02E9D">
        <w:rPr>
          <w:rFonts w:cstheme="minorHAnsi"/>
          <w:b/>
          <w:bCs/>
          <w:lang w:val="en-GB"/>
        </w:rPr>
        <w:t>online appendix</w:t>
      </w:r>
      <w:r>
        <w:rPr>
          <w:rFonts w:cstheme="minorHAnsi"/>
          <w:lang w:val="en-GB"/>
        </w:rPr>
        <w:t xml:space="preserve"> –</w:t>
      </w:r>
      <w:r w:rsidRPr="002A057F">
        <w:rPr>
          <w:rFonts w:cstheme="minorHAnsi"/>
          <w:lang w:val="en-GB"/>
        </w:rPr>
        <w:t xml:space="preserve"> The operationali</w:t>
      </w:r>
      <w:r>
        <w:rPr>
          <w:rFonts w:cstheme="minorHAnsi"/>
          <w:lang w:val="en-GB"/>
        </w:rPr>
        <w:t>z</w:t>
      </w:r>
      <w:r w:rsidRPr="002A057F">
        <w:rPr>
          <w:rFonts w:cstheme="minorHAnsi"/>
          <w:lang w:val="en-GB"/>
        </w:rPr>
        <w:t>ation</w:t>
      </w:r>
      <w:r>
        <w:rPr>
          <w:rFonts w:cstheme="minorHAnsi"/>
          <w:lang w:val="en-GB"/>
        </w:rPr>
        <w:t xml:space="preserve"> and data</w:t>
      </w:r>
      <w:r w:rsidRPr="002A057F">
        <w:rPr>
          <w:rFonts w:cstheme="minorHAnsi"/>
          <w:lang w:val="en-GB"/>
        </w:rPr>
        <w:t xml:space="preserve"> of </w:t>
      </w:r>
      <w:r>
        <w:rPr>
          <w:rFonts w:cstheme="minorHAnsi"/>
          <w:lang w:val="en-GB"/>
        </w:rPr>
        <w:t>the energy (governmental expenditures) and area (latent constituency size) terms</w:t>
      </w:r>
    </w:p>
    <w:tbl>
      <w:tblPr>
        <w:tblStyle w:val="Tabellenraster"/>
        <w:tblW w:w="0" w:type="auto"/>
        <w:tblLook w:val="04A0" w:firstRow="1" w:lastRow="0" w:firstColumn="1" w:lastColumn="0" w:noHBand="0" w:noVBand="1"/>
      </w:tblPr>
      <w:tblGrid>
        <w:gridCol w:w="4541"/>
        <w:gridCol w:w="4542"/>
        <w:gridCol w:w="4542"/>
      </w:tblGrid>
      <w:tr w:rsidR="00FB66C8" w:rsidRPr="00EF1B98" w14:paraId="009E258B" w14:textId="77777777" w:rsidTr="00FB66C8">
        <w:trPr>
          <w:trHeight w:val="263"/>
        </w:trPr>
        <w:tc>
          <w:tcPr>
            <w:tcW w:w="4541" w:type="dxa"/>
          </w:tcPr>
          <w:p w14:paraId="69ABBE96" w14:textId="77777777" w:rsidR="00FB66C8" w:rsidRPr="00EF1B98" w:rsidRDefault="00FB66C8" w:rsidP="009A444C">
            <w:pPr>
              <w:rPr>
                <w:rFonts w:cstheme="minorHAnsi"/>
                <w:sz w:val="22"/>
                <w:szCs w:val="22"/>
                <w:lang w:val="en-GB"/>
              </w:rPr>
            </w:pPr>
            <w:r w:rsidRPr="00EF1B98">
              <w:rPr>
                <w:rFonts w:cstheme="minorHAnsi"/>
                <w:sz w:val="22"/>
                <w:szCs w:val="22"/>
                <w:lang w:val="en-GB"/>
              </w:rPr>
              <w:t>Variable</w:t>
            </w:r>
          </w:p>
        </w:tc>
        <w:tc>
          <w:tcPr>
            <w:tcW w:w="4542" w:type="dxa"/>
          </w:tcPr>
          <w:p w14:paraId="7CBB8171" w14:textId="77777777" w:rsidR="00FB66C8" w:rsidRPr="00EF1B98" w:rsidRDefault="00FB66C8" w:rsidP="009A444C">
            <w:pPr>
              <w:rPr>
                <w:rFonts w:cstheme="minorHAnsi"/>
                <w:sz w:val="22"/>
                <w:szCs w:val="22"/>
                <w:lang w:val="en-GB"/>
              </w:rPr>
            </w:pPr>
            <w:r w:rsidRPr="00EF1B98">
              <w:rPr>
                <w:rFonts w:cstheme="minorHAnsi"/>
                <w:sz w:val="22"/>
                <w:szCs w:val="22"/>
                <w:lang w:val="en-GB"/>
              </w:rPr>
              <w:t>Operationalisation</w:t>
            </w:r>
          </w:p>
        </w:tc>
        <w:tc>
          <w:tcPr>
            <w:tcW w:w="4542" w:type="dxa"/>
          </w:tcPr>
          <w:p w14:paraId="4061BD0B" w14:textId="77777777" w:rsidR="00FB66C8" w:rsidRPr="00EF1B98" w:rsidRDefault="00FB66C8" w:rsidP="009A444C">
            <w:pPr>
              <w:rPr>
                <w:rFonts w:cstheme="minorHAnsi"/>
                <w:sz w:val="22"/>
                <w:szCs w:val="22"/>
                <w:lang w:val="en-GB"/>
              </w:rPr>
            </w:pPr>
            <w:r w:rsidRPr="00EF1B98">
              <w:rPr>
                <w:rFonts w:cstheme="minorHAnsi"/>
                <w:sz w:val="22"/>
                <w:szCs w:val="22"/>
                <w:lang w:val="en-GB"/>
              </w:rPr>
              <w:t>Source</w:t>
            </w:r>
          </w:p>
        </w:tc>
      </w:tr>
      <w:tr w:rsidR="00FB66C8" w:rsidRPr="00EF1B98" w14:paraId="37B48763" w14:textId="77777777" w:rsidTr="00FB66C8">
        <w:trPr>
          <w:trHeight w:val="1289"/>
        </w:trPr>
        <w:tc>
          <w:tcPr>
            <w:tcW w:w="4541" w:type="dxa"/>
          </w:tcPr>
          <w:p w14:paraId="4E12F11B" w14:textId="77777777" w:rsidR="00FB66C8" w:rsidRPr="00EF1B98" w:rsidRDefault="00FB66C8" w:rsidP="009A444C">
            <w:pPr>
              <w:rPr>
                <w:rFonts w:cstheme="minorHAnsi"/>
                <w:sz w:val="22"/>
                <w:szCs w:val="22"/>
                <w:lang w:val="en-GB"/>
              </w:rPr>
            </w:pPr>
            <w:r w:rsidRPr="00EF1B98">
              <w:rPr>
                <w:rFonts w:cstheme="minorHAnsi"/>
                <w:sz w:val="22"/>
                <w:szCs w:val="22"/>
                <w:lang w:val="en-GB"/>
              </w:rPr>
              <w:t>Energy (resources) - Healthcare – Business and institutional groups</w:t>
            </w:r>
          </w:p>
        </w:tc>
        <w:tc>
          <w:tcPr>
            <w:tcW w:w="4542" w:type="dxa"/>
          </w:tcPr>
          <w:p w14:paraId="47B867B6" w14:textId="77777777" w:rsidR="00FB66C8" w:rsidRPr="00EF1B98" w:rsidRDefault="00FB66C8" w:rsidP="009A444C">
            <w:pPr>
              <w:rPr>
                <w:rFonts w:cstheme="minorHAnsi"/>
                <w:sz w:val="22"/>
                <w:szCs w:val="22"/>
                <w:lang w:val="en-GB"/>
              </w:rPr>
            </w:pPr>
            <w:r w:rsidRPr="00EF1B98">
              <w:rPr>
                <w:rFonts w:cstheme="minorHAnsi"/>
                <w:sz w:val="22"/>
                <w:szCs w:val="22"/>
                <w:lang w:val="en-GB"/>
              </w:rPr>
              <w:t>Healthcare expenditure by function as % of GDP, 2017 (Poland 2016): pharmaceuticals and medical goods</w:t>
            </w:r>
          </w:p>
        </w:tc>
        <w:tc>
          <w:tcPr>
            <w:tcW w:w="4542" w:type="dxa"/>
          </w:tcPr>
          <w:p w14:paraId="086F7A53" w14:textId="77777777" w:rsidR="00FB66C8" w:rsidRPr="00EF1B9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AuthorYear="1"&gt;&lt;Author&gt;Eurostat&lt;/Author&gt;&lt;Year&gt;2020&lt;/Year&gt;&lt;RecNum&gt;288&lt;/RecNum&gt;&lt;DisplayText&gt;Eurostat (2020b)&lt;/DisplayText&gt;&lt;record&gt;&lt;rec-number&gt;288&lt;/rec-number&gt;&lt;foreign-keys&gt;&lt;key app="EN" db-id="w2tfxxd005z5wjefarqx9den2arzfsx9xfde" timestamp="1617798377" guid="30582636-9a7e-49cd-ad7f-42ce01f06dda"&gt;288&lt;/key&gt;&lt;/foreign-keys&gt;&lt;ref-type name="Dataset"&gt;59&lt;/ref-type&gt;&lt;contributors&gt;&lt;authors&gt;&lt;author&gt;Eurostat&lt;/author&gt;&lt;/authors&gt;&lt;/contributors&gt;&lt;titles&gt;&lt;title&gt;Health care expenditure by function&lt;/title&gt;&lt;tertiary-title&gt;hlth_sha11_hc&lt;/tertiary-title&gt;&lt;/titles&gt;&lt;section&gt;02.10.2020&lt;/section&gt;&lt;dates&gt;&lt;year&gt;2020&lt;/year&gt;&lt;/dates&gt;&lt;pub-location&gt;Luxemburg&lt;/pub-location&gt;&lt;publisher&gt;Eurostat&lt;/publisher&gt;&lt;urls&gt;&lt;related-urls&gt;&lt;url&gt;http://appsso.eurostat.ec.europa.eu/nui/show.do?query=BOOKMARK_DS-565686_QID_-30A07C28_UID_-3F171EB0&amp;amp;layout=TIME,C,X,0;GEO,L,Y,0;UNIT,L,Z,0;ICHA11_HC,L,Z,1;INDICATORS,C,Z,2;&amp;amp;zSelection=DS-565686ICHA11_HC,TOT_HC;DS-565686INDICATORS,OBS_FLAG;DS-565686UNIT,EUR_HAB;&amp;amp;rankName1=ICHA11-HC_1_2_-1_2&amp;amp;rankName2=UNIT_1_2_-1_2&amp;amp;rankName3=INDICATORS_1_2_-1_2&amp;amp;rankName4=TIME_1_0_0_0&amp;amp;rankName5=GEO_1_2_0_1&amp;amp;sortC=ASC_-1_FIRST&amp;amp;rStp=&amp;amp;cStp=&amp;amp;rDCh=&amp;amp;cDCh=&amp;amp;rDM=true&amp;amp;cDM=true&amp;amp;footnes=false&amp;amp;empty=false&amp;amp;wai=false&amp;amp;time_mode=NONE&amp;amp;time_most_recent=false&amp;amp;lang=EN&amp;amp;cfo=%23%23%23%2C%23%23%23.%23%23%23&lt;/url&gt;&lt;/related-urls&gt;&lt;/urls&gt;&lt;access-date&gt;03.11.2020&lt;/access-date&gt;&lt;/record&gt;&lt;/Cite&gt;&lt;/EndNote&gt;</w:instrText>
            </w:r>
            <w:r>
              <w:rPr>
                <w:rFonts w:cstheme="minorHAnsi"/>
                <w:sz w:val="22"/>
                <w:szCs w:val="22"/>
                <w:lang w:val="en-GB"/>
              </w:rPr>
              <w:fldChar w:fldCharType="separate"/>
            </w:r>
            <w:r>
              <w:rPr>
                <w:rFonts w:cstheme="minorHAnsi"/>
                <w:noProof/>
                <w:sz w:val="22"/>
                <w:szCs w:val="22"/>
                <w:lang w:val="en-GB"/>
              </w:rPr>
              <w:t>Eurostat (2020b)</w:t>
            </w:r>
            <w:r>
              <w:rPr>
                <w:rFonts w:cstheme="minorHAnsi"/>
                <w:sz w:val="22"/>
                <w:szCs w:val="22"/>
                <w:lang w:val="en-GB"/>
              </w:rPr>
              <w:fldChar w:fldCharType="end"/>
            </w:r>
          </w:p>
        </w:tc>
      </w:tr>
      <w:tr w:rsidR="00FB66C8" w:rsidRPr="00EF1B98" w14:paraId="75838097" w14:textId="77777777" w:rsidTr="00FB66C8">
        <w:trPr>
          <w:trHeight w:val="2094"/>
        </w:trPr>
        <w:tc>
          <w:tcPr>
            <w:tcW w:w="4541" w:type="dxa"/>
          </w:tcPr>
          <w:p w14:paraId="23BAB483"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Energy (resources) - Healthcare – Medical professionals, </w:t>
            </w:r>
            <w:proofErr w:type="gramStart"/>
            <w:r w:rsidRPr="00EF1B98">
              <w:rPr>
                <w:rFonts w:cstheme="minorHAnsi"/>
                <w:sz w:val="22"/>
                <w:szCs w:val="22"/>
                <w:lang w:val="en-GB"/>
              </w:rPr>
              <w:t>Non-medical</w:t>
            </w:r>
            <w:proofErr w:type="gramEnd"/>
            <w:r w:rsidRPr="00EF1B98">
              <w:rPr>
                <w:rFonts w:cstheme="minorHAnsi"/>
                <w:sz w:val="22"/>
                <w:szCs w:val="22"/>
                <w:lang w:val="en-GB"/>
              </w:rPr>
              <w:t xml:space="preserve"> employees</w:t>
            </w:r>
          </w:p>
        </w:tc>
        <w:tc>
          <w:tcPr>
            <w:tcW w:w="4542" w:type="dxa"/>
          </w:tcPr>
          <w:p w14:paraId="4CABCD5F"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Healthcare expenditure by function as a % of the GDP, 2017 (Poland 2016): </w:t>
            </w:r>
            <w:r>
              <w:rPr>
                <w:rFonts w:cstheme="minorHAnsi"/>
                <w:sz w:val="22"/>
                <w:szCs w:val="22"/>
                <w:lang w:val="en-GB"/>
              </w:rPr>
              <w:t>a</w:t>
            </w:r>
            <w:r w:rsidRPr="00EF1B98">
              <w:rPr>
                <w:rFonts w:cstheme="minorHAnsi"/>
                <w:sz w:val="22"/>
                <w:szCs w:val="22"/>
                <w:lang w:val="en-GB"/>
              </w:rPr>
              <w:t>ll categories except expenditures for any function with rehabilitative and long-term care, and pharmaceuticals and medical goods</w:t>
            </w:r>
          </w:p>
        </w:tc>
        <w:tc>
          <w:tcPr>
            <w:tcW w:w="4542" w:type="dxa"/>
          </w:tcPr>
          <w:p w14:paraId="75F28FCC" w14:textId="77777777" w:rsidR="00FB66C8" w:rsidRPr="00EF1B9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AuthorYear="1"&gt;&lt;Author&gt;Eurostat&lt;/Author&gt;&lt;Year&gt;2020&lt;/Year&gt;&lt;RecNum&gt;288&lt;/RecNum&gt;&lt;DisplayText&gt;Eurostat (2020b)&lt;/DisplayText&gt;&lt;record&gt;&lt;rec-number&gt;288&lt;/rec-number&gt;&lt;foreign-keys&gt;&lt;key app="EN" db-id="w2tfxxd005z5wjefarqx9den2arzfsx9xfde" timestamp="1617798377" guid="30582636-9a7e-49cd-ad7f-42ce01f06dda"&gt;288&lt;/key&gt;&lt;/foreign-keys&gt;&lt;ref-type name="Dataset"&gt;59&lt;/ref-type&gt;&lt;contributors&gt;&lt;authors&gt;&lt;author&gt;Eurostat&lt;/author&gt;&lt;/authors&gt;&lt;/contributors&gt;&lt;titles&gt;&lt;title&gt;Health care expenditure by function&lt;/title&gt;&lt;tertiary-title&gt;hlth_sha11_hc&lt;/tertiary-title&gt;&lt;/titles&gt;&lt;section&gt;02.10.2020&lt;/section&gt;&lt;dates&gt;&lt;year&gt;2020&lt;/year&gt;&lt;/dates&gt;&lt;pub-location&gt;Luxemburg&lt;/pub-location&gt;&lt;publisher&gt;Eurostat&lt;/publisher&gt;&lt;urls&gt;&lt;related-urls&gt;&lt;url&gt;http://appsso.eurostat.ec.europa.eu/nui/show.do?query=BOOKMARK_DS-565686_QID_-30A07C28_UID_-3F171EB0&amp;amp;layout=TIME,C,X,0;GEO,L,Y,0;UNIT,L,Z,0;ICHA11_HC,L,Z,1;INDICATORS,C,Z,2;&amp;amp;zSelection=DS-565686ICHA11_HC,TOT_HC;DS-565686INDICATORS,OBS_FLAG;DS-565686UNIT,EUR_HAB;&amp;amp;rankName1=ICHA11-HC_1_2_-1_2&amp;amp;rankName2=UNIT_1_2_-1_2&amp;amp;rankName3=INDICATORS_1_2_-1_2&amp;amp;rankName4=TIME_1_0_0_0&amp;amp;rankName5=GEO_1_2_0_1&amp;amp;sortC=ASC_-1_FIRST&amp;amp;rStp=&amp;amp;cStp=&amp;amp;rDCh=&amp;amp;cDCh=&amp;amp;rDM=true&amp;amp;cDM=true&amp;amp;footnes=false&amp;amp;empty=false&amp;amp;wai=false&amp;amp;time_mode=NONE&amp;amp;time_most_recent=false&amp;amp;lang=EN&amp;amp;cfo=%23%23%23%2C%23%23%23.%23%23%23&lt;/url&gt;&lt;/related-urls&gt;&lt;/urls&gt;&lt;access-date&gt;03.11.2020&lt;/access-date&gt;&lt;/record&gt;&lt;/Cite&gt;&lt;/EndNote&gt;</w:instrText>
            </w:r>
            <w:r>
              <w:rPr>
                <w:rFonts w:cstheme="minorHAnsi"/>
                <w:sz w:val="22"/>
                <w:szCs w:val="22"/>
                <w:lang w:val="en-GB"/>
              </w:rPr>
              <w:fldChar w:fldCharType="separate"/>
            </w:r>
            <w:r>
              <w:rPr>
                <w:rFonts w:cstheme="minorHAnsi"/>
                <w:noProof/>
                <w:sz w:val="22"/>
                <w:szCs w:val="22"/>
                <w:lang w:val="en-GB"/>
              </w:rPr>
              <w:t>Eurostat (2020b)</w:t>
            </w:r>
            <w:r>
              <w:rPr>
                <w:rFonts w:cstheme="minorHAnsi"/>
                <w:sz w:val="22"/>
                <w:szCs w:val="22"/>
                <w:lang w:val="en-GB"/>
              </w:rPr>
              <w:fldChar w:fldCharType="end"/>
            </w:r>
          </w:p>
        </w:tc>
      </w:tr>
      <w:tr w:rsidR="00FB66C8" w:rsidRPr="00EF1B98" w14:paraId="1A08BEA8" w14:textId="77777777" w:rsidTr="00FB66C8">
        <w:trPr>
          <w:trHeight w:val="1303"/>
        </w:trPr>
        <w:tc>
          <w:tcPr>
            <w:tcW w:w="4541" w:type="dxa"/>
          </w:tcPr>
          <w:p w14:paraId="50E907E2" w14:textId="77777777" w:rsidR="00FB66C8" w:rsidRPr="00EF1B98" w:rsidRDefault="00FB66C8" w:rsidP="009A444C">
            <w:pPr>
              <w:rPr>
                <w:rFonts w:cstheme="minorHAnsi"/>
                <w:sz w:val="22"/>
                <w:szCs w:val="22"/>
                <w:lang w:val="en-GB"/>
              </w:rPr>
            </w:pPr>
            <w:r w:rsidRPr="00EF1B98">
              <w:rPr>
                <w:rFonts w:cstheme="minorHAnsi"/>
                <w:sz w:val="22"/>
                <w:szCs w:val="22"/>
                <w:lang w:val="en-GB"/>
              </w:rPr>
              <w:t>Energy (resources) - Healthcare – Patient groups</w:t>
            </w:r>
          </w:p>
        </w:tc>
        <w:tc>
          <w:tcPr>
            <w:tcW w:w="4542" w:type="dxa"/>
          </w:tcPr>
          <w:p w14:paraId="16E039A7" w14:textId="77777777" w:rsidR="00FB66C8" w:rsidRPr="00EF1B98" w:rsidRDefault="00FB66C8" w:rsidP="009A444C">
            <w:pPr>
              <w:rPr>
                <w:rFonts w:cstheme="minorHAnsi"/>
                <w:sz w:val="22"/>
                <w:szCs w:val="22"/>
                <w:lang w:val="en-GB"/>
              </w:rPr>
            </w:pPr>
            <w:r w:rsidRPr="00EF1B98">
              <w:rPr>
                <w:rFonts w:cstheme="minorHAnsi"/>
                <w:sz w:val="22"/>
                <w:szCs w:val="22"/>
                <w:lang w:val="en-GB"/>
              </w:rPr>
              <w:t>Healthcare expenditure by function as % of GDP, 2017 (Poland 2016): all functions with rehabilitative and long-term care</w:t>
            </w:r>
          </w:p>
        </w:tc>
        <w:tc>
          <w:tcPr>
            <w:tcW w:w="4542" w:type="dxa"/>
          </w:tcPr>
          <w:p w14:paraId="33107943" w14:textId="77777777" w:rsidR="00FB66C8" w:rsidRPr="00EF1B9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AuthorYear="1"&gt;&lt;Author&gt;Eurostat&lt;/Author&gt;&lt;Year&gt;2020&lt;/Year&gt;&lt;RecNum&gt;288&lt;/RecNum&gt;&lt;DisplayText&gt;Eurostat (2020b)&lt;/DisplayText&gt;&lt;record&gt;&lt;rec-number&gt;288&lt;/rec-number&gt;&lt;foreign-keys&gt;&lt;key app="EN" db-id="w2tfxxd005z5wjefarqx9den2arzfsx9xfde" timestamp="1617798377" guid="30582636-9a7e-49cd-ad7f-42ce01f06dda"&gt;288&lt;/key&gt;&lt;/foreign-keys&gt;&lt;ref-type name="Dataset"&gt;59&lt;/ref-type&gt;&lt;contributors&gt;&lt;authors&gt;&lt;author&gt;Eurostat&lt;/author&gt;&lt;/authors&gt;&lt;/contributors&gt;&lt;titles&gt;&lt;title&gt;Health care expenditure by function&lt;/title&gt;&lt;tertiary-title&gt;hlth_sha11_hc&lt;/tertiary-title&gt;&lt;/titles&gt;&lt;section&gt;02.10.2020&lt;/section&gt;&lt;dates&gt;&lt;year&gt;2020&lt;/year&gt;&lt;/dates&gt;&lt;pub-location&gt;Luxemburg&lt;/pub-location&gt;&lt;publisher&gt;Eurostat&lt;/publisher&gt;&lt;urls&gt;&lt;related-urls&gt;&lt;url&gt;http://appsso.eurostat.ec.europa.eu/nui/show.do?query=BOOKMARK_DS-565686_QID_-30A07C28_UID_-3F171EB0&amp;amp;layout=TIME,C,X,0;GEO,L,Y,0;UNIT,L,Z,0;ICHA11_HC,L,Z,1;INDICATORS,C,Z,2;&amp;amp;zSelection=DS-565686ICHA11_HC,TOT_HC;DS-565686INDICATORS,OBS_FLAG;DS-565686UNIT,EUR_HAB;&amp;amp;rankName1=ICHA11-HC_1_2_-1_2&amp;amp;rankName2=UNIT_1_2_-1_2&amp;amp;rankName3=INDICATORS_1_2_-1_2&amp;amp;rankName4=TIME_1_0_0_0&amp;amp;rankName5=GEO_1_2_0_1&amp;amp;sortC=ASC_-1_FIRST&amp;amp;rStp=&amp;amp;cStp=&amp;amp;rDCh=&amp;amp;cDCh=&amp;amp;rDM=true&amp;amp;cDM=true&amp;amp;footnes=false&amp;amp;empty=false&amp;amp;wai=false&amp;amp;time_mode=NONE&amp;amp;time_most_recent=false&amp;amp;lang=EN&amp;amp;cfo=%23%23%23%2C%23%23%23.%23%23%23&lt;/url&gt;&lt;/related-urls&gt;&lt;/urls&gt;&lt;access-date&gt;03.11.2020&lt;/access-date&gt;&lt;/record&gt;&lt;/Cite&gt;&lt;/EndNote&gt;</w:instrText>
            </w:r>
            <w:r>
              <w:rPr>
                <w:rFonts w:cstheme="minorHAnsi"/>
                <w:sz w:val="22"/>
                <w:szCs w:val="22"/>
                <w:lang w:val="en-GB"/>
              </w:rPr>
              <w:fldChar w:fldCharType="separate"/>
            </w:r>
            <w:r>
              <w:rPr>
                <w:rFonts w:cstheme="minorHAnsi"/>
                <w:noProof/>
                <w:sz w:val="22"/>
                <w:szCs w:val="22"/>
                <w:lang w:val="en-GB"/>
              </w:rPr>
              <w:t>Eurostat (2020b)</w:t>
            </w:r>
            <w:r>
              <w:rPr>
                <w:rFonts w:cstheme="minorHAnsi"/>
                <w:sz w:val="22"/>
                <w:szCs w:val="22"/>
                <w:lang w:val="en-GB"/>
              </w:rPr>
              <w:fldChar w:fldCharType="end"/>
            </w:r>
          </w:p>
        </w:tc>
      </w:tr>
      <w:tr w:rsidR="00FB66C8" w:rsidRPr="00EF1B98" w14:paraId="24E647B6" w14:textId="77777777" w:rsidTr="00FB66C8">
        <w:trPr>
          <w:trHeight w:val="1039"/>
        </w:trPr>
        <w:tc>
          <w:tcPr>
            <w:tcW w:w="4541" w:type="dxa"/>
          </w:tcPr>
          <w:p w14:paraId="5C86F92A"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Energy (resources) – Higher education – All groups (business, students, employees, institutional) </w:t>
            </w:r>
          </w:p>
        </w:tc>
        <w:tc>
          <w:tcPr>
            <w:tcW w:w="4542" w:type="dxa"/>
          </w:tcPr>
          <w:p w14:paraId="41119AB2"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Public expenditure on </w:t>
            </w:r>
            <w:proofErr w:type="gramStart"/>
            <w:r w:rsidRPr="00EF1B98">
              <w:rPr>
                <w:rFonts w:cstheme="minorHAnsi"/>
                <w:sz w:val="22"/>
                <w:szCs w:val="22"/>
                <w:lang w:val="en-GB"/>
              </w:rPr>
              <w:t>education by education</w:t>
            </w:r>
            <w:proofErr w:type="gramEnd"/>
            <w:r w:rsidRPr="00EF1B98">
              <w:rPr>
                <w:rFonts w:cstheme="minorHAnsi"/>
                <w:sz w:val="22"/>
                <w:szCs w:val="22"/>
                <w:lang w:val="en-GB"/>
              </w:rPr>
              <w:t xml:space="preserve"> level and programme orientation - as % of GDP</w:t>
            </w:r>
          </w:p>
        </w:tc>
        <w:tc>
          <w:tcPr>
            <w:tcW w:w="4542" w:type="dxa"/>
          </w:tcPr>
          <w:p w14:paraId="5B6881B8" w14:textId="77777777" w:rsidR="00FB66C8" w:rsidRPr="00EF1B9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AuthorYear="1"&gt;&lt;Author&gt;Eurostat&lt;/Author&gt;&lt;Year&gt;2020&lt;/Year&gt;&lt;RecNum&gt;292&lt;/RecNum&gt;&lt;DisplayText&gt;Eurostat (2020e)&lt;/DisplayText&gt;&lt;record&gt;&lt;rec-number&gt;292&lt;/rec-number&gt;&lt;foreign-keys&gt;&lt;key app="EN" db-id="w2tfxxd005z5wjefarqx9den2arzfsx9xfde" timestamp="1617798377" guid="cd04cb8f-1e9d-4264-b8ae-4c8134fafc90"&gt;292&lt;/key&gt;&lt;/foreign-keys&gt;&lt;ref-type name="Dataset"&gt;59&lt;/ref-type&gt;&lt;contributors&gt;&lt;authors&gt;&lt;author&gt;Eurostat&lt;/author&gt;&lt;/authors&gt;&lt;/contributors&gt;&lt;titles&gt;&lt;title&gt;Public expenditure on education by education level and programme orientation - as % of GDP&lt;/title&gt;&lt;/titles&gt;&lt;num-vols&gt;educ_uoe_fine06&lt;/num-vols&gt;&lt;section&gt;03.11.2020&lt;/section&gt;&lt;dates&gt;&lt;year&gt;2020&lt;/year&gt;&lt;/dates&gt;&lt;pub-location&gt;Luxemburg&lt;/pub-location&gt;&lt;publisher&gt;Eurostat&lt;/publisher&gt;&lt;urls&gt;&lt;related-urls&gt;&lt;url&gt;https://appsso.eurostat.ec.europa.eu/nui/show.do?dataset=educ_uoe_fine06&amp;amp;lang=en&lt;/url&gt;&lt;/related-urls&gt;&lt;/urls&gt;&lt;access-date&gt;03.11.2020&lt;/access-date&gt;&lt;/record&gt;&lt;/Cite&gt;&lt;/EndNote&gt;</w:instrText>
            </w:r>
            <w:r>
              <w:rPr>
                <w:rFonts w:cstheme="minorHAnsi"/>
                <w:sz w:val="22"/>
                <w:szCs w:val="22"/>
                <w:lang w:val="en-GB"/>
              </w:rPr>
              <w:fldChar w:fldCharType="separate"/>
            </w:r>
            <w:r>
              <w:rPr>
                <w:rFonts w:cstheme="minorHAnsi"/>
                <w:noProof/>
                <w:sz w:val="22"/>
                <w:szCs w:val="22"/>
                <w:lang w:val="en-GB"/>
              </w:rPr>
              <w:t>Eurostat (2020e)</w:t>
            </w:r>
            <w:r>
              <w:rPr>
                <w:rFonts w:cstheme="minorHAnsi"/>
                <w:sz w:val="22"/>
                <w:szCs w:val="22"/>
                <w:lang w:val="en-GB"/>
              </w:rPr>
              <w:fldChar w:fldCharType="end"/>
            </w:r>
          </w:p>
          <w:p w14:paraId="53454EA1" w14:textId="77777777" w:rsidR="00FB66C8" w:rsidRPr="00EF1B98" w:rsidRDefault="00FB66C8" w:rsidP="009A444C">
            <w:pPr>
              <w:rPr>
                <w:rFonts w:cstheme="minorHAnsi"/>
                <w:sz w:val="22"/>
                <w:szCs w:val="22"/>
                <w:lang w:val="en-GB"/>
              </w:rPr>
            </w:pPr>
          </w:p>
        </w:tc>
      </w:tr>
      <w:tr w:rsidR="00FB66C8" w:rsidRPr="00BE2F26" w14:paraId="04ECEFD8" w14:textId="77777777" w:rsidTr="00FB66C8">
        <w:trPr>
          <w:trHeight w:val="44"/>
        </w:trPr>
        <w:tc>
          <w:tcPr>
            <w:tcW w:w="4541" w:type="dxa"/>
          </w:tcPr>
          <w:p w14:paraId="3159E710" w14:textId="77777777" w:rsidR="00FB66C8" w:rsidRPr="00EF1B98" w:rsidRDefault="00FB66C8" w:rsidP="009A444C">
            <w:pPr>
              <w:rPr>
                <w:rFonts w:cstheme="minorHAnsi"/>
                <w:sz w:val="22"/>
                <w:szCs w:val="22"/>
                <w:lang w:val="en-GB"/>
              </w:rPr>
            </w:pPr>
            <w:r w:rsidRPr="00EF1B98">
              <w:rPr>
                <w:rFonts w:cstheme="minorHAnsi"/>
                <w:sz w:val="22"/>
                <w:szCs w:val="22"/>
                <w:lang w:val="en-GB"/>
              </w:rPr>
              <w:t>Energy (resources) – Energy policy – Fossil energy groups</w:t>
            </w:r>
          </w:p>
        </w:tc>
        <w:tc>
          <w:tcPr>
            <w:tcW w:w="4542" w:type="dxa"/>
          </w:tcPr>
          <w:p w14:paraId="61021166" w14:textId="77777777" w:rsidR="00FB66C8" w:rsidRPr="00EF1B98" w:rsidRDefault="00FB66C8" w:rsidP="009A444C">
            <w:pPr>
              <w:rPr>
                <w:rFonts w:cstheme="minorHAnsi"/>
                <w:sz w:val="22"/>
                <w:szCs w:val="22"/>
                <w:lang w:val="en-GB"/>
              </w:rPr>
            </w:pPr>
            <w:r w:rsidRPr="00EF1B98">
              <w:rPr>
                <w:rFonts w:cstheme="minorHAnsi"/>
                <w:sz w:val="22"/>
                <w:szCs w:val="22"/>
                <w:lang w:val="en-GB"/>
              </w:rPr>
              <w:t>Public support for fossil fuels as</w:t>
            </w:r>
            <w:r>
              <w:rPr>
                <w:rFonts w:cstheme="minorHAnsi"/>
                <w:sz w:val="22"/>
                <w:szCs w:val="22"/>
                <w:lang w:val="en-GB"/>
              </w:rPr>
              <w:t xml:space="preserve"> a % of GDP</w:t>
            </w:r>
            <w:r w:rsidRPr="00EF1B98">
              <w:rPr>
                <w:rFonts w:cstheme="minorHAnsi"/>
                <w:sz w:val="22"/>
                <w:szCs w:val="22"/>
                <w:lang w:val="en-GB"/>
              </w:rPr>
              <w:t>, 201</w:t>
            </w:r>
            <w:r>
              <w:rPr>
                <w:rFonts w:cstheme="minorHAnsi"/>
                <w:sz w:val="22"/>
                <w:szCs w:val="22"/>
                <w:lang w:val="en-GB"/>
              </w:rPr>
              <w:t>7</w:t>
            </w:r>
          </w:p>
        </w:tc>
        <w:tc>
          <w:tcPr>
            <w:tcW w:w="4542" w:type="dxa"/>
          </w:tcPr>
          <w:p w14:paraId="276265ED" w14:textId="77777777" w:rsidR="00FB66C8" w:rsidRPr="002A057F" w:rsidRDefault="00FB66C8" w:rsidP="009A444C">
            <w:pPr>
              <w:rPr>
                <w:rFonts w:cstheme="minorHAnsi"/>
                <w:sz w:val="22"/>
                <w:szCs w:val="22"/>
                <w:lang w:val="hu-HU"/>
              </w:rPr>
            </w:pPr>
            <w:r>
              <w:rPr>
                <w:rFonts w:cstheme="minorHAnsi"/>
                <w:sz w:val="22"/>
                <w:szCs w:val="22"/>
                <w:lang w:val="hu-HU"/>
              </w:rPr>
              <w:fldChar w:fldCharType="begin"/>
            </w:r>
            <w:r>
              <w:rPr>
                <w:rFonts w:cstheme="minorHAnsi"/>
                <w:sz w:val="22"/>
                <w:szCs w:val="22"/>
                <w:lang w:val="hu-HU"/>
              </w:rPr>
              <w:instrText xml:space="preserve"> ADDIN EN.CITE &lt;EndNote&gt;&lt;Cite AuthorYear="1"&gt;&lt;Author&gt;Yearwood&lt;/Author&gt;&lt;Year&gt;2020&lt;/Year&gt;&lt;RecNum&gt;537&lt;/RecNum&gt;&lt;DisplayText&gt;Yearwood et al. (2020)&lt;/DisplayText&gt;&lt;record&gt;&lt;rec-number&gt;537&lt;/rec-number&gt;&lt;foreign-keys&gt;&lt;key app="EN" db-id="w2tfxxd005z5wjefarqx9den2arzfsx9xfde" timestamp="1617960521" guid="5cd11b85-0700-4a6f-90cb-b4f4dd231a85"&gt;537&lt;/key&gt;&lt;/foreign-keys&gt;&lt;ref-type name="Report"&gt;27&lt;/ref-type&gt;&lt;contributors&gt;&lt;authors&gt;&lt;author&gt;Yearwood, Jessica&lt;/author&gt;&lt;author&gt;Torres, Perla&lt;/author&gt;&lt;author&gt;Badouard, Thierry&lt;/author&gt;&lt;author&gt;Moreira de Oliveira, Débora&lt;/author&gt;&lt;author&gt;Altmann, Matthias&lt;/author&gt;&lt;/authors&gt;&lt;tertiary-authors&gt;&lt;author&gt;European Commission&lt;/author&gt;&lt;/tertiary-authors&gt;&lt;subsidiary-authors&gt;&lt;author&gt;Directorate-General for Environment&lt;/author&gt;&lt;/subsidiary-authors&gt;&lt;/contributors&gt;&lt;titles&gt;&lt;title&gt;Study on energy costs, taxes and the impact of government interventions on investments - Country subsidy factsheets&lt;/title&gt;&lt;/titles&gt;&lt;number&gt;ENER/2018-A4/2018-471&lt;/number&gt;&lt;dates&gt;&lt;year&gt;2020&lt;/year&gt;&lt;pub-dates&gt;&lt;date&gt;26.10.2020&lt;/date&gt;&lt;/pub-dates&gt;&lt;/dates&gt;&lt;pub-location&gt;Luxembourg&lt;/pub-location&gt;&lt;publisher&gt;European Commission&lt;/publisher&gt;&lt;urls&gt;&lt;related-urls&gt;&lt;url&gt;https://ec.europa.eu/energy/studies_main/final_studies/study-energy-costs-taxes-and-impact-government-interventions-investments_en&lt;/url&gt;&lt;/related-urls&gt;&lt;/urls&gt;&lt;/record&gt;&lt;/Cite&gt;&lt;/EndNote&gt;</w:instrText>
            </w:r>
            <w:r>
              <w:rPr>
                <w:rFonts w:cstheme="minorHAnsi"/>
                <w:sz w:val="22"/>
                <w:szCs w:val="22"/>
                <w:lang w:val="hu-HU"/>
              </w:rPr>
              <w:fldChar w:fldCharType="separate"/>
            </w:r>
            <w:r>
              <w:rPr>
                <w:rFonts w:cstheme="minorHAnsi"/>
                <w:noProof/>
                <w:sz w:val="22"/>
                <w:szCs w:val="22"/>
                <w:lang w:val="hu-HU"/>
              </w:rPr>
              <w:t>Yearwood et al. (2020)</w:t>
            </w:r>
            <w:r>
              <w:rPr>
                <w:rFonts w:cstheme="minorHAnsi"/>
                <w:sz w:val="22"/>
                <w:szCs w:val="22"/>
                <w:lang w:val="hu-HU"/>
              </w:rPr>
              <w:fldChar w:fldCharType="end"/>
            </w:r>
          </w:p>
        </w:tc>
      </w:tr>
      <w:tr w:rsidR="00FB66C8" w:rsidRPr="00BE2F26" w14:paraId="1E22EE81" w14:textId="77777777" w:rsidTr="00FB66C8">
        <w:trPr>
          <w:trHeight w:val="44"/>
        </w:trPr>
        <w:tc>
          <w:tcPr>
            <w:tcW w:w="4541" w:type="dxa"/>
          </w:tcPr>
          <w:p w14:paraId="10B9F488" w14:textId="77777777" w:rsidR="00FB66C8" w:rsidRPr="00EF1B98" w:rsidRDefault="00FB66C8" w:rsidP="009A444C">
            <w:pPr>
              <w:rPr>
                <w:rFonts w:cstheme="minorHAnsi"/>
                <w:sz w:val="22"/>
                <w:szCs w:val="22"/>
                <w:lang w:val="en-GB"/>
              </w:rPr>
            </w:pPr>
            <w:r w:rsidRPr="00EF1B98">
              <w:rPr>
                <w:rFonts w:cstheme="minorHAnsi"/>
                <w:sz w:val="22"/>
                <w:szCs w:val="22"/>
                <w:lang w:val="en-GB"/>
              </w:rPr>
              <w:t>Energy (resources) – Energy policy – Nuclear energy groups</w:t>
            </w:r>
          </w:p>
        </w:tc>
        <w:tc>
          <w:tcPr>
            <w:tcW w:w="4542" w:type="dxa"/>
          </w:tcPr>
          <w:p w14:paraId="48E6CEB0"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Public support for </w:t>
            </w:r>
            <w:r>
              <w:rPr>
                <w:rFonts w:cstheme="minorHAnsi"/>
                <w:sz w:val="22"/>
                <w:szCs w:val="22"/>
                <w:lang w:val="en-GB"/>
              </w:rPr>
              <w:t>nuclear energy</w:t>
            </w:r>
            <w:r w:rsidRPr="00EF1B98">
              <w:rPr>
                <w:rFonts w:cstheme="minorHAnsi"/>
                <w:sz w:val="22"/>
                <w:szCs w:val="22"/>
                <w:lang w:val="en-GB"/>
              </w:rPr>
              <w:t xml:space="preserve"> as</w:t>
            </w:r>
            <w:r>
              <w:rPr>
                <w:rFonts w:cstheme="minorHAnsi"/>
                <w:sz w:val="22"/>
                <w:szCs w:val="22"/>
                <w:lang w:val="en-GB"/>
              </w:rPr>
              <w:t xml:space="preserve"> a % of GDP</w:t>
            </w:r>
            <w:r w:rsidRPr="00EF1B98">
              <w:rPr>
                <w:rFonts w:cstheme="minorHAnsi"/>
                <w:sz w:val="22"/>
                <w:szCs w:val="22"/>
                <w:lang w:val="en-GB"/>
              </w:rPr>
              <w:t>, 201</w:t>
            </w:r>
            <w:r>
              <w:rPr>
                <w:rFonts w:cstheme="minorHAnsi"/>
                <w:sz w:val="22"/>
                <w:szCs w:val="22"/>
                <w:lang w:val="en-GB"/>
              </w:rPr>
              <w:t>7</w:t>
            </w:r>
          </w:p>
        </w:tc>
        <w:tc>
          <w:tcPr>
            <w:tcW w:w="4542" w:type="dxa"/>
          </w:tcPr>
          <w:p w14:paraId="59940223" w14:textId="77777777" w:rsidR="00FB66C8" w:rsidRPr="00EF1B9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AuthorYear="1"&gt;&lt;Author&gt;Yearwood&lt;/Author&gt;&lt;Year&gt;2020&lt;/Year&gt;&lt;RecNum&gt;537&lt;/RecNum&gt;&lt;DisplayText&gt;Yearwood et al. (2020)&lt;/DisplayText&gt;&lt;record&gt;&lt;rec-number&gt;537&lt;/rec-number&gt;&lt;foreign-keys&gt;&lt;key app="EN" db-id="w2tfxxd005z5wjefarqx9den2arzfsx9xfde" timestamp="1617960521" guid="5cd11b85-0700-4a6f-90cb-b4f4dd231a85"&gt;537&lt;/key&gt;&lt;/foreign-keys&gt;&lt;ref-type name="Report"&gt;27&lt;/ref-type&gt;&lt;contributors&gt;&lt;authors&gt;&lt;author&gt;Yearwood, Jessica&lt;/author&gt;&lt;author&gt;Torres, Perla&lt;/author&gt;&lt;author&gt;Badouard, Thierry&lt;/author&gt;&lt;author&gt;Moreira de Oliveira, Débora&lt;/author&gt;&lt;author&gt;Altmann, Matthias&lt;/author&gt;&lt;/authors&gt;&lt;tertiary-authors&gt;&lt;author&gt;European Commission&lt;/author&gt;&lt;/tertiary-authors&gt;&lt;subsidiary-authors&gt;&lt;author&gt;Directorate-General for Environment&lt;/author&gt;&lt;/subsidiary-authors&gt;&lt;/contributors&gt;&lt;titles&gt;&lt;title&gt;Study on energy costs, taxes and the impact of government interventions on investments - Country subsidy factsheets&lt;/title&gt;&lt;/titles&gt;&lt;number&gt;ENER/2018-A4/2018-471&lt;/number&gt;&lt;dates&gt;&lt;year&gt;2020&lt;/year&gt;&lt;pub-dates&gt;&lt;date&gt;26.10.2020&lt;/date&gt;&lt;/pub-dates&gt;&lt;/dates&gt;&lt;pub-location&gt;Luxembourg&lt;/pub-location&gt;&lt;publisher&gt;European Commission&lt;/publisher&gt;&lt;urls&gt;&lt;related-urls&gt;&lt;url&gt;https://ec.europa.eu/energy/studies_main/final_studies/study-energy-costs-taxes-and-impact-government-interventions-investments_en&lt;/url&gt;&lt;/related-urls&gt;&lt;/urls&gt;&lt;/record&gt;&lt;/Cite&gt;&lt;/EndNote&gt;</w:instrText>
            </w:r>
            <w:r>
              <w:rPr>
                <w:rFonts w:cstheme="minorHAnsi"/>
                <w:sz w:val="22"/>
                <w:szCs w:val="22"/>
                <w:lang w:val="en-GB"/>
              </w:rPr>
              <w:fldChar w:fldCharType="separate"/>
            </w:r>
            <w:r>
              <w:rPr>
                <w:rFonts w:cstheme="minorHAnsi"/>
                <w:noProof/>
                <w:sz w:val="22"/>
                <w:szCs w:val="22"/>
                <w:lang w:val="en-GB"/>
              </w:rPr>
              <w:t>Yearwood et al. (2020)</w:t>
            </w:r>
            <w:r>
              <w:rPr>
                <w:rFonts w:cstheme="minorHAnsi"/>
                <w:sz w:val="22"/>
                <w:szCs w:val="22"/>
                <w:lang w:val="en-GB"/>
              </w:rPr>
              <w:fldChar w:fldCharType="end"/>
            </w:r>
          </w:p>
        </w:tc>
      </w:tr>
      <w:tr w:rsidR="00FB66C8" w:rsidRPr="00BE2F26" w14:paraId="4E932343" w14:textId="77777777" w:rsidTr="00FB66C8">
        <w:trPr>
          <w:trHeight w:val="44"/>
        </w:trPr>
        <w:tc>
          <w:tcPr>
            <w:tcW w:w="4541" w:type="dxa"/>
          </w:tcPr>
          <w:p w14:paraId="3D249305"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Energy (resources) – Energy policy – </w:t>
            </w:r>
            <w:r>
              <w:rPr>
                <w:rFonts w:cstheme="minorHAnsi"/>
                <w:sz w:val="22"/>
                <w:szCs w:val="22"/>
                <w:lang w:val="en-GB"/>
              </w:rPr>
              <w:t>Renewable energy groups</w:t>
            </w:r>
          </w:p>
        </w:tc>
        <w:tc>
          <w:tcPr>
            <w:tcW w:w="4542" w:type="dxa"/>
          </w:tcPr>
          <w:p w14:paraId="3F28FD95"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Public support for </w:t>
            </w:r>
            <w:r>
              <w:rPr>
                <w:rFonts w:cstheme="minorHAnsi"/>
                <w:sz w:val="22"/>
                <w:szCs w:val="22"/>
                <w:lang w:val="en-GB"/>
              </w:rPr>
              <w:t>renewable energy</w:t>
            </w:r>
            <w:r w:rsidRPr="00EF1B98">
              <w:rPr>
                <w:rFonts w:cstheme="minorHAnsi"/>
                <w:sz w:val="22"/>
                <w:szCs w:val="22"/>
                <w:lang w:val="en-GB"/>
              </w:rPr>
              <w:t xml:space="preserve"> as</w:t>
            </w:r>
            <w:r>
              <w:rPr>
                <w:rFonts w:cstheme="minorHAnsi"/>
                <w:sz w:val="22"/>
                <w:szCs w:val="22"/>
                <w:lang w:val="en-GB"/>
              </w:rPr>
              <w:t xml:space="preserve"> a % of GDP</w:t>
            </w:r>
            <w:r w:rsidRPr="00EF1B98">
              <w:rPr>
                <w:rFonts w:cstheme="minorHAnsi"/>
                <w:sz w:val="22"/>
                <w:szCs w:val="22"/>
                <w:lang w:val="en-GB"/>
              </w:rPr>
              <w:t>, 201</w:t>
            </w:r>
            <w:r>
              <w:rPr>
                <w:rFonts w:cstheme="minorHAnsi"/>
                <w:sz w:val="22"/>
                <w:szCs w:val="22"/>
                <w:lang w:val="en-GB"/>
              </w:rPr>
              <w:t>7</w:t>
            </w:r>
          </w:p>
        </w:tc>
        <w:tc>
          <w:tcPr>
            <w:tcW w:w="4542" w:type="dxa"/>
          </w:tcPr>
          <w:p w14:paraId="22952402" w14:textId="77777777" w:rsidR="00FB66C8" w:rsidRPr="00EF1B9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AuthorYear="1"&gt;&lt;Author&gt;Yearwood&lt;/Author&gt;&lt;Year&gt;2020&lt;/Year&gt;&lt;RecNum&gt;537&lt;/RecNum&gt;&lt;DisplayText&gt;Yearwood et al. (2020)&lt;/DisplayText&gt;&lt;record&gt;&lt;rec-number&gt;537&lt;/rec-number&gt;&lt;foreign-keys&gt;&lt;key app="EN" db-id="w2tfxxd005z5wjefarqx9den2arzfsx9xfde" timestamp="1617960521" guid="5cd11b85-0700-4a6f-90cb-b4f4dd231a85"&gt;537&lt;/key&gt;&lt;/foreign-keys&gt;&lt;ref-type name="Report"&gt;27&lt;/ref-type&gt;&lt;contributors&gt;&lt;authors&gt;&lt;author&gt;Yearwood, Jessica&lt;/author&gt;&lt;author&gt;Torres, Perla&lt;/author&gt;&lt;author&gt;Badouard, Thierry&lt;/author&gt;&lt;author&gt;Moreira de Oliveira, Débora&lt;/author&gt;&lt;author&gt;Altmann, Matthias&lt;/author&gt;&lt;/authors&gt;&lt;tertiary-authors&gt;&lt;author&gt;European Commission&lt;/author&gt;&lt;/tertiary-authors&gt;&lt;subsidiary-authors&gt;&lt;author&gt;Directorate-General for Environment&lt;/author&gt;&lt;/subsidiary-authors&gt;&lt;/contributors&gt;&lt;titles&gt;&lt;title&gt;Study on energy costs, taxes and the impact of government interventions on investments - Country subsidy factsheets&lt;/title&gt;&lt;/titles&gt;&lt;number&gt;ENER/2018-A4/2018-471&lt;/number&gt;&lt;dates&gt;&lt;year&gt;2020&lt;/year&gt;&lt;pub-dates&gt;&lt;date&gt;26.10.2020&lt;/date&gt;&lt;/pub-dates&gt;&lt;/dates&gt;&lt;pub-location&gt;Luxembourg&lt;/pub-location&gt;&lt;publisher&gt;European Commission&lt;/publisher&gt;&lt;urls&gt;&lt;related-urls&gt;&lt;url&gt;https://ec.europa.eu/energy/studies_main/final_studies/study-energy-costs-taxes-and-impact-government-interventions-investments_en&lt;/url&gt;&lt;/related-urls&gt;&lt;/urls&gt;&lt;/record&gt;&lt;/Cite&gt;&lt;/EndNote&gt;</w:instrText>
            </w:r>
            <w:r>
              <w:rPr>
                <w:rFonts w:cstheme="minorHAnsi"/>
                <w:sz w:val="22"/>
                <w:szCs w:val="22"/>
                <w:lang w:val="en-GB"/>
              </w:rPr>
              <w:fldChar w:fldCharType="separate"/>
            </w:r>
            <w:r>
              <w:rPr>
                <w:rFonts w:cstheme="minorHAnsi"/>
                <w:noProof/>
                <w:sz w:val="22"/>
                <w:szCs w:val="22"/>
                <w:lang w:val="en-GB"/>
              </w:rPr>
              <w:t>Yearwood et al. (2020)</w:t>
            </w:r>
            <w:r>
              <w:rPr>
                <w:rFonts w:cstheme="minorHAnsi"/>
                <w:sz w:val="22"/>
                <w:szCs w:val="22"/>
                <w:lang w:val="en-GB"/>
              </w:rPr>
              <w:fldChar w:fldCharType="end"/>
            </w:r>
          </w:p>
        </w:tc>
      </w:tr>
      <w:tr w:rsidR="00FB66C8" w:rsidRPr="00EF1B98" w14:paraId="28579210" w14:textId="77777777" w:rsidTr="00FB66C8">
        <w:trPr>
          <w:trHeight w:val="44"/>
        </w:trPr>
        <w:tc>
          <w:tcPr>
            <w:tcW w:w="4541" w:type="dxa"/>
          </w:tcPr>
          <w:p w14:paraId="7DBCA691" w14:textId="77777777" w:rsidR="00FB66C8" w:rsidRPr="004D0125" w:rsidRDefault="00FB66C8" w:rsidP="009A444C">
            <w:pPr>
              <w:rPr>
                <w:rFonts w:cstheme="minorHAnsi"/>
                <w:sz w:val="22"/>
                <w:szCs w:val="22"/>
                <w:lang w:val="en-GB"/>
              </w:rPr>
            </w:pPr>
            <w:r w:rsidRPr="004D0125">
              <w:rPr>
                <w:rFonts w:cstheme="minorHAnsi"/>
                <w:sz w:val="22"/>
                <w:szCs w:val="22"/>
                <w:lang w:val="en-GB"/>
              </w:rPr>
              <w:lastRenderedPageBreak/>
              <w:t>Energy (resources) – Energy policy – Environmental protection groups</w:t>
            </w:r>
          </w:p>
        </w:tc>
        <w:tc>
          <w:tcPr>
            <w:tcW w:w="4542" w:type="dxa"/>
          </w:tcPr>
          <w:p w14:paraId="494EF1BA" w14:textId="77777777" w:rsidR="00FB66C8" w:rsidRPr="004D0125" w:rsidRDefault="00FB66C8" w:rsidP="009A444C">
            <w:pPr>
              <w:rPr>
                <w:rFonts w:cstheme="minorHAnsi"/>
                <w:sz w:val="22"/>
                <w:szCs w:val="22"/>
                <w:lang w:val="en-GB"/>
              </w:rPr>
            </w:pPr>
            <w:r>
              <w:rPr>
                <w:rFonts w:cstheme="minorHAnsi"/>
                <w:sz w:val="22"/>
                <w:szCs w:val="22"/>
                <w:lang w:val="en-GB"/>
              </w:rPr>
              <w:t>Total government expenditure on environmental protection (waste management, water management, pollution abatement, protection of biodiversity and landscape, R</w:t>
            </w:r>
            <w:r w:rsidRPr="002A057F">
              <w:rPr>
                <w:rFonts w:cstheme="minorHAnsi"/>
                <w:sz w:val="22"/>
                <w:szCs w:val="22"/>
                <w:lang w:val="en-US"/>
              </w:rPr>
              <w:t>&amp;</w:t>
            </w:r>
            <w:r>
              <w:rPr>
                <w:rFonts w:cstheme="minorHAnsi"/>
                <w:sz w:val="22"/>
                <w:szCs w:val="22"/>
                <w:lang w:val="en-US"/>
              </w:rPr>
              <w:t>D</w:t>
            </w:r>
            <w:r>
              <w:rPr>
                <w:rFonts w:cstheme="minorHAnsi"/>
                <w:sz w:val="22"/>
                <w:szCs w:val="22"/>
                <w:lang w:val="hu-HU"/>
              </w:rPr>
              <w:t xml:space="preserve"> </w:t>
            </w:r>
            <w:proofErr w:type="spellStart"/>
            <w:r>
              <w:rPr>
                <w:rFonts w:cstheme="minorHAnsi"/>
                <w:sz w:val="22"/>
                <w:szCs w:val="22"/>
                <w:lang w:val="hu-HU"/>
              </w:rPr>
              <w:t>environmental</w:t>
            </w:r>
            <w:proofErr w:type="spellEnd"/>
            <w:r>
              <w:rPr>
                <w:rFonts w:cstheme="minorHAnsi"/>
                <w:sz w:val="22"/>
                <w:szCs w:val="22"/>
                <w:lang w:val="hu-HU"/>
              </w:rPr>
              <w:t xml:space="preserve"> </w:t>
            </w:r>
            <w:proofErr w:type="spellStart"/>
            <w:r>
              <w:rPr>
                <w:rFonts w:cstheme="minorHAnsi"/>
                <w:sz w:val="22"/>
                <w:szCs w:val="22"/>
                <w:lang w:val="hu-HU"/>
              </w:rPr>
              <w:t>protection</w:t>
            </w:r>
            <w:proofErr w:type="spellEnd"/>
            <w:r>
              <w:rPr>
                <w:rFonts w:cstheme="minorHAnsi"/>
                <w:sz w:val="22"/>
                <w:szCs w:val="22"/>
                <w:lang w:val="hu-HU"/>
              </w:rPr>
              <w:t xml:space="preserve">) </w:t>
            </w:r>
            <w:proofErr w:type="spellStart"/>
            <w:r>
              <w:rPr>
                <w:rFonts w:cstheme="minorHAnsi"/>
                <w:sz w:val="22"/>
                <w:szCs w:val="22"/>
                <w:lang w:val="hu-HU"/>
              </w:rPr>
              <w:t>as</w:t>
            </w:r>
            <w:proofErr w:type="spellEnd"/>
            <w:r>
              <w:rPr>
                <w:rFonts w:cstheme="minorHAnsi"/>
                <w:sz w:val="22"/>
                <w:szCs w:val="22"/>
                <w:lang w:val="hu-HU"/>
              </w:rPr>
              <w:t xml:space="preserve"> % of GDP in 2017</w:t>
            </w:r>
          </w:p>
        </w:tc>
        <w:tc>
          <w:tcPr>
            <w:tcW w:w="4542" w:type="dxa"/>
          </w:tcPr>
          <w:p w14:paraId="749C3985" w14:textId="77777777" w:rsidR="00FB66C8" w:rsidRPr="004D0125"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AuthorYear="1"&gt;&lt;Author&gt;Eurostat&lt;/Author&gt;&lt;Year&gt;2021&lt;/Year&gt;&lt;RecNum&gt;536&lt;/RecNum&gt;&lt;DisplayText&gt;Eurostat (2021a)&lt;/DisplayText&gt;&lt;record&gt;&lt;rec-number&gt;536&lt;/rec-number&gt;&lt;foreign-keys&gt;&lt;key app="EN" db-id="w2tfxxd005z5wjefarqx9den2arzfsx9xfde" timestamp="1617897877" guid="cb088bfd-faae-4399-a2cd-89e4016a97e2"&gt;536&lt;/key&gt;&lt;/foreign-keys&gt;&lt;ref-type name="Online Database"&gt;45&lt;/ref-type&gt;&lt;contributors&gt;&lt;authors&gt;&lt;author&gt;Eurostat&lt;/author&gt;&lt;/authors&gt;&lt;/contributors&gt;&lt;titles&gt;&lt;title&gt;General government expenditure by function (COFOG)&lt;/title&gt;&lt;/titles&gt;&lt;edition&gt;22.03.2021&lt;/edition&gt;&lt;dates&gt;&lt;year&gt;2021&lt;/year&gt;&lt;pub-dates&gt;&lt;date&gt;08.04.2021&lt;/date&gt;&lt;/pub-dates&gt;&lt;/dates&gt;&lt;pub-location&gt;Luxembourg&lt;/pub-location&gt;&lt;publisher&gt;Eurostat&lt;/publisher&gt;&lt;urls&gt;&lt;related-urls&gt;&lt;url&gt;https://ec.europa.eu/eurostat/databrowser/view/gov_10a_exp/default/table?lang=en&lt;/url&gt;&lt;/related-urls&gt;&lt;/urls&gt;&lt;/record&gt;&lt;/Cite&gt;&lt;/EndNote&gt;</w:instrText>
            </w:r>
            <w:r>
              <w:rPr>
                <w:rFonts w:cstheme="minorHAnsi"/>
                <w:sz w:val="22"/>
                <w:szCs w:val="22"/>
                <w:lang w:val="en-GB"/>
              </w:rPr>
              <w:fldChar w:fldCharType="separate"/>
            </w:r>
            <w:r>
              <w:rPr>
                <w:rFonts w:cstheme="minorHAnsi"/>
                <w:noProof/>
                <w:sz w:val="22"/>
                <w:szCs w:val="22"/>
                <w:lang w:val="en-GB"/>
              </w:rPr>
              <w:t>Eurostat (2021a)</w:t>
            </w:r>
            <w:r>
              <w:rPr>
                <w:rFonts w:cstheme="minorHAnsi"/>
                <w:sz w:val="22"/>
                <w:szCs w:val="22"/>
                <w:lang w:val="en-GB"/>
              </w:rPr>
              <w:fldChar w:fldCharType="end"/>
            </w:r>
          </w:p>
        </w:tc>
      </w:tr>
      <w:tr w:rsidR="00FB66C8" w:rsidRPr="00EF1B98" w14:paraId="7BFFECC8" w14:textId="77777777" w:rsidTr="00FB66C8">
        <w:trPr>
          <w:trHeight w:val="44"/>
        </w:trPr>
        <w:tc>
          <w:tcPr>
            <w:tcW w:w="4541" w:type="dxa"/>
          </w:tcPr>
          <w:p w14:paraId="428B3545"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Area (constituency) – </w:t>
            </w:r>
            <w:r>
              <w:rPr>
                <w:rFonts w:cstheme="minorHAnsi"/>
                <w:sz w:val="22"/>
                <w:szCs w:val="22"/>
                <w:lang w:val="en-GB"/>
              </w:rPr>
              <w:t>Fossil e</w:t>
            </w:r>
            <w:r w:rsidRPr="00EF1B98">
              <w:rPr>
                <w:rFonts w:cstheme="minorHAnsi"/>
                <w:sz w:val="22"/>
                <w:szCs w:val="22"/>
                <w:lang w:val="en-GB"/>
              </w:rPr>
              <w:t>nergy policy groups</w:t>
            </w:r>
          </w:p>
        </w:tc>
        <w:tc>
          <w:tcPr>
            <w:tcW w:w="4542" w:type="dxa"/>
          </w:tcPr>
          <w:p w14:paraId="71878084" w14:textId="77777777" w:rsidR="00FB66C8" w:rsidRPr="002A057F" w:rsidRDefault="00FB66C8" w:rsidP="009A444C">
            <w:pPr>
              <w:rPr>
                <w:lang w:val="en-US"/>
              </w:rPr>
            </w:pPr>
            <w:r w:rsidRPr="00EF1B98">
              <w:rPr>
                <w:rFonts w:cstheme="minorHAnsi"/>
                <w:sz w:val="22"/>
                <w:szCs w:val="22"/>
                <w:lang w:val="en-GB"/>
              </w:rPr>
              <w:t xml:space="preserve">Logarithm of the number of </w:t>
            </w:r>
            <w:r>
              <w:rPr>
                <w:rFonts w:cstheme="minorHAnsi"/>
                <w:sz w:val="22"/>
                <w:szCs w:val="22"/>
                <w:lang w:val="en-GB"/>
              </w:rPr>
              <w:t>employees per 100,000 inhabitants in: mining of coal and lignite, extraction of crude petroleum, extraction of natural gas, s</w:t>
            </w:r>
            <w:proofErr w:type="spellStart"/>
            <w:r w:rsidRPr="002A057F">
              <w:rPr>
                <w:rFonts w:cstheme="minorHAnsi"/>
                <w:color w:val="000000"/>
                <w:sz w:val="22"/>
                <w:szCs w:val="22"/>
                <w:shd w:val="clear" w:color="auto" w:fill="FFFFFF"/>
                <w:lang w:val="en-US"/>
              </w:rPr>
              <w:t>upport</w:t>
            </w:r>
            <w:proofErr w:type="spellEnd"/>
            <w:r w:rsidRPr="002A057F">
              <w:rPr>
                <w:rFonts w:cstheme="minorHAnsi"/>
                <w:color w:val="000000"/>
                <w:sz w:val="22"/>
                <w:szCs w:val="22"/>
                <w:shd w:val="clear" w:color="auto" w:fill="FFFFFF"/>
                <w:lang w:val="en-US"/>
              </w:rPr>
              <w:t xml:space="preserve"> activities for petroleum and natural gas extraction</w:t>
            </w:r>
            <w:r>
              <w:rPr>
                <w:rFonts w:cstheme="minorHAnsi"/>
                <w:color w:val="000000"/>
                <w:sz w:val="22"/>
                <w:szCs w:val="22"/>
                <w:shd w:val="clear" w:color="auto" w:fill="FFFFFF"/>
                <w:lang w:val="en-US"/>
              </w:rPr>
              <w:t>, electric power generation, transmission and distribution, manufacture of gas; distribution of gaseous fuels through mains, in 2017</w:t>
            </w:r>
          </w:p>
        </w:tc>
        <w:tc>
          <w:tcPr>
            <w:tcW w:w="4542" w:type="dxa"/>
          </w:tcPr>
          <w:p w14:paraId="765A29BB" w14:textId="77777777" w:rsidR="00FB66C8" w:rsidRPr="00EF1B9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AuthorYear="1"&gt;&lt;Author&gt;Eurostat&lt;/Author&gt;&lt;Year&gt;2021&lt;/Year&gt;&lt;RecNum&gt;542&lt;/RecNum&gt;&lt;DisplayText&gt;Eurostat (2021b)&lt;/DisplayText&gt;&lt;record&gt;&lt;rec-number&gt;542&lt;/rec-number&gt;&lt;foreign-keys&gt;&lt;key app="EN" db-id="w2tfxxd005z5wjefarqx9den2arzfsx9xfde" timestamp="1619022378" guid="51b8be93-aa1e-4f5c-a8d0-3c5bd34b3842"&gt;542&lt;/key&gt;&lt;/foreign-keys&gt;&lt;ref-type name="Online Database"&gt;45&lt;/ref-type&gt;&lt;contributors&gt;&lt;authors&gt;&lt;author&gt;Eurostat&lt;/author&gt;&lt;/authors&gt;&lt;/contributors&gt;&lt;titles&gt;&lt;title&gt;Industry by employment size class (NACE Rev. 2, B-E)&lt;/title&gt;&lt;/titles&gt;&lt;edition&gt;08.03.2021&lt;/edition&gt;&lt;dates&gt;&lt;year&gt;2021&lt;/year&gt;&lt;pub-dates&gt;&lt;date&gt;21.04.2021&lt;/date&gt;&lt;/pub-dates&gt;&lt;/dates&gt;&lt;pub-location&gt;Luxembourg&lt;/pub-location&gt;&lt;publisher&gt;Eurostat&lt;/publisher&gt;&lt;isbn&gt;sbs_sc_ind_r2&lt;/isbn&gt;&lt;urls&gt;&lt;related-urls&gt;&lt;url&gt;https://appsso.eurostat.ec.europa.eu/nui/show.do?dataset=sbs_sc_ind_r2&amp;amp;lang=en&lt;/url&gt;&lt;/related-urls&gt;&lt;/urls&gt;&lt;/record&gt;&lt;/Cite&gt;&lt;/EndNote&gt;</w:instrText>
            </w:r>
            <w:r>
              <w:rPr>
                <w:rFonts w:cstheme="minorHAnsi"/>
                <w:sz w:val="22"/>
                <w:szCs w:val="22"/>
                <w:lang w:val="en-GB"/>
              </w:rPr>
              <w:fldChar w:fldCharType="separate"/>
            </w:r>
            <w:r>
              <w:rPr>
                <w:rFonts w:cstheme="minorHAnsi"/>
                <w:noProof/>
                <w:sz w:val="22"/>
                <w:szCs w:val="22"/>
                <w:lang w:val="en-GB"/>
              </w:rPr>
              <w:t>Eurostat (2021b)</w:t>
            </w:r>
            <w:r>
              <w:rPr>
                <w:rFonts w:cstheme="minorHAnsi"/>
                <w:sz w:val="22"/>
                <w:szCs w:val="22"/>
                <w:lang w:val="en-GB"/>
              </w:rPr>
              <w:fldChar w:fldCharType="end"/>
            </w:r>
          </w:p>
        </w:tc>
      </w:tr>
      <w:tr w:rsidR="00FB66C8" w:rsidRPr="00585B55" w14:paraId="1523977C" w14:textId="77777777" w:rsidTr="00FB66C8">
        <w:trPr>
          <w:trHeight w:val="44"/>
        </w:trPr>
        <w:tc>
          <w:tcPr>
            <w:tcW w:w="4541" w:type="dxa"/>
          </w:tcPr>
          <w:p w14:paraId="242BAC9E"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Area (constituency) – </w:t>
            </w:r>
            <w:r>
              <w:rPr>
                <w:rFonts w:cstheme="minorHAnsi"/>
                <w:sz w:val="22"/>
                <w:szCs w:val="22"/>
                <w:lang w:val="en-GB"/>
              </w:rPr>
              <w:t>Nuclear e</w:t>
            </w:r>
            <w:r w:rsidRPr="00EF1B98">
              <w:rPr>
                <w:rFonts w:cstheme="minorHAnsi"/>
                <w:sz w:val="22"/>
                <w:szCs w:val="22"/>
                <w:lang w:val="en-GB"/>
              </w:rPr>
              <w:t>nergy policy groups</w:t>
            </w:r>
          </w:p>
        </w:tc>
        <w:tc>
          <w:tcPr>
            <w:tcW w:w="4542" w:type="dxa"/>
          </w:tcPr>
          <w:p w14:paraId="3A89FBE5" w14:textId="77777777" w:rsidR="00FB66C8" w:rsidRPr="00EF1B98" w:rsidRDefault="00FB66C8" w:rsidP="009A444C">
            <w:pPr>
              <w:rPr>
                <w:rFonts w:cstheme="minorHAnsi"/>
                <w:sz w:val="22"/>
                <w:szCs w:val="22"/>
                <w:lang w:val="en-GB"/>
              </w:rPr>
            </w:pPr>
            <w:r>
              <w:rPr>
                <w:rFonts w:cstheme="minorHAnsi"/>
                <w:sz w:val="22"/>
                <w:szCs w:val="22"/>
                <w:lang w:val="en-GB"/>
              </w:rPr>
              <w:t>Logarithm of the employment impact of the nuclear power sector in countries with current capacities per 100,000 inhabitants (Poland does not have any current capacities), 2019</w:t>
            </w:r>
          </w:p>
        </w:tc>
        <w:tc>
          <w:tcPr>
            <w:tcW w:w="4542" w:type="dxa"/>
          </w:tcPr>
          <w:p w14:paraId="5A915981" w14:textId="77777777" w:rsidR="00FB66C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AuthorYear="1"&gt;&lt;Author&gt;Deloitte&lt;/Author&gt;&lt;Year&gt;2020&lt;/Year&gt;&lt;RecNum&gt;546&lt;/RecNum&gt;&lt;DisplayText&gt;Deloitte (2020)&lt;/DisplayText&gt;&lt;record&gt;&lt;rec-number&gt;546&lt;/rec-number&gt;&lt;foreign-keys&gt;&lt;key app="EN" db-id="w2tfxxd005z5wjefarqx9den2arzfsx9xfde" timestamp="1619079408" guid="610a98e6-6c83-4921-8d3a-89157afbd6db"&gt;546&lt;/key&gt;&lt;/foreign-keys&gt;&lt;ref-type name="Report"&gt;27&lt;/ref-type&gt;&lt;contributors&gt;&lt;authors&gt;&lt;author&gt;Deloitte&lt;/author&gt;&lt;/authors&gt;&lt;tertiary-authors&gt;&lt;author&gt;Foratom&lt;/author&gt;&lt;/tertiary-authors&gt;&lt;/contributors&gt;&lt;titles&gt;&lt;title&gt;Economic and Social Impact Report Foratom&lt;/title&gt;&lt;/titles&gt;&lt;dates&gt;&lt;year&gt;2020&lt;/year&gt;&lt;pub-dates&gt;&lt;date&gt;25.04.2019&lt;/date&gt;&lt;/pub-dates&gt;&lt;/dates&gt;&lt;pub-location&gt;Bucharest&lt;/pub-location&gt;&lt;publisher&gt;Deloitte Romania&lt;/publisher&gt;&lt;urls&gt;&lt;related-urls&gt;&lt;url&gt;https://www.foratom.org/press-release/investing-in-low-carbon-nuclear-generates-jobs-and-economic-growth-in-europe/&lt;/url&gt;&lt;/related-urls&gt;&lt;/urls&gt;&lt;/record&gt;&lt;/Cite&gt;&lt;/EndNote&gt;</w:instrText>
            </w:r>
            <w:r>
              <w:rPr>
                <w:rFonts w:cstheme="minorHAnsi"/>
                <w:sz w:val="22"/>
                <w:szCs w:val="22"/>
                <w:lang w:val="en-GB"/>
              </w:rPr>
              <w:fldChar w:fldCharType="separate"/>
            </w:r>
            <w:r>
              <w:rPr>
                <w:rFonts w:cstheme="minorHAnsi"/>
                <w:noProof/>
                <w:sz w:val="22"/>
                <w:szCs w:val="22"/>
                <w:lang w:val="en-GB"/>
              </w:rPr>
              <w:t>Deloitte (2020)</w:t>
            </w:r>
            <w:r>
              <w:rPr>
                <w:rFonts w:cstheme="minorHAnsi"/>
                <w:sz w:val="22"/>
                <w:szCs w:val="22"/>
                <w:lang w:val="en-GB"/>
              </w:rPr>
              <w:fldChar w:fldCharType="end"/>
            </w:r>
          </w:p>
        </w:tc>
      </w:tr>
      <w:tr w:rsidR="00FB66C8" w:rsidRPr="000413E2" w14:paraId="32AE5A11" w14:textId="77777777" w:rsidTr="00FB66C8">
        <w:trPr>
          <w:trHeight w:val="44"/>
        </w:trPr>
        <w:tc>
          <w:tcPr>
            <w:tcW w:w="4541" w:type="dxa"/>
          </w:tcPr>
          <w:p w14:paraId="11773FEC" w14:textId="77777777" w:rsidR="00FB66C8" w:rsidRPr="002A057F" w:rsidRDefault="00FB66C8" w:rsidP="009A444C">
            <w:pPr>
              <w:rPr>
                <w:rFonts w:cstheme="minorHAnsi"/>
                <w:sz w:val="22"/>
                <w:szCs w:val="22"/>
                <w:lang w:val="en-US"/>
              </w:rPr>
            </w:pPr>
            <w:r w:rsidRPr="000413E2">
              <w:rPr>
                <w:rFonts w:cstheme="minorHAnsi"/>
                <w:sz w:val="22"/>
                <w:szCs w:val="22"/>
                <w:lang w:val="en-GB"/>
              </w:rPr>
              <w:t>Area (constituency) – Renewable e</w:t>
            </w:r>
            <w:r w:rsidRPr="008459E7">
              <w:rPr>
                <w:rFonts w:cstheme="minorHAnsi"/>
                <w:sz w:val="22"/>
                <w:szCs w:val="22"/>
                <w:lang w:val="en-GB"/>
              </w:rPr>
              <w:t>nergy policy groups</w:t>
            </w:r>
          </w:p>
        </w:tc>
        <w:tc>
          <w:tcPr>
            <w:tcW w:w="4542" w:type="dxa"/>
          </w:tcPr>
          <w:p w14:paraId="26DC0C57" w14:textId="77777777" w:rsidR="00FB66C8" w:rsidRPr="009C56C0" w:rsidRDefault="00FB66C8" w:rsidP="009A444C">
            <w:pPr>
              <w:rPr>
                <w:rFonts w:cstheme="minorHAnsi"/>
                <w:sz w:val="22"/>
                <w:szCs w:val="22"/>
                <w:lang w:val="en-GB"/>
              </w:rPr>
            </w:pPr>
            <w:r w:rsidRPr="008459E7">
              <w:rPr>
                <w:rFonts w:cstheme="minorHAnsi"/>
                <w:sz w:val="22"/>
                <w:szCs w:val="22"/>
                <w:lang w:val="en-GB"/>
              </w:rPr>
              <w:t>Logarithm of the number of employees in the renewable energy sector (total – all technologies) per 100</w:t>
            </w:r>
            <w:r>
              <w:rPr>
                <w:rFonts w:cstheme="minorHAnsi"/>
                <w:sz w:val="22"/>
                <w:szCs w:val="22"/>
                <w:lang w:val="en-GB"/>
              </w:rPr>
              <w:t>,</w:t>
            </w:r>
            <w:r w:rsidRPr="008459E7">
              <w:rPr>
                <w:rFonts w:cstheme="minorHAnsi"/>
                <w:sz w:val="22"/>
                <w:szCs w:val="22"/>
                <w:lang w:val="en-GB"/>
              </w:rPr>
              <w:t>000 inhabitants in 2018</w:t>
            </w:r>
          </w:p>
        </w:tc>
        <w:tc>
          <w:tcPr>
            <w:tcW w:w="4542" w:type="dxa"/>
          </w:tcPr>
          <w:p w14:paraId="62D223A5" w14:textId="77777777" w:rsidR="00FB66C8" w:rsidRPr="000413E2" w:rsidRDefault="00FB66C8" w:rsidP="009A444C">
            <w:pPr>
              <w:rPr>
                <w:rFonts w:cstheme="minorHAnsi"/>
                <w:sz w:val="22"/>
                <w:szCs w:val="22"/>
                <w:lang w:val="en-GB"/>
              </w:rPr>
            </w:pPr>
            <w:r w:rsidRPr="000413E2">
              <w:rPr>
                <w:rFonts w:cstheme="minorHAnsi"/>
                <w:sz w:val="22"/>
                <w:szCs w:val="22"/>
                <w:lang w:val="en-GB"/>
              </w:rPr>
              <w:fldChar w:fldCharType="begin"/>
            </w:r>
            <w:r>
              <w:rPr>
                <w:rFonts w:cstheme="minorHAnsi"/>
                <w:sz w:val="22"/>
                <w:szCs w:val="22"/>
                <w:lang w:val="en-GB"/>
              </w:rPr>
              <w:instrText xml:space="preserve"> ADDIN EN.CITE &lt;EndNote&gt;&lt;Cite AuthorYear="1"&gt;&lt;Author&gt;IRENA&lt;/Author&gt;&lt;Year&gt;2020&lt;/Year&gt;&lt;RecNum&gt;543&lt;/RecNum&gt;&lt;DisplayText&gt;IRENA (2020)&lt;/DisplayText&gt;&lt;record&gt;&lt;rec-number&gt;543&lt;/rec-number&gt;&lt;foreign-keys&gt;&lt;key app="EN" db-id="w2tfxxd005z5wjefarqx9den2arzfsx9xfde" timestamp="1619044214" guid="3fb7253e-5188-43ea-8d6b-842d4966ad6f"&gt;543&lt;/key&gt;&lt;/foreign-keys&gt;&lt;ref-type name="Online Database"&gt;45&lt;/ref-type&gt;&lt;contributors&gt;&lt;authors&gt;&lt;author&gt;IRENA&lt;/author&gt;&lt;/authors&gt;&lt;/contributors&gt;&lt;titles&gt;&lt;title&gt;Renewable Energy Employment by Country&lt;/title&gt;&lt;secondary-title&gt;Renewable Energy and Jobs - Annual Review 2020&lt;/secondary-title&gt;&lt;/titles&gt;&lt;edition&gt;September 2020&lt;/edition&gt;&lt;dates&gt;&lt;year&gt;2020&lt;/year&gt;&lt;pub-dates&gt;&lt;date&gt;21.04.2020&lt;/date&gt;&lt;/pub-dates&gt;&lt;/dates&gt;&lt;pub-location&gt;Masdar City&lt;/pub-location&gt;&lt;publisher&gt;International Renewable Energy Agency&lt;/publisher&gt;&lt;urls&gt;&lt;related-urls&gt;&lt;url&gt;https://www.irena.org/Statistics/View-Data-by-Topic/Benefits/Renewable-Energy-Employment-by-Country&lt;/url&gt;&lt;/related-urls&gt;&lt;/urls&gt;&lt;/record&gt;&lt;/Cite&gt;&lt;/EndNote&gt;</w:instrText>
            </w:r>
            <w:r w:rsidRPr="000413E2">
              <w:rPr>
                <w:rFonts w:cstheme="minorHAnsi"/>
                <w:sz w:val="22"/>
                <w:szCs w:val="22"/>
                <w:lang w:val="en-GB"/>
              </w:rPr>
              <w:fldChar w:fldCharType="separate"/>
            </w:r>
            <w:r>
              <w:rPr>
                <w:rFonts w:cstheme="minorHAnsi"/>
                <w:noProof/>
                <w:sz w:val="22"/>
                <w:szCs w:val="22"/>
                <w:lang w:val="en-GB"/>
              </w:rPr>
              <w:t>IRENA (2020)</w:t>
            </w:r>
            <w:r w:rsidRPr="000413E2">
              <w:rPr>
                <w:rFonts w:cstheme="minorHAnsi"/>
                <w:sz w:val="22"/>
                <w:szCs w:val="22"/>
                <w:lang w:val="en-GB"/>
              </w:rPr>
              <w:fldChar w:fldCharType="end"/>
            </w:r>
          </w:p>
        </w:tc>
      </w:tr>
      <w:tr w:rsidR="00FB66C8" w:rsidRPr="008459E7" w14:paraId="65E17341" w14:textId="77777777" w:rsidTr="00FB66C8">
        <w:trPr>
          <w:trHeight w:val="44"/>
        </w:trPr>
        <w:tc>
          <w:tcPr>
            <w:tcW w:w="4541" w:type="dxa"/>
          </w:tcPr>
          <w:p w14:paraId="65C211F2" w14:textId="77777777" w:rsidR="00FB66C8" w:rsidRPr="00EF1B98" w:rsidRDefault="00FB66C8" w:rsidP="009A444C">
            <w:pPr>
              <w:rPr>
                <w:rFonts w:cstheme="minorHAnsi"/>
                <w:sz w:val="22"/>
                <w:szCs w:val="22"/>
                <w:lang w:val="en-GB"/>
              </w:rPr>
            </w:pPr>
            <w:r w:rsidRPr="000413E2">
              <w:rPr>
                <w:rFonts w:cstheme="minorHAnsi"/>
                <w:sz w:val="22"/>
                <w:szCs w:val="22"/>
                <w:lang w:val="en-GB"/>
              </w:rPr>
              <w:t xml:space="preserve">Area (constituency) – </w:t>
            </w:r>
            <w:r>
              <w:rPr>
                <w:rFonts w:cstheme="minorHAnsi"/>
                <w:sz w:val="22"/>
                <w:szCs w:val="22"/>
                <w:lang w:val="en-GB"/>
              </w:rPr>
              <w:t>Environmental protection</w:t>
            </w:r>
            <w:r w:rsidRPr="00981BE1">
              <w:rPr>
                <w:rFonts w:cstheme="minorHAnsi"/>
                <w:sz w:val="22"/>
                <w:szCs w:val="22"/>
                <w:lang w:val="en-GB"/>
              </w:rPr>
              <w:t xml:space="preserve"> groups</w:t>
            </w:r>
          </w:p>
        </w:tc>
        <w:tc>
          <w:tcPr>
            <w:tcW w:w="4542" w:type="dxa"/>
          </w:tcPr>
          <w:p w14:paraId="61374D99" w14:textId="77777777" w:rsidR="00FB66C8" w:rsidRPr="008459E7" w:rsidRDefault="00FB66C8" w:rsidP="009A444C">
            <w:pPr>
              <w:rPr>
                <w:rFonts w:cstheme="minorHAnsi"/>
                <w:sz w:val="22"/>
                <w:szCs w:val="22"/>
                <w:lang w:val="en-GB"/>
              </w:rPr>
            </w:pPr>
            <w:r w:rsidRPr="002A057F">
              <w:rPr>
                <w:rFonts w:cs="Open Sans"/>
                <w:color w:val="000000"/>
                <w:sz w:val="22"/>
                <w:szCs w:val="22"/>
                <w:lang w:val="en-US"/>
              </w:rPr>
              <w:t>Premature deaths attributable to PM</w:t>
            </w:r>
            <w:r w:rsidRPr="00002C41">
              <w:rPr>
                <w:rStyle w:val="A5"/>
                <w:sz w:val="22"/>
                <w:szCs w:val="22"/>
                <w:lang w:val="en-US"/>
              </w:rPr>
              <w:t>2.5</w:t>
            </w:r>
            <w:r w:rsidRPr="002A057F">
              <w:rPr>
                <w:rFonts w:cs="Open Sans"/>
                <w:color w:val="000000"/>
                <w:sz w:val="22"/>
                <w:szCs w:val="22"/>
                <w:lang w:val="en-US"/>
              </w:rPr>
              <w:t>, NO</w:t>
            </w:r>
            <w:r w:rsidRPr="00002C41">
              <w:rPr>
                <w:rStyle w:val="A5"/>
                <w:sz w:val="22"/>
                <w:szCs w:val="22"/>
                <w:lang w:val="en-US"/>
              </w:rPr>
              <w:t xml:space="preserve">2 </w:t>
            </w:r>
            <w:r w:rsidRPr="002A057F">
              <w:rPr>
                <w:rFonts w:cs="Open Sans"/>
                <w:color w:val="000000"/>
                <w:sz w:val="22"/>
                <w:szCs w:val="22"/>
                <w:lang w:val="en-US"/>
              </w:rPr>
              <w:t>and O</w:t>
            </w:r>
            <w:r w:rsidRPr="00002C41">
              <w:rPr>
                <w:rStyle w:val="A5"/>
                <w:sz w:val="22"/>
                <w:szCs w:val="22"/>
                <w:lang w:val="en-US"/>
              </w:rPr>
              <w:t xml:space="preserve">3 </w:t>
            </w:r>
            <w:r w:rsidRPr="002A057F">
              <w:rPr>
                <w:rFonts w:cs="Open Sans"/>
                <w:color w:val="000000"/>
                <w:sz w:val="22"/>
                <w:szCs w:val="22"/>
                <w:lang w:val="en-US"/>
              </w:rPr>
              <w:t>exposure</w:t>
            </w:r>
            <w:r>
              <w:rPr>
                <w:rFonts w:cs="Open Sans"/>
                <w:color w:val="000000"/>
                <w:sz w:val="22"/>
                <w:szCs w:val="22"/>
                <w:lang w:val="en-US"/>
              </w:rPr>
              <w:t xml:space="preserve"> per 100,000 inhabitants in 2016</w:t>
            </w:r>
          </w:p>
        </w:tc>
        <w:tc>
          <w:tcPr>
            <w:tcW w:w="4542" w:type="dxa"/>
          </w:tcPr>
          <w:p w14:paraId="21A8DADF" w14:textId="77777777" w:rsidR="00FB66C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AuthorYear="1"&gt;&lt;Author&gt;EEA&lt;/Author&gt;&lt;Year&gt;2019&lt;/Year&gt;&lt;RecNum&gt;213&lt;/RecNum&gt;&lt;DisplayText&gt;EEA (2019)&lt;/DisplayText&gt;&lt;record&gt;&lt;rec-number&gt;213&lt;/rec-number&gt;&lt;foreign-keys&gt;&lt;key app="EN" db-id="w2tfxxd005z5wjefarqx9den2arzfsx9xfde" timestamp="1617798297" guid="2cb6c09d-2a8a-498d-a872-f7b1717a4933"&gt;213&lt;/key&gt;&lt;/foreign-keys&gt;&lt;ref-type name="Report"&gt;27&lt;/ref-type&gt;&lt;contributors&gt;&lt;authors&gt;&lt;author&gt;EEA&lt;/author&gt;&lt;/authors&gt;&lt;/contributors&gt;&lt;titles&gt;&lt;title&gt;Air Quality in Europe - 2019 report&lt;/title&gt;&lt;secondary-title&gt;EEA Report&lt;/secondary-title&gt;&lt;/titles&gt;&lt;number&gt;10/2019&lt;/number&gt;&lt;dates&gt;&lt;year&gt;2019&lt;/year&gt;&lt;/dates&gt;&lt;pub-location&gt;Copenhagen&lt;/pub-location&gt;&lt;publisher&gt;European Environment Agency&lt;/publisher&gt;&lt;urls&gt;&lt;related-urls&gt;&lt;url&gt;https://www.eea.europa.eu/publications/air-quality-in-europe-2019&lt;/url&gt;&lt;/related-urls&gt;&lt;/urls&gt;&lt;/record&gt;&lt;/Cite&gt;&lt;/EndNote&gt;</w:instrText>
            </w:r>
            <w:r>
              <w:rPr>
                <w:rFonts w:cstheme="minorHAnsi"/>
                <w:sz w:val="22"/>
                <w:szCs w:val="22"/>
                <w:lang w:val="en-GB"/>
              </w:rPr>
              <w:fldChar w:fldCharType="separate"/>
            </w:r>
            <w:r>
              <w:rPr>
                <w:rFonts w:cstheme="minorHAnsi"/>
                <w:noProof/>
                <w:sz w:val="22"/>
                <w:szCs w:val="22"/>
                <w:lang w:val="en-GB"/>
              </w:rPr>
              <w:t>EEA (2019)</w:t>
            </w:r>
            <w:r>
              <w:rPr>
                <w:rFonts w:cstheme="minorHAnsi"/>
                <w:sz w:val="22"/>
                <w:szCs w:val="22"/>
                <w:lang w:val="en-GB"/>
              </w:rPr>
              <w:fldChar w:fldCharType="end"/>
            </w:r>
          </w:p>
        </w:tc>
      </w:tr>
      <w:tr w:rsidR="00FB66C8" w:rsidRPr="00524032" w14:paraId="7E4FAAF6" w14:textId="77777777" w:rsidTr="00FB66C8">
        <w:trPr>
          <w:trHeight w:val="44"/>
        </w:trPr>
        <w:tc>
          <w:tcPr>
            <w:tcW w:w="4541" w:type="dxa"/>
          </w:tcPr>
          <w:p w14:paraId="150F6114" w14:textId="77777777" w:rsidR="00FB66C8" w:rsidRPr="00EF1B98" w:rsidRDefault="00FB66C8" w:rsidP="009A444C">
            <w:pPr>
              <w:rPr>
                <w:rFonts w:cstheme="minorHAnsi"/>
                <w:sz w:val="22"/>
                <w:szCs w:val="22"/>
                <w:lang w:val="en-GB"/>
              </w:rPr>
            </w:pPr>
            <w:r w:rsidRPr="00EF1B98">
              <w:rPr>
                <w:rFonts w:cstheme="minorHAnsi"/>
                <w:sz w:val="22"/>
                <w:szCs w:val="22"/>
                <w:lang w:val="en-GB"/>
              </w:rPr>
              <w:t>Area (constituency) – Healthcare business</w:t>
            </w:r>
          </w:p>
        </w:tc>
        <w:tc>
          <w:tcPr>
            <w:tcW w:w="4542" w:type="dxa"/>
          </w:tcPr>
          <w:p w14:paraId="0A0BF54A"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Logarithm of the number of pharmaceutical </w:t>
            </w:r>
            <w:r>
              <w:rPr>
                <w:rFonts w:cstheme="minorHAnsi"/>
                <w:sz w:val="22"/>
                <w:szCs w:val="22"/>
                <w:lang w:val="en-GB"/>
              </w:rPr>
              <w:t>employees per 100,000 inhabitants in 2017 (Slovenia 2011)</w:t>
            </w:r>
          </w:p>
        </w:tc>
        <w:tc>
          <w:tcPr>
            <w:tcW w:w="4542" w:type="dxa"/>
          </w:tcPr>
          <w:p w14:paraId="07CDD421" w14:textId="77777777" w:rsidR="00FB66C8" w:rsidRPr="00EF1B9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AuthorYear="1"&gt;&lt;Author&gt;Eurostat&lt;/Author&gt;&lt;Year&gt;2021&lt;/Year&gt;&lt;RecNum&gt;544&lt;/RecNum&gt;&lt;DisplayText&gt;Eurostat (2021c)&lt;/DisplayText&gt;&lt;record&gt;&lt;rec-number&gt;544&lt;/rec-number&gt;&lt;foreign-keys&gt;&lt;key app="EN" db-id="w2tfxxd005z5wjefarqx9den2arzfsx9xfde" timestamp="1619046649" guid="e0621972-b4dd-47d0-9d0e-4a1852eaf3c1"&gt;544&lt;/key&gt;&lt;/foreign-keys&gt;&lt;ref-type name="Online Database"&gt;45&lt;/ref-type&gt;&lt;contributors&gt;&lt;authors&gt;&lt;author&gt;Eurostat&lt;/author&gt;&lt;/authors&gt;&lt;/contributors&gt;&lt;titles&gt;&lt;title&gt;SBS data by NUTS 2 regions and NACE Rev. 2 &lt;/title&gt;&lt;/titles&gt;&lt;edition&gt;16.03.2021&lt;/edition&gt;&lt;dates&gt;&lt;year&gt;2021&lt;/year&gt;&lt;pub-dates&gt;&lt;date&gt;22.04.2021&lt;/date&gt;&lt;/pub-dates&gt;&lt;/dates&gt;&lt;pub-location&gt;Luxembourg&lt;/pub-location&gt;&lt;publisher&gt;Eurostat&lt;/publisher&gt;&lt;urls&gt;&lt;related-urls&gt;&lt;url&gt;https://appsso.eurostat.ec.europa.eu/nui/show.do?dataset=sbs_r_nuts06_r2&amp;amp;lang=en&lt;/url&gt;&lt;/related-urls&gt;&lt;/urls&gt;&lt;/record&gt;&lt;/Cite&gt;&lt;/EndNote&gt;</w:instrText>
            </w:r>
            <w:r>
              <w:rPr>
                <w:rFonts w:cstheme="minorHAnsi"/>
                <w:sz w:val="22"/>
                <w:szCs w:val="22"/>
                <w:lang w:val="en-GB"/>
              </w:rPr>
              <w:fldChar w:fldCharType="separate"/>
            </w:r>
            <w:r>
              <w:rPr>
                <w:rFonts w:cstheme="minorHAnsi"/>
                <w:noProof/>
                <w:sz w:val="22"/>
                <w:szCs w:val="22"/>
                <w:lang w:val="en-GB"/>
              </w:rPr>
              <w:t>Eurostat (2021c)</w:t>
            </w:r>
            <w:r>
              <w:rPr>
                <w:rFonts w:cstheme="minorHAnsi"/>
                <w:sz w:val="22"/>
                <w:szCs w:val="22"/>
                <w:lang w:val="en-GB"/>
              </w:rPr>
              <w:fldChar w:fldCharType="end"/>
            </w:r>
          </w:p>
        </w:tc>
      </w:tr>
      <w:tr w:rsidR="00FB66C8" w:rsidRPr="00EF1B98" w14:paraId="400A3103" w14:textId="77777777" w:rsidTr="00FB66C8">
        <w:trPr>
          <w:trHeight w:val="44"/>
        </w:trPr>
        <w:tc>
          <w:tcPr>
            <w:tcW w:w="4541" w:type="dxa"/>
          </w:tcPr>
          <w:p w14:paraId="515E8951" w14:textId="77777777" w:rsidR="00FB66C8" w:rsidRPr="00EF1B98" w:rsidRDefault="00FB66C8" w:rsidP="009A444C">
            <w:pPr>
              <w:rPr>
                <w:rFonts w:cstheme="minorHAnsi"/>
                <w:sz w:val="22"/>
                <w:szCs w:val="22"/>
                <w:lang w:val="en-GB"/>
              </w:rPr>
            </w:pPr>
            <w:r w:rsidRPr="00EF1B98">
              <w:rPr>
                <w:rFonts w:cstheme="minorHAnsi"/>
                <w:sz w:val="22"/>
                <w:szCs w:val="22"/>
                <w:lang w:val="en-GB"/>
              </w:rPr>
              <w:t>Area (constituency) – Healthcare – medical doctors/professionals and non-medical employees</w:t>
            </w:r>
          </w:p>
        </w:tc>
        <w:tc>
          <w:tcPr>
            <w:tcW w:w="4542" w:type="dxa"/>
          </w:tcPr>
          <w:p w14:paraId="32C6BC46" w14:textId="77777777" w:rsidR="00FB66C8" w:rsidRPr="00EF1B98" w:rsidRDefault="00FB66C8" w:rsidP="009A444C">
            <w:pPr>
              <w:rPr>
                <w:rFonts w:cstheme="minorHAnsi"/>
                <w:sz w:val="22"/>
                <w:szCs w:val="22"/>
                <w:lang w:val="en-GB"/>
              </w:rPr>
            </w:pPr>
            <w:r w:rsidRPr="00EF1B98">
              <w:rPr>
                <w:rFonts w:cstheme="minorHAnsi"/>
                <w:sz w:val="22"/>
                <w:szCs w:val="22"/>
                <w:lang w:val="en-GB"/>
              </w:rPr>
              <w:t>The logarithm of the number health personnel by NUTS</w:t>
            </w:r>
            <w:r>
              <w:rPr>
                <w:rFonts w:cstheme="minorHAnsi"/>
                <w:sz w:val="22"/>
                <w:szCs w:val="22"/>
                <w:lang w:val="en-GB"/>
              </w:rPr>
              <w:t xml:space="preserve"> </w:t>
            </w:r>
            <w:r w:rsidRPr="00EF1B98">
              <w:rPr>
                <w:rFonts w:cstheme="minorHAnsi"/>
                <w:sz w:val="22"/>
                <w:szCs w:val="22"/>
                <w:lang w:val="en-GB"/>
              </w:rPr>
              <w:t xml:space="preserve">2 regions </w:t>
            </w:r>
            <w:r>
              <w:rPr>
                <w:rFonts w:cstheme="minorHAnsi"/>
                <w:sz w:val="22"/>
                <w:szCs w:val="22"/>
                <w:lang w:val="en-GB"/>
              </w:rPr>
              <w:t>per 100,000 inhabitants in 2017</w:t>
            </w:r>
          </w:p>
        </w:tc>
        <w:tc>
          <w:tcPr>
            <w:tcW w:w="4542" w:type="dxa"/>
          </w:tcPr>
          <w:p w14:paraId="0D3186B9" w14:textId="77777777" w:rsidR="00FB66C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AuthorYear="1"&gt;&lt;Author&gt;Eurostat&lt;/Author&gt;&lt;Year&gt;2020&lt;/Year&gt;&lt;RecNum&gt;289&lt;/RecNum&gt;&lt;DisplayText&gt;Eurostat (2020c)&lt;/DisplayText&gt;&lt;record&gt;&lt;rec-number&gt;289&lt;/rec-number&gt;&lt;foreign-keys&gt;&lt;key app="EN" db-id="w2tfxxd005z5wjefarqx9den2arzfsx9xfde" timestamp="1617798377" guid="e5eac50d-07bb-4851-aa3d-4d6ec1e45473"&gt;289&lt;/key&gt;&lt;/foreign-keys&gt;&lt;ref-type name="Dataset"&gt;59&lt;/ref-type&gt;&lt;contributors&gt;&lt;authors&gt;&lt;author&gt;Eurostat&lt;/author&gt;&lt;/authors&gt;&lt;/contributors&gt;&lt;titles&gt;&lt;title&gt;Health personnel by NUTS 2 regions&lt;/title&gt;&lt;/titles&gt;&lt;num-vols&gt;hlth_rs_prsrg&lt;/num-vols&gt;&lt;section&gt;10.07.2020&lt;/section&gt;&lt;dates&gt;&lt;year&gt;2020&lt;/year&gt;&lt;/dates&gt;&lt;pub-location&gt;Luxemburg&lt;/pub-location&gt;&lt;publisher&gt;Eurostat&lt;/publisher&gt;&lt;urls&gt;&lt;related-urls&gt;&lt;url&gt;https://appsso.eurostat.ec.europa.eu/nui/show.do?dataset=hlth_rs_prsrg&amp;amp;lang=en&lt;/url&gt;&lt;/related-urls&gt;&lt;/urls&gt;&lt;access-date&gt;10.08.2020&lt;/access-date&gt;&lt;/record&gt;&lt;/Cite&gt;&lt;/EndNote&gt;</w:instrText>
            </w:r>
            <w:r>
              <w:rPr>
                <w:rFonts w:cstheme="minorHAnsi"/>
                <w:sz w:val="22"/>
                <w:szCs w:val="22"/>
                <w:lang w:val="en-GB"/>
              </w:rPr>
              <w:fldChar w:fldCharType="separate"/>
            </w:r>
            <w:r>
              <w:rPr>
                <w:rFonts w:cstheme="minorHAnsi"/>
                <w:noProof/>
                <w:sz w:val="22"/>
                <w:szCs w:val="22"/>
                <w:lang w:val="en-GB"/>
              </w:rPr>
              <w:t>Eurostat (2020c)</w:t>
            </w:r>
            <w:r>
              <w:rPr>
                <w:rFonts w:cstheme="minorHAnsi"/>
                <w:sz w:val="22"/>
                <w:szCs w:val="22"/>
                <w:lang w:val="en-GB"/>
              </w:rPr>
              <w:fldChar w:fldCharType="end"/>
            </w:r>
          </w:p>
        </w:tc>
      </w:tr>
      <w:tr w:rsidR="00FB66C8" w:rsidRPr="00EF1B98" w14:paraId="45EB3488" w14:textId="77777777" w:rsidTr="00FB66C8">
        <w:trPr>
          <w:trHeight w:val="44"/>
        </w:trPr>
        <w:tc>
          <w:tcPr>
            <w:tcW w:w="4541" w:type="dxa"/>
          </w:tcPr>
          <w:p w14:paraId="620716B5" w14:textId="77777777" w:rsidR="00FB66C8" w:rsidRPr="00EF1B98" w:rsidRDefault="00FB66C8" w:rsidP="009A444C">
            <w:pPr>
              <w:rPr>
                <w:rFonts w:cstheme="minorHAnsi"/>
                <w:sz w:val="22"/>
                <w:szCs w:val="22"/>
                <w:lang w:val="en-GB"/>
              </w:rPr>
            </w:pPr>
            <w:r w:rsidRPr="00EF1B98">
              <w:rPr>
                <w:rFonts w:cstheme="minorHAnsi"/>
                <w:sz w:val="22"/>
                <w:szCs w:val="22"/>
                <w:lang w:val="en-GB"/>
              </w:rPr>
              <w:t>Area (constituency) – Healthcare – patient groups</w:t>
            </w:r>
          </w:p>
        </w:tc>
        <w:tc>
          <w:tcPr>
            <w:tcW w:w="4542" w:type="dxa"/>
          </w:tcPr>
          <w:p w14:paraId="44FEF6B2" w14:textId="77777777" w:rsidR="00FB66C8" w:rsidRPr="00EF1B98" w:rsidRDefault="00FB66C8" w:rsidP="009A444C">
            <w:pPr>
              <w:rPr>
                <w:rFonts w:cstheme="minorHAnsi"/>
                <w:sz w:val="22"/>
                <w:szCs w:val="22"/>
                <w:lang w:val="en-GB"/>
              </w:rPr>
            </w:pPr>
            <w:r w:rsidRPr="00EF1B98">
              <w:rPr>
                <w:rFonts w:cstheme="minorHAnsi"/>
                <w:sz w:val="22"/>
                <w:szCs w:val="22"/>
                <w:lang w:val="en-GB"/>
              </w:rPr>
              <w:t>The logarithm of the number of standardised death rates (per 100</w:t>
            </w:r>
            <w:r>
              <w:rPr>
                <w:rFonts w:cstheme="minorHAnsi"/>
                <w:sz w:val="22"/>
                <w:szCs w:val="22"/>
                <w:lang w:val="en-GB"/>
              </w:rPr>
              <w:t>,</w:t>
            </w:r>
            <w:r w:rsidRPr="00EF1B98">
              <w:rPr>
                <w:rFonts w:cstheme="minorHAnsi"/>
                <w:sz w:val="22"/>
                <w:szCs w:val="22"/>
                <w:lang w:val="en-GB"/>
              </w:rPr>
              <w:t xml:space="preserve">000 inhabitants) for </w:t>
            </w:r>
            <w:r w:rsidRPr="00EF1B98">
              <w:rPr>
                <w:rFonts w:cstheme="minorHAnsi"/>
                <w:sz w:val="22"/>
                <w:szCs w:val="22"/>
                <w:lang w:val="en-GB"/>
              </w:rPr>
              <w:lastRenderedPageBreak/>
              <w:t>treatable diseases/conditions among persons aged less than 75 in 2017</w:t>
            </w:r>
          </w:p>
        </w:tc>
        <w:tc>
          <w:tcPr>
            <w:tcW w:w="4542" w:type="dxa"/>
          </w:tcPr>
          <w:p w14:paraId="044AD572" w14:textId="77777777" w:rsidR="00FB66C8" w:rsidRDefault="00FB66C8" w:rsidP="009A444C">
            <w:pPr>
              <w:rPr>
                <w:rFonts w:cstheme="minorHAnsi"/>
                <w:sz w:val="22"/>
                <w:szCs w:val="22"/>
                <w:lang w:val="en-GB"/>
              </w:rPr>
            </w:pPr>
            <w:r w:rsidRPr="00EF1B98">
              <w:rPr>
                <w:rFonts w:cstheme="minorHAnsi"/>
                <w:sz w:val="22"/>
                <w:szCs w:val="22"/>
                <w:lang w:val="en-GB"/>
              </w:rPr>
              <w:lastRenderedPageBreak/>
              <w:fldChar w:fldCharType="begin"/>
            </w:r>
            <w:r>
              <w:rPr>
                <w:rFonts w:cstheme="minorHAnsi"/>
                <w:sz w:val="22"/>
                <w:szCs w:val="22"/>
                <w:lang w:val="en-GB"/>
              </w:rPr>
              <w:instrText xml:space="preserve"> ADDIN EN.CITE &lt;EndNote&gt;&lt;Cite AuthorYear="1"&gt;&lt;Author&gt;Eurostat&lt;/Author&gt;&lt;Year&gt;2020&lt;/Year&gt;&lt;RecNum&gt;211&lt;/RecNum&gt;&lt;DisplayText&gt;Eurostat (2020g)&lt;/DisplayText&gt;&lt;record&gt;&lt;rec-number&gt;211&lt;/rec-number&gt;&lt;foreign-keys&gt;&lt;key app="EN" db-id="w2tfxxd005z5wjefarqx9den2arzfsx9xfde" timestamp="1617798296" guid="c0003417-07e6-4704-8336-c75179f731e9"&gt;211&lt;/key&gt;&lt;/foreign-keys&gt;&lt;ref-type name="Online Database"&gt;45&lt;/ref-type&gt;&lt;contributors&gt;&lt;authors&gt;&lt;author&gt;Eurostat&lt;/author&gt;&lt;/authors&gt;&lt;/contributors&gt;&lt;titles&gt;&lt;title&gt;Treatable and preventable mortality of residents by cause and sex&lt;/title&gt;&lt;/titles&gt;&lt;edition&gt;04.06.2020&lt;/edition&gt;&lt;dates&gt;&lt;year&gt;2020&lt;/year&gt;&lt;pub-dates&gt;&lt;date&gt;20.08.2020&lt;/date&gt;&lt;/pub-dates&gt;&lt;/dates&gt;&lt;pub-location&gt;Luxembourg&lt;/pub-location&gt;&lt;publisher&gt;Eurostat&lt;/publisher&gt;&lt;urls&gt;&lt;related-urls&gt;&lt;url&gt;https://appsso.eurostat.ec.europa.eu/nui/show.do?query=BOOKMARK_DS-500057_QID_-5998BF23_UID_-3F171EB0&amp;amp;layout=TIME,C,X,0;GEO,L,Y,0;MORTALIT,L,Z,0;SEX,L,Z,1;ICD10,L,Z,2;UNIT,L,Z,3;INDICATORS,C,Z,4;&amp;amp;zSelection=DS-500057MORTALIT,TRT;DS-500057INDICATORS,OBS_FLAG;DS-500057UNIT,RT;DS-500057SEX,T;DS-500057ICD10,TOTAL;&amp;amp;rankName1=ICD10_1_2_-1_2&amp;amp;rankName2=UNIT_1_2_-1_2&amp;amp;rankName3=MORTALIT_1_2_-1_2&amp;amp;rankName4=INDICATORS_1_2_-1_2&amp;amp;rankName5=SEX_1_2_-1_2&amp;amp;rankName6=TIME_1_0_0_0&amp;amp;rankName7=GEO_1_2_0_1&amp;amp;sortC=ASC_-1_FIRST&amp;amp;rStp=&amp;amp;cStp=&amp;amp;rDCh=&amp;amp;cDCh=&amp;amp;rDM=true&amp;amp;cDM=true&amp;amp;footnes=false&amp;amp;empty=false&amp;amp;wai=false&amp;amp;time_mode=NONE&amp;amp;time_most_recent=false&amp;amp;lang=EN&amp;amp;cfo=%23%23%23%2C%23%23%23.%23%23%23&lt;/url&gt;&lt;/related-urls&gt;&lt;/urls&gt;&lt;/record&gt;&lt;/Cite&gt;&lt;/EndNote&gt;</w:instrText>
            </w:r>
            <w:r w:rsidRPr="00EF1B98">
              <w:rPr>
                <w:rFonts w:cstheme="minorHAnsi"/>
                <w:sz w:val="22"/>
                <w:szCs w:val="22"/>
                <w:lang w:val="en-GB"/>
              </w:rPr>
              <w:fldChar w:fldCharType="separate"/>
            </w:r>
            <w:r>
              <w:rPr>
                <w:rFonts w:cstheme="minorHAnsi"/>
                <w:noProof/>
                <w:sz w:val="22"/>
                <w:szCs w:val="22"/>
                <w:lang w:val="en-GB"/>
              </w:rPr>
              <w:t>Eurostat (2020g)</w:t>
            </w:r>
            <w:r w:rsidRPr="00EF1B98">
              <w:rPr>
                <w:rFonts w:cstheme="minorHAnsi"/>
                <w:sz w:val="22"/>
                <w:szCs w:val="22"/>
                <w:lang w:val="en-GB"/>
              </w:rPr>
              <w:fldChar w:fldCharType="end"/>
            </w:r>
          </w:p>
        </w:tc>
      </w:tr>
      <w:tr w:rsidR="00FB66C8" w:rsidRPr="00D97403" w14:paraId="0EE6941C" w14:textId="77777777" w:rsidTr="00FB66C8">
        <w:trPr>
          <w:trHeight w:val="44"/>
        </w:trPr>
        <w:tc>
          <w:tcPr>
            <w:tcW w:w="4541" w:type="dxa"/>
          </w:tcPr>
          <w:p w14:paraId="6B4B0F22"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Area (constituency) – Healthcare – </w:t>
            </w:r>
            <w:r>
              <w:rPr>
                <w:rFonts w:cstheme="minorHAnsi"/>
                <w:sz w:val="22"/>
                <w:szCs w:val="22"/>
                <w:lang w:val="en-GB"/>
              </w:rPr>
              <w:t>institutional</w:t>
            </w:r>
            <w:r w:rsidRPr="00EF1B98">
              <w:rPr>
                <w:rFonts w:cstheme="minorHAnsi"/>
                <w:sz w:val="22"/>
                <w:szCs w:val="22"/>
                <w:lang w:val="en-GB"/>
              </w:rPr>
              <w:t xml:space="preserve"> groups</w:t>
            </w:r>
          </w:p>
        </w:tc>
        <w:tc>
          <w:tcPr>
            <w:tcW w:w="4542" w:type="dxa"/>
          </w:tcPr>
          <w:p w14:paraId="3990815D" w14:textId="77777777" w:rsidR="00FB66C8" w:rsidRPr="004C4B7E" w:rsidRDefault="00FB66C8" w:rsidP="009A444C">
            <w:pPr>
              <w:rPr>
                <w:rFonts w:cstheme="minorHAnsi"/>
                <w:sz w:val="22"/>
                <w:szCs w:val="22"/>
                <w:lang w:val="en-GB"/>
              </w:rPr>
            </w:pPr>
            <w:r w:rsidRPr="004C4B7E">
              <w:rPr>
                <w:rFonts w:cstheme="minorHAnsi"/>
                <w:sz w:val="22"/>
                <w:szCs w:val="22"/>
                <w:lang w:val="en-GB"/>
              </w:rPr>
              <w:t>Available beds in hospitals per 100,000 inhabitants in 2017</w:t>
            </w:r>
          </w:p>
        </w:tc>
        <w:tc>
          <w:tcPr>
            <w:tcW w:w="4542" w:type="dxa"/>
          </w:tcPr>
          <w:p w14:paraId="77BFA9EB" w14:textId="77777777" w:rsidR="00FB66C8" w:rsidRPr="00EF1B9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AuthorYear="1"&gt;&lt;Author&gt;Eurostat&lt;/Author&gt;&lt;Year&gt;2020&lt;/Year&gt;&lt;RecNum&gt;545&lt;/RecNum&gt;&lt;DisplayText&gt;Eurostat (2020d)&lt;/DisplayText&gt;&lt;record&gt;&lt;rec-number&gt;545&lt;/rec-number&gt;&lt;foreign-keys&gt;&lt;key app="EN" db-id="w2tfxxd005z5wjefarqx9den2arzfsx9xfde" timestamp="1619047931" guid="c5d36bfa-69bc-4524-9370-ad2bcfc08917"&gt;545&lt;/key&gt;&lt;/foreign-keys&gt;&lt;ref-type name="Online Database"&gt;45&lt;/ref-type&gt;&lt;contributors&gt;&lt;authors&gt;&lt;author&gt;Eurostat&lt;/author&gt;&lt;/authors&gt;&lt;/contributors&gt;&lt;titles&gt;&lt;title&gt;Hospital beds by type of care (hlth_rs_bds)&lt;/title&gt;&lt;/titles&gt;&lt;edition&gt;10.07.2020&lt;/edition&gt;&lt;dates&gt;&lt;year&gt;2020&lt;/year&gt;&lt;pub-dates&gt;&lt;date&gt;22.04.2021&lt;/date&gt;&lt;/pub-dates&gt;&lt;/dates&gt;&lt;pub-location&gt;Luxembourg&lt;/pub-location&gt;&lt;publisher&gt;Eurostat&lt;/publisher&gt;&lt;urls&gt;&lt;related-urls&gt;&lt;url&gt;https://appsso.eurostat.ec.europa.eu/nui/show.do?dataset=hlth_rs_bds&amp;amp;lang=en&lt;/url&gt;&lt;/related-urls&gt;&lt;/urls&gt;&lt;/record&gt;&lt;/Cite&gt;&lt;/EndNote&gt;</w:instrText>
            </w:r>
            <w:r>
              <w:rPr>
                <w:rFonts w:cstheme="minorHAnsi"/>
                <w:sz w:val="22"/>
                <w:szCs w:val="22"/>
                <w:lang w:val="en-GB"/>
              </w:rPr>
              <w:fldChar w:fldCharType="separate"/>
            </w:r>
            <w:r>
              <w:rPr>
                <w:rFonts w:cstheme="minorHAnsi"/>
                <w:noProof/>
                <w:sz w:val="22"/>
                <w:szCs w:val="22"/>
                <w:lang w:val="en-GB"/>
              </w:rPr>
              <w:t>Eurostat (2020d)</w:t>
            </w:r>
            <w:r>
              <w:rPr>
                <w:rFonts w:cstheme="minorHAnsi"/>
                <w:sz w:val="22"/>
                <w:szCs w:val="22"/>
                <w:lang w:val="en-GB"/>
              </w:rPr>
              <w:fldChar w:fldCharType="end"/>
            </w:r>
          </w:p>
        </w:tc>
      </w:tr>
      <w:tr w:rsidR="00FB66C8" w:rsidRPr="00EF1B98" w14:paraId="5112D76B" w14:textId="77777777" w:rsidTr="00FB66C8">
        <w:trPr>
          <w:trHeight w:val="44"/>
        </w:trPr>
        <w:tc>
          <w:tcPr>
            <w:tcW w:w="4541" w:type="dxa"/>
          </w:tcPr>
          <w:p w14:paraId="3ECCB3D7" w14:textId="77777777" w:rsidR="00FB66C8" w:rsidRPr="00EF1B98" w:rsidRDefault="00FB66C8" w:rsidP="009A444C">
            <w:pPr>
              <w:rPr>
                <w:rFonts w:cstheme="minorHAnsi"/>
                <w:sz w:val="22"/>
                <w:szCs w:val="22"/>
                <w:lang w:val="en-GB"/>
              </w:rPr>
            </w:pPr>
            <w:r w:rsidRPr="00EF1B98">
              <w:rPr>
                <w:rFonts w:cstheme="minorHAnsi"/>
                <w:sz w:val="22"/>
                <w:szCs w:val="22"/>
                <w:lang w:val="en-GB"/>
              </w:rPr>
              <w:t>Area (constituency) – Higher education – higher education students</w:t>
            </w:r>
          </w:p>
        </w:tc>
        <w:tc>
          <w:tcPr>
            <w:tcW w:w="4542" w:type="dxa"/>
          </w:tcPr>
          <w:p w14:paraId="4E1C0563" w14:textId="77777777" w:rsidR="00FB66C8" w:rsidRPr="00EF1B98" w:rsidRDefault="00FB66C8" w:rsidP="009A444C">
            <w:pPr>
              <w:rPr>
                <w:rFonts w:cstheme="minorHAnsi"/>
                <w:sz w:val="22"/>
                <w:szCs w:val="22"/>
                <w:lang w:val="en-GB"/>
              </w:rPr>
            </w:pPr>
            <w:r w:rsidRPr="00EF1B98">
              <w:rPr>
                <w:rFonts w:cstheme="minorHAnsi"/>
                <w:sz w:val="22"/>
                <w:szCs w:val="22"/>
                <w:lang w:val="en-GB"/>
              </w:rPr>
              <w:t>The logarithm of the number of tertiary education students per country per 100</w:t>
            </w:r>
            <w:r>
              <w:rPr>
                <w:rFonts w:cstheme="minorHAnsi"/>
                <w:sz w:val="22"/>
                <w:szCs w:val="22"/>
                <w:lang w:val="en-GB"/>
              </w:rPr>
              <w:t>,</w:t>
            </w:r>
            <w:r w:rsidRPr="00EF1B98">
              <w:rPr>
                <w:rFonts w:cstheme="minorHAnsi"/>
                <w:sz w:val="22"/>
                <w:szCs w:val="22"/>
                <w:lang w:val="en-GB"/>
              </w:rPr>
              <w:t>000 inhabitants</w:t>
            </w:r>
          </w:p>
        </w:tc>
        <w:tc>
          <w:tcPr>
            <w:tcW w:w="4542" w:type="dxa"/>
          </w:tcPr>
          <w:p w14:paraId="24078F58" w14:textId="77777777" w:rsidR="00FB66C8" w:rsidRPr="00EF1B9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AuthorYear="1"&gt;&lt;Author&gt;Eurostat&lt;/Author&gt;&lt;Year&gt;2020&lt;/Year&gt;&lt;RecNum&gt;291&lt;/RecNum&gt;&lt;DisplayText&gt;Eurostat (2020f)&lt;/DisplayText&gt;&lt;record&gt;&lt;rec-number&gt;291&lt;/rec-number&gt;&lt;foreign-keys&gt;&lt;key app="EN" db-id="w2tfxxd005z5wjefarqx9den2arzfsx9xfde" timestamp="1617798377" guid="fe5a166b-368a-4b20-89b0-85ebcd9dbf87"&gt;291&lt;/key&gt;&lt;/foreign-keys&gt;&lt;ref-type name="Dataset"&gt;59&lt;/ref-type&gt;&lt;contributors&gt;&lt;authors&gt;&lt;author&gt;Eurostat&lt;/author&gt;&lt;/authors&gt;&lt;/contributors&gt;&lt;titles&gt;&lt;title&gt;Students enrolled in tertiary education by education level, programme orientation, sex, type of institution and intensity of participation&lt;/title&gt;&lt;/titles&gt;&lt;num-vols&gt;educ_uoe_enrt01&lt;/num-vols&gt;&lt;section&gt;28.09.2020&lt;/section&gt;&lt;dates&gt;&lt;year&gt;2020&lt;/year&gt;&lt;/dates&gt;&lt;pub-location&gt;Luxemburg&lt;/pub-location&gt;&lt;publisher&gt;Eurostat&lt;/publisher&gt;&lt;urls&gt;&lt;related-urls&gt;&lt;url&gt;https://appsso.eurostat.ec.europa.eu/nui/show.do?dataset=educ_uoe_enrt01&amp;amp;lang=en&lt;/url&gt;&lt;/related-urls&gt;&lt;/urls&gt;&lt;access-date&gt;11.03.2020&lt;/access-date&gt;&lt;/record&gt;&lt;/Cite&gt;&lt;/EndNote&gt;</w:instrText>
            </w:r>
            <w:r>
              <w:rPr>
                <w:rFonts w:cstheme="minorHAnsi"/>
                <w:sz w:val="22"/>
                <w:szCs w:val="22"/>
                <w:lang w:val="en-GB"/>
              </w:rPr>
              <w:fldChar w:fldCharType="separate"/>
            </w:r>
            <w:r>
              <w:rPr>
                <w:rFonts w:cstheme="minorHAnsi"/>
                <w:noProof/>
                <w:sz w:val="22"/>
                <w:szCs w:val="22"/>
                <w:lang w:val="en-GB"/>
              </w:rPr>
              <w:t>Eurostat (2020f)</w:t>
            </w:r>
            <w:r>
              <w:rPr>
                <w:rFonts w:cstheme="minorHAnsi"/>
                <w:sz w:val="22"/>
                <w:szCs w:val="22"/>
                <w:lang w:val="en-GB"/>
              </w:rPr>
              <w:fldChar w:fldCharType="end"/>
            </w:r>
          </w:p>
        </w:tc>
      </w:tr>
      <w:tr w:rsidR="00FB66C8" w:rsidRPr="00EF1B98" w14:paraId="72682F90" w14:textId="77777777" w:rsidTr="00FB66C8">
        <w:trPr>
          <w:trHeight w:val="44"/>
        </w:trPr>
        <w:tc>
          <w:tcPr>
            <w:tcW w:w="4541" w:type="dxa"/>
          </w:tcPr>
          <w:p w14:paraId="5ADF0367" w14:textId="77777777" w:rsidR="00FB66C8" w:rsidRPr="00EF1B98" w:rsidRDefault="00FB66C8" w:rsidP="009A444C">
            <w:pPr>
              <w:rPr>
                <w:rFonts w:cstheme="minorHAnsi"/>
                <w:sz w:val="22"/>
                <w:szCs w:val="22"/>
                <w:lang w:val="en-GB"/>
              </w:rPr>
            </w:pPr>
            <w:r w:rsidRPr="00EF1B98">
              <w:rPr>
                <w:rFonts w:cstheme="minorHAnsi"/>
                <w:sz w:val="22"/>
                <w:szCs w:val="22"/>
                <w:lang w:val="en-GB"/>
              </w:rPr>
              <w:t xml:space="preserve">Area (constituency) – Higher education – higher education employee </w:t>
            </w:r>
            <w:r>
              <w:rPr>
                <w:rFonts w:cstheme="minorHAnsi"/>
                <w:sz w:val="22"/>
                <w:szCs w:val="22"/>
                <w:lang w:val="en-GB"/>
              </w:rPr>
              <w:t>and scientific populations</w:t>
            </w:r>
          </w:p>
        </w:tc>
        <w:tc>
          <w:tcPr>
            <w:tcW w:w="4542" w:type="dxa"/>
          </w:tcPr>
          <w:p w14:paraId="389276F6" w14:textId="77777777" w:rsidR="00FB66C8" w:rsidRPr="00EF1B98" w:rsidRDefault="00FB66C8" w:rsidP="009A444C">
            <w:pPr>
              <w:rPr>
                <w:rFonts w:cstheme="minorHAnsi"/>
                <w:sz w:val="22"/>
                <w:szCs w:val="22"/>
                <w:lang w:val="en-GB"/>
              </w:rPr>
            </w:pPr>
            <w:r w:rsidRPr="00EF1B98">
              <w:rPr>
                <w:rFonts w:cstheme="minorHAnsi"/>
                <w:sz w:val="22"/>
                <w:szCs w:val="22"/>
                <w:lang w:val="en-GB"/>
              </w:rPr>
              <w:t>The logarithm of the number of classroom teachers in tertiary education per 100</w:t>
            </w:r>
            <w:r>
              <w:rPr>
                <w:rFonts w:cstheme="minorHAnsi"/>
                <w:sz w:val="22"/>
                <w:szCs w:val="22"/>
                <w:lang w:val="en-GB"/>
              </w:rPr>
              <w:t>,</w:t>
            </w:r>
            <w:r w:rsidRPr="00EF1B98">
              <w:rPr>
                <w:rFonts w:cstheme="minorHAnsi"/>
                <w:sz w:val="22"/>
                <w:szCs w:val="22"/>
                <w:lang w:val="en-GB"/>
              </w:rPr>
              <w:t>000 inhabitants</w:t>
            </w:r>
          </w:p>
        </w:tc>
        <w:tc>
          <w:tcPr>
            <w:tcW w:w="4542" w:type="dxa"/>
          </w:tcPr>
          <w:p w14:paraId="65EA8E76" w14:textId="77777777" w:rsidR="00FB66C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AuthorYear="1"&gt;&lt;Author&gt;Eurostat&lt;/Author&gt;&lt;Year&gt;2020&lt;/Year&gt;&lt;RecNum&gt;293&lt;/RecNum&gt;&lt;DisplayText&gt;Eurostat (2020a)&lt;/DisplayText&gt;&lt;record&gt;&lt;rec-number&gt;293&lt;/rec-number&gt;&lt;foreign-keys&gt;&lt;key app="EN" db-id="w2tfxxd005z5wjefarqx9den2arzfsx9xfde" timestamp="1617798377" guid="6bcfd366-889d-4d9b-a746-a2159d1ab28f"&gt;293&lt;/key&gt;&lt;/foreign-keys&gt;&lt;ref-type name="Dataset"&gt;59&lt;/ref-type&gt;&lt;contributors&gt;&lt;authors&gt;&lt;author&gt;Eurostat&lt;/author&gt;&lt;/authors&gt;&lt;/contributors&gt;&lt;titles&gt;&lt;title&gt;Classroom teachers and academic staff by education level, programme orientation, sex and age groups&lt;/title&gt;&lt;/titles&gt;&lt;num-vols&gt;educ_uoe_perp01&lt;/num-vols&gt;&lt;section&gt;20.10.2020&lt;/section&gt;&lt;dates&gt;&lt;year&gt;2020&lt;/year&gt;&lt;/dates&gt;&lt;pub-location&gt;Luxemburg&lt;/pub-location&gt;&lt;publisher&gt;Eurostat&lt;/publisher&gt;&lt;urls&gt;&lt;related-urls&gt;&lt;url&gt;https://appsso.eurostat.ec.europa.eu/nui/show.do?dataset=educ_uoe_perp01&amp;amp;lang=en&lt;/url&gt;&lt;/related-urls&gt;&lt;/urls&gt;&lt;access-date&gt;03.11.2020&lt;/access-date&gt;&lt;/record&gt;&lt;/Cite&gt;&lt;/EndNote&gt;</w:instrText>
            </w:r>
            <w:r>
              <w:rPr>
                <w:rFonts w:cstheme="minorHAnsi"/>
                <w:sz w:val="22"/>
                <w:szCs w:val="22"/>
                <w:lang w:val="en-GB"/>
              </w:rPr>
              <w:fldChar w:fldCharType="separate"/>
            </w:r>
            <w:r>
              <w:rPr>
                <w:rFonts w:cstheme="minorHAnsi"/>
                <w:noProof/>
                <w:sz w:val="22"/>
                <w:szCs w:val="22"/>
                <w:lang w:val="en-GB"/>
              </w:rPr>
              <w:t>Eurostat (2020a)</w:t>
            </w:r>
            <w:r>
              <w:rPr>
                <w:rFonts w:cstheme="minorHAnsi"/>
                <w:sz w:val="22"/>
                <w:szCs w:val="22"/>
                <w:lang w:val="en-GB"/>
              </w:rPr>
              <w:fldChar w:fldCharType="end"/>
            </w:r>
          </w:p>
        </w:tc>
      </w:tr>
      <w:tr w:rsidR="00FB66C8" w:rsidRPr="00EF1B98" w14:paraId="5673E762" w14:textId="77777777" w:rsidTr="00FB66C8">
        <w:trPr>
          <w:trHeight w:val="44"/>
        </w:trPr>
        <w:tc>
          <w:tcPr>
            <w:tcW w:w="4541" w:type="dxa"/>
          </w:tcPr>
          <w:p w14:paraId="21F59A54" w14:textId="77777777" w:rsidR="00FB66C8" w:rsidRPr="00EF1B98" w:rsidRDefault="00FB66C8" w:rsidP="009A444C">
            <w:pPr>
              <w:rPr>
                <w:rFonts w:cstheme="minorHAnsi"/>
                <w:sz w:val="22"/>
                <w:szCs w:val="22"/>
                <w:lang w:val="en-GB"/>
              </w:rPr>
            </w:pPr>
            <w:r w:rsidRPr="00EF1B98">
              <w:rPr>
                <w:rFonts w:cstheme="minorHAnsi"/>
                <w:sz w:val="22"/>
                <w:szCs w:val="22"/>
                <w:lang w:val="en-GB"/>
              </w:rPr>
              <w:t>Area (constituency) – Higher education – higher education institutional groups</w:t>
            </w:r>
          </w:p>
        </w:tc>
        <w:tc>
          <w:tcPr>
            <w:tcW w:w="4542" w:type="dxa"/>
          </w:tcPr>
          <w:p w14:paraId="662E5B76" w14:textId="77777777" w:rsidR="00FB66C8" w:rsidRPr="00EF1B98" w:rsidRDefault="00FB66C8" w:rsidP="009A444C">
            <w:pPr>
              <w:rPr>
                <w:rFonts w:cstheme="minorHAnsi"/>
                <w:sz w:val="22"/>
                <w:szCs w:val="22"/>
                <w:lang w:val="en-GB"/>
              </w:rPr>
            </w:pPr>
            <w:r w:rsidRPr="00EF1B98">
              <w:rPr>
                <w:rFonts w:cstheme="minorHAnsi"/>
                <w:sz w:val="22"/>
                <w:szCs w:val="22"/>
                <w:lang w:val="en-GB"/>
              </w:rPr>
              <w:t>The logarithm of the number of tertiary education students per country per 100</w:t>
            </w:r>
            <w:r>
              <w:rPr>
                <w:rFonts w:cstheme="minorHAnsi"/>
                <w:sz w:val="22"/>
                <w:szCs w:val="22"/>
                <w:lang w:val="en-GB"/>
              </w:rPr>
              <w:t>,</w:t>
            </w:r>
            <w:r w:rsidRPr="00EF1B98">
              <w:rPr>
                <w:rFonts w:cstheme="minorHAnsi"/>
                <w:sz w:val="22"/>
                <w:szCs w:val="22"/>
                <w:lang w:val="en-GB"/>
              </w:rPr>
              <w:t>000 inhabitants</w:t>
            </w:r>
          </w:p>
        </w:tc>
        <w:tc>
          <w:tcPr>
            <w:tcW w:w="4542" w:type="dxa"/>
          </w:tcPr>
          <w:p w14:paraId="1B779AA2" w14:textId="77777777" w:rsidR="00FB66C8" w:rsidRDefault="00FB66C8" w:rsidP="009A444C">
            <w:pPr>
              <w:rPr>
                <w:rFonts w:cstheme="minorHAnsi"/>
                <w:sz w:val="22"/>
                <w:szCs w:val="22"/>
                <w:lang w:val="en-GB"/>
              </w:rPr>
            </w:pPr>
            <w:r>
              <w:rPr>
                <w:rFonts w:cstheme="minorHAnsi"/>
                <w:sz w:val="22"/>
                <w:szCs w:val="22"/>
                <w:lang w:val="en-GB"/>
              </w:rPr>
              <w:fldChar w:fldCharType="begin"/>
            </w:r>
            <w:r>
              <w:rPr>
                <w:rFonts w:cstheme="minorHAnsi"/>
                <w:sz w:val="22"/>
                <w:szCs w:val="22"/>
                <w:lang w:val="en-GB"/>
              </w:rPr>
              <w:instrText xml:space="preserve"> ADDIN EN.CITE &lt;EndNote&gt;&lt;Cite AuthorYear="1"&gt;&lt;Author&gt;Eurostat&lt;/Author&gt;&lt;Year&gt;2020&lt;/Year&gt;&lt;RecNum&gt;291&lt;/RecNum&gt;&lt;DisplayText&gt;Eurostat (2020f)&lt;/DisplayText&gt;&lt;record&gt;&lt;rec-number&gt;291&lt;/rec-number&gt;&lt;foreign-keys&gt;&lt;key app="EN" db-id="w2tfxxd005z5wjefarqx9den2arzfsx9xfde" timestamp="1617798377" guid="fe5a166b-368a-4b20-89b0-85ebcd9dbf87"&gt;291&lt;/key&gt;&lt;/foreign-keys&gt;&lt;ref-type name="Dataset"&gt;59&lt;/ref-type&gt;&lt;contributors&gt;&lt;authors&gt;&lt;author&gt;Eurostat&lt;/author&gt;&lt;/authors&gt;&lt;/contributors&gt;&lt;titles&gt;&lt;title&gt;Students enrolled in tertiary education by education level, programme orientation, sex, type of institution and intensity of participation&lt;/title&gt;&lt;/titles&gt;&lt;num-vols&gt;educ_uoe_enrt01&lt;/num-vols&gt;&lt;section&gt;28.09.2020&lt;/section&gt;&lt;dates&gt;&lt;year&gt;2020&lt;/year&gt;&lt;/dates&gt;&lt;pub-location&gt;Luxemburg&lt;/pub-location&gt;&lt;publisher&gt;Eurostat&lt;/publisher&gt;&lt;urls&gt;&lt;related-urls&gt;&lt;url&gt;https://appsso.eurostat.ec.europa.eu/nui/show.do?dataset=educ_uoe_enrt01&amp;amp;lang=en&lt;/url&gt;&lt;/related-urls&gt;&lt;/urls&gt;&lt;access-date&gt;11.03.2020&lt;/access-date&gt;&lt;/record&gt;&lt;/Cite&gt;&lt;/EndNote&gt;</w:instrText>
            </w:r>
            <w:r>
              <w:rPr>
                <w:rFonts w:cstheme="minorHAnsi"/>
                <w:sz w:val="22"/>
                <w:szCs w:val="22"/>
                <w:lang w:val="en-GB"/>
              </w:rPr>
              <w:fldChar w:fldCharType="separate"/>
            </w:r>
            <w:r>
              <w:rPr>
                <w:rFonts w:cstheme="minorHAnsi"/>
                <w:noProof/>
                <w:sz w:val="22"/>
                <w:szCs w:val="22"/>
                <w:lang w:val="en-GB"/>
              </w:rPr>
              <w:t>Eurostat (2020f)</w:t>
            </w:r>
            <w:r>
              <w:rPr>
                <w:rFonts w:cstheme="minorHAnsi"/>
                <w:sz w:val="22"/>
                <w:szCs w:val="22"/>
                <w:lang w:val="en-GB"/>
              </w:rPr>
              <w:fldChar w:fldCharType="end"/>
            </w:r>
          </w:p>
        </w:tc>
      </w:tr>
    </w:tbl>
    <w:p w14:paraId="37806CB9" w14:textId="77777777" w:rsidR="00FB66C8" w:rsidRDefault="00FB66C8" w:rsidP="00FB66C8"/>
    <w:p w14:paraId="0240B345" w14:textId="77777777" w:rsidR="00FB66C8" w:rsidRDefault="00FB66C8" w:rsidP="00FB66C8">
      <w:pPr>
        <w:rPr>
          <w:b/>
          <w:bCs/>
        </w:rPr>
      </w:pPr>
    </w:p>
    <w:p w14:paraId="3267066D" w14:textId="77777777" w:rsidR="00FB66C8" w:rsidRDefault="00FB66C8">
      <w:pPr>
        <w:rPr>
          <w:rFonts w:cstheme="minorHAnsi"/>
          <w:b/>
          <w:bCs/>
          <w:color w:val="000000"/>
          <w:lang w:val="en-US"/>
        </w:rPr>
      </w:pPr>
      <w:r>
        <w:rPr>
          <w:rFonts w:cstheme="minorHAnsi"/>
          <w:b/>
          <w:bCs/>
          <w:color w:val="000000"/>
          <w:lang w:val="en-US"/>
        </w:rPr>
        <w:br w:type="page"/>
      </w:r>
    </w:p>
    <w:p w14:paraId="44B818A0" w14:textId="6E905703" w:rsidR="00FB66C8" w:rsidRPr="00C65BD1" w:rsidRDefault="00FB66C8" w:rsidP="00FB66C8">
      <w:pPr>
        <w:rPr>
          <w:rFonts w:cstheme="minorHAnsi"/>
          <w:color w:val="000000"/>
          <w:lang w:val="en-US"/>
        </w:rPr>
      </w:pPr>
      <w:r w:rsidRPr="00992526">
        <w:rPr>
          <w:rFonts w:cstheme="minorHAnsi"/>
          <w:b/>
          <w:bCs/>
          <w:color w:val="000000"/>
          <w:lang w:val="en-US"/>
        </w:rPr>
        <w:lastRenderedPageBreak/>
        <w:t xml:space="preserve">Table </w:t>
      </w:r>
      <w:r>
        <w:rPr>
          <w:rFonts w:cstheme="minorHAnsi"/>
          <w:b/>
          <w:bCs/>
          <w:color w:val="000000"/>
          <w:lang w:val="en-US"/>
        </w:rPr>
        <w:t>A4</w:t>
      </w:r>
      <w:r w:rsidRPr="00844B5D">
        <w:rPr>
          <w:rFonts w:cstheme="minorHAnsi"/>
          <w:b/>
          <w:bCs/>
          <w:color w:val="000000"/>
          <w:lang w:val="en-US"/>
        </w:rPr>
        <w:t xml:space="preserve"> </w:t>
      </w:r>
      <w:r>
        <w:rPr>
          <w:rFonts w:cstheme="minorHAnsi"/>
          <w:color w:val="000000"/>
          <w:lang w:val="en-US"/>
        </w:rPr>
        <w:t>–</w:t>
      </w:r>
      <w:r w:rsidRPr="00992526">
        <w:rPr>
          <w:rFonts w:cstheme="minorHAnsi"/>
          <w:b/>
          <w:bCs/>
          <w:color w:val="000000"/>
          <w:lang w:val="en-US"/>
        </w:rPr>
        <w:t xml:space="preserve"> </w:t>
      </w:r>
      <w:r>
        <w:rPr>
          <w:rFonts w:cstheme="minorHAnsi"/>
          <w:color w:val="000000"/>
          <w:lang w:val="en-US"/>
        </w:rPr>
        <w:t>Coding scheme for the concentrated (1) vs diffuse interests (0) dichotomous variable</w:t>
      </w:r>
    </w:p>
    <w:p w14:paraId="6595872B" w14:textId="77777777" w:rsidR="00FB66C8" w:rsidRDefault="00FB66C8" w:rsidP="00FB66C8">
      <w:pPr>
        <w:rPr>
          <w:rFonts w:ascii="Helvetica" w:hAnsi="Helvetica"/>
          <w:color w:val="000000"/>
          <w:sz w:val="18"/>
          <w:szCs w:val="18"/>
          <w:lang w:val="en-US"/>
        </w:rPr>
      </w:pPr>
    </w:p>
    <w:tbl>
      <w:tblPr>
        <w:tblStyle w:val="Tabellenraster"/>
        <w:tblW w:w="0" w:type="auto"/>
        <w:tblLook w:val="04A0" w:firstRow="1" w:lastRow="0" w:firstColumn="1" w:lastColumn="0" w:noHBand="0" w:noVBand="1"/>
      </w:tblPr>
      <w:tblGrid>
        <w:gridCol w:w="2714"/>
        <w:gridCol w:w="3274"/>
        <w:gridCol w:w="3074"/>
      </w:tblGrid>
      <w:tr w:rsidR="00FB66C8" w14:paraId="34E61CBC" w14:textId="77777777" w:rsidTr="009A444C">
        <w:tc>
          <w:tcPr>
            <w:tcW w:w="2714" w:type="dxa"/>
          </w:tcPr>
          <w:p w14:paraId="346F5CAE" w14:textId="77777777" w:rsidR="00FB66C8" w:rsidRDefault="00FB66C8" w:rsidP="009A444C">
            <w:pPr>
              <w:rPr>
                <w:rFonts w:cstheme="minorHAnsi"/>
                <w:lang w:val="en-US"/>
              </w:rPr>
            </w:pPr>
            <w:r>
              <w:rPr>
                <w:rFonts w:cstheme="minorHAnsi"/>
                <w:lang w:val="en-US"/>
              </w:rPr>
              <w:t>Policy field</w:t>
            </w:r>
          </w:p>
        </w:tc>
        <w:tc>
          <w:tcPr>
            <w:tcW w:w="3274" w:type="dxa"/>
          </w:tcPr>
          <w:p w14:paraId="2F4353CE" w14:textId="77777777" w:rsidR="00FB66C8" w:rsidRDefault="00FB66C8" w:rsidP="009A444C">
            <w:pPr>
              <w:rPr>
                <w:rFonts w:cstheme="minorHAnsi"/>
                <w:lang w:val="en-US"/>
              </w:rPr>
            </w:pPr>
            <w:r>
              <w:rPr>
                <w:rFonts w:cstheme="minorHAnsi"/>
                <w:lang w:val="en-US"/>
              </w:rPr>
              <w:t>Concentrated Interests</w:t>
            </w:r>
          </w:p>
        </w:tc>
        <w:tc>
          <w:tcPr>
            <w:tcW w:w="3074" w:type="dxa"/>
          </w:tcPr>
          <w:p w14:paraId="44F2E273" w14:textId="77777777" w:rsidR="00FB66C8" w:rsidRDefault="00FB66C8" w:rsidP="009A444C">
            <w:pPr>
              <w:rPr>
                <w:rFonts w:cstheme="minorHAnsi"/>
                <w:lang w:val="en-US"/>
              </w:rPr>
            </w:pPr>
            <w:r>
              <w:rPr>
                <w:rFonts w:cstheme="minorHAnsi"/>
                <w:lang w:val="en-US"/>
              </w:rPr>
              <w:t>Diffuse Interests</w:t>
            </w:r>
          </w:p>
        </w:tc>
      </w:tr>
      <w:tr w:rsidR="00FB66C8" w:rsidRPr="00DD7E0D" w14:paraId="79D89F92" w14:textId="77777777" w:rsidTr="009A444C">
        <w:tc>
          <w:tcPr>
            <w:tcW w:w="2714" w:type="dxa"/>
          </w:tcPr>
          <w:p w14:paraId="7AE932A8" w14:textId="77777777" w:rsidR="00FB66C8" w:rsidRDefault="00FB66C8" w:rsidP="009A444C">
            <w:pPr>
              <w:rPr>
                <w:rFonts w:cstheme="minorHAnsi"/>
                <w:lang w:val="en-US"/>
              </w:rPr>
            </w:pPr>
            <w:r>
              <w:rPr>
                <w:rFonts w:cstheme="minorHAnsi"/>
                <w:lang w:val="en-US"/>
              </w:rPr>
              <w:t>Healthcare groups</w:t>
            </w:r>
          </w:p>
        </w:tc>
        <w:tc>
          <w:tcPr>
            <w:tcW w:w="3274" w:type="dxa"/>
          </w:tcPr>
          <w:p w14:paraId="5F49597B" w14:textId="77777777" w:rsidR="00FB66C8" w:rsidRPr="00992526" w:rsidRDefault="00FB66C8" w:rsidP="009A444C">
            <w:pPr>
              <w:rPr>
                <w:rFonts w:cstheme="minorHAnsi"/>
                <w:sz w:val="20"/>
                <w:szCs w:val="20"/>
                <w:lang w:val="en-US"/>
              </w:rPr>
            </w:pPr>
            <w:r w:rsidRPr="00992526">
              <w:rPr>
                <w:rFonts w:cstheme="minorHAnsi"/>
                <w:color w:val="000000"/>
                <w:sz w:val="20"/>
                <w:szCs w:val="20"/>
                <w:lang w:val="en-US"/>
              </w:rPr>
              <w:t xml:space="preserve">medical doctors, medical and pharmaceutical industry, private hospitals </w:t>
            </w:r>
          </w:p>
        </w:tc>
        <w:tc>
          <w:tcPr>
            <w:tcW w:w="3074" w:type="dxa"/>
          </w:tcPr>
          <w:p w14:paraId="1BFAA6AB" w14:textId="77777777" w:rsidR="00FB66C8" w:rsidRPr="00992526" w:rsidRDefault="00FB66C8" w:rsidP="009A444C">
            <w:pPr>
              <w:rPr>
                <w:rFonts w:cstheme="minorHAnsi"/>
                <w:sz w:val="20"/>
                <w:szCs w:val="20"/>
                <w:lang w:val="en-US"/>
              </w:rPr>
            </w:pPr>
            <w:r w:rsidRPr="00992526">
              <w:rPr>
                <w:rFonts w:cstheme="minorHAnsi"/>
                <w:color w:val="000000"/>
                <w:sz w:val="20"/>
                <w:szCs w:val="20"/>
                <w:lang w:val="en-US"/>
              </w:rPr>
              <w:t>patients, healthcare awareness, healthcare unions and healthcare non-medical employees</w:t>
            </w:r>
          </w:p>
        </w:tc>
      </w:tr>
      <w:tr w:rsidR="00FB66C8" w:rsidRPr="00DD7E0D" w14:paraId="56247E89" w14:textId="77777777" w:rsidTr="009A444C">
        <w:tc>
          <w:tcPr>
            <w:tcW w:w="2714" w:type="dxa"/>
          </w:tcPr>
          <w:p w14:paraId="066E9FC0" w14:textId="77777777" w:rsidR="00FB66C8" w:rsidRDefault="00FB66C8" w:rsidP="009A444C">
            <w:pPr>
              <w:rPr>
                <w:rFonts w:cstheme="minorHAnsi"/>
                <w:lang w:val="en-US"/>
              </w:rPr>
            </w:pPr>
            <w:r>
              <w:rPr>
                <w:rFonts w:cstheme="minorHAnsi"/>
                <w:lang w:val="en-US"/>
              </w:rPr>
              <w:t>Higher education groups</w:t>
            </w:r>
          </w:p>
        </w:tc>
        <w:tc>
          <w:tcPr>
            <w:tcW w:w="3274" w:type="dxa"/>
          </w:tcPr>
          <w:p w14:paraId="5CF33807" w14:textId="77777777" w:rsidR="00FB66C8" w:rsidRPr="00992526" w:rsidRDefault="00FB66C8" w:rsidP="009A444C">
            <w:pPr>
              <w:rPr>
                <w:rFonts w:cstheme="minorHAnsi"/>
                <w:sz w:val="20"/>
                <w:szCs w:val="20"/>
                <w:lang w:val="en-US"/>
              </w:rPr>
            </w:pPr>
            <w:r w:rsidRPr="00992526">
              <w:rPr>
                <w:rFonts w:cstheme="minorHAnsi"/>
                <w:color w:val="000000"/>
                <w:sz w:val="20"/>
                <w:szCs w:val="20"/>
                <w:lang w:val="en-US"/>
              </w:rPr>
              <w:t>groups representing the academic profession and/or institutions (e.g., rectors’ conferences) as well as lobbyists for the university system</w:t>
            </w:r>
          </w:p>
        </w:tc>
        <w:tc>
          <w:tcPr>
            <w:tcW w:w="3074" w:type="dxa"/>
          </w:tcPr>
          <w:p w14:paraId="79B955FB" w14:textId="77777777" w:rsidR="00FB66C8" w:rsidRPr="00992526" w:rsidRDefault="00FB66C8" w:rsidP="009A444C">
            <w:pPr>
              <w:rPr>
                <w:rFonts w:cstheme="minorHAnsi"/>
                <w:sz w:val="20"/>
                <w:szCs w:val="20"/>
                <w:lang w:val="en-US"/>
              </w:rPr>
            </w:pPr>
            <w:r w:rsidRPr="00992526">
              <w:rPr>
                <w:rFonts w:cstheme="minorHAnsi"/>
                <w:sz w:val="20"/>
                <w:szCs w:val="20"/>
                <w:lang w:val="en-US"/>
              </w:rPr>
              <w:t>higher education unions, student organizations</w:t>
            </w:r>
          </w:p>
        </w:tc>
      </w:tr>
      <w:tr w:rsidR="00FB66C8" w:rsidRPr="00DD7E0D" w14:paraId="79675176" w14:textId="77777777" w:rsidTr="009A444C">
        <w:tc>
          <w:tcPr>
            <w:tcW w:w="2714" w:type="dxa"/>
          </w:tcPr>
          <w:p w14:paraId="51172D74" w14:textId="77777777" w:rsidR="00FB66C8" w:rsidRDefault="00FB66C8" w:rsidP="009A444C">
            <w:pPr>
              <w:rPr>
                <w:rFonts w:cstheme="minorHAnsi"/>
                <w:lang w:val="en-US"/>
              </w:rPr>
            </w:pPr>
            <w:r>
              <w:rPr>
                <w:rFonts w:cstheme="minorHAnsi"/>
                <w:lang w:val="en-US"/>
              </w:rPr>
              <w:t>Energy policy groups</w:t>
            </w:r>
          </w:p>
        </w:tc>
        <w:tc>
          <w:tcPr>
            <w:tcW w:w="3274" w:type="dxa"/>
          </w:tcPr>
          <w:p w14:paraId="01379343" w14:textId="77777777" w:rsidR="00FB66C8" w:rsidRPr="00992526" w:rsidRDefault="00FB66C8" w:rsidP="009A444C">
            <w:pPr>
              <w:rPr>
                <w:rFonts w:cstheme="minorHAnsi"/>
                <w:color w:val="000000"/>
                <w:sz w:val="20"/>
                <w:szCs w:val="20"/>
                <w:lang w:val="en-US"/>
              </w:rPr>
            </w:pPr>
            <w:r w:rsidRPr="00992526">
              <w:rPr>
                <w:rFonts w:cstheme="minorHAnsi"/>
                <w:color w:val="000000"/>
                <w:sz w:val="20"/>
                <w:szCs w:val="20"/>
                <w:lang w:val="en-US"/>
              </w:rPr>
              <w:t>energy producers and associations of energy suppliers</w:t>
            </w:r>
            <w:r>
              <w:rPr>
                <w:rFonts w:cstheme="minorHAnsi"/>
                <w:color w:val="000000"/>
                <w:sz w:val="20"/>
                <w:szCs w:val="20"/>
                <w:lang w:val="en-US"/>
              </w:rPr>
              <w:t xml:space="preserve"> / business organizations</w:t>
            </w:r>
            <w:r w:rsidRPr="00992526">
              <w:rPr>
                <w:rFonts w:cstheme="minorHAnsi"/>
                <w:color w:val="000000"/>
                <w:sz w:val="20"/>
                <w:szCs w:val="20"/>
                <w:lang w:val="en-US"/>
              </w:rPr>
              <w:t xml:space="preserve"> (fossil, nuclear, renewables)</w:t>
            </w:r>
          </w:p>
        </w:tc>
        <w:tc>
          <w:tcPr>
            <w:tcW w:w="3074" w:type="dxa"/>
          </w:tcPr>
          <w:p w14:paraId="4C1915D4" w14:textId="77777777" w:rsidR="00FB66C8" w:rsidRPr="00992526" w:rsidRDefault="00FB66C8" w:rsidP="009A444C">
            <w:pPr>
              <w:rPr>
                <w:rFonts w:cstheme="minorHAnsi"/>
                <w:sz w:val="20"/>
                <w:szCs w:val="20"/>
                <w:lang w:val="en-US"/>
              </w:rPr>
            </w:pPr>
            <w:r w:rsidRPr="00992526">
              <w:rPr>
                <w:rFonts w:cstheme="minorHAnsi"/>
                <w:color w:val="000000"/>
                <w:sz w:val="20"/>
                <w:szCs w:val="20"/>
                <w:lang w:val="en-US"/>
              </w:rPr>
              <w:t>consumers’ groups, groups promoting clean and sustainable energy (environmental) as well as energy efficiency and energy employees’ organizations (unions)</w:t>
            </w:r>
          </w:p>
        </w:tc>
      </w:tr>
    </w:tbl>
    <w:p w14:paraId="0BAD134E" w14:textId="77777777" w:rsidR="00FB66C8" w:rsidRPr="005504CD" w:rsidRDefault="00FB66C8" w:rsidP="00FB66C8">
      <w:pPr>
        <w:rPr>
          <w:rFonts w:cstheme="minorHAnsi"/>
          <w:lang w:val="en-US"/>
        </w:rPr>
      </w:pPr>
    </w:p>
    <w:p w14:paraId="73577A06" w14:textId="77777777" w:rsidR="00FB66C8" w:rsidRPr="00FB66C8" w:rsidRDefault="00FB66C8">
      <w:pPr>
        <w:rPr>
          <w:b/>
          <w:bCs/>
          <w:lang w:val="en-US"/>
        </w:rPr>
      </w:pPr>
      <w:r w:rsidRPr="00FB66C8">
        <w:rPr>
          <w:b/>
          <w:bCs/>
          <w:lang w:val="en-US"/>
        </w:rPr>
        <w:br w:type="page"/>
      </w:r>
    </w:p>
    <w:p w14:paraId="6C7902E8" w14:textId="77777777" w:rsidR="00FB66C8" w:rsidRPr="00106D7F" w:rsidRDefault="00FB66C8" w:rsidP="00FB66C8">
      <w:pPr>
        <w:autoSpaceDE w:val="0"/>
        <w:autoSpaceDN w:val="0"/>
        <w:adjustRightInd w:val="0"/>
        <w:rPr>
          <w:rFonts w:cstheme="minorHAnsi"/>
          <w:lang w:val="en-US"/>
        </w:rPr>
      </w:pPr>
      <w:r w:rsidRPr="00106D7F">
        <w:rPr>
          <w:rFonts w:cstheme="minorHAnsi"/>
          <w:b/>
          <w:bCs/>
          <w:lang w:val="en-US"/>
        </w:rPr>
        <w:lastRenderedPageBreak/>
        <w:t xml:space="preserve">Table </w:t>
      </w:r>
      <w:r>
        <w:rPr>
          <w:rFonts w:cstheme="minorHAnsi"/>
          <w:b/>
          <w:bCs/>
          <w:lang w:val="en-US"/>
        </w:rPr>
        <w:t>A5</w:t>
      </w:r>
      <w:r w:rsidRPr="00106D7F">
        <w:rPr>
          <w:rFonts w:cstheme="minorHAnsi"/>
          <w:lang w:val="en-US"/>
        </w:rPr>
        <w:t xml:space="preserve"> - Descriptive Statistics of Dependent and Independent Variables</w:t>
      </w:r>
    </w:p>
    <w:tbl>
      <w:tblPr>
        <w:tblW w:w="13238" w:type="dxa"/>
        <w:tblInd w:w="-118" w:type="dxa"/>
        <w:tblBorders>
          <w:left w:val="none" w:sz="6" w:space="0" w:color="auto"/>
          <w:right w:val="none" w:sz="6" w:space="0" w:color="auto"/>
        </w:tblBorders>
        <w:tblLayout w:type="fixed"/>
        <w:tblLook w:val="0000" w:firstRow="0" w:lastRow="0" w:firstColumn="0" w:lastColumn="0" w:noHBand="0" w:noVBand="0"/>
      </w:tblPr>
      <w:tblGrid>
        <w:gridCol w:w="2805"/>
        <w:gridCol w:w="1717"/>
        <w:gridCol w:w="2179"/>
        <w:gridCol w:w="2179"/>
        <w:gridCol w:w="2179"/>
        <w:gridCol w:w="2179"/>
      </w:tblGrid>
      <w:tr w:rsidR="00FB66C8" w:rsidRPr="00106D7F" w14:paraId="5A8A6E18" w14:textId="77777777" w:rsidTr="00FB66C8">
        <w:trPr>
          <w:trHeight w:val="272"/>
        </w:trPr>
        <w:tc>
          <w:tcPr>
            <w:tcW w:w="280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716C6C" w14:textId="77777777" w:rsidR="00FB66C8" w:rsidRPr="001F6979" w:rsidRDefault="00FB66C8" w:rsidP="009A444C">
            <w:pPr>
              <w:autoSpaceDE w:val="0"/>
              <w:autoSpaceDN w:val="0"/>
              <w:adjustRightInd w:val="0"/>
              <w:rPr>
                <w:rFonts w:cstheme="minorHAnsi"/>
                <w:lang w:val="en-US"/>
              </w:rPr>
            </w:pPr>
          </w:p>
        </w:tc>
        <w:tc>
          <w:tcPr>
            <w:tcW w:w="17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596C0A" w14:textId="77777777" w:rsidR="00FB66C8" w:rsidRPr="00106D7F" w:rsidRDefault="00FB66C8" w:rsidP="009A444C">
            <w:pPr>
              <w:autoSpaceDE w:val="0"/>
              <w:autoSpaceDN w:val="0"/>
              <w:adjustRightInd w:val="0"/>
              <w:jc w:val="center"/>
              <w:rPr>
                <w:rFonts w:cstheme="minorHAnsi"/>
              </w:rPr>
            </w:pPr>
            <w:proofErr w:type="spellStart"/>
            <w:r w:rsidRPr="00106D7F">
              <w:rPr>
                <w:rFonts w:cstheme="minorHAnsi"/>
              </w:rPr>
              <w:t>count</w:t>
            </w:r>
            <w:proofErr w:type="spellEnd"/>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927866" w14:textId="77777777" w:rsidR="00FB66C8" w:rsidRPr="00106D7F" w:rsidRDefault="00FB66C8" w:rsidP="009A444C">
            <w:pPr>
              <w:autoSpaceDE w:val="0"/>
              <w:autoSpaceDN w:val="0"/>
              <w:adjustRightInd w:val="0"/>
              <w:jc w:val="center"/>
              <w:rPr>
                <w:rFonts w:cstheme="minorHAnsi"/>
              </w:rPr>
            </w:pPr>
            <w:proofErr w:type="spellStart"/>
            <w:r w:rsidRPr="00106D7F">
              <w:rPr>
                <w:rFonts w:cstheme="minorHAnsi"/>
              </w:rPr>
              <w:t>mean</w:t>
            </w:r>
            <w:proofErr w:type="spellEnd"/>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21C6CF" w14:textId="77777777" w:rsidR="00FB66C8" w:rsidRPr="00106D7F" w:rsidRDefault="00FB66C8" w:rsidP="009A444C">
            <w:pPr>
              <w:autoSpaceDE w:val="0"/>
              <w:autoSpaceDN w:val="0"/>
              <w:adjustRightInd w:val="0"/>
              <w:jc w:val="center"/>
              <w:rPr>
                <w:rFonts w:cstheme="minorHAnsi"/>
              </w:rPr>
            </w:pPr>
            <w:proofErr w:type="spellStart"/>
            <w:r w:rsidRPr="00106D7F">
              <w:rPr>
                <w:rFonts w:cstheme="minorHAnsi"/>
              </w:rPr>
              <w:t>sd</w:t>
            </w:r>
            <w:proofErr w:type="spellEnd"/>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D4C073" w14:textId="77777777" w:rsidR="00FB66C8" w:rsidRPr="00106D7F" w:rsidRDefault="00FB66C8" w:rsidP="009A444C">
            <w:pPr>
              <w:autoSpaceDE w:val="0"/>
              <w:autoSpaceDN w:val="0"/>
              <w:adjustRightInd w:val="0"/>
              <w:jc w:val="center"/>
              <w:rPr>
                <w:rFonts w:cstheme="minorHAnsi"/>
              </w:rPr>
            </w:pPr>
            <w:r w:rsidRPr="00106D7F">
              <w:rPr>
                <w:rFonts w:cstheme="minorHAnsi"/>
              </w:rPr>
              <w:t>min</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E7E009" w14:textId="77777777" w:rsidR="00FB66C8" w:rsidRPr="00106D7F" w:rsidRDefault="00FB66C8" w:rsidP="009A444C">
            <w:pPr>
              <w:autoSpaceDE w:val="0"/>
              <w:autoSpaceDN w:val="0"/>
              <w:adjustRightInd w:val="0"/>
              <w:jc w:val="center"/>
              <w:rPr>
                <w:rFonts w:cstheme="minorHAnsi"/>
              </w:rPr>
            </w:pPr>
            <w:proofErr w:type="spellStart"/>
            <w:r w:rsidRPr="00106D7F">
              <w:rPr>
                <w:rFonts w:cstheme="minorHAnsi"/>
              </w:rPr>
              <w:t>max</w:t>
            </w:r>
            <w:proofErr w:type="spellEnd"/>
          </w:p>
        </w:tc>
      </w:tr>
      <w:tr w:rsidR="00FB66C8" w:rsidRPr="00106D7F" w14:paraId="01950F40" w14:textId="77777777" w:rsidTr="00FB66C8">
        <w:trPr>
          <w:trHeight w:val="1697"/>
        </w:trPr>
        <w:tc>
          <w:tcPr>
            <w:tcW w:w="2805"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0BAE6ABC" w14:textId="77777777" w:rsidR="00FB66C8" w:rsidRPr="00106D7F" w:rsidRDefault="00FB66C8" w:rsidP="009A444C">
            <w:pPr>
              <w:autoSpaceDE w:val="0"/>
              <w:autoSpaceDN w:val="0"/>
              <w:adjustRightInd w:val="0"/>
              <w:rPr>
                <w:rFonts w:cstheme="minorHAnsi"/>
                <w:lang w:val="en-US"/>
              </w:rPr>
            </w:pPr>
            <w:r w:rsidRPr="00106D7F">
              <w:rPr>
                <w:rFonts w:cstheme="minorHAnsi"/>
                <w:lang w:val="en-US"/>
              </w:rPr>
              <w:t>Access to the government and parliament - composite index</w:t>
            </w:r>
          </w:p>
        </w:tc>
        <w:tc>
          <w:tcPr>
            <w:tcW w:w="1717"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D416F56" w14:textId="77777777" w:rsidR="00FB66C8" w:rsidRPr="00106D7F" w:rsidRDefault="00FB66C8" w:rsidP="009A444C">
            <w:pPr>
              <w:autoSpaceDE w:val="0"/>
              <w:autoSpaceDN w:val="0"/>
              <w:adjustRightInd w:val="0"/>
              <w:jc w:val="center"/>
              <w:rPr>
                <w:rFonts w:cstheme="minorHAnsi"/>
              </w:rPr>
            </w:pPr>
            <w:r w:rsidRPr="00106D7F">
              <w:rPr>
                <w:rFonts w:cstheme="minorHAnsi"/>
              </w:rPr>
              <w:t>369</w:t>
            </w:r>
          </w:p>
        </w:tc>
        <w:tc>
          <w:tcPr>
            <w:tcW w:w="217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2590332" w14:textId="77777777" w:rsidR="00FB66C8" w:rsidRPr="00106D7F" w:rsidRDefault="00FB66C8" w:rsidP="009A444C">
            <w:pPr>
              <w:autoSpaceDE w:val="0"/>
              <w:autoSpaceDN w:val="0"/>
              <w:adjustRightInd w:val="0"/>
              <w:jc w:val="center"/>
              <w:rPr>
                <w:rFonts w:cstheme="minorHAnsi"/>
              </w:rPr>
            </w:pPr>
            <w:r w:rsidRPr="00106D7F">
              <w:rPr>
                <w:rFonts w:cstheme="minorHAnsi"/>
              </w:rPr>
              <w:t>8.428184</w:t>
            </w:r>
          </w:p>
        </w:tc>
        <w:tc>
          <w:tcPr>
            <w:tcW w:w="217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BDC5D8B" w14:textId="77777777" w:rsidR="00FB66C8" w:rsidRPr="00106D7F" w:rsidRDefault="00FB66C8" w:rsidP="009A444C">
            <w:pPr>
              <w:autoSpaceDE w:val="0"/>
              <w:autoSpaceDN w:val="0"/>
              <w:adjustRightInd w:val="0"/>
              <w:jc w:val="center"/>
              <w:rPr>
                <w:rFonts w:cstheme="minorHAnsi"/>
              </w:rPr>
            </w:pPr>
            <w:r w:rsidRPr="00106D7F">
              <w:rPr>
                <w:rFonts w:cstheme="minorHAnsi"/>
              </w:rPr>
              <w:t>3.909418</w:t>
            </w:r>
          </w:p>
        </w:tc>
        <w:tc>
          <w:tcPr>
            <w:tcW w:w="217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FFD892B" w14:textId="77777777" w:rsidR="00FB66C8" w:rsidRPr="00106D7F" w:rsidRDefault="00FB66C8" w:rsidP="009A444C">
            <w:pPr>
              <w:autoSpaceDE w:val="0"/>
              <w:autoSpaceDN w:val="0"/>
              <w:adjustRightInd w:val="0"/>
              <w:jc w:val="center"/>
              <w:rPr>
                <w:rFonts w:cstheme="minorHAnsi"/>
              </w:rPr>
            </w:pPr>
            <w:r w:rsidRPr="00106D7F">
              <w:rPr>
                <w:rFonts w:cstheme="minorHAnsi"/>
              </w:rPr>
              <w:t>1</w:t>
            </w:r>
          </w:p>
        </w:tc>
        <w:tc>
          <w:tcPr>
            <w:tcW w:w="217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C841135" w14:textId="77777777" w:rsidR="00FB66C8" w:rsidRPr="00106D7F" w:rsidRDefault="00FB66C8" w:rsidP="009A444C">
            <w:pPr>
              <w:autoSpaceDE w:val="0"/>
              <w:autoSpaceDN w:val="0"/>
              <w:adjustRightInd w:val="0"/>
              <w:jc w:val="center"/>
              <w:rPr>
                <w:rFonts w:cstheme="minorHAnsi"/>
              </w:rPr>
            </w:pPr>
            <w:r w:rsidRPr="00106D7F">
              <w:rPr>
                <w:rFonts w:cstheme="minorHAnsi"/>
              </w:rPr>
              <w:t>18</w:t>
            </w:r>
          </w:p>
        </w:tc>
      </w:tr>
      <w:tr w:rsidR="00FB66C8" w:rsidRPr="00106D7F" w14:paraId="67C46011" w14:textId="77777777" w:rsidTr="00FB66C8">
        <w:trPr>
          <w:trHeight w:val="557"/>
        </w:trPr>
        <w:tc>
          <w:tcPr>
            <w:tcW w:w="280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76BA6E" w14:textId="77777777" w:rsidR="00FB66C8" w:rsidRPr="00106D7F" w:rsidRDefault="00FB66C8" w:rsidP="009A444C">
            <w:pPr>
              <w:autoSpaceDE w:val="0"/>
              <w:autoSpaceDN w:val="0"/>
              <w:adjustRightInd w:val="0"/>
              <w:rPr>
                <w:rFonts w:cstheme="minorHAnsi"/>
              </w:rPr>
            </w:pPr>
            <w:proofErr w:type="spellStart"/>
            <w:r w:rsidRPr="00106D7F">
              <w:rPr>
                <w:rFonts w:cstheme="minorHAnsi"/>
              </w:rPr>
              <w:t>Professionalization</w:t>
            </w:r>
            <w:proofErr w:type="spellEnd"/>
          </w:p>
        </w:tc>
        <w:tc>
          <w:tcPr>
            <w:tcW w:w="17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DADFEF" w14:textId="77777777" w:rsidR="00FB66C8" w:rsidRPr="00106D7F" w:rsidRDefault="00FB66C8" w:rsidP="009A444C">
            <w:pPr>
              <w:autoSpaceDE w:val="0"/>
              <w:autoSpaceDN w:val="0"/>
              <w:adjustRightInd w:val="0"/>
              <w:jc w:val="center"/>
              <w:rPr>
                <w:rFonts w:cstheme="minorHAnsi"/>
              </w:rPr>
            </w:pPr>
            <w:r w:rsidRPr="00106D7F">
              <w:rPr>
                <w:rFonts w:cstheme="minorHAnsi"/>
              </w:rPr>
              <w:t>412</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CDAE30" w14:textId="77777777" w:rsidR="00FB66C8" w:rsidRPr="00106D7F" w:rsidRDefault="00FB66C8" w:rsidP="009A444C">
            <w:pPr>
              <w:autoSpaceDE w:val="0"/>
              <w:autoSpaceDN w:val="0"/>
              <w:adjustRightInd w:val="0"/>
              <w:jc w:val="center"/>
              <w:rPr>
                <w:rFonts w:cstheme="minorHAnsi"/>
              </w:rPr>
            </w:pPr>
            <w:r w:rsidRPr="00106D7F">
              <w:rPr>
                <w:rFonts w:cstheme="minorHAnsi"/>
              </w:rPr>
              <w:t>15.06068</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A04387" w14:textId="77777777" w:rsidR="00FB66C8" w:rsidRPr="00106D7F" w:rsidRDefault="00FB66C8" w:rsidP="009A444C">
            <w:pPr>
              <w:autoSpaceDE w:val="0"/>
              <w:autoSpaceDN w:val="0"/>
              <w:adjustRightInd w:val="0"/>
              <w:jc w:val="center"/>
              <w:rPr>
                <w:rFonts w:cstheme="minorHAnsi"/>
              </w:rPr>
            </w:pPr>
            <w:r w:rsidRPr="00106D7F">
              <w:rPr>
                <w:rFonts w:cstheme="minorHAnsi"/>
              </w:rPr>
              <w:t>8.235211</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4B4E96" w14:textId="77777777" w:rsidR="00FB66C8" w:rsidRPr="00106D7F" w:rsidRDefault="00FB66C8" w:rsidP="009A444C">
            <w:pPr>
              <w:autoSpaceDE w:val="0"/>
              <w:autoSpaceDN w:val="0"/>
              <w:adjustRightInd w:val="0"/>
              <w:jc w:val="center"/>
              <w:rPr>
                <w:rFonts w:cstheme="minorHAnsi"/>
              </w:rPr>
            </w:pPr>
            <w:r w:rsidRPr="00106D7F">
              <w:rPr>
                <w:rFonts w:cstheme="minorHAnsi"/>
              </w:rPr>
              <w:t>1</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12A156" w14:textId="77777777" w:rsidR="00FB66C8" w:rsidRPr="00106D7F" w:rsidRDefault="00FB66C8" w:rsidP="009A444C">
            <w:pPr>
              <w:autoSpaceDE w:val="0"/>
              <w:autoSpaceDN w:val="0"/>
              <w:adjustRightInd w:val="0"/>
              <w:jc w:val="center"/>
              <w:rPr>
                <w:rFonts w:cstheme="minorHAnsi"/>
              </w:rPr>
            </w:pPr>
            <w:r w:rsidRPr="00106D7F">
              <w:rPr>
                <w:rFonts w:cstheme="minorHAnsi"/>
              </w:rPr>
              <w:t>30</w:t>
            </w:r>
          </w:p>
        </w:tc>
      </w:tr>
      <w:tr w:rsidR="00FB66C8" w:rsidRPr="00106D7F" w14:paraId="7A80E423" w14:textId="77777777" w:rsidTr="00FB66C8">
        <w:trPr>
          <w:trHeight w:val="570"/>
        </w:trPr>
        <w:tc>
          <w:tcPr>
            <w:tcW w:w="280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A667BB" w14:textId="77777777" w:rsidR="00FB66C8" w:rsidRPr="00106D7F" w:rsidRDefault="00FB66C8" w:rsidP="009A444C">
            <w:pPr>
              <w:autoSpaceDE w:val="0"/>
              <w:autoSpaceDN w:val="0"/>
              <w:adjustRightInd w:val="0"/>
              <w:rPr>
                <w:rFonts w:cstheme="minorHAnsi"/>
              </w:rPr>
            </w:pPr>
            <w:r w:rsidRPr="00106D7F">
              <w:rPr>
                <w:rFonts w:cstheme="minorHAnsi"/>
              </w:rPr>
              <w:t xml:space="preserve">Organizational </w:t>
            </w:r>
            <w:proofErr w:type="spellStart"/>
            <w:r w:rsidRPr="00106D7F">
              <w:rPr>
                <w:rFonts w:cstheme="minorHAnsi"/>
              </w:rPr>
              <w:t>age</w:t>
            </w:r>
            <w:proofErr w:type="spellEnd"/>
            <w:r w:rsidRPr="00106D7F">
              <w:rPr>
                <w:rFonts w:cstheme="minorHAnsi"/>
              </w:rPr>
              <w:t xml:space="preserve"> </w:t>
            </w:r>
            <w:proofErr w:type="spellStart"/>
            <w:r w:rsidRPr="00106D7F">
              <w:rPr>
                <w:rFonts w:cstheme="minorHAnsi"/>
              </w:rPr>
              <w:t>logged</w:t>
            </w:r>
            <w:proofErr w:type="spellEnd"/>
          </w:p>
        </w:tc>
        <w:tc>
          <w:tcPr>
            <w:tcW w:w="17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E65EED" w14:textId="77777777" w:rsidR="00FB66C8" w:rsidRPr="00106D7F" w:rsidRDefault="00FB66C8" w:rsidP="009A444C">
            <w:pPr>
              <w:autoSpaceDE w:val="0"/>
              <w:autoSpaceDN w:val="0"/>
              <w:adjustRightInd w:val="0"/>
              <w:jc w:val="center"/>
              <w:rPr>
                <w:rFonts w:cstheme="minorHAnsi"/>
              </w:rPr>
            </w:pPr>
            <w:r w:rsidRPr="00106D7F">
              <w:rPr>
                <w:rFonts w:cstheme="minorHAnsi"/>
              </w:rPr>
              <w:t>424</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D49CD1" w14:textId="77777777" w:rsidR="00FB66C8" w:rsidRPr="00106D7F" w:rsidRDefault="00FB66C8" w:rsidP="009A444C">
            <w:pPr>
              <w:autoSpaceDE w:val="0"/>
              <w:autoSpaceDN w:val="0"/>
              <w:adjustRightInd w:val="0"/>
              <w:jc w:val="center"/>
              <w:rPr>
                <w:rFonts w:cstheme="minorHAnsi"/>
              </w:rPr>
            </w:pPr>
            <w:r w:rsidRPr="00106D7F">
              <w:rPr>
                <w:rFonts w:cstheme="minorHAnsi"/>
              </w:rPr>
              <w:t>2.826994</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90B4ED" w14:textId="77777777" w:rsidR="00FB66C8" w:rsidRPr="00106D7F" w:rsidRDefault="00FB66C8" w:rsidP="009A444C">
            <w:pPr>
              <w:autoSpaceDE w:val="0"/>
              <w:autoSpaceDN w:val="0"/>
              <w:adjustRightInd w:val="0"/>
              <w:jc w:val="center"/>
              <w:rPr>
                <w:rFonts w:cstheme="minorHAnsi"/>
              </w:rPr>
            </w:pPr>
            <w:r w:rsidRPr="00106D7F">
              <w:rPr>
                <w:rFonts w:cstheme="minorHAnsi"/>
              </w:rPr>
              <w:t>.8615059</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79A803" w14:textId="77777777" w:rsidR="00FB66C8" w:rsidRPr="00106D7F" w:rsidRDefault="00FB66C8" w:rsidP="009A444C">
            <w:pPr>
              <w:autoSpaceDE w:val="0"/>
              <w:autoSpaceDN w:val="0"/>
              <w:adjustRightInd w:val="0"/>
              <w:jc w:val="center"/>
              <w:rPr>
                <w:rFonts w:cstheme="minorHAnsi"/>
              </w:rPr>
            </w:pPr>
            <w:r w:rsidRPr="00106D7F">
              <w:rPr>
                <w:rFonts w:cstheme="minorHAnsi"/>
              </w:rPr>
              <w:t>0</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2F529B" w14:textId="77777777" w:rsidR="00FB66C8" w:rsidRPr="00106D7F" w:rsidRDefault="00FB66C8" w:rsidP="009A444C">
            <w:pPr>
              <w:autoSpaceDE w:val="0"/>
              <w:autoSpaceDN w:val="0"/>
              <w:adjustRightInd w:val="0"/>
              <w:jc w:val="center"/>
              <w:rPr>
                <w:rFonts w:cstheme="minorHAnsi"/>
              </w:rPr>
            </w:pPr>
            <w:r w:rsidRPr="00106D7F">
              <w:rPr>
                <w:rFonts w:cstheme="minorHAnsi"/>
              </w:rPr>
              <w:t>5.342334</w:t>
            </w:r>
          </w:p>
        </w:tc>
      </w:tr>
      <w:tr w:rsidR="00FB66C8" w:rsidRPr="00106D7F" w14:paraId="59C2B02F" w14:textId="77777777" w:rsidTr="00FB66C8">
        <w:trPr>
          <w:trHeight w:val="557"/>
        </w:trPr>
        <w:tc>
          <w:tcPr>
            <w:tcW w:w="280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BD1F22" w14:textId="77777777" w:rsidR="00FB66C8" w:rsidRPr="00106D7F" w:rsidRDefault="00FB66C8" w:rsidP="009A444C">
            <w:pPr>
              <w:autoSpaceDE w:val="0"/>
              <w:autoSpaceDN w:val="0"/>
              <w:adjustRightInd w:val="0"/>
              <w:rPr>
                <w:rFonts w:cstheme="minorHAnsi"/>
              </w:rPr>
            </w:pPr>
            <w:proofErr w:type="spellStart"/>
            <w:r w:rsidRPr="00106D7F">
              <w:rPr>
                <w:rFonts w:cstheme="minorHAnsi"/>
              </w:rPr>
              <w:t>Concentrated</w:t>
            </w:r>
            <w:proofErr w:type="spellEnd"/>
            <w:r w:rsidRPr="00106D7F">
              <w:rPr>
                <w:rFonts w:cstheme="minorHAnsi"/>
              </w:rPr>
              <w:t xml:space="preserve"> </w:t>
            </w:r>
            <w:proofErr w:type="spellStart"/>
            <w:r w:rsidRPr="00106D7F">
              <w:rPr>
                <w:rFonts w:cstheme="minorHAnsi"/>
              </w:rPr>
              <w:t>interests</w:t>
            </w:r>
            <w:proofErr w:type="spellEnd"/>
          </w:p>
        </w:tc>
        <w:tc>
          <w:tcPr>
            <w:tcW w:w="17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601E1D" w14:textId="77777777" w:rsidR="00FB66C8" w:rsidRPr="00106D7F" w:rsidRDefault="00FB66C8" w:rsidP="009A444C">
            <w:pPr>
              <w:autoSpaceDE w:val="0"/>
              <w:autoSpaceDN w:val="0"/>
              <w:adjustRightInd w:val="0"/>
              <w:jc w:val="center"/>
              <w:rPr>
                <w:rFonts w:cstheme="minorHAnsi"/>
              </w:rPr>
            </w:pPr>
            <w:r w:rsidRPr="00106D7F">
              <w:rPr>
                <w:rFonts w:cstheme="minorHAnsi"/>
              </w:rPr>
              <w:t>428</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70124E" w14:textId="77777777" w:rsidR="00FB66C8" w:rsidRPr="00106D7F" w:rsidRDefault="00FB66C8" w:rsidP="009A444C">
            <w:pPr>
              <w:autoSpaceDE w:val="0"/>
              <w:autoSpaceDN w:val="0"/>
              <w:adjustRightInd w:val="0"/>
              <w:jc w:val="center"/>
              <w:rPr>
                <w:rFonts w:cstheme="minorHAnsi"/>
              </w:rPr>
            </w:pPr>
            <w:r w:rsidRPr="00106D7F">
              <w:rPr>
                <w:rFonts w:cstheme="minorHAnsi"/>
              </w:rPr>
              <w:t>.5280374</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7B1705" w14:textId="77777777" w:rsidR="00FB66C8" w:rsidRPr="00106D7F" w:rsidRDefault="00FB66C8" w:rsidP="009A444C">
            <w:pPr>
              <w:autoSpaceDE w:val="0"/>
              <w:autoSpaceDN w:val="0"/>
              <w:adjustRightInd w:val="0"/>
              <w:jc w:val="center"/>
              <w:rPr>
                <w:rFonts w:cstheme="minorHAnsi"/>
              </w:rPr>
            </w:pPr>
            <w:r w:rsidRPr="00106D7F">
              <w:rPr>
                <w:rFonts w:cstheme="minorHAnsi"/>
              </w:rPr>
              <w:t>.4997975</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2F0F1B" w14:textId="77777777" w:rsidR="00FB66C8" w:rsidRPr="00106D7F" w:rsidRDefault="00FB66C8" w:rsidP="009A444C">
            <w:pPr>
              <w:autoSpaceDE w:val="0"/>
              <w:autoSpaceDN w:val="0"/>
              <w:adjustRightInd w:val="0"/>
              <w:jc w:val="center"/>
              <w:rPr>
                <w:rFonts w:cstheme="minorHAnsi"/>
              </w:rPr>
            </w:pPr>
            <w:r w:rsidRPr="00106D7F">
              <w:rPr>
                <w:rFonts w:cstheme="minorHAnsi"/>
              </w:rPr>
              <w:t>0</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63550E" w14:textId="77777777" w:rsidR="00FB66C8" w:rsidRPr="00106D7F" w:rsidRDefault="00FB66C8" w:rsidP="009A444C">
            <w:pPr>
              <w:autoSpaceDE w:val="0"/>
              <w:autoSpaceDN w:val="0"/>
              <w:adjustRightInd w:val="0"/>
              <w:jc w:val="center"/>
              <w:rPr>
                <w:rFonts w:cstheme="minorHAnsi"/>
              </w:rPr>
            </w:pPr>
            <w:r w:rsidRPr="00106D7F">
              <w:rPr>
                <w:rFonts w:cstheme="minorHAnsi"/>
              </w:rPr>
              <w:t>1</w:t>
            </w:r>
          </w:p>
        </w:tc>
      </w:tr>
      <w:tr w:rsidR="00FB66C8" w:rsidRPr="00106D7F" w14:paraId="572F389F" w14:textId="77777777" w:rsidTr="00FB66C8">
        <w:trPr>
          <w:trHeight w:val="272"/>
        </w:trPr>
        <w:tc>
          <w:tcPr>
            <w:tcW w:w="280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EDDA76" w14:textId="77777777" w:rsidR="00FB66C8" w:rsidRPr="00106D7F" w:rsidRDefault="00FB66C8" w:rsidP="009A444C">
            <w:pPr>
              <w:autoSpaceDE w:val="0"/>
              <w:autoSpaceDN w:val="0"/>
              <w:adjustRightInd w:val="0"/>
              <w:rPr>
                <w:rFonts w:cstheme="minorHAnsi"/>
              </w:rPr>
            </w:pPr>
            <w:r w:rsidRPr="00106D7F">
              <w:rPr>
                <w:rFonts w:cstheme="minorHAnsi"/>
              </w:rPr>
              <w:t>Expertise</w:t>
            </w:r>
          </w:p>
        </w:tc>
        <w:tc>
          <w:tcPr>
            <w:tcW w:w="17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E29D1B" w14:textId="77777777" w:rsidR="00FB66C8" w:rsidRPr="00106D7F" w:rsidRDefault="00FB66C8" w:rsidP="009A444C">
            <w:pPr>
              <w:autoSpaceDE w:val="0"/>
              <w:autoSpaceDN w:val="0"/>
              <w:adjustRightInd w:val="0"/>
              <w:jc w:val="center"/>
              <w:rPr>
                <w:rFonts w:cstheme="minorHAnsi"/>
              </w:rPr>
            </w:pPr>
            <w:r w:rsidRPr="00106D7F">
              <w:rPr>
                <w:rFonts w:cstheme="minorHAnsi"/>
              </w:rPr>
              <w:t>431</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B21682" w14:textId="77777777" w:rsidR="00FB66C8" w:rsidRPr="00106D7F" w:rsidRDefault="00FB66C8" w:rsidP="009A444C">
            <w:pPr>
              <w:autoSpaceDE w:val="0"/>
              <w:autoSpaceDN w:val="0"/>
              <w:adjustRightInd w:val="0"/>
              <w:jc w:val="center"/>
              <w:rPr>
                <w:rFonts w:cstheme="minorHAnsi"/>
              </w:rPr>
            </w:pPr>
            <w:r w:rsidRPr="00106D7F">
              <w:rPr>
                <w:rFonts w:cstheme="minorHAnsi"/>
              </w:rPr>
              <w:t>.6844548</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166341" w14:textId="77777777" w:rsidR="00FB66C8" w:rsidRPr="00106D7F" w:rsidRDefault="00FB66C8" w:rsidP="009A444C">
            <w:pPr>
              <w:autoSpaceDE w:val="0"/>
              <w:autoSpaceDN w:val="0"/>
              <w:adjustRightInd w:val="0"/>
              <w:jc w:val="center"/>
              <w:rPr>
                <w:rFonts w:cstheme="minorHAnsi"/>
              </w:rPr>
            </w:pPr>
            <w:r w:rsidRPr="00106D7F">
              <w:rPr>
                <w:rFonts w:cstheme="minorHAnsi"/>
              </w:rPr>
              <w:t>.4652727</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EA68FD" w14:textId="77777777" w:rsidR="00FB66C8" w:rsidRPr="00106D7F" w:rsidRDefault="00FB66C8" w:rsidP="009A444C">
            <w:pPr>
              <w:autoSpaceDE w:val="0"/>
              <w:autoSpaceDN w:val="0"/>
              <w:adjustRightInd w:val="0"/>
              <w:jc w:val="center"/>
              <w:rPr>
                <w:rFonts w:cstheme="minorHAnsi"/>
              </w:rPr>
            </w:pPr>
            <w:r w:rsidRPr="00106D7F">
              <w:rPr>
                <w:rFonts w:cstheme="minorHAnsi"/>
              </w:rPr>
              <w:t>0</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CA8A7A" w14:textId="77777777" w:rsidR="00FB66C8" w:rsidRPr="00106D7F" w:rsidRDefault="00FB66C8" w:rsidP="009A444C">
            <w:pPr>
              <w:autoSpaceDE w:val="0"/>
              <w:autoSpaceDN w:val="0"/>
              <w:adjustRightInd w:val="0"/>
              <w:jc w:val="center"/>
              <w:rPr>
                <w:rFonts w:cstheme="minorHAnsi"/>
              </w:rPr>
            </w:pPr>
            <w:r w:rsidRPr="00106D7F">
              <w:rPr>
                <w:rFonts w:cstheme="minorHAnsi"/>
              </w:rPr>
              <w:t>1</w:t>
            </w:r>
          </w:p>
        </w:tc>
      </w:tr>
      <w:tr w:rsidR="00FB66C8" w:rsidRPr="00106D7F" w14:paraId="3422740B" w14:textId="77777777" w:rsidTr="00FB66C8">
        <w:trPr>
          <w:trHeight w:val="1127"/>
        </w:trPr>
        <w:tc>
          <w:tcPr>
            <w:tcW w:w="280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9BFE7B" w14:textId="77777777" w:rsidR="00FB66C8" w:rsidRPr="00106D7F" w:rsidRDefault="00FB66C8" w:rsidP="009A444C">
            <w:pPr>
              <w:autoSpaceDE w:val="0"/>
              <w:autoSpaceDN w:val="0"/>
              <w:adjustRightInd w:val="0"/>
              <w:rPr>
                <w:rFonts w:cstheme="minorHAnsi"/>
                <w:lang w:val="en-US"/>
              </w:rPr>
            </w:pPr>
            <w:r w:rsidRPr="00106D7F">
              <w:rPr>
                <w:rFonts w:cstheme="minorHAnsi"/>
                <w:lang w:val="en-US"/>
              </w:rPr>
              <w:t>Cooperation with other domestic groups</w:t>
            </w:r>
          </w:p>
        </w:tc>
        <w:tc>
          <w:tcPr>
            <w:tcW w:w="17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7EA2E8" w14:textId="77777777" w:rsidR="00FB66C8" w:rsidRPr="00106D7F" w:rsidRDefault="00FB66C8" w:rsidP="009A444C">
            <w:pPr>
              <w:autoSpaceDE w:val="0"/>
              <w:autoSpaceDN w:val="0"/>
              <w:adjustRightInd w:val="0"/>
              <w:jc w:val="center"/>
              <w:rPr>
                <w:rFonts w:cstheme="minorHAnsi"/>
              </w:rPr>
            </w:pPr>
            <w:r w:rsidRPr="00106D7F">
              <w:rPr>
                <w:rFonts w:cstheme="minorHAnsi"/>
              </w:rPr>
              <w:t>342</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3C592E" w14:textId="77777777" w:rsidR="00FB66C8" w:rsidRPr="00106D7F" w:rsidRDefault="00FB66C8" w:rsidP="009A444C">
            <w:pPr>
              <w:autoSpaceDE w:val="0"/>
              <w:autoSpaceDN w:val="0"/>
              <w:adjustRightInd w:val="0"/>
              <w:jc w:val="center"/>
              <w:rPr>
                <w:rFonts w:cstheme="minorHAnsi"/>
              </w:rPr>
            </w:pPr>
            <w:r w:rsidRPr="00106D7F">
              <w:rPr>
                <w:rFonts w:cstheme="minorHAnsi"/>
              </w:rPr>
              <w:t>3.69883</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35E459" w14:textId="77777777" w:rsidR="00FB66C8" w:rsidRPr="00106D7F" w:rsidRDefault="00FB66C8" w:rsidP="009A444C">
            <w:pPr>
              <w:autoSpaceDE w:val="0"/>
              <w:autoSpaceDN w:val="0"/>
              <w:adjustRightInd w:val="0"/>
              <w:jc w:val="center"/>
              <w:rPr>
                <w:rFonts w:cstheme="minorHAnsi"/>
              </w:rPr>
            </w:pPr>
            <w:r w:rsidRPr="00106D7F">
              <w:rPr>
                <w:rFonts w:cstheme="minorHAnsi"/>
              </w:rPr>
              <w:t>1.874336</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85F6DE" w14:textId="77777777" w:rsidR="00FB66C8" w:rsidRPr="00106D7F" w:rsidRDefault="00FB66C8" w:rsidP="009A444C">
            <w:pPr>
              <w:autoSpaceDE w:val="0"/>
              <w:autoSpaceDN w:val="0"/>
              <w:adjustRightInd w:val="0"/>
              <w:jc w:val="center"/>
              <w:rPr>
                <w:rFonts w:cstheme="minorHAnsi"/>
              </w:rPr>
            </w:pPr>
            <w:r w:rsidRPr="00106D7F">
              <w:rPr>
                <w:rFonts w:cstheme="minorHAnsi"/>
              </w:rPr>
              <w:t>0</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5CA494" w14:textId="77777777" w:rsidR="00FB66C8" w:rsidRPr="00106D7F" w:rsidRDefault="00FB66C8" w:rsidP="009A444C">
            <w:pPr>
              <w:autoSpaceDE w:val="0"/>
              <w:autoSpaceDN w:val="0"/>
              <w:adjustRightInd w:val="0"/>
              <w:jc w:val="center"/>
              <w:rPr>
                <w:rFonts w:cstheme="minorHAnsi"/>
              </w:rPr>
            </w:pPr>
            <w:r w:rsidRPr="00106D7F">
              <w:rPr>
                <w:rFonts w:cstheme="minorHAnsi"/>
              </w:rPr>
              <w:t>8</w:t>
            </w:r>
          </w:p>
        </w:tc>
      </w:tr>
      <w:tr w:rsidR="00FB66C8" w:rsidRPr="00106D7F" w14:paraId="53C689BB" w14:textId="77777777" w:rsidTr="00FB66C8">
        <w:trPr>
          <w:trHeight w:val="843"/>
        </w:trPr>
        <w:tc>
          <w:tcPr>
            <w:tcW w:w="280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CA9F44" w14:textId="77777777" w:rsidR="00FB66C8" w:rsidRPr="00106D7F" w:rsidRDefault="00FB66C8" w:rsidP="009A444C">
            <w:pPr>
              <w:autoSpaceDE w:val="0"/>
              <w:autoSpaceDN w:val="0"/>
              <w:adjustRightInd w:val="0"/>
              <w:rPr>
                <w:rFonts w:cstheme="minorHAnsi"/>
              </w:rPr>
            </w:pPr>
            <w:r w:rsidRPr="00106D7F">
              <w:rPr>
                <w:rFonts w:cstheme="minorHAnsi"/>
              </w:rPr>
              <w:t xml:space="preserve">Relative </w:t>
            </w:r>
            <w:proofErr w:type="spellStart"/>
            <w:r w:rsidRPr="00106D7F">
              <w:rPr>
                <w:rFonts w:cstheme="minorHAnsi"/>
              </w:rPr>
              <w:t>population</w:t>
            </w:r>
            <w:proofErr w:type="spellEnd"/>
            <w:r w:rsidRPr="00106D7F">
              <w:rPr>
                <w:rFonts w:cstheme="minorHAnsi"/>
              </w:rPr>
              <w:t xml:space="preserve"> </w:t>
            </w:r>
            <w:proofErr w:type="spellStart"/>
            <w:r w:rsidRPr="00106D7F">
              <w:rPr>
                <w:rFonts w:cstheme="minorHAnsi"/>
              </w:rPr>
              <w:t>density</w:t>
            </w:r>
            <w:proofErr w:type="spellEnd"/>
            <w:r w:rsidRPr="00106D7F">
              <w:rPr>
                <w:rFonts w:cstheme="minorHAnsi"/>
              </w:rPr>
              <w:t xml:space="preserve"> (%)</w:t>
            </w:r>
          </w:p>
        </w:tc>
        <w:tc>
          <w:tcPr>
            <w:tcW w:w="17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4CC24F" w14:textId="77777777" w:rsidR="00FB66C8" w:rsidRPr="00106D7F" w:rsidRDefault="00FB66C8" w:rsidP="009A444C">
            <w:pPr>
              <w:autoSpaceDE w:val="0"/>
              <w:autoSpaceDN w:val="0"/>
              <w:adjustRightInd w:val="0"/>
              <w:jc w:val="center"/>
              <w:rPr>
                <w:rFonts w:cstheme="minorHAnsi"/>
              </w:rPr>
            </w:pPr>
            <w:r w:rsidRPr="00106D7F">
              <w:rPr>
                <w:rFonts w:cstheme="minorHAnsi"/>
              </w:rPr>
              <w:t>428</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C6F292" w14:textId="77777777" w:rsidR="00FB66C8" w:rsidRPr="00106D7F" w:rsidRDefault="00FB66C8" w:rsidP="009A444C">
            <w:pPr>
              <w:autoSpaceDE w:val="0"/>
              <w:autoSpaceDN w:val="0"/>
              <w:adjustRightInd w:val="0"/>
              <w:jc w:val="center"/>
              <w:rPr>
                <w:rFonts w:cstheme="minorHAnsi"/>
              </w:rPr>
            </w:pPr>
            <w:r w:rsidRPr="00106D7F">
              <w:rPr>
                <w:rFonts w:cstheme="minorHAnsi"/>
              </w:rPr>
              <w:t>34.13745</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54826A" w14:textId="77777777" w:rsidR="00FB66C8" w:rsidRPr="00106D7F" w:rsidRDefault="00FB66C8" w:rsidP="009A444C">
            <w:pPr>
              <w:autoSpaceDE w:val="0"/>
              <w:autoSpaceDN w:val="0"/>
              <w:adjustRightInd w:val="0"/>
              <w:jc w:val="center"/>
              <w:rPr>
                <w:rFonts w:cstheme="minorHAnsi"/>
              </w:rPr>
            </w:pPr>
            <w:r w:rsidRPr="00106D7F">
              <w:rPr>
                <w:rFonts w:cstheme="minorHAnsi"/>
              </w:rPr>
              <w:t>18.84766</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1BE749" w14:textId="77777777" w:rsidR="00FB66C8" w:rsidRPr="00106D7F" w:rsidRDefault="00FB66C8" w:rsidP="009A444C">
            <w:pPr>
              <w:autoSpaceDE w:val="0"/>
              <w:autoSpaceDN w:val="0"/>
              <w:adjustRightInd w:val="0"/>
              <w:jc w:val="center"/>
              <w:rPr>
                <w:rFonts w:cstheme="minorHAnsi"/>
              </w:rPr>
            </w:pPr>
            <w:r w:rsidRPr="00106D7F">
              <w:rPr>
                <w:rFonts w:cstheme="minorHAnsi"/>
              </w:rPr>
              <w:t>0</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84BFFF" w14:textId="77777777" w:rsidR="00FB66C8" w:rsidRPr="00106D7F" w:rsidRDefault="00FB66C8" w:rsidP="009A444C">
            <w:pPr>
              <w:autoSpaceDE w:val="0"/>
              <w:autoSpaceDN w:val="0"/>
              <w:adjustRightInd w:val="0"/>
              <w:jc w:val="center"/>
              <w:rPr>
                <w:rFonts w:cstheme="minorHAnsi"/>
              </w:rPr>
            </w:pPr>
            <w:r w:rsidRPr="00106D7F">
              <w:rPr>
                <w:rFonts w:cstheme="minorHAnsi"/>
              </w:rPr>
              <w:t>72.94118</w:t>
            </w:r>
          </w:p>
        </w:tc>
      </w:tr>
      <w:tr w:rsidR="00FB66C8" w:rsidRPr="00106D7F" w14:paraId="478E18D3" w14:textId="77777777" w:rsidTr="00FB66C8">
        <w:trPr>
          <w:trHeight w:val="557"/>
        </w:trPr>
        <w:tc>
          <w:tcPr>
            <w:tcW w:w="280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9E9A96" w14:textId="77777777" w:rsidR="00FB66C8" w:rsidRPr="00106D7F" w:rsidRDefault="00FB66C8" w:rsidP="009A444C">
            <w:pPr>
              <w:autoSpaceDE w:val="0"/>
              <w:autoSpaceDN w:val="0"/>
              <w:adjustRightInd w:val="0"/>
              <w:rPr>
                <w:rFonts w:cstheme="minorHAnsi"/>
              </w:rPr>
            </w:pPr>
            <w:r w:rsidRPr="00106D7F">
              <w:rPr>
                <w:rFonts w:cstheme="minorHAnsi"/>
              </w:rPr>
              <w:t xml:space="preserve">Government </w:t>
            </w:r>
            <w:proofErr w:type="spellStart"/>
            <w:r w:rsidRPr="00106D7F">
              <w:rPr>
                <w:rFonts w:cstheme="minorHAnsi"/>
              </w:rPr>
              <w:t>expenditure</w:t>
            </w:r>
            <w:proofErr w:type="spellEnd"/>
          </w:p>
        </w:tc>
        <w:tc>
          <w:tcPr>
            <w:tcW w:w="17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9D2331" w14:textId="77777777" w:rsidR="00FB66C8" w:rsidRPr="00106D7F" w:rsidRDefault="00FB66C8" w:rsidP="009A444C">
            <w:pPr>
              <w:autoSpaceDE w:val="0"/>
              <w:autoSpaceDN w:val="0"/>
              <w:adjustRightInd w:val="0"/>
              <w:jc w:val="center"/>
              <w:rPr>
                <w:rFonts w:cstheme="minorHAnsi"/>
              </w:rPr>
            </w:pPr>
            <w:r w:rsidRPr="00106D7F">
              <w:rPr>
                <w:rFonts w:cstheme="minorHAnsi"/>
              </w:rPr>
              <w:t>427</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5BD935" w14:textId="77777777" w:rsidR="00FB66C8" w:rsidRPr="00106D7F" w:rsidRDefault="00FB66C8" w:rsidP="009A444C">
            <w:pPr>
              <w:autoSpaceDE w:val="0"/>
              <w:autoSpaceDN w:val="0"/>
              <w:adjustRightInd w:val="0"/>
              <w:jc w:val="center"/>
              <w:rPr>
                <w:rFonts w:cstheme="minorHAnsi"/>
              </w:rPr>
            </w:pPr>
            <w:r w:rsidRPr="00106D7F">
              <w:rPr>
                <w:rFonts w:cstheme="minorHAnsi"/>
              </w:rPr>
              <w:t>1.320118</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A89EE5" w14:textId="77777777" w:rsidR="00FB66C8" w:rsidRPr="00106D7F" w:rsidRDefault="00FB66C8" w:rsidP="009A444C">
            <w:pPr>
              <w:autoSpaceDE w:val="0"/>
              <w:autoSpaceDN w:val="0"/>
              <w:adjustRightInd w:val="0"/>
              <w:jc w:val="center"/>
              <w:rPr>
                <w:rFonts w:cstheme="minorHAnsi"/>
              </w:rPr>
            </w:pPr>
            <w:r w:rsidRPr="00106D7F">
              <w:rPr>
                <w:rFonts w:cstheme="minorHAnsi"/>
              </w:rPr>
              <w:t>1.654139</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E48C76" w14:textId="77777777" w:rsidR="00FB66C8" w:rsidRPr="00106D7F" w:rsidRDefault="00FB66C8" w:rsidP="009A444C">
            <w:pPr>
              <w:autoSpaceDE w:val="0"/>
              <w:autoSpaceDN w:val="0"/>
              <w:adjustRightInd w:val="0"/>
              <w:jc w:val="center"/>
              <w:rPr>
                <w:rFonts w:cstheme="minorHAnsi"/>
              </w:rPr>
            </w:pPr>
            <w:r w:rsidRPr="00106D7F">
              <w:rPr>
                <w:rFonts w:cstheme="minorHAnsi"/>
              </w:rPr>
              <w:t>0</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ED5977" w14:textId="77777777" w:rsidR="00FB66C8" w:rsidRPr="00106D7F" w:rsidRDefault="00FB66C8" w:rsidP="009A444C">
            <w:pPr>
              <w:autoSpaceDE w:val="0"/>
              <w:autoSpaceDN w:val="0"/>
              <w:adjustRightInd w:val="0"/>
              <w:jc w:val="center"/>
              <w:rPr>
                <w:rFonts w:cstheme="minorHAnsi"/>
              </w:rPr>
            </w:pPr>
            <w:r w:rsidRPr="00106D7F">
              <w:rPr>
                <w:rFonts w:cstheme="minorHAnsi"/>
              </w:rPr>
              <w:t>4.56</w:t>
            </w:r>
          </w:p>
        </w:tc>
      </w:tr>
      <w:tr w:rsidR="00FB66C8" w:rsidRPr="00106D7F" w14:paraId="2ECE2C95" w14:textId="77777777" w:rsidTr="00FB66C8">
        <w:trPr>
          <w:trHeight w:val="1127"/>
        </w:trPr>
        <w:tc>
          <w:tcPr>
            <w:tcW w:w="280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5B3464" w14:textId="77777777" w:rsidR="00FB66C8" w:rsidRPr="00106D7F" w:rsidRDefault="00FB66C8" w:rsidP="009A444C">
            <w:pPr>
              <w:autoSpaceDE w:val="0"/>
              <w:autoSpaceDN w:val="0"/>
              <w:adjustRightInd w:val="0"/>
              <w:rPr>
                <w:rFonts w:cstheme="minorHAnsi"/>
                <w:lang w:val="en-US"/>
              </w:rPr>
            </w:pPr>
            <w:r w:rsidRPr="00106D7F">
              <w:rPr>
                <w:rFonts w:cstheme="minorHAnsi"/>
                <w:lang w:val="en-US"/>
              </w:rPr>
              <w:t>Logarithm of latent constituency size</w:t>
            </w:r>
          </w:p>
        </w:tc>
        <w:tc>
          <w:tcPr>
            <w:tcW w:w="17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F59CB9" w14:textId="77777777" w:rsidR="00FB66C8" w:rsidRPr="00106D7F" w:rsidRDefault="00FB66C8" w:rsidP="009A444C">
            <w:pPr>
              <w:autoSpaceDE w:val="0"/>
              <w:autoSpaceDN w:val="0"/>
              <w:adjustRightInd w:val="0"/>
              <w:jc w:val="center"/>
              <w:rPr>
                <w:rFonts w:cstheme="minorHAnsi"/>
              </w:rPr>
            </w:pPr>
            <w:r w:rsidRPr="00106D7F">
              <w:rPr>
                <w:rFonts w:cstheme="minorHAnsi"/>
              </w:rPr>
              <w:t>427</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8A281D" w14:textId="77777777" w:rsidR="00FB66C8" w:rsidRPr="00106D7F" w:rsidRDefault="00FB66C8" w:rsidP="009A444C">
            <w:pPr>
              <w:autoSpaceDE w:val="0"/>
              <w:autoSpaceDN w:val="0"/>
              <w:adjustRightInd w:val="0"/>
              <w:jc w:val="center"/>
              <w:rPr>
                <w:rFonts w:cstheme="minorHAnsi"/>
              </w:rPr>
            </w:pPr>
            <w:r w:rsidRPr="00106D7F">
              <w:rPr>
                <w:rFonts w:cstheme="minorHAnsi"/>
              </w:rPr>
              <w:t>5.832781</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31E89C" w14:textId="77777777" w:rsidR="00FB66C8" w:rsidRPr="00106D7F" w:rsidRDefault="00FB66C8" w:rsidP="009A444C">
            <w:pPr>
              <w:autoSpaceDE w:val="0"/>
              <w:autoSpaceDN w:val="0"/>
              <w:adjustRightInd w:val="0"/>
              <w:jc w:val="center"/>
              <w:rPr>
                <w:rFonts w:cstheme="minorHAnsi"/>
              </w:rPr>
            </w:pPr>
            <w:r w:rsidRPr="00106D7F">
              <w:rPr>
                <w:rFonts w:cstheme="minorHAnsi"/>
              </w:rPr>
              <w:t>1.140984</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B556C1" w14:textId="77777777" w:rsidR="00FB66C8" w:rsidRPr="00106D7F" w:rsidRDefault="00FB66C8" w:rsidP="009A444C">
            <w:pPr>
              <w:autoSpaceDE w:val="0"/>
              <w:autoSpaceDN w:val="0"/>
              <w:adjustRightInd w:val="0"/>
              <w:jc w:val="center"/>
              <w:rPr>
                <w:rFonts w:cstheme="minorHAnsi"/>
              </w:rPr>
            </w:pPr>
            <w:r w:rsidRPr="00106D7F">
              <w:rPr>
                <w:rFonts w:cstheme="minorHAnsi"/>
              </w:rPr>
              <w:t>0</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CDF8CA" w14:textId="77777777" w:rsidR="00FB66C8" w:rsidRPr="00106D7F" w:rsidRDefault="00FB66C8" w:rsidP="009A444C">
            <w:pPr>
              <w:autoSpaceDE w:val="0"/>
              <w:autoSpaceDN w:val="0"/>
              <w:adjustRightInd w:val="0"/>
              <w:jc w:val="center"/>
              <w:rPr>
                <w:rFonts w:cstheme="minorHAnsi"/>
              </w:rPr>
            </w:pPr>
            <w:r w:rsidRPr="00106D7F">
              <w:rPr>
                <w:rFonts w:cstheme="minorHAnsi"/>
              </w:rPr>
              <w:t>8.314515</w:t>
            </w:r>
          </w:p>
        </w:tc>
      </w:tr>
      <w:tr w:rsidR="00FB66C8" w:rsidRPr="00106D7F" w14:paraId="7551C138" w14:textId="77777777" w:rsidTr="00FB66C8">
        <w:trPr>
          <w:trHeight w:val="1697"/>
        </w:trPr>
        <w:tc>
          <w:tcPr>
            <w:tcW w:w="280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9129BE" w14:textId="77777777" w:rsidR="00FB66C8" w:rsidRPr="00106D7F" w:rsidRDefault="00FB66C8" w:rsidP="009A444C">
            <w:pPr>
              <w:autoSpaceDE w:val="0"/>
              <w:autoSpaceDN w:val="0"/>
              <w:adjustRightInd w:val="0"/>
              <w:rPr>
                <w:rFonts w:cstheme="minorHAnsi"/>
                <w:lang w:val="en-US"/>
              </w:rPr>
            </w:pPr>
            <w:r w:rsidRPr="00106D7F">
              <w:rPr>
                <w:rFonts w:cstheme="minorHAnsi"/>
                <w:lang w:val="en-US"/>
              </w:rPr>
              <w:lastRenderedPageBreak/>
              <w:t>Change in the deliberative democracy index 2005-2019</w:t>
            </w:r>
          </w:p>
        </w:tc>
        <w:tc>
          <w:tcPr>
            <w:tcW w:w="17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FB4126" w14:textId="77777777" w:rsidR="00FB66C8" w:rsidRPr="00106D7F" w:rsidRDefault="00FB66C8" w:rsidP="009A444C">
            <w:pPr>
              <w:autoSpaceDE w:val="0"/>
              <w:autoSpaceDN w:val="0"/>
              <w:adjustRightInd w:val="0"/>
              <w:jc w:val="center"/>
              <w:rPr>
                <w:rFonts w:cstheme="minorHAnsi"/>
              </w:rPr>
            </w:pPr>
            <w:r w:rsidRPr="00106D7F">
              <w:rPr>
                <w:rFonts w:cstheme="minorHAnsi"/>
              </w:rPr>
              <w:t>431</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FF5AEC" w14:textId="77777777" w:rsidR="00FB66C8" w:rsidRPr="00106D7F" w:rsidRDefault="00FB66C8" w:rsidP="009A444C">
            <w:pPr>
              <w:autoSpaceDE w:val="0"/>
              <w:autoSpaceDN w:val="0"/>
              <w:adjustRightInd w:val="0"/>
              <w:jc w:val="center"/>
              <w:rPr>
                <w:rFonts w:cstheme="minorHAnsi"/>
              </w:rPr>
            </w:pPr>
            <w:r w:rsidRPr="00106D7F">
              <w:rPr>
                <w:rFonts w:cstheme="minorHAnsi"/>
              </w:rPr>
              <w:t>.1931323</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4FDCFB" w14:textId="77777777" w:rsidR="00FB66C8" w:rsidRPr="00106D7F" w:rsidRDefault="00FB66C8" w:rsidP="009A444C">
            <w:pPr>
              <w:autoSpaceDE w:val="0"/>
              <w:autoSpaceDN w:val="0"/>
              <w:adjustRightInd w:val="0"/>
              <w:jc w:val="center"/>
              <w:rPr>
                <w:rFonts w:cstheme="minorHAnsi"/>
              </w:rPr>
            </w:pPr>
            <w:r w:rsidRPr="00106D7F">
              <w:rPr>
                <w:rFonts w:cstheme="minorHAnsi"/>
              </w:rPr>
              <w:t>.1301115</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DD93CC" w14:textId="77777777" w:rsidR="00FB66C8" w:rsidRPr="00106D7F" w:rsidRDefault="00FB66C8" w:rsidP="009A444C">
            <w:pPr>
              <w:autoSpaceDE w:val="0"/>
              <w:autoSpaceDN w:val="0"/>
              <w:adjustRightInd w:val="0"/>
              <w:jc w:val="center"/>
              <w:rPr>
                <w:rFonts w:cstheme="minorHAnsi"/>
              </w:rPr>
            </w:pPr>
            <w:r w:rsidRPr="00106D7F">
              <w:rPr>
                <w:rFonts w:cstheme="minorHAnsi"/>
              </w:rPr>
              <w:t>0</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7BFACF" w14:textId="77777777" w:rsidR="00FB66C8" w:rsidRPr="00106D7F" w:rsidRDefault="00FB66C8" w:rsidP="009A444C">
            <w:pPr>
              <w:autoSpaceDE w:val="0"/>
              <w:autoSpaceDN w:val="0"/>
              <w:adjustRightInd w:val="0"/>
              <w:jc w:val="center"/>
              <w:rPr>
                <w:rFonts w:cstheme="minorHAnsi"/>
              </w:rPr>
            </w:pPr>
            <w:r w:rsidRPr="00106D7F">
              <w:rPr>
                <w:rFonts w:cstheme="minorHAnsi"/>
              </w:rPr>
              <w:t>.36</w:t>
            </w:r>
          </w:p>
        </w:tc>
      </w:tr>
      <w:tr w:rsidR="00FB66C8" w:rsidRPr="00106D7F" w14:paraId="66FAB3C0" w14:textId="77777777" w:rsidTr="00FB66C8">
        <w:trPr>
          <w:trHeight w:val="843"/>
        </w:trPr>
        <w:tc>
          <w:tcPr>
            <w:tcW w:w="280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6E8272" w14:textId="77777777" w:rsidR="00FB66C8" w:rsidRPr="00106D7F" w:rsidRDefault="00FB66C8" w:rsidP="009A444C">
            <w:pPr>
              <w:autoSpaceDE w:val="0"/>
              <w:autoSpaceDN w:val="0"/>
              <w:adjustRightInd w:val="0"/>
              <w:rPr>
                <w:rFonts w:cstheme="minorHAnsi"/>
              </w:rPr>
            </w:pPr>
            <w:r w:rsidRPr="00106D7F">
              <w:rPr>
                <w:rFonts w:cstheme="minorHAnsi"/>
              </w:rPr>
              <w:t xml:space="preserve">Legislative </w:t>
            </w:r>
            <w:proofErr w:type="spellStart"/>
            <w:r w:rsidRPr="00106D7F">
              <w:rPr>
                <w:rFonts w:cstheme="minorHAnsi"/>
              </w:rPr>
              <w:t>fractionalization</w:t>
            </w:r>
            <w:proofErr w:type="spellEnd"/>
          </w:p>
        </w:tc>
        <w:tc>
          <w:tcPr>
            <w:tcW w:w="17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8F280F" w14:textId="77777777" w:rsidR="00FB66C8" w:rsidRPr="00106D7F" w:rsidRDefault="00FB66C8" w:rsidP="009A444C">
            <w:pPr>
              <w:autoSpaceDE w:val="0"/>
              <w:autoSpaceDN w:val="0"/>
              <w:adjustRightInd w:val="0"/>
              <w:jc w:val="center"/>
              <w:rPr>
                <w:rFonts w:cstheme="minorHAnsi"/>
              </w:rPr>
            </w:pPr>
            <w:r w:rsidRPr="00106D7F">
              <w:rPr>
                <w:rFonts w:cstheme="minorHAnsi"/>
              </w:rPr>
              <w:t>431</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00765C" w14:textId="77777777" w:rsidR="00FB66C8" w:rsidRPr="00106D7F" w:rsidRDefault="00FB66C8" w:rsidP="009A444C">
            <w:pPr>
              <w:autoSpaceDE w:val="0"/>
              <w:autoSpaceDN w:val="0"/>
              <w:adjustRightInd w:val="0"/>
              <w:jc w:val="center"/>
              <w:rPr>
                <w:rFonts w:cstheme="minorHAnsi"/>
              </w:rPr>
            </w:pPr>
            <w:r w:rsidRPr="00106D7F">
              <w:rPr>
                <w:rFonts w:cstheme="minorHAnsi"/>
              </w:rPr>
              <w:t>.7071694</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C94FA8" w14:textId="77777777" w:rsidR="00FB66C8" w:rsidRPr="00106D7F" w:rsidRDefault="00FB66C8" w:rsidP="009A444C">
            <w:pPr>
              <w:autoSpaceDE w:val="0"/>
              <w:autoSpaceDN w:val="0"/>
              <w:adjustRightInd w:val="0"/>
              <w:jc w:val="center"/>
              <w:rPr>
                <w:rFonts w:cstheme="minorHAnsi"/>
              </w:rPr>
            </w:pPr>
            <w:r w:rsidRPr="00106D7F">
              <w:rPr>
                <w:rFonts w:cstheme="minorHAnsi"/>
              </w:rPr>
              <w:t>.140755</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01CE9F" w14:textId="77777777" w:rsidR="00FB66C8" w:rsidRPr="00106D7F" w:rsidRDefault="00FB66C8" w:rsidP="009A444C">
            <w:pPr>
              <w:autoSpaceDE w:val="0"/>
              <w:autoSpaceDN w:val="0"/>
              <w:adjustRightInd w:val="0"/>
              <w:jc w:val="center"/>
              <w:rPr>
                <w:rFonts w:cstheme="minorHAnsi"/>
              </w:rPr>
            </w:pPr>
            <w:r w:rsidRPr="00106D7F">
              <w:rPr>
                <w:rFonts w:cstheme="minorHAnsi"/>
              </w:rPr>
              <w:t>0</w:t>
            </w:r>
          </w:p>
        </w:tc>
        <w:tc>
          <w:tcPr>
            <w:tcW w:w="21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60ADDD" w14:textId="77777777" w:rsidR="00FB66C8" w:rsidRPr="00106D7F" w:rsidRDefault="00FB66C8" w:rsidP="009A444C">
            <w:pPr>
              <w:autoSpaceDE w:val="0"/>
              <w:autoSpaceDN w:val="0"/>
              <w:adjustRightInd w:val="0"/>
              <w:jc w:val="center"/>
              <w:rPr>
                <w:rFonts w:cstheme="minorHAnsi"/>
              </w:rPr>
            </w:pPr>
            <w:r w:rsidRPr="00106D7F">
              <w:rPr>
                <w:rFonts w:cstheme="minorHAnsi"/>
              </w:rPr>
              <w:t>.85</w:t>
            </w:r>
          </w:p>
        </w:tc>
      </w:tr>
      <w:tr w:rsidR="00FB66C8" w:rsidRPr="00106D7F" w14:paraId="730B6B2C" w14:textId="77777777" w:rsidTr="00FB66C8">
        <w:tblPrEx>
          <w:tblBorders>
            <w:top w:val="none" w:sz="6" w:space="0" w:color="auto"/>
          </w:tblBorders>
        </w:tblPrEx>
        <w:trPr>
          <w:trHeight w:val="1400"/>
        </w:trPr>
        <w:tc>
          <w:tcPr>
            <w:tcW w:w="2805"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ACEBCFE" w14:textId="77777777" w:rsidR="00FB66C8" w:rsidRPr="00106D7F" w:rsidRDefault="00FB66C8" w:rsidP="009A444C">
            <w:pPr>
              <w:autoSpaceDE w:val="0"/>
              <w:autoSpaceDN w:val="0"/>
              <w:adjustRightInd w:val="0"/>
              <w:rPr>
                <w:rFonts w:cstheme="minorHAnsi"/>
                <w:lang w:val="en-US"/>
              </w:rPr>
            </w:pPr>
            <w:r w:rsidRPr="00106D7F">
              <w:rPr>
                <w:rFonts w:cstheme="minorHAnsi"/>
                <w:lang w:val="en-US"/>
              </w:rPr>
              <w:t>Frequency of government consultations in the policy field</w:t>
            </w:r>
          </w:p>
        </w:tc>
        <w:tc>
          <w:tcPr>
            <w:tcW w:w="1717"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283539DC" w14:textId="77777777" w:rsidR="00FB66C8" w:rsidRPr="00106D7F" w:rsidRDefault="00FB66C8" w:rsidP="009A444C">
            <w:pPr>
              <w:autoSpaceDE w:val="0"/>
              <w:autoSpaceDN w:val="0"/>
              <w:adjustRightInd w:val="0"/>
              <w:jc w:val="center"/>
              <w:rPr>
                <w:rFonts w:cstheme="minorHAnsi"/>
              </w:rPr>
            </w:pPr>
            <w:r w:rsidRPr="00106D7F">
              <w:rPr>
                <w:rFonts w:cstheme="minorHAnsi"/>
              </w:rPr>
              <w:t>331</w:t>
            </w:r>
          </w:p>
        </w:tc>
        <w:tc>
          <w:tcPr>
            <w:tcW w:w="217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CF981BE" w14:textId="77777777" w:rsidR="00FB66C8" w:rsidRPr="00106D7F" w:rsidRDefault="00FB66C8" w:rsidP="009A444C">
            <w:pPr>
              <w:autoSpaceDE w:val="0"/>
              <w:autoSpaceDN w:val="0"/>
              <w:adjustRightInd w:val="0"/>
              <w:jc w:val="center"/>
              <w:rPr>
                <w:rFonts w:cstheme="minorHAnsi"/>
              </w:rPr>
            </w:pPr>
            <w:r w:rsidRPr="00106D7F">
              <w:rPr>
                <w:rFonts w:cstheme="minorHAnsi"/>
              </w:rPr>
              <w:t>.4954683</w:t>
            </w:r>
          </w:p>
        </w:tc>
        <w:tc>
          <w:tcPr>
            <w:tcW w:w="217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2AF3212E" w14:textId="77777777" w:rsidR="00FB66C8" w:rsidRPr="00106D7F" w:rsidRDefault="00FB66C8" w:rsidP="009A444C">
            <w:pPr>
              <w:autoSpaceDE w:val="0"/>
              <w:autoSpaceDN w:val="0"/>
              <w:adjustRightInd w:val="0"/>
              <w:jc w:val="center"/>
              <w:rPr>
                <w:rFonts w:cstheme="minorHAnsi"/>
              </w:rPr>
            </w:pPr>
            <w:r w:rsidRPr="00106D7F">
              <w:rPr>
                <w:rFonts w:cstheme="minorHAnsi"/>
              </w:rPr>
              <w:t>.5007364</w:t>
            </w:r>
          </w:p>
        </w:tc>
        <w:tc>
          <w:tcPr>
            <w:tcW w:w="217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4C4C9C4E" w14:textId="77777777" w:rsidR="00FB66C8" w:rsidRPr="00106D7F" w:rsidRDefault="00FB66C8" w:rsidP="009A444C">
            <w:pPr>
              <w:autoSpaceDE w:val="0"/>
              <w:autoSpaceDN w:val="0"/>
              <w:adjustRightInd w:val="0"/>
              <w:jc w:val="center"/>
              <w:rPr>
                <w:rFonts w:cstheme="minorHAnsi"/>
              </w:rPr>
            </w:pPr>
            <w:r w:rsidRPr="00106D7F">
              <w:rPr>
                <w:rFonts w:cstheme="minorHAnsi"/>
              </w:rPr>
              <w:t>0</w:t>
            </w:r>
          </w:p>
        </w:tc>
        <w:tc>
          <w:tcPr>
            <w:tcW w:w="217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21537D3" w14:textId="77777777" w:rsidR="00FB66C8" w:rsidRPr="00106D7F" w:rsidRDefault="00FB66C8" w:rsidP="009A444C">
            <w:pPr>
              <w:autoSpaceDE w:val="0"/>
              <w:autoSpaceDN w:val="0"/>
              <w:adjustRightInd w:val="0"/>
              <w:jc w:val="center"/>
              <w:rPr>
                <w:rFonts w:cstheme="minorHAnsi"/>
              </w:rPr>
            </w:pPr>
            <w:r w:rsidRPr="00106D7F">
              <w:rPr>
                <w:rFonts w:cstheme="minorHAnsi"/>
              </w:rPr>
              <w:t>1</w:t>
            </w:r>
          </w:p>
        </w:tc>
      </w:tr>
    </w:tbl>
    <w:p w14:paraId="181B68CE" w14:textId="77777777" w:rsidR="00FB66C8" w:rsidRPr="00106D7F" w:rsidRDefault="00FB66C8" w:rsidP="00FB66C8">
      <w:pPr>
        <w:rPr>
          <w:rFonts w:cstheme="minorHAnsi"/>
        </w:rPr>
      </w:pPr>
    </w:p>
    <w:p w14:paraId="25EAACEE" w14:textId="77777777" w:rsidR="00FB66C8" w:rsidRPr="00FB66C8" w:rsidRDefault="00FB66C8" w:rsidP="00FB66C8">
      <w:pPr>
        <w:rPr>
          <w:b/>
          <w:bCs/>
          <w:lang w:val="en-US"/>
        </w:rPr>
      </w:pPr>
    </w:p>
    <w:p w14:paraId="646575FB" w14:textId="77777777" w:rsidR="00FB66C8" w:rsidRDefault="00FB66C8">
      <w:pPr>
        <w:rPr>
          <w:b/>
          <w:bCs/>
          <w:lang w:val="en-US"/>
        </w:rPr>
      </w:pPr>
    </w:p>
    <w:p w14:paraId="02B77198" w14:textId="77777777" w:rsidR="00FB66C8" w:rsidRDefault="00FB66C8">
      <w:pPr>
        <w:rPr>
          <w:b/>
          <w:bCs/>
          <w:lang w:val="en-US"/>
        </w:rPr>
      </w:pPr>
      <w:r>
        <w:rPr>
          <w:b/>
          <w:bCs/>
          <w:lang w:val="en-US"/>
        </w:rPr>
        <w:br w:type="page"/>
      </w:r>
    </w:p>
    <w:p w14:paraId="3EA882A8" w14:textId="77777777" w:rsidR="00FB66C8" w:rsidRPr="00544C49" w:rsidRDefault="00FB66C8" w:rsidP="00FB66C8">
      <w:pPr>
        <w:autoSpaceDE w:val="0"/>
        <w:autoSpaceDN w:val="0"/>
        <w:adjustRightInd w:val="0"/>
        <w:rPr>
          <w:rFonts w:cstheme="minorHAnsi"/>
          <w:lang w:val="en-US"/>
        </w:rPr>
      </w:pPr>
      <w:r w:rsidRPr="00544C49">
        <w:rPr>
          <w:rFonts w:cstheme="minorHAnsi"/>
          <w:b/>
          <w:bCs/>
          <w:lang w:val="en-US"/>
        </w:rPr>
        <w:lastRenderedPageBreak/>
        <w:t xml:space="preserve">Table </w:t>
      </w:r>
      <w:r>
        <w:rPr>
          <w:rFonts w:cstheme="minorHAnsi"/>
          <w:b/>
          <w:bCs/>
          <w:lang w:val="en-US"/>
        </w:rPr>
        <w:t>A6</w:t>
      </w:r>
      <w:r w:rsidRPr="00544C49">
        <w:rPr>
          <w:rFonts w:cstheme="minorHAnsi"/>
          <w:lang w:val="en-US"/>
        </w:rPr>
        <w:t xml:space="preserve"> - Macro-, meso-, and individual level determinants of access to policy makers (with financial planning horizon dummy) - Czech, Hungarian, Polish, and Slovenian health care, higher </w:t>
      </w:r>
      <w:proofErr w:type="gramStart"/>
      <w:r w:rsidRPr="00544C49">
        <w:rPr>
          <w:rFonts w:cstheme="minorHAnsi"/>
          <w:lang w:val="en-US"/>
        </w:rPr>
        <w:t>education</w:t>
      </w:r>
      <w:proofErr w:type="gramEnd"/>
      <w:r w:rsidRPr="00544C49">
        <w:rPr>
          <w:rFonts w:cstheme="minorHAnsi"/>
          <w:lang w:val="en-US"/>
        </w:rPr>
        <w:t xml:space="preserve"> and energy policy interest groups</w:t>
      </w:r>
    </w:p>
    <w:tbl>
      <w:tblPr>
        <w:tblW w:w="14086"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13"/>
        <w:gridCol w:w="1739"/>
        <w:gridCol w:w="1739"/>
        <w:gridCol w:w="1739"/>
        <w:gridCol w:w="1739"/>
        <w:gridCol w:w="1739"/>
        <w:gridCol w:w="1739"/>
        <w:gridCol w:w="1739"/>
      </w:tblGrid>
      <w:tr w:rsidR="00FB66C8" w:rsidRPr="00544C49" w14:paraId="3984E379" w14:textId="77777777" w:rsidTr="00FB66C8">
        <w:trPr>
          <w:trHeight w:val="268"/>
        </w:trPr>
        <w:tc>
          <w:tcPr>
            <w:tcW w:w="1913"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1A94EA8" w14:textId="77777777" w:rsidR="00FB66C8" w:rsidRPr="00544C49" w:rsidRDefault="00FB66C8" w:rsidP="009A444C">
            <w:pPr>
              <w:autoSpaceDE w:val="0"/>
              <w:autoSpaceDN w:val="0"/>
              <w:adjustRightInd w:val="0"/>
              <w:rPr>
                <w:rFonts w:cstheme="minorHAnsi"/>
                <w:lang w:val="en-US"/>
              </w:rPr>
            </w:pP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73B64E3" w14:textId="77777777" w:rsidR="00FB66C8" w:rsidRPr="00544C49" w:rsidRDefault="00FB66C8" w:rsidP="009A444C">
            <w:pPr>
              <w:autoSpaceDE w:val="0"/>
              <w:autoSpaceDN w:val="0"/>
              <w:adjustRightInd w:val="0"/>
              <w:jc w:val="center"/>
              <w:rPr>
                <w:rFonts w:cstheme="minorHAnsi"/>
              </w:rPr>
            </w:pPr>
            <w:r w:rsidRPr="00544C49">
              <w:rPr>
                <w:rFonts w:cstheme="minorHAnsi"/>
              </w:rPr>
              <w:t>(1)</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C9A3AD8" w14:textId="77777777" w:rsidR="00FB66C8" w:rsidRPr="00544C49" w:rsidRDefault="00FB66C8" w:rsidP="009A444C">
            <w:pPr>
              <w:autoSpaceDE w:val="0"/>
              <w:autoSpaceDN w:val="0"/>
              <w:adjustRightInd w:val="0"/>
              <w:jc w:val="center"/>
              <w:rPr>
                <w:rFonts w:cstheme="minorHAnsi"/>
              </w:rPr>
            </w:pPr>
            <w:r w:rsidRPr="00544C49">
              <w:rPr>
                <w:rFonts w:cstheme="minorHAnsi"/>
              </w:rPr>
              <w:t>(2)</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3D05D44" w14:textId="77777777" w:rsidR="00FB66C8" w:rsidRPr="00544C49" w:rsidRDefault="00FB66C8" w:rsidP="009A444C">
            <w:pPr>
              <w:autoSpaceDE w:val="0"/>
              <w:autoSpaceDN w:val="0"/>
              <w:adjustRightInd w:val="0"/>
              <w:jc w:val="center"/>
              <w:rPr>
                <w:rFonts w:cstheme="minorHAnsi"/>
              </w:rPr>
            </w:pPr>
            <w:r w:rsidRPr="00544C49">
              <w:rPr>
                <w:rFonts w:cstheme="minorHAnsi"/>
              </w:rPr>
              <w:t>(3)</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B96C9A7" w14:textId="77777777" w:rsidR="00FB66C8" w:rsidRPr="00544C49" w:rsidRDefault="00FB66C8" w:rsidP="009A444C">
            <w:pPr>
              <w:autoSpaceDE w:val="0"/>
              <w:autoSpaceDN w:val="0"/>
              <w:adjustRightInd w:val="0"/>
              <w:jc w:val="center"/>
              <w:rPr>
                <w:rFonts w:cstheme="minorHAnsi"/>
              </w:rPr>
            </w:pPr>
            <w:r w:rsidRPr="00544C49">
              <w:rPr>
                <w:rFonts w:cstheme="minorHAnsi"/>
              </w:rPr>
              <w:t>(4)</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2C2DE3D" w14:textId="77777777" w:rsidR="00FB66C8" w:rsidRPr="00544C49" w:rsidRDefault="00FB66C8" w:rsidP="009A444C">
            <w:pPr>
              <w:autoSpaceDE w:val="0"/>
              <w:autoSpaceDN w:val="0"/>
              <w:adjustRightInd w:val="0"/>
              <w:jc w:val="center"/>
              <w:rPr>
                <w:rFonts w:cstheme="minorHAnsi"/>
              </w:rPr>
            </w:pPr>
            <w:r w:rsidRPr="00544C49">
              <w:rPr>
                <w:rFonts w:cstheme="minorHAnsi"/>
              </w:rPr>
              <w:t>(5)</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8D4AA72" w14:textId="77777777" w:rsidR="00FB66C8" w:rsidRPr="00544C49" w:rsidRDefault="00FB66C8" w:rsidP="009A444C">
            <w:pPr>
              <w:autoSpaceDE w:val="0"/>
              <w:autoSpaceDN w:val="0"/>
              <w:adjustRightInd w:val="0"/>
              <w:jc w:val="center"/>
              <w:rPr>
                <w:rFonts w:cstheme="minorHAnsi"/>
              </w:rPr>
            </w:pPr>
            <w:r w:rsidRPr="00544C49">
              <w:rPr>
                <w:rFonts w:cstheme="minorHAnsi"/>
              </w:rPr>
              <w:t>(6)</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19B9A8D" w14:textId="77777777" w:rsidR="00FB66C8" w:rsidRPr="00544C49" w:rsidRDefault="00FB66C8" w:rsidP="009A444C">
            <w:pPr>
              <w:autoSpaceDE w:val="0"/>
              <w:autoSpaceDN w:val="0"/>
              <w:adjustRightInd w:val="0"/>
              <w:jc w:val="center"/>
              <w:rPr>
                <w:rFonts w:cstheme="minorHAnsi"/>
              </w:rPr>
            </w:pPr>
            <w:r w:rsidRPr="00544C49">
              <w:rPr>
                <w:rFonts w:cstheme="minorHAnsi"/>
              </w:rPr>
              <w:t>(7)</w:t>
            </w:r>
          </w:p>
        </w:tc>
      </w:tr>
      <w:tr w:rsidR="00FB66C8" w:rsidRPr="00DD7E0D" w14:paraId="5529F90A" w14:textId="77777777" w:rsidTr="00FB66C8">
        <w:tblPrEx>
          <w:tblBorders>
            <w:top w:val="none" w:sz="0" w:space="0" w:color="auto"/>
          </w:tblBorders>
        </w:tblPrEx>
        <w:trPr>
          <w:trHeight w:val="2181"/>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17610A" w14:textId="77777777" w:rsidR="00FB66C8" w:rsidRPr="00544C49" w:rsidRDefault="00FB66C8" w:rsidP="009A444C">
            <w:pPr>
              <w:autoSpaceDE w:val="0"/>
              <w:autoSpaceDN w:val="0"/>
              <w:adjustRightInd w:val="0"/>
              <w:rPr>
                <w:rFonts w:cstheme="minorHAnsi"/>
              </w:rPr>
            </w:pP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F28C6F" w14:textId="77777777" w:rsidR="00FB66C8" w:rsidRPr="00544C49" w:rsidRDefault="00FB66C8" w:rsidP="009A444C">
            <w:pPr>
              <w:autoSpaceDE w:val="0"/>
              <w:autoSpaceDN w:val="0"/>
              <w:adjustRightInd w:val="0"/>
              <w:jc w:val="center"/>
              <w:rPr>
                <w:rFonts w:cstheme="minorHAnsi"/>
                <w:lang w:val="en-US"/>
              </w:rPr>
            </w:pPr>
            <w:r w:rsidRPr="00544C49">
              <w:rPr>
                <w:rFonts w:cstheme="minorHAnsi"/>
                <w:lang w:val="en-US"/>
              </w:rPr>
              <w:t>Access to the government and parliament - composite index</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0242F5" w14:textId="77777777" w:rsidR="00FB66C8" w:rsidRPr="00544C49" w:rsidRDefault="00FB66C8" w:rsidP="009A444C">
            <w:pPr>
              <w:autoSpaceDE w:val="0"/>
              <w:autoSpaceDN w:val="0"/>
              <w:adjustRightInd w:val="0"/>
              <w:jc w:val="center"/>
              <w:rPr>
                <w:rFonts w:cstheme="minorHAnsi"/>
                <w:lang w:val="en-US"/>
              </w:rPr>
            </w:pPr>
            <w:r w:rsidRPr="00544C49">
              <w:rPr>
                <w:rFonts w:cstheme="minorHAnsi"/>
                <w:lang w:val="en-US"/>
              </w:rPr>
              <w:t>Access to the government and parliament - composite index</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CF9987" w14:textId="77777777" w:rsidR="00FB66C8" w:rsidRPr="00544C49" w:rsidRDefault="00FB66C8" w:rsidP="009A444C">
            <w:pPr>
              <w:autoSpaceDE w:val="0"/>
              <w:autoSpaceDN w:val="0"/>
              <w:adjustRightInd w:val="0"/>
              <w:jc w:val="center"/>
              <w:rPr>
                <w:rFonts w:cstheme="minorHAnsi"/>
                <w:lang w:val="en-US"/>
              </w:rPr>
            </w:pPr>
            <w:r w:rsidRPr="00544C49">
              <w:rPr>
                <w:rFonts w:cstheme="minorHAnsi"/>
                <w:lang w:val="en-US"/>
              </w:rPr>
              <w:t>Access to the government and parliament - composite index</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41B8CB" w14:textId="77777777" w:rsidR="00FB66C8" w:rsidRPr="00544C49" w:rsidRDefault="00FB66C8" w:rsidP="009A444C">
            <w:pPr>
              <w:autoSpaceDE w:val="0"/>
              <w:autoSpaceDN w:val="0"/>
              <w:adjustRightInd w:val="0"/>
              <w:jc w:val="center"/>
              <w:rPr>
                <w:rFonts w:cstheme="minorHAnsi"/>
                <w:lang w:val="en-US"/>
              </w:rPr>
            </w:pPr>
            <w:r w:rsidRPr="00544C49">
              <w:rPr>
                <w:rFonts w:cstheme="minorHAnsi"/>
                <w:lang w:val="en-US"/>
              </w:rPr>
              <w:t>Access to the government and parliament - composite index</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5B1B30" w14:textId="77777777" w:rsidR="00FB66C8" w:rsidRPr="00544C49" w:rsidRDefault="00FB66C8" w:rsidP="009A444C">
            <w:pPr>
              <w:autoSpaceDE w:val="0"/>
              <w:autoSpaceDN w:val="0"/>
              <w:adjustRightInd w:val="0"/>
              <w:jc w:val="center"/>
              <w:rPr>
                <w:rFonts w:cstheme="minorHAnsi"/>
                <w:lang w:val="en-US"/>
              </w:rPr>
            </w:pPr>
            <w:r w:rsidRPr="00544C49">
              <w:rPr>
                <w:rFonts w:cstheme="minorHAnsi"/>
                <w:lang w:val="en-US"/>
              </w:rPr>
              <w:t>Access to the government and parliament - composite index</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2ED94E" w14:textId="77777777" w:rsidR="00FB66C8" w:rsidRPr="00544C49" w:rsidRDefault="00FB66C8" w:rsidP="009A444C">
            <w:pPr>
              <w:autoSpaceDE w:val="0"/>
              <w:autoSpaceDN w:val="0"/>
              <w:adjustRightInd w:val="0"/>
              <w:jc w:val="center"/>
              <w:rPr>
                <w:rFonts w:cstheme="minorHAnsi"/>
                <w:lang w:val="en-US"/>
              </w:rPr>
            </w:pPr>
            <w:r w:rsidRPr="00544C49">
              <w:rPr>
                <w:rFonts w:cstheme="minorHAnsi"/>
                <w:lang w:val="en-US"/>
              </w:rPr>
              <w:t>Access to the government and parliament - composite index</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534925" w14:textId="77777777" w:rsidR="00FB66C8" w:rsidRPr="00544C49" w:rsidRDefault="00FB66C8" w:rsidP="009A444C">
            <w:pPr>
              <w:autoSpaceDE w:val="0"/>
              <w:autoSpaceDN w:val="0"/>
              <w:adjustRightInd w:val="0"/>
              <w:jc w:val="center"/>
              <w:rPr>
                <w:rFonts w:cstheme="minorHAnsi"/>
                <w:lang w:val="en-US"/>
              </w:rPr>
            </w:pPr>
            <w:r w:rsidRPr="00544C49">
              <w:rPr>
                <w:rFonts w:cstheme="minorHAnsi"/>
                <w:lang w:val="en-US"/>
              </w:rPr>
              <w:t>Access to the government and parliament - composite index</w:t>
            </w:r>
          </w:p>
        </w:tc>
      </w:tr>
      <w:tr w:rsidR="00FB66C8" w:rsidRPr="00544C49" w14:paraId="0DECD37E" w14:textId="77777777" w:rsidTr="00FB66C8">
        <w:tblPrEx>
          <w:tblBorders>
            <w:top w:val="none" w:sz="0" w:space="0" w:color="auto"/>
          </w:tblBorders>
        </w:tblPrEx>
        <w:trPr>
          <w:trHeight w:val="816"/>
        </w:trPr>
        <w:tc>
          <w:tcPr>
            <w:tcW w:w="1913"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643E45A" w14:textId="77777777" w:rsidR="00FB66C8" w:rsidRPr="00544C49" w:rsidRDefault="00FB66C8" w:rsidP="009A444C">
            <w:pPr>
              <w:autoSpaceDE w:val="0"/>
              <w:autoSpaceDN w:val="0"/>
              <w:adjustRightInd w:val="0"/>
              <w:rPr>
                <w:rFonts w:cstheme="minorHAnsi"/>
              </w:rPr>
            </w:pPr>
            <w:proofErr w:type="spellStart"/>
            <w:r w:rsidRPr="00544C49">
              <w:rPr>
                <w:rFonts w:cstheme="minorHAnsi"/>
              </w:rPr>
              <w:t>Professionalization</w:t>
            </w:r>
            <w:proofErr w:type="spellEnd"/>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59C23DE" w14:textId="77777777" w:rsidR="00FB66C8" w:rsidRPr="00544C49" w:rsidRDefault="00FB66C8" w:rsidP="009A444C">
            <w:pPr>
              <w:autoSpaceDE w:val="0"/>
              <w:autoSpaceDN w:val="0"/>
              <w:adjustRightInd w:val="0"/>
              <w:jc w:val="center"/>
              <w:rPr>
                <w:rFonts w:cstheme="minorHAnsi"/>
              </w:rPr>
            </w:pPr>
            <w:r w:rsidRPr="00544C49">
              <w:rPr>
                <w:rFonts w:cstheme="minorHAnsi"/>
              </w:rPr>
              <w:t>0.136</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[0.0327]</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218C6F4" w14:textId="77777777" w:rsidR="00FB66C8" w:rsidRPr="00544C49" w:rsidRDefault="00FB66C8" w:rsidP="009A444C">
            <w:pPr>
              <w:autoSpaceDE w:val="0"/>
              <w:autoSpaceDN w:val="0"/>
              <w:adjustRightInd w:val="0"/>
              <w:jc w:val="center"/>
              <w:rPr>
                <w:rFonts w:cstheme="minorHAnsi"/>
              </w:rPr>
            </w:pPr>
            <w:r w:rsidRPr="00544C49">
              <w:rPr>
                <w:rFonts w:cstheme="minorHAnsi"/>
              </w:rPr>
              <w:t>0.0957</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[0.0332]</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B95472C" w14:textId="77777777" w:rsidR="00FB66C8" w:rsidRPr="00544C49" w:rsidRDefault="00FB66C8" w:rsidP="009A444C">
            <w:pPr>
              <w:autoSpaceDE w:val="0"/>
              <w:autoSpaceDN w:val="0"/>
              <w:adjustRightInd w:val="0"/>
              <w:jc w:val="center"/>
              <w:rPr>
                <w:rFonts w:cstheme="minorHAnsi"/>
              </w:rPr>
            </w:pPr>
            <w:r w:rsidRPr="00544C49">
              <w:rPr>
                <w:rFonts w:cstheme="minorHAnsi"/>
              </w:rPr>
              <w:t>0.0913</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[0.0338]</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8D8363B" w14:textId="77777777" w:rsidR="00FB66C8" w:rsidRPr="00544C49" w:rsidRDefault="00FB66C8" w:rsidP="009A444C">
            <w:pPr>
              <w:autoSpaceDE w:val="0"/>
              <w:autoSpaceDN w:val="0"/>
              <w:adjustRightInd w:val="0"/>
              <w:jc w:val="center"/>
              <w:rPr>
                <w:rFonts w:cstheme="minorHAnsi"/>
              </w:rPr>
            </w:pPr>
            <w:r w:rsidRPr="00544C49">
              <w:rPr>
                <w:rFonts w:cstheme="minorHAnsi"/>
              </w:rPr>
              <w:t>0.0878</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[0.0336]</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9A547B4" w14:textId="77777777" w:rsidR="00FB66C8" w:rsidRPr="00544C49" w:rsidRDefault="00FB66C8" w:rsidP="009A444C">
            <w:pPr>
              <w:autoSpaceDE w:val="0"/>
              <w:autoSpaceDN w:val="0"/>
              <w:adjustRightInd w:val="0"/>
              <w:jc w:val="center"/>
              <w:rPr>
                <w:rFonts w:cstheme="minorHAnsi"/>
              </w:rPr>
            </w:pPr>
            <w:r w:rsidRPr="00544C49">
              <w:rPr>
                <w:rFonts w:cstheme="minorHAnsi"/>
              </w:rPr>
              <w:t>0.0861</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[0.0333]</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4BCAF2A" w14:textId="77777777" w:rsidR="00FB66C8" w:rsidRPr="00544C49" w:rsidRDefault="00FB66C8" w:rsidP="009A444C">
            <w:pPr>
              <w:autoSpaceDE w:val="0"/>
              <w:autoSpaceDN w:val="0"/>
              <w:adjustRightInd w:val="0"/>
              <w:jc w:val="center"/>
              <w:rPr>
                <w:rFonts w:cstheme="minorHAnsi"/>
              </w:rPr>
            </w:pPr>
            <w:r w:rsidRPr="00544C49">
              <w:rPr>
                <w:rFonts w:cstheme="minorHAnsi"/>
              </w:rPr>
              <w:t>0.0848</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[0.0331]</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598B1E1" w14:textId="77777777" w:rsidR="00FB66C8" w:rsidRPr="00544C49" w:rsidRDefault="00FB66C8" w:rsidP="009A444C">
            <w:pPr>
              <w:autoSpaceDE w:val="0"/>
              <w:autoSpaceDN w:val="0"/>
              <w:adjustRightInd w:val="0"/>
              <w:jc w:val="center"/>
              <w:rPr>
                <w:rFonts w:cstheme="minorHAnsi"/>
              </w:rPr>
            </w:pPr>
            <w:r w:rsidRPr="00544C49">
              <w:rPr>
                <w:rFonts w:cstheme="minorHAnsi"/>
              </w:rPr>
              <w:t>0.0360</w:t>
            </w:r>
            <w:r w:rsidRPr="00544C49">
              <w:rPr>
                <w:rFonts w:ascii="MS Gothic" w:eastAsia="MS Gothic" w:hAnsi="MS Gothic" w:cs="MS Gothic" w:hint="eastAsia"/>
              </w:rPr>
              <w:t> </w:t>
            </w:r>
            <w:r w:rsidRPr="00544C49">
              <w:rPr>
                <w:rFonts w:cstheme="minorHAnsi"/>
              </w:rPr>
              <w:t>[0.0326]</w:t>
            </w:r>
          </w:p>
        </w:tc>
      </w:tr>
      <w:tr w:rsidR="00FB66C8" w:rsidRPr="00544C49" w14:paraId="5DD14CFC" w14:textId="77777777" w:rsidTr="00FB66C8">
        <w:tblPrEx>
          <w:tblBorders>
            <w:top w:val="none" w:sz="0" w:space="0" w:color="auto"/>
          </w:tblBorders>
        </w:tblPrEx>
        <w:trPr>
          <w:trHeight w:val="1083"/>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7A3894" w14:textId="77777777" w:rsidR="00FB66C8" w:rsidRPr="00544C49" w:rsidRDefault="00FB66C8" w:rsidP="009A444C">
            <w:pPr>
              <w:autoSpaceDE w:val="0"/>
              <w:autoSpaceDN w:val="0"/>
              <w:adjustRightInd w:val="0"/>
              <w:rPr>
                <w:rFonts w:cstheme="minorHAnsi"/>
              </w:rPr>
            </w:pPr>
            <w:r w:rsidRPr="00544C49">
              <w:rPr>
                <w:rFonts w:cstheme="minorHAnsi"/>
              </w:rPr>
              <w:t xml:space="preserve">Organizational </w:t>
            </w:r>
            <w:proofErr w:type="spellStart"/>
            <w:r w:rsidRPr="00544C49">
              <w:rPr>
                <w:rFonts w:cstheme="minorHAnsi"/>
              </w:rPr>
              <w:t>age</w:t>
            </w:r>
            <w:proofErr w:type="spellEnd"/>
            <w:r w:rsidRPr="00544C49">
              <w:rPr>
                <w:rFonts w:cstheme="minorHAnsi"/>
              </w:rPr>
              <w:t xml:space="preserve"> </w:t>
            </w:r>
            <w:proofErr w:type="spellStart"/>
            <w:r w:rsidRPr="00544C49">
              <w:rPr>
                <w:rFonts w:cstheme="minorHAnsi"/>
              </w:rPr>
              <w:t>logged</w:t>
            </w:r>
            <w:proofErr w:type="spellEnd"/>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D95B42" w14:textId="77777777" w:rsidR="00FB66C8" w:rsidRPr="00544C49" w:rsidRDefault="00FB66C8" w:rsidP="009A444C">
            <w:pPr>
              <w:autoSpaceDE w:val="0"/>
              <w:autoSpaceDN w:val="0"/>
              <w:adjustRightInd w:val="0"/>
              <w:jc w:val="center"/>
              <w:rPr>
                <w:rFonts w:cstheme="minorHAnsi"/>
              </w:rPr>
            </w:pPr>
            <w:r w:rsidRPr="00544C49">
              <w:rPr>
                <w:rFonts w:cstheme="minorHAnsi"/>
              </w:rPr>
              <w:t>-0.0127</w:t>
            </w:r>
            <w:r w:rsidRPr="00544C49">
              <w:rPr>
                <w:rFonts w:ascii="MS Gothic" w:eastAsia="MS Gothic" w:hAnsi="MS Gothic" w:cs="MS Gothic" w:hint="eastAsia"/>
              </w:rPr>
              <w:t> </w:t>
            </w:r>
            <w:r w:rsidRPr="00544C49">
              <w:rPr>
                <w:rFonts w:cstheme="minorHAnsi"/>
              </w:rPr>
              <w:t>[0.236]</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8ED67C" w14:textId="77777777" w:rsidR="00FB66C8" w:rsidRPr="00544C49" w:rsidRDefault="00FB66C8" w:rsidP="009A444C">
            <w:pPr>
              <w:autoSpaceDE w:val="0"/>
              <w:autoSpaceDN w:val="0"/>
              <w:adjustRightInd w:val="0"/>
              <w:jc w:val="center"/>
              <w:rPr>
                <w:rFonts w:cstheme="minorHAnsi"/>
              </w:rPr>
            </w:pPr>
            <w:r w:rsidRPr="00544C49">
              <w:rPr>
                <w:rFonts w:cstheme="minorHAnsi"/>
              </w:rPr>
              <w:t>-0.305</w:t>
            </w:r>
            <w:r w:rsidRPr="00544C49">
              <w:rPr>
                <w:rFonts w:ascii="MS Gothic" w:eastAsia="MS Gothic" w:hAnsi="MS Gothic" w:cs="MS Gothic" w:hint="eastAsia"/>
              </w:rPr>
              <w:t> </w:t>
            </w:r>
            <w:r w:rsidRPr="00544C49">
              <w:rPr>
                <w:rFonts w:cstheme="minorHAnsi"/>
              </w:rPr>
              <w:t>[0.223]</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C70EE9" w14:textId="77777777" w:rsidR="00FB66C8" w:rsidRPr="00544C49" w:rsidRDefault="00FB66C8" w:rsidP="009A444C">
            <w:pPr>
              <w:autoSpaceDE w:val="0"/>
              <w:autoSpaceDN w:val="0"/>
              <w:adjustRightInd w:val="0"/>
              <w:jc w:val="center"/>
              <w:rPr>
                <w:rFonts w:cstheme="minorHAnsi"/>
              </w:rPr>
            </w:pPr>
            <w:r w:rsidRPr="00544C49">
              <w:rPr>
                <w:rFonts w:cstheme="minorHAnsi"/>
              </w:rPr>
              <w:t>-0.329</w:t>
            </w:r>
            <w:r w:rsidRPr="00544C49">
              <w:rPr>
                <w:rFonts w:ascii="MS Gothic" w:eastAsia="MS Gothic" w:hAnsi="MS Gothic" w:cs="MS Gothic" w:hint="eastAsia"/>
              </w:rPr>
              <w:t> </w:t>
            </w:r>
            <w:r w:rsidRPr="00544C49">
              <w:rPr>
                <w:rFonts w:cstheme="minorHAnsi"/>
              </w:rPr>
              <w:t>[0.222]</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9405DE" w14:textId="77777777" w:rsidR="00FB66C8" w:rsidRPr="00544C49" w:rsidRDefault="00FB66C8" w:rsidP="009A444C">
            <w:pPr>
              <w:autoSpaceDE w:val="0"/>
              <w:autoSpaceDN w:val="0"/>
              <w:adjustRightInd w:val="0"/>
              <w:jc w:val="center"/>
              <w:rPr>
                <w:rFonts w:cstheme="minorHAnsi"/>
              </w:rPr>
            </w:pPr>
            <w:r w:rsidRPr="00544C49">
              <w:rPr>
                <w:rFonts w:cstheme="minorHAnsi"/>
              </w:rPr>
              <w:t>-0.315</w:t>
            </w:r>
            <w:r w:rsidRPr="00544C49">
              <w:rPr>
                <w:rFonts w:ascii="MS Gothic" w:eastAsia="MS Gothic" w:hAnsi="MS Gothic" w:cs="MS Gothic" w:hint="eastAsia"/>
              </w:rPr>
              <w:t> </w:t>
            </w:r>
            <w:r w:rsidRPr="00544C49">
              <w:rPr>
                <w:rFonts w:cstheme="minorHAnsi"/>
              </w:rPr>
              <w:t>[0.213]</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B1EDFD" w14:textId="77777777" w:rsidR="00FB66C8" w:rsidRPr="00544C49" w:rsidRDefault="00FB66C8" w:rsidP="009A444C">
            <w:pPr>
              <w:autoSpaceDE w:val="0"/>
              <w:autoSpaceDN w:val="0"/>
              <w:adjustRightInd w:val="0"/>
              <w:jc w:val="center"/>
              <w:rPr>
                <w:rFonts w:cstheme="minorHAnsi"/>
              </w:rPr>
            </w:pPr>
            <w:r w:rsidRPr="00544C49">
              <w:rPr>
                <w:rFonts w:cstheme="minorHAnsi"/>
              </w:rPr>
              <w:t>-0.283</w:t>
            </w:r>
            <w:r w:rsidRPr="00544C49">
              <w:rPr>
                <w:rFonts w:ascii="MS Gothic" w:eastAsia="MS Gothic" w:hAnsi="MS Gothic" w:cs="MS Gothic" w:hint="eastAsia"/>
              </w:rPr>
              <w:t> </w:t>
            </w:r>
            <w:r w:rsidRPr="00544C49">
              <w:rPr>
                <w:rFonts w:cstheme="minorHAnsi"/>
              </w:rPr>
              <w:t>[0.209]</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03E2AB" w14:textId="77777777" w:rsidR="00FB66C8" w:rsidRPr="00544C49" w:rsidRDefault="00FB66C8" w:rsidP="009A444C">
            <w:pPr>
              <w:autoSpaceDE w:val="0"/>
              <w:autoSpaceDN w:val="0"/>
              <w:adjustRightInd w:val="0"/>
              <w:jc w:val="center"/>
              <w:rPr>
                <w:rFonts w:cstheme="minorHAnsi"/>
              </w:rPr>
            </w:pPr>
            <w:r w:rsidRPr="00544C49">
              <w:rPr>
                <w:rFonts w:cstheme="minorHAnsi"/>
              </w:rPr>
              <w:t>-0.198</w:t>
            </w:r>
            <w:r w:rsidRPr="00544C49">
              <w:rPr>
                <w:rFonts w:ascii="MS Gothic" w:eastAsia="MS Gothic" w:hAnsi="MS Gothic" w:cs="MS Gothic" w:hint="eastAsia"/>
              </w:rPr>
              <w:t> </w:t>
            </w:r>
            <w:r w:rsidRPr="00544C49">
              <w:rPr>
                <w:rFonts w:cstheme="minorHAnsi"/>
              </w:rPr>
              <w:t>[0.216]</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1B9935" w14:textId="77777777" w:rsidR="00FB66C8" w:rsidRPr="00544C49" w:rsidRDefault="00FB66C8" w:rsidP="009A444C">
            <w:pPr>
              <w:autoSpaceDE w:val="0"/>
              <w:autoSpaceDN w:val="0"/>
              <w:adjustRightInd w:val="0"/>
              <w:jc w:val="center"/>
              <w:rPr>
                <w:rFonts w:cstheme="minorHAnsi"/>
              </w:rPr>
            </w:pPr>
            <w:r w:rsidRPr="00544C49">
              <w:rPr>
                <w:rFonts w:cstheme="minorHAnsi"/>
              </w:rPr>
              <w:t>-0.213</w:t>
            </w:r>
            <w:r w:rsidRPr="00544C49">
              <w:rPr>
                <w:rFonts w:ascii="MS Gothic" w:eastAsia="MS Gothic" w:hAnsi="MS Gothic" w:cs="MS Gothic" w:hint="eastAsia"/>
              </w:rPr>
              <w:t> </w:t>
            </w:r>
            <w:r w:rsidRPr="00544C49">
              <w:rPr>
                <w:rFonts w:cstheme="minorHAnsi"/>
              </w:rPr>
              <w:t>[0.217]</w:t>
            </w:r>
          </w:p>
        </w:tc>
      </w:tr>
      <w:tr w:rsidR="00FB66C8" w:rsidRPr="00544C49" w14:paraId="217FD32B" w14:textId="77777777" w:rsidTr="00FB66C8">
        <w:tblPrEx>
          <w:tblBorders>
            <w:top w:val="none" w:sz="0" w:space="0" w:color="auto"/>
          </w:tblBorders>
        </w:tblPrEx>
        <w:trPr>
          <w:trHeight w:val="816"/>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834B5E" w14:textId="77777777" w:rsidR="00FB66C8" w:rsidRPr="00544C49" w:rsidRDefault="00FB66C8" w:rsidP="009A444C">
            <w:pPr>
              <w:autoSpaceDE w:val="0"/>
              <w:autoSpaceDN w:val="0"/>
              <w:adjustRightInd w:val="0"/>
              <w:rPr>
                <w:rFonts w:cstheme="minorHAnsi"/>
              </w:rPr>
            </w:pPr>
            <w:proofErr w:type="spellStart"/>
            <w:r w:rsidRPr="00544C49">
              <w:rPr>
                <w:rFonts w:cstheme="minorHAnsi"/>
              </w:rPr>
              <w:t>Concentrated</w:t>
            </w:r>
            <w:proofErr w:type="spellEnd"/>
            <w:r w:rsidRPr="00544C49">
              <w:rPr>
                <w:rFonts w:cstheme="minorHAnsi"/>
              </w:rPr>
              <w:t xml:space="preserve"> </w:t>
            </w:r>
            <w:proofErr w:type="spellStart"/>
            <w:r w:rsidRPr="00544C49">
              <w:rPr>
                <w:rFonts w:cstheme="minorHAnsi"/>
              </w:rPr>
              <w:t>interests</w:t>
            </w:r>
            <w:proofErr w:type="spellEnd"/>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EF3D99" w14:textId="77777777" w:rsidR="00FB66C8" w:rsidRPr="00544C49" w:rsidRDefault="00FB66C8" w:rsidP="009A444C">
            <w:pPr>
              <w:autoSpaceDE w:val="0"/>
              <w:autoSpaceDN w:val="0"/>
              <w:adjustRightInd w:val="0"/>
              <w:jc w:val="center"/>
              <w:rPr>
                <w:rFonts w:cstheme="minorHAnsi"/>
              </w:rPr>
            </w:pPr>
            <w:r w:rsidRPr="00544C49">
              <w:rPr>
                <w:rFonts w:cstheme="minorHAnsi"/>
              </w:rPr>
              <w:t>0.463</w:t>
            </w:r>
            <w:r w:rsidRPr="00544C49">
              <w:rPr>
                <w:rFonts w:ascii="MS Gothic" w:eastAsia="MS Gothic" w:hAnsi="MS Gothic" w:cs="MS Gothic" w:hint="eastAsia"/>
              </w:rPr>
              <w:t> </w:t>
            </w:r>
            <w:r w:rsidRPr="00544C49">
              <w:rPr>
                <w:rFonts w:cstheme="minorHAnsi"/>
              </w:rPr>
              <w:t>[0.423]</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1AF85D" w14:textId="77777777" w:rsidR="00FB66C8" w:rsidRPr="00544C49" w:rsidRDefault="00FB66C8" w:rsidP="009A444C">
            <w:pPr>
              <w:autoSpaceDE w:val="0"/>
              <w:autoSpaceDN w:val="0"/>
              <w:adjustRightInd w:val="0"/>
              <w:jc w:val="center"/>
              <w:rPr>
                <w:rFonts w:cstheme="minorHAnsi"/>
              </w:rPr>
            </w:pPr>
            <w:r w:rsidRPr="00544C49">
              <w:rPr>
                <w:rFonts w:cstheme="minorHAnsi"/>
              </w:rPr>
              <w:t>0.651</w:t>
            </w:r>
            <w:r w:rsidRPr="00544C49">
              <w:rPr>
                <w:rFonts w:ascii="MS Gothic" w:eastAsia="MS Gothic" w:hAnsi="MS Gothic" w:cs="MS Gothic" w:hint="eastAsia"/>
              </w:rPr>
              <w:t> </w:t>
            </w:r>
            <w:r w:rsidRPr="00544C49">
              <w:rPr>
                <w:rFonts w:cstheme="minorHAnsi"/>
              </w:rPr>
              <w:t>[0.408]</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B6E333" w14:textId="77777777" w:rsidR="00FB66C8" w:rsidRPr="00544C49" w:rsidRDefault="00FB66C8" w:rsidP="009A444C">
            <w:pPr>
              <w:autoSpaceDE w:val="0"/>
              <w:autoSpaceDN w:val="0"/>
              <w:adjustRightInd w:val="0"/>
              <w:jc w:val="center"/>
              <w:rPr>
                <w:rFonts w:cstheme="minorHAnsi"/>
              </w:rPr>
            </w:pPr>
            <w:r w:rsidRPr="00544C49">
              <w:rPr>
                <w:rFonts w:cstheme="minorHAnsi"/>
              </w:rPr>
              <w:t>0.816</w:t>
            </w:r>
            <w:r w:rsidRPr="00544C49">
              <w:rPr>
                <w:rFonts w:ascii="MS Gothic" w:eastAsia="MS Gothic" w:hAnsi="MS Gothic" w:cs="MS Gothic" w:hint="eastAsia"/>
              </w:rPr>
              <w:t> </w:t>
            </w:r>
            <w:r w:rsidRPr="00544C49">
              <w:rPr>
                <w:rFonts w:cstheme="minorHAnsi"/>
              </w:rPr>
              <w:t>[0.479]</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36E615" w14:textId="77777777" w:rsidR="00FB66C8" w:rsidRPr="00544C49" w:rsidRDefault="00FB66C8" w:rsidP="009A444C">
            <w:pPr>
              <w:autoSpaceDE w:val="0"/>
              <w:autoSpaceDN w:val="0"/>
              <w:adjustRightInd w:val="0"/>
              <w:jc w:val="center"/>
              <w:rPr>
                <w:rFonts w:cstheme="minorHAnsi"/>
              </w:rPr>
            </w:pPr>
            <w:r w:rsidRPr="00544C49">
              <w:rPr>
                <w:rFonts w:cstheme="minorHAnsi"/>
              </w:rPr>
              <w:t>0.922</w:t>
            </w:r>
            <w:r w:rsidRPr="00544C49">
              <w:rPr>
                <w:rFonts w:ascii="MS Gothic" w:eastAsia="MS Gothic" w:hAnsi="MS Gothic" w:cs="MS Gothic" w:hint="eastAsia"/>
              </w:rPr>
              <w:t> </w:t>
            </w:r>
            <w:r w:rsidRPr="00544C49">
              <w:rPr>
                <w:rFonts w:cstheme="minorHAnsi"/>
              </w:rPr>
              <w:t>[0.485]</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258333" w14:textId="77777777" w:rsidR="00FB66C8" w:rsidRPr="00544C49" w:rsidRDefault="00FB66C8" w:rsidP="009A444C">
            <w:pPr>
              <w:autoSpaceDE w:val="0"/>
              <w:autoSpaceDN w:val="0"/>
              <w:adjustRightInd w:val="0"/>
              <w:jc w:val="center"/>
              <w:rPr>
                <w:rFonts w:cstheme="minorHAnsi"/>
              </w:rPr>
            </w:pPr>
            <w:r w:rsidRPr="00544C49">
              <w:rPr>
                <w:rFonts w:cstheme="minorHAnsi"/>
              </w:rPr>
              <w:t>0.974</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[0.486]</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2737FC" w14:textId="77777777" w:rsidR="00FB66C8" w:rsidRPr="00544C49" w:rsidRDefault="00FB66C8" w:rsidP="009A444C">
            <w:pPr>
              <w:autoSpaceDE w:val="0"/>
              <w:autoSpaceDN w:val="0"/>
              <w:adjustRightInd w:val="0"/>
              <w:jc w:val="center"/>
              <w:rPr>
                <w:rFonts w:cstheme="minorHAnsi"/>
              </w:rPr>
            </w:pPr>
            <w:r w:rsidRPr="00544C49">
              <w:rPr>
                <w:rFonts w:cstheme="minorHAnsi"/>
              </w:rPr>
              <w:t>0.948</w:t>
            </w:r>
            <w:r w:rsidRPr="00544C49">
              <w:rPr>
                <w:rFonts w:ascii="MS Gothic" w:eastAsia="MS Gothic" w:hAnsi="MS Gothic" w:cs="MS Gothic" w:hint="eastAsia"/>
              </w:rPr>
              <w:t> </w:t>
            </w:r>
            <w:r w:rsidRPr="00544C49">
              <w:rPr>
                <w:rFonts w:cstheme="minorHAnsi"/>
              </w:rPr>
              <w:t>[0.487]</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9B8D13" w14:textId="77777777" w:rsidR="00FB66C8" w:rsidRPr="00544C49" w:rsidRDefault="00FB66C8" w:rsidP="009A444C">
            <w:pPr>
              <w:autoSpaceDE w:val="0"/>
              <w:autoSpaceDN w:val="0"/>
              <w:adjustRightInd w:val="0"/>
              <w:jc w:val="center"/>
              <w:rPr>
                <w:rFonts w:cstheme="minorHAnsi"/>
              </w:rPr>
            </w:pPr>
            <w:r w:rsidRPr="00544C49">
              <w:rPr>
                <w:rFonts w:cstheme="minorHAnsi"/>
              </w:rPr>
              <w:t>0.552</w:t>
            </w:r>
            <w:r w:rsidRPr="00544C49">
              <w:rPr>
                <w:rFonts w:ascii="MS Gothic" w:eastAsia="MS Gothic" w:hAnsi="MS Gothic" w:cs="MS Gothic" w:hint="eastAsia"/>
              </w:rPr>
              <w:t> </w:t>
            </w:r>
            <w:r w:rsidRPr="00544C49">
              <w:rPr>
                <w:rFonts w:cstheme="minorHAnsi"/>
              </w:rPr>
              <w:t>[0.479]</w:t>
            </w:r>
          </w:p>
        </w:tc>
      </w:tr>
      <w:tr w:rsidR="00FB66C8" w:rsidRPr="00544C49" w14:paraId="49994484" w14:textId="77777777" w:rsidTr="00FB66C8">
        <w:tblPrEx>
          <w:tblBorders>
            <w:top w:val="none" w:sz="0" w:space="0" w:color="auto"/>
          </w:tblBorders>
        </w:tblPrEx>
        <w:trPr>
          <w:trHeight w:val="816"/>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D4D41D" w14:textId="77777777" w:rsidR="00FB66C8" w:rsidRPr="00544C49" w:rsidRDefault="00FB66C8" w:rsidP="009A444C">
            <w:pPr>
              <w:autoSpaceDE w:val="0"/>
              <w:autoSpaceDN w:val="0"/>
              <w:adjustRightInd w:val="0"/>
              <w:rPr>
                <w:rFonts w:cstheme="minorHAnsi"/>
              </w:rPr>
            </w:pPr>
            <w:r w:rsidRPr="00544C49">
              <w:rPr>
                <w:rFonts w:cstheme="minorHAnsi"/>
              </w:rPr>
              <w:t>Expertise</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DA3EEA" w14:textId="77777777" w:rsidR="00FB66C8" w:rsidRPr="00544C49" w:rsidRDefault="00FB66C8" w:rsidP="009A444C">
            <w:pPr>
              <w:autoSpaceDE w:val="0"/>
              <w:autoSpaceDN w:val="0"/>
              <w:adjustRightInd w:val="0"/>
              <w:jc w:val="center"/>
              <w:rPr>
                <w:rFonts w:cstheme="minorHAnsi"/>
              </w:rPr>
            </w:pPr>
            <w:r w:rsidRPr="00544C49">
              <w:rPr>
                <w:rFonts w:cstheme="minorHAnsi"/>
              </w:rPr>
              <w:t>2.388</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[0.506]</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AC83CD" w14:textId="77777777" w:rsidR="00FB66C8" w:rsidRPr="00544C49" w:rsidRDefault="00FB66C8" w:rsidP="009A444C">
            <w:pPr>
              <w:autoSpaceDE w:val="0"/>
              <w:autoSpaceDN w:val="0"/>
              <w:adjustRightInd w:val="0"/>
              <w:jc w:val="center"/>
              <w:rPr>
                <w:rFonts w:cstheme="minorHAnsi"/>
              </w:rPr>
            </w:pPr>
            <w:r w:rsidRPr="00544C49">
              <w:rPr>
                <w:rFonts w:cstheme="minorHAnsi"/>
              </w:rPr>
              <w:t>1.906</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[0.529]</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4945C9" w14:textId="77777777" w:rsidR="00FB66C8" w:rsidRPr="00544C49" w:rsidRDefault="00FB66C8" w:rsidP="009A444C">
            <w:pPr>
              <w:autoSpaceDE w:val="0"/>
              <w:autoSpaceDN w:val="0"/>
              <w:adjustRightInd w:val="0"/>
              <w:jc w:val="center"/>
              <w:rPr>
                <w:rFonts w:cstheme="minorHAnsi"/>
              </w:rPr>
            </w:pPr>
            <w:r w:rsidRPr="00544C49">
              <w:rPr>
                <w:rFonts w:cstheme="minorHAnsi"/>
              </w:rPr>
              <w:t>1.852</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[0.531]</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070298" w14:textId="77777777" w:rsidR="00FB66C8" w:rsidRPr="00544C49" w:rsidRDefault="00FB66C8" w:rsidP="009A444C">
            <w:pPr>
              <w:autoSpaceDE w:val="0"/>
              <w:autoSpaceDN w:val="0"/>
              <w:adjustRightInd w:val="0"/>
              <w:jc w:val="center"/>
              <w:rPr>
                <w:rFonts w:cstheme="minorHAnsi"/>
              </w:rPr>
            </w:pPr>
            <w:r w:rsidRPr="00544C49">
              <w:rPr>
                <w:rFonts w:cstheme="minorHAnsi"/>
              </w:rPr>
              <w:t>1.602</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[0.548]</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FB3B24" w14:textId="77777777" w:rsidR="00FB66C8" w:rsidRPr="00544C49" w:rsidRDefault="00FB66C8" w:rsidP="009A444C">
            <w:pPr>
              <w:autoSpaceDE w:val="0"/>
              <w:autoSpaceDN w:val="0"/>
              <w:adjustRightInd w:val="0"/>
              <w:jc w:val="center"/>
              <w:rPr>
                <w:rFonts w:cstheme="minorHAnsi"/>
              </w:rPr>
            </w:pPr>
            <w:r w:rsidRPr="00544C49">
              <w:rPr>
                <w:rFonts w:cstheme="minorHAnsi"/>
              </w:rPr>
              <w:t>1.539</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[0.547]</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189737" w14:textId="77777777" w:rsidR="00FB66C8" w:rsidRPr="00544C49" w:rsidRDefault="00FB66C8" w:rsidP="009A444C">
            <w:pPr>
              <w:autoSpaceDE w:val="0"/>
              <w:autoSpaceDN w:val="0"/>
              <w:adjustRightInd w:val="0"/>
              <w:jc w:val="center"/>
              <w:rPr>
                <w:rFonts w:cstheme="minorHAnsi"/>
              </w:rPr>
            </w:pPr>
            <w:r w:rsidRPr="00544C49">
              <w:rPr>
                <w:rFonts w:cstheme="minorHAnsi"/>
              </w:rPr>
              <w:t>1.661</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[0.560]</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6DE93B" w14:textId="77777777" w:rsidR="00FB66C8" w:rsidRPr="00544C49" w:rsidRDefault="00FB66C8" w:rsidP="009A444C">
            <w:pPr>
              <w:autoSpaceDE w:val="0"/>
              <w:autoSpaceDN w:val="0"/>
              <w:adjustRightInd w:val="0"/>
              <w:jc w:val="center"/>
              <w:rPr>
                <w:rFonts w:cstheme="minorHAnsi"/>
              </w:rPr>
            </w:pPr>
            <w:r w:rsidRPr="00544C49">
              <w:rPr>
                <w:rFonts w:cstheme="minorHAnsi"/>
              </w:rPr>
              <w:t>1.436</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[0.539]</w:t>
            </w:r>
          </w:p>
        </w:tc>
      </w:tr>
      <w:tr w:rsidR="00FB66C8" w:rsidRPr="00544C49" w14:paraId="2CE964FB" w14:textId="77777777" w:rsidTr="00FB66C8">
        <w:tblPrEx>
          <w:tblBorders>
            <w:top w:val="none" w:sz="0" w:space="0" w:color="auto"/>
          </w:tblBorders>
        </w:tblPrEx>
        <w:trPr>
          <w:trHeight w:val="816"/>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E64BC1" w14:textId="77777777" w:rsidR="00FB66C8" w:rsidRPr="00544C49" w:rsidRDefault="00FB66C8" w:rsidP="009A444C">
            <w:pPr>
              <w:autoSpaceDE w:val="0"/>
              <w:autoSpaceDN w:val="0"/>
              <w:adjustRightInd w:val="0"/>
              <w:rPr>
                <w:rFonts w:cstheme="minorHAnsi"/>
              </w:rPr>
            </w:pPr>
            <w:r w:rsidRPr="00544C49">
              <w:rPr>
                <w:rFonts w:cstheme="minorHAnsi"/>
              </w:rPr>
              <w:t xml:space="preserve">Financial </w:t>
            </w:r>
            <w:proofErr w:type="spellStart"/>
            <w:r w:rsidRPr="00544C49">
              <w:rPr>
                <w:rFonts w:cstheme="minorHAnsi"/>
              </w:rPr>
              <w:t>resources</w:t>
            </w:r>
            <w:proofErr w:type="spellEnd"/>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F4EFBF" w14:textId="77777777" w:rsidR="00FB66C8" w:rsidRPr="00544C49" w:rsidRDefault="00FB66C8" w:rsidP="009A444C">
            <w:pPr>
              <w:autoSpaceDE w:val="0"/>
              <w:autoSpaceDN w:val="0"/>
              <w:adjustRightInd w:val="0"/>
              <w:jc w:val="center"/>
              <w:rPr>
                <w:rFonts w:cstheme="minorHAnsi"/>
              </w:rPr>
            </w:pPr>
            <w:r w:rsidRPr="00544C49">
              <w:rPr>
                <w:rFonts w:cstheme="minorHAnsi"/>
              </w:rPr>
              <w:t>-0.424</w:t>
            </w:r>
            <w:r w:rsidRPr="00544C49">
              <w:rPr>
                <w:rFonts w:ascii="MS Gothic" w:eastAsia="MS Gothic" w:hAnsi="MS Gothic" w:cs="MS Gothic" w:hint="eastAsia"/>
              </w:rPr>
              <w:t> </w:t>
            </w:r>
            <w:r w:rsidRPr="00544C49">
              <w:rPr>
                <w:rFonts w:cstheme="minorHAnsi"/>
              </w:rPr>
              <w:t>[0.415]</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9E5AE9" w14:textId="77777777" w:rsidR="00FB66C8" w:rsidRPr="00544C49" w:rsidRDefault="00FB66C8" w:rsidP="009A444C">
            <w:pPr>
              <w:autoSpaceDE w:val="0"/>
              <w:autoSpaceDN w:val="0"/>
              <w:adjustRightInd w:val="0"/>
              <w:jc w:val="center"/>
              <w:rPr>
                <w:rFonts w:cstheme="minorHAnsi"/>
              </w:rPr>
            </w:pPr>
            <w:r w:rsidRPr="00544C49">
              <w:rPr>
                <w:rFonts w:cstheme="minorHAnsi"/>
              </w:rPr>
              <w:t>-0.255</w:t>
            </w:r>
            <w:r w:rsidRPr="00544C49">
              <w:rPr>
                <w:rFonts w:ascii="MS Gothic" w:eastAsia="MS Gothic" w:hAnsi="MS Gothic" w:cs="MS Gothic" w:hint="eastAsia"/>
              </w:rPr>
              <w:t> </w:t>
            </w:r>
            <w:r w:rsidRPr="00544C49">
              <w:rPr>
                <w:rFonts w:cstheme="minorHAnsi"/>
              </w:rPr>
              <w:t>[0.390]</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128578" w14:textId="77777777" w:rsidR="00FB66C8" w:rsidRPr="00544C49" w:rsidRDefault="00FB66C8" w:rsidP="009A444C">
            <w:pPr>
              <w:autoSpaceDE w:val="0"/>
              <w:autoSpaceDN w:val="0"/>
              <w:adjustRightInd w:val="0"/>
              <w:jc w:val="center"/>
              <w:rPr>
                <w:rFonts w:cstheme="minorHAnsi"/>
              </w:rPr>
            </w:pPr>
            <w:r w:rsidRPr="00544C49">
              <w:rPr>
                <w:rFonts w:cstheme="minorHAnsi"/>
              </w:rPr>
              <w:t>-0.173</w:t>
            </w:r>
            <w:r w:rsidRPr="00544C49">
              <w:rPr>
                <w:rFonts w:ascii="MS Gothic" w:eastAsia="MS Gothic" w:hAnsi="MS Gothic" w:cs="MS Gothic" w:hint="eastAsia"/>
              </w:rPr>
              <w:t> </w:t>
            </w:r>
            <w:r w:rsidRPr="00544C49">
              <w:rPr>
                <w:rFonts w:cstheme="minorHAnsi"/>
              </w:rPr>
              <w:t>[0.407]</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972ADA" w14:textId="77777777" w:rsidR="00FB66C8" w:rsidRPr="00544C49" w:rsidRDefault="00FB66C8" w:rsidP="009A444C">
            <w:pPr>
              <w:autoSpaceDE w:val="0"/>
              <w:autoSpaceDN w:val="0"/>
              <w:adjustRightInd w:val="0"/>
              <w:jc w:val="center"/>
              <w:rPr>
                <w:rFonts w:cstheme="minorHAnsi"/>
              </w:rPr>
            </w:pPr>
            <w:r w:rsidRPr="00544C49">
              <w:rPr>
                <w:rFonts w:cstheme="minorHAnsi"/>
              </w:rPr>
              <w:t>-0.447</w:t>
            </w:r>
            <w:r w:rsidRPr="00544C49">
              <w:rPr>
                <w:rFonts w:ascii="MS Gothic" w:eastAsia="MS Gothic" w:hAnsi="MS Gothic" w:cs="MS Gothic" w:hint="eastAsia"/>
              </w:rPr>
              <w:t> </w:t>
            </w:r>
            <w:r w:rsidRPr="00544C49">
              <w:rPr>
                <w:rFonts w:cstheme="minorHAnsi"/>
              </w:rPr>
              <w:t>[0.436]</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53DA5F" w14:textId="77777777" w:rsidR="00FB66C8" w:rsidRPr="00544C49" w:rsidRDefault="00FB66C8" w:rsidP="009A444C">
            <w:pPr>
              <w:autoSpaceDE w:val="0"/>
              <w:autoSpaceDN w:val="0"/>
              <w:adjustRightInd w:val="0"/>
              <w:jc w:val="center"/>
              <w:rPr>
                <w:rFonts w:cstheme="minorHAnsi"/>
              </w:rPr>
            </w:pPr>
            <w:r w:rsidRPr="00544C49">
              <w:rPr>
                <w:rFonts w:cstheme="minorHAnsi"/>
              </w:rPr>
              <w:t>-0.467</w:t>
            </w:r>
            <w:r w:rsidRPr="00544C49">
              <w:rPr>
                <w:rFonts w:ascii="MS Gothic" w:eastAsia="MS Gothic" w:hAnsi="MS Gothic" w:cs="MS Gothic" w:hint="eastAsia"/>
              </w:rPr>
              <w:t> </w:t>
            </w:r>
            <w:r w:rsidRPr="00544C49">
              <w:rPr>
                <w:rFonts w:cstheme="minorHAnsi"/>
              </w:rPr>
              <w:t>[0.425]</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ED14A7" w14:textId="77777777" w:rsidR="00FB66C8" w:rsidRPr="00544C49" w:rsidRDefault="00FB66C8" w:rsidP="009A444C">
            <w:pPr>
              <w:autoSpaceDE w:val="0"/>
              <w:autoSpaceDN w:val="0"/>
              <w:adjustRightInd w:val="0"/>
              <w:jc w:val="center"/>
              <w:rPr>
                <w:rFonts w:cstheme="minorHAnsi"/>
              </w:rPr>
            </w:pPr>
            <w:r w:rsidRPr="00544C49">
              <w:rPr>
                <w:rFonts w:cstheme="minorHAnsi"/>
              </w:rPr>
              <w:t>-0.414</w:t>
            </w:r>
            <w:r w:rsidRPr="00544C49">
              <w:rPr>
                <w:rFonts w:ascii="MS Gothic" w:eastAsia="MS Gothic" w:hAnsi="MS Gothic" w:cs="MS Gothic" w:hint="eastAsia"/>
              </w:rPr>
              <w:t> </w:t>
            </w:r>
            <w:r w:rsidRPr="00544C49">
              <w:rPr>
                <w:rFonts w:cstheme="minorHAnsi"/>
              </w:rPr>
              <w:t>[0.441]</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3E0F9B" w14:textId="77777777" w:rsidR="00FB66C8" w:rsidRPr="00544C49" w:rsidRDefault="00FB66C8" w:rsidP="009A444C">
            <w:pPr>
              <w:autoSpaceDE w:val="0"/>
              <w:autoSpaceDN w:val="0"/>
              <w:adjustRightInd w:val="0"/>
              <w:jc w:val="center"/>
              <w:rPr>
                <w:rFonts w:cstheme="minorHAnsi"/>
              </w:rPr>
            </w:pPr>
            <w:r w:rsidRPr="00544C49">
              <w:rPr>
                <w:rFonts w:cstheme="minorHAnsi"/>
              </w:rPr>
              <w:t>-0.400</w:t>
            </w:r>
            <w:r w:rsidRPr="00544C49">
              <w:rPr>
                <w:rFonts w:ascii="MS Gothic" w:eastAsia="MS Gothic" w:hAnsi="MS Gothic" w:cs="MS Gothic" w:hint="eastAsia"/>
              </w:rPr>
              <w:t> </w:t>
            </w:r>
            <w:r w:rsidRPr="00544C49">
              <w:rPr>
                <w:rFonts w:cstheme="minorHAnsi"/>
              </w:rPr>
              <w:t>[0.424]</w:t>
            </w:r>
          </w:p>
        </w:tc>
      </w:tr>
      <w:tr w:rsidR="00FB66C8" w:rsidRPr="00544C49" w14:paraId="7E353B0D" w14:textId="77777777" w:rsidTr="00FB66C8">
        <w:tblPrEx>
          <w:tblBorders>
            <w:top w:val="none" w:sz="0" w:space="0" w:color="auto"/>
          </w:tblBorders>
        </w:tblPrEx>
        <w:trPr>
          <w:trHeight w:val="1363"/>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D3C974" w14:textId="77777777" w:rsidR="00FB66C8" w:rsidRPr="00544C49" w:rsidRDefault="00FB66C8" w:rsidP="009A444C">
            <w:pPr>
              <w:autoSpaceDE w:val="0"/>
              <w:autoSpaceDN w:val="0"/>
              <w:adjustRightInd w:val="0"/>
              <w:rPr>
                <w:rFonts w:cstheme="minorHAnsi"/>
                <w:lang w:val="en-US"/>
              </w:rPr>
            </w:pPr>
            <w:r w:rsidRPr="00544C49">
              <w:rPr>
                <w:rFonts w:cstheme="minorHAnsi"/>
                <w:lang w:val="en-US"/>
              </w:rPr>
              <w:lastRenderedPageBreak/>
              <w:t>Cooperation with other domestic groups</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E41992"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B5B2E1" w14:textId="77777777" w:rsidR="00FB66C8" w:rsidRPr="00544C49" w:rsidRDefault="00FB66C8" w:rsidP="009A444C">
            <w:pPr>
              <w:autoSpaceDE w:val="0"/>
              <w:autoSpaceDN w:val="0"/>
              <w:adjustRightInd w:val="0"/>
              <w:jc w:val="center"/>
              <w:rPr>
                <w:rFonts w:cstheme="minorHAnsi"/>
              </w:rPr>
            </w:pPr>
            <w:r w:rsidRPr="00544C49">
              <w:rPr>
                <w:rFonts w:cstheme="minorHAnsi"/>
              </w:rPr>
              <w:t>0.665</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[0.104]</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9C4E75" w14:textId="77777777" w:rsidR="00FB66C8" w:rsidRPr="00544C49" w:rsidRDefault="00FB66C8" w:rsidP="009A444C">
            <w:pPr>
              <w:autoSpaceDE w:val="0"/>
              <w:autoSpaceDN w:val="0"/>
              <w:adjustRightInd w:val="0"/>
              <w:jc w:val="center"/>
              <w:rPr>
                <w:rFonts w:cstheme="minorHAnsi"/>
              </w:rPr>
            </w:pPr>
            <w:r w:rsidRPr="00544C49">
              <w:rPr>
                <w:rFonts w:cstheme="minorHAnsi"/>
              </w:rPr>
              <w:t>0.667</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[0.104]</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7ACDEB" w14:textId="77777777" w:rsidR="00FB66C8" w:rsidRPr="00544C49" w:rsidRDefault="00FB66C8" w:rsidP="009A444C">
            <w:pPr>
              <w:autoSpaceDE w:val="0"/>
              <w:autoSpaceDN w:val="0"/>
              <w:adjustRightInd w:val="0"/>
              <w:jc w:val="center"/>
              <w:rPr>
                <w:rFonts w:cstheme="minorHAnsi"/>
              </w:rPr>
            </w:pPr>
            <w:r w:rsidRPr="00544C49">
              <w:rPr>
                <w:rFonts w:cstheme="minorHAnsi"/>
              </w:rPr>
              <w:t>0.691</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[0.102]</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3AB479" w14:textId="77777777" w:rsidR="00FB66C8" w:rsidRPr="00544C49" w:rsidRDefault="00FB66C8" w:rsidP="009A444C">
            <w:pPr>
              <w:autoSpaceDE w:val="0"/>
              <w:autoSpaceDN w:val="0"/>
              <w:adjustRightInd w:val="0"/>
              <w:jc w:val="center"/>
              <w:rPr>
                <w:rFonts w:cstheme="minorHAnsi"/>
              </w:rPr>
            </w:pPr>
            <w:r w:rsidRPr="00544C49">
              <w:rPr>
                <w:rFonts w:cstheme="minorHAnsi"/>
              </w:rPr>
              <w:t>0.697</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[0.101]</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2A426C" w14:textId="77777777" w:rsidR="00FB66C8" w:rsidRPr="00544C49" w:rsidRDefault="00FB66C8" w:rsidP="009A444C">
            <w:pPr>
              <w:autoSpaceDE w:val="0"/>
              <w:autoSpaceDN w:val="0"/>
              <w:adjustRightInd w:val="0"/>
              <w:jc w:val="center"/>
              <w:rPr>
                <w:rFonts w:cstheme="minorHAnsi"/>
              </w:rPr>
            </w:pPr>
            <w:r w:rsidRPr="00544C49">
              <w:rPr>
                <w:rFonts w:cstheme="minorHAnsi"/>
              </w:rPr>
              <w:t>0.688</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[0.102]</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43197A" w14:textId="77777777" w:rsidR="00FB66C8" w:rsidRPr="00544C49" w:rsidRDefault="00FB66C8" w:rsidP="009A444C">
            <w:pPr>
              <w:autoSpaceDE w:val="0"/>
              <w:autoSpaceDN w:val="0"/>
              <w:adjustRightInd w:val="0"/>
              <w:jc w:val="center"/>
              <w:rPr>
                <w:rFonts w:cstheme="minorHAnsi"/>
              </w:rPr>
            </w:pPr>
            <w:r w:rsidRPr="00544C49">
              <w:rPr>
                <w:rFonts w:cstheme="minorHAnsi"/>
              </w:rPr>
              <w:t>0.603</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[0.104]</w:t>
            </w:r>
          </w:p>
        </w:tc>
      </w:tr>
      <w:tr w:rsidR="00FB66C8" w:rsidRPr="00544C49" w14:paraId="2AC355A2" w14:textId="77777777" w:rsidTr="00FB66C8">
        <w:tblPrEx>
          <w:tblBorders>
            <w:top w:val="none" w:sz="0" w:space="0" w:color="auto"/>
          </w:tblBorders>
        </w:tblPrEx>
        <w:trPr>
          <w:trHeight w:val="1083"/>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276AD7" w14:textId="77777777" w:rsidR="00FB66C8" w:rsidRPr="00544C49" w:rsidRDefault="00FB66C8" w:rsidP="009A444C">
            <w:pPr>
              <w:autoSpaceDE w:val="0"/>
              <w:autoSpaceDN w:val="0"/>
              <w:adjustRightInd w:val="0"/>
              <w:rPr>
                <w:rFonts w:cstheme="minorHAnsi"/>
              </w:rPr>
            </w:pPr>
            <w:r w:rsidRPr="00544C49">
              <w:rPr>
                <w:rFonts w:cstheme="minorHAnsi"/>
              </w:rPr>
              <w:t xml:space="preserve">Relative </w:t>
            </w:r>
            <w:proofErr w:type="spellStart"/>
            <w:r w:rsidRPr="00544C49">
              <w:rPr>
                <w:rFonts w:cstheme="minorHAnsi"/>
              </w:rPr>
              <w:t>population</w:t>
            </w:r>
            <w:proofErr w:type="spellEnd"/>
            <w:r w:rsidRPr="00544C49">
              <w:rPr>
                <w:rFonts w:cstheme="minorHAnsi"/>
              </w:rPr>
              <w:t xml:space="preserve"> </w:t>
            </w:r>
            <w:proofErr w:type="spellStart"/>
            <w:r w:rsidRPr="00544C49">
              <w:rPr>
                <w:rFonts w:cstheme="minorHAnsi"/>
              </w:rPr>
              <w:t>density</w:t>
            </w:r>
            <w:proofErr w:type="spellEnd"/>
            <w:r w:rsidRPr="00544C49">
              <w:rPr>
                <w:rFonts w:cstheme="minorHAnsi"/>
              </w:rPr>
              <w:t xml:space="preserve">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3AA388"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A061AF"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D06924" w14:textId="77777777" w:rsidR="00FB66C8" w:rsidRPr="00544C49" w:rsidRDefault="00FB66C8" w:rsidP="009A444C">
            <w:pPr>
              <w:autoSpaceDE w:val="0"/>
              <w:autoSpaceDN w:val="0"/>
              <w:adjustRightInd w:val="0"/>
              <w:jc w:val="center"/>
              <w:rPr>
                <w:rFonts w:cstheme="minorHAnsi"/>
              </w:rPr>
            </w:pPr>
            <w:r w:rsidRPr="00544C49">
              <w:rPr>
                <w:rFonts w:cstheme="minorHAnsi"/>
              </w:rPr>
              <w:t>-0.00783</w:t>
            </w:r>
            <w:r w:rsidRPr="00544C49">
              <w:rPr>
                <w:rFonts w:ascii="MS Gothic" w:eastAsia="MS Gothic" w:hAnsi="MS Gothic" w:cs="MS Gothic" w:hint="eastAsia"/>
              </w:rPr>
              <w:t> </w:t>
            </w:r>
            <w:r w:rsidRPr="00544C49">
              <w:rPr>
                <w:rFonts w:cstheme="minorHAnsi"/>
              </w:rPr>
              <w:t>[0.0103]</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5E5993" w14:textId="77777777" w:rsidR="00FB66C8" w:rsidRPr="00544C49" w:rsidRDefault="00FB66C8" w:rsidP="009A444C">
            <w:pPr>
              <w:autoSpaceDE w:val="0"/>
              <w:autoSpaceDN w:val="0"/>
              <w:adjustRightInd w:val="0"/>
              <w:jc w:val="center"/>
              <w:rPr>
                <w:rFonts w:cstheme="minorHAnsi"/>
              </w:rPr>
            </w:pPr>
            <w:r w:rsidRPr="00544C49">
              <w:rPr>
                <w:rFonts w:cstheme="minorHAnsi"/>
              </w:rPr>
              <w:t>-0.00456</w:t>
            </w:r>
            <w:r w:rsidRPr="00544C49">
              <w:rPr>
                <w:rFonts w:ascii="MS Gothic" w:eastAsia="MS Gothic" w:hAnsi="MS Gothic" w:cs="MS Gothic" w:hint="eastAsia"/>
              </w:rPr>
              <w:t> </w:t>
            </w:r>
            <w:r w:rsidRPr="00544C49">
              <w:rPr>
                <w:rFonts w:cstheme="minorHAnsi"/>
              </w:rPr>
              <w:t>[0.0103]</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9F51E4" w14:textId="77777777" w:rsidR="00FB66C8" w:rsidRPr="00544C49" w:rsidRDefault="00FB66C8" w:rsidP="009A444C">
            <w:pPr>
              <w:autoSpaceDE w:val="0"/>
              <w:autoSpaceDN w:val="0"/>
              <w:adjustRightInd w:val="0"/>
              <w:jc w:val="center"/>
              <w:rPr>
                <w:rFonts w:cstheme="minorHAnsi"/>
              </w:rPr>
            </w:pPr>
            <w:r w:rsidRPr="00544C49">
              <w:rPr>
                <w:rFonts w:cstheme="minorHAnsi"/>
              </w:rPr>
              <w:t>-0.00405</w:t>
            </w:r>
            <w:r w:rsidRPr="00544C49">
              <w:rPr>
                <w:rFonts w:ascii="MS Gothic" w:eastAsia="MS Gothic" w:hAnsi="MS Gothic" w:cs="MS Gothic" w:hint="eastAsia"/>
              </w:rPr>
              <w:t> </w:t>
            </w:r>
            <w:r w:rsidRPr="00544C49">
              <w:rPr>
                <w:rFonts w:cstheme="minorHAnsi"/>
              </w:rPr>
              <w:t>[0.0103]</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156A7A" w14:textId="77777777" w:rsidR="00FB66C8" w:rsidRPr="00544C49" w:rsidRDefault="00FB66C8" w:rsidP="009A444C">
            <w:pPr>
              <w:autoSpaceDE w:val="0"/>
              <w:autoSpaceDN w:val="0"/>
              <w:adjustRightInd w:val="0"/>
              <w:jc w:val="center"/>
              <w:rPr>
                <w:rFonts w:cstheme="minorHAnsi"/>
              </w:rPr>
            </w:pPr>
            <w:r w:rsidRPr="00544C49">
              <w:rPr>
                <w:rFonts w:cstheme="minorHAnsi"/>
              </w:rPr>
              <w:t>-0.00292</w:t>
            </w:r>
            <w:r w:rsidRPr="00544C49">
              <w:rPr>
                <w:rFonts w:ascii="MS Gothic" w:eastAsia="MS Gothic" w:hAnsi="MS Gothic" w:cs="MS Gothic" w:hint="eastAsia"/>
              </w:rPr>
              <w:t> </w:t>
            </w:r>
            <w:r w:rsidRPr="00544C49">
              <w:rPr>
                <w:rFonts w:cstheme="minorHAnsi"/>
              </w:rPr>
              <w:t>[0.0102]</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A28B35" w14:textId="77777777" w:rsidR="00FB66C8" w:rsidRPr="00544C49" w:rsidRDefault="00FB66C8" w:rsidP="009A444C">
            <w:pPr>
              <w:autoSpaceDE w:val="0"/>
              <w:autoSpaceDN w:val="0"/>
              <w:adjustRightInd w:val="0"/>
              <w:jc w:val="center"/>
              <w:rPr>
                <w:rFonts w:cstheme="minorHAnsi"/>
              </w:rPr>
            </w:pPr>
            <w:r w:rsidRPr="00544C49">
              <w:rPr>
                <w:rFonts w:cstheme="minorHAnsi"/>
              </w:rPr>
              <w:t>-0.00182</w:t>
            </w:r>
            <w:r w:rsidRPr="00544C49">
              <w:rPr>
                <w:rFonts w:ascii="MS Gothic" w:eastAsia="MS Gothic" w:hAnsi="MS Gothic" w:cs="MS Gothic" w:hint="eastAsia"/>
              </w:rPr>
              <w:t> </w:t>
            </w:r>
            <w:r w:rsidRPr="00544C49">
              <w:rPr>
                <w:rFonts w:cstheme="minorHAnsi"/>
              </w:rPr>
              <w:t>[0.00974]</w:t>
            </w:r>
          </w:p>
        </w:tc>
      </w:tr>
      <w:tr w:rsidR="00FB66C8" w:rsidRPr="00544C49" w14:paraId="35599AFA" w14:textId="77777777" w:rsidTr="00FB66C8">
        <w:tblPrEx>
          <w:tblBorders>
            <w:top w:val="none" w:sz="0" w:space="0" w:color="auto"/>
          </w:tblBorders>
        </w:tblPrEx>
        <w:trPr>
          <w:trHeight w:val="1096"/>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B8F87A" w14:textId="77777777" w:rsidR="00FB66C8" w:rsidRPr="00544C49" w:rsidRDefault="00FB66C8" w:rsidP="009A444C">
            <w:pPr>
              <w:autoSpaceDE w:val="0"/>
              <w:autoSpaceDN w:val="0"/>
              <w:adjustRightInd w:val="0"/>
              <w:rPr>
                <w:rFonts w:cstheme="minorHAnsi"/>
              </w:rPr>
            </w:pPr>
            <w:r w:rsidRPr="00544C49">
              <w:rPr>
                <w:rFonts w:cstheme="minorHAnsi"/>
              </w:rPr>
              <w:t xml:space="preserve">Government </w:t>
            </w:r>
            <w:proofErr w:type="spellStart"/>
            <w:r w:rsidRPr="00544C49">
              <w:rPr>
                <w:rFonts w:cstheme="minorHAnsi"/>
              </w:rPr>
              <w:t>expenditure</w:t>
            </w:r>
            <w:proofErr w:type="spellEnd"/>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2124E2"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90AD4B"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55031E" w14:textId="77777777" w:rsidR="00FB66C8" w:rsidRPr="00544C49" w:rsidRDefault="00FB66C8" w:rsidP="009A444C">
            <w:pPr>
              <w:autoSpaceDE w:val="0"/>
              <w:autoSpaceDN w:val="0"/>
              <w:adjustRightInd w:val="0"/>
              <w:jc w:val="center"/>
              <w:rPr>
                <w:rFonts w:cstheme="minorHAnsi"/>
              </w:rPr>
            </w:pPr>
            <w:r w:rsidRPr="00544C49">
              <w:rPr>
                <w:rFonts w:cstheme="minorHAnsi"/>
              </w:rPr>
              <w:t>-0.253</w:t>
            </w:r>
            <w:r w:rsidRPr="00544C49">
              <w:rPr>
                <w:rFonts w:ascii="MS Gothic" w:eastAsia="MS Gothic" w:hAnsi="MS Gothic" w:cs="MS Gothic" w:hint="eastAsia"/>
              </w:rPr>
              <w:t> </w:t>
            </w:r>
            <w:r w:rsidRPr="00544C49">
              <w:rPr>
                <w:rFonts w:cstheme="minorHAnsi"/>
              </w:rPr>
              <w:t>[0.170]</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656CE3" w14:textId="77777777" w:rsidR="00FB66C8" w:rsidRPr="00544C49" w:rsidRDefault="00FB66C8" w:rsidP="009A444C">
            <w:pPr>
              <w:autoSpaceDE w:val="0"/>
              <w:autoSpaceDN w:val="0"/>
              <w:adjustRightInd w:val="0"/>
              <w:jc w:val="center"/>
              <w:rPr>
                <w:rFonts w:cstheme="minorHAnsi"/>
              </w:rPr>
            </w:pPr>
            <w:r w:rsidRPr="00544C49">
              <w:rPr>
                <w:rFonts w:cstheme="minorHAnsi"/>
              </w:rPr>
              <w:t>-0.223</w:t>
            </w:r>
            <w:r w:rsidRPr="00544C49">
              <w:rPr>
                <w:rFonts w:ascii="MS Gothic" w:eastAsia="MS Gothic" w:hAnsi="MS Gothic" w:cs="MS Gothic" w:hint="eastAsia"/>
              </w:rPr>
              <w:t> </w:t>
            </w:r>
            <w:r w:rsidRPr="00544C49">
              <w:rPr>
                <w:rFonts w:cstheme="minorHAnsi"/>
              </w:rPr>
              <w:t>[0.168]</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0F3C3F" w14:textId="77777777" w:rsidR="00FB66C8" w:rsidRPr="00544C49" w:rsidRDefault="00FB66C8" w:rsidP="009A444C">
            <w:pPr>
              <w:autoSpaceDE w:val="0"/>
              <w:autoSpaceDN w:val="0"/>
              <w:adjustRightInd w:val="0"/>
              <w:jc w:val="center"/>
              <w:rPr>
                <w:rFonts w:cstheme="minorHAnsi"/>
              </w:rPr>
            </w:pPr>
            <w:r w:rsidRPr="00544C49">
              <w:rPr>
                <w:rFonts w:cstheme="minorHAnsi"/>
              </w:rPr>
              <w:t>-0.208</w:t>
            </w:r>
            <w:r w:rsidRPr="00544C49">
              <w:rPr>
                <w:rFonts w:ascii="MS Gothic" w:eastAsia="MS Gothic" w:hAnsi="MS Gothic" w:cs="MS Gothic" w:hint="eastAsia"/>
              </w:rPr>
              <w:t> </w:t>
            </w:r>
            <w:r w:rsidRPr="00544C49">
              <w:rPr>
                <w:rFonts w:cstheme="minorHAnsi"/>
              </w:rPr>
              <w:t>[0.167]</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87196D" w14:textId="77777777" w:rsidR="00FB66C8" w:rsidRPr="00544C49" w:rsidRDefault="00FB66C8" w:rsidP="009A444C">
            <w:pPr>
              <w:autoSpaceDE w:val="0"/>
              <w:autoSpaceDN w:val="0"/>
              <w:adjustRightInd w:val="0"/>
              <w:jc w:val="center"/>
              <w:rPr>
                <w:rFonts w:cstheme="minorHAnsi"/>
              </w:rPr>
            </w:pPr>
            <w:r w:rsidRPr="00544C49">
              <w:rPr>
                <w:rFonts w:cstheme="minorHAnsi"/>
              </w:rPr>
              <w:t>-0.197</w:t>
            </w:r>
            <w:r w:rsidRPr="00544C49">
              <w:rPr>
                <w:rFonts w:ascii="MS Gothic" w:eastAsia="MS Gothic" w:hAnsi="MS Gothic" w:cs="MS Gothic" w:hint="eastAsia"/>
              </w:rPr>
              <w:t> </w:t>
            </w:r>
            <w:r w:rsidRPr="00544C49">
              <w:rPr>
                <w:rFonts w:cstheme="minorHAnsi"/>
              </w:rPr>
              <w:t>[0.167]</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E72A95" w14:textId="77777777" w:rsidR="00FB66C8" w:rsidRPr="00544C49" w:rsidRDefault="00FB66C8" w:rsidP="009A444C">
            <w:pPr>
              <w:autoSpaceDE w:val="0"/>
              <w:autoSpaceDN w:val="0"/>
              <w:adjustRightInd w:val="0"/>
              <w:jc w:val="center"/>
              <w:rPr>
                <w:rFonts w:cstheme="minorHAnsi"/>
              </w:rPr>
            </w:pPr>
            <w:r w:rsidRPr="00544C49">
              <w:rPr>
                <w:rFonts w:cstheme="minorHAnsi"/>
              </w:rPr>
              <w:t>-0.180</w:t>
            </w:r>
            <w:r w:rsidRPr="00544C49">
              <w:rPr>
                <w:rFonts w:ascii="MS Gothic" w:eastAsia="MS Gothic" w:hAnsi="MS Gothic" w:cs="MS Gothic" w:hint="eastAsia"/>
              </w:rPr>
              <w:t> </w:t>
            </w:r>
            <w:r w:rsidRPr="00544C49">
              <w:rPr>
                <w:rFonts w:cstheme="minorHAnsi"/>
              </w:rPr>
              <w:t>[0.167]</w:t>
            </w:r>
          </w:p>
        </w:tc>
      </w:tr>
      <w:tr w:rsidR="00FB66C8" w:rsidRPr="00544C49" w14:paraId="63604E30" w14:textId="77777777" w:rsidTr="00FB66C8">
        <w:tblPrEx>
          <w:tblBorders>
            <w:top w:val="none" w:sz="0" w:space="0" w:color="auto"/>
          </w:tblBorders>
        </w:tblPrEx>
        <w:trPr>
          <w:trHeight w:val="1352"/>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9B449B" w14:textId="77777777" w:rsidR="00FB66C8" w:rsidRPr="00544C49" w:rsidRDefault="00FB66C8" w:rsidP="009A444C">
            <w:pPr>
              <w:autoSpaceDE w:val="0"/>
              <w:autoSpaceDN w:val="0"/>
              <w:adjustRightInd w:val="0"/>
              <w:rPr>
                <w:rFonts w:cstheme="minorHAnsi"/>
                <w:lang w:val="en-US"/>
              </w:rPr>
            </w:pPr>
            <w:r w:rsidRPr="00544C49">
              <w:rPr>
                <w:rFonts w:cstheme="minorHAnsi"/>
                <w:lang w:val="en-US"/>
              </w:rPr>
              <w:t>Logarithm of latent constituency size</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A3DBB4"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3069B8"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54B62C" w14:textId="77777777" w:rsidR="00FB66C8" w:rsidRPr="00544C49" w:rsidRDefault="00FB66C8" w:rsidP="009A444C">
            <w:pPr>
              <w:autoSpaceDE w:val="0"/>
              <w:autoSpaceDN w:val="0"/>
              <w:adjustRightInd w:val="0"/>
              <w:jc w:val="center"/>
              <w:rPr>
                <w:rFonts w:cstheme="minorHAnsi"/>
              </w:rPr>
            </w:pPr>
            <w:r w:rsidRPr="00544C49">
              <w:rPr>
                <w:rFonts w:cstheme="minorHAnsi"/>
              </w:rPr>
              <w:t>0.289</w:t>
            </w:r>
            <w:r w:rsidRPr="00544C49">
              <w:rPr>
                <w:rFonts w:ascii="MS Gothic" w:eastAsia="MS Gothic" w:hAnsi="MS Gothic" w:cs="MS Gothic" w:hint="eastAsia"/>
              </w:rPr>
              <w:t> </w:t>
            </w:r>
            <w:r w:rsidRPr="00544C49">
              <w:rPr>
                <w:rFonts w:cstheme="minorHAnsi"/>
              </w:rPr>
              <w:t>[0.280]</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DD996A" w14:textId="77777777" w:rsidR="00FB66C8" w:rsidRPr="00544C49" w:rsidRDefault="00FB66C8" w:rsidP="009A444C">
            <w:pPr>
              <w:autoSpaceDE w:val="0"/>
              <w:autoSpaceDN w:val="0"/>
              <w:adjustRightInd w:val="0"/>
              <w:jc w:val="center"/>
              <w:rPr>
                <w:rFonts w:cstheme="minorHAnsi"/>
              </w:rPr>
            </w:pPr>
            <w:r w:rsidRPr="00544C49">
              <w:rPr>
                <w:rFonts w:cstheme="minorHAnsi"/>
              </w:rPr>
              <w:t>0.290</w:t>
            </w:r>
            <w:r w:rsidRPr="00544C49">
              <w:rPr>
                <w:rFonts w:ascii="MS Gothic" w:eastAsia="MS Gothic" w:hAnsi="MS Gothic" w:cs="MS Gothic" w:hint="eastAsia"/>
              </w:rPr>
              <w:t> </w:t>
            </w:r>
            <w:r w:rsidRPr="00544C49">
              <w:rPr>
                <w:rFonts w:cstheme="minorHAnsi"/>
              </w:rPr>
              <w:t>[0.277]</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5352C6" w14:textId="77777777" w:rsidR="00FB66C8" w:rsidRPr="00544C49" w:rsidRDefault="00FB66C8" w:rsidP="009A444C">
            <w:pPr>
              <w:autoSpaceDE w:val="0"/>
              <w:autoSpaceDN w:val="0"/>
              <w:adjustRightInd w:val="0"/>
              <w:jc w:val="center"/>
              <w:rPr>
                <w:rFonts w:cstheme="minorHAnsi"/>
              </w:rPr>
            </w:pPr>
            <w:r w:rsidRPr="00544C49">
              <w:rPr>
                <w:rFonts w:cstheme="minorHAnsi"/>
              </w:rPr>
              <w:t>0.289</w:t>
            </w:r>
            <w:r w:rsidRPr="00544C49">
              <w:rPr>
                <w:rFonts w:ascii="MS Gothic" w:eastAsia="MS Gothic" w:hAnsi="MS Gothic" w:cs="MS Gothic" w:hint="eastAsia"/>
              </w:rPr>
              <w:t> </w:t>
            </w:r>
            <w:r w:rsidRPr="00544C49">
              <w:rPr>
                <w:rFonts w:cstheme="minorHAnsi"/>
              </w:rPr>
              <w:t>[0.276]</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9B328C" w14:textId="77777777" w:rsidR="00FB66C8" w:rsidRPr="00544C49" w:rsidRDefault="00FB66C8" w:rsidP="009A444C">
            <w:pPr>
              <w:autoSpaceDE w:val="0"/>
              <w:autoSpaceDN w:val="0"/>
              <w:adjustRightInd w:val="0"/>
              <w:jc w:val="center"/>
              <w:rPr>
                <w:rFonts w:cstheme="minorHAnsi"/>
              </w:rPr>
            </w:pPr>
            <w:r w:rsidRPr="00544C49">
              <w:rPr>
                <w:rFonts w:cstheme="minorHAnsi"/>
              </w:rPr>
              <w:t>0.284</w:t>
            </w:r>
            <w:r w:rsidRPr="00544C49">
              <w:rPr>
                <w:rFonts w:ascii="MS Gothic" w:eastAsia="MS Gothic" w:hAnsi="MS Gothic" w:cs="MS Gothic" w:hint="eastAsia"/>
              </w:rPr>
              <w:t> </w:t>
            </w:r>
            <w:r w:rsidRPr="00544C49">
              <w:rPr>
                <w:rFonts w:cstheme="minorHAnsi"/>
              </w:rPr>
              <w:t>[0.275]</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EEFCAD" w14:textId="77777777" w:rsidR="00FB66C8" w:rsidRPr="00544C49" w:rsidRDefault="00FB66C8" w:rsidP="009A444C">
            <w:pPr>
              <w:autoSpaceDE w:val="0"/>
              <w:autoSpaceDN w:val="0"/>
              <w:adjustRightInd w:val="0"/>
              <w:jc w:val="center"/>
              <w:rPr>
                <w:rFonts w:cstheme="minorHAnsi"/>
              </w:rPr>
            </w:pPr>
            <w:r w:rsidRPr="00544C49">
              <w:rPr>
                <w:rFonts w:cstheme="minorHAnsi"/>
              </w:rPr>
              <w:t>0.331</w:t>
            </w:r>
            <w:r w:rsidRPr="00544C49">
              <w:rPr>
                <w:rFonts w:ascii="MS Gothic" w:eastAsia="MS Gothic" w:hAnsi="MS Gothic" w:cs="MS Gothic" w:hint="eastAsia"/>
              </w:rPr>
              <w:t> </w:t>
            </w:r>
            <w:r w:rsidRPr="00544C49">
              <w:rPr>
                <w:rFonts w:cstheme="minorHAnsi"/>
              </w:rPr>
              <w:t>[0.291]</w:t>
            </w:r>
          </w:p>
        </w:tc>
      </w:tr>
      <w:tr w:rsidR="00FB66C8" w:rsidRPr="00544C49" w14:paraId="046944C7" w14:textId="77777777" w:rsidTr="00FB66C8">
        <w:tblPrEx>
          <w:tblBorders>
            <w:top w:val="none" w:sz="0" w:space="0" w:color="auto"/>
          </w:tblBorders>
        </w:tblPrEx>
        <w:trPr>
          <w:trHeight w:val="2181"/>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A48360" w14:textId="77777777" w:rsidR="00FB66C8" w:rsidRPr="00544C49" w:rsidRDefault="00FB66C8" w:rsidP="009A444C">
            <w:pPr>
              <w:autoSpaceDE w:val="0"/>
              <w:autoSpaceDN w:val="0"/>
              <w:adjustRightInd w:val="0"/>
              <w:rPr>
                <w:rFonts w:cstheme="minorHAnsi"/>
                <w:lang w:val="en-US"/>
              </w:rPr>
            </w:pPr>
            <w:r w:rsidRPr="00544C49">
              <w:rPr>
                <w:rFonts w:cstheme="minorHAnsi"/>
                <w:lang w:val="en-US"/>
              </w:rPr>
              <w:t>Change in the deliberative democracy index 2005-2019</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50979F"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D58CE0"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8A31B6"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A1DFC6" w14:textId="77777777" w:rsidR="00FB66C8" w:rsidRPr="00544C49" w:rsidRDefault="00FB66C8" w:rsidP="009A444C">
            <w:pPr>
              <w:autoSpaceDE w:val="0"/>
              <w:autoSpaceDN w:val="0"/>
              <w:adjustRightInd w:val="0"/>
              <w:jc w:val="center"/>
              <w:rPr>
                <w:rFonts w:cstheme="minorHAnsi"/>
              </w:rPr>
            </w:pPr>
            <w:r w:rsidRPr="00544C49">
              <w:rPr>
                <w:rFonts w:cstheme="minorHAnsi"/>
              </w:rPr>
              <w:t>-3.508</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[1.584]</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125B6F"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4AAD7C"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EE20B4"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r>
      <w:tr w:rsidR="00FB66C8" w:rsidRPr="00544C49" w14:paraId="38BF0B73" w14:textId="77777777" w:rsidTr="00FB66C8">
        <w:tblPrEx>
          <w:tblBorders>
            <w:top w:val="none" w:sz="0" w:space="0" w:color="auto"/>
          </w:tblBorders>
        </w:tblPrEx>
        <w:trPr>
          <w:trHeight w:val="1083"/>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80404A" w14:textId="77777777" w:rsidR="00FB66C8" w:rsidRPr="00544C49" w:rsidRDefault="00FB66C8" w:rsidP="009A444C">
            <w:pPr>
              <w:autoSpaceDE w:val="0"/>
              <w:autoSpaceDN w:val="0"/>
              <w:adjustRightInd w:val="0"/>
              <w:rPr>
                <w:rFonts w:cstheme="minorHAnsi"/>
              </w:rPr>
            </w:pPr>
            <w:r w:rsidRPr="00544C49">
              <w:rPr>
                <w:rFonts w:cstheme="minorHAnsi"/>
              </w:rPr>
              <w:t xml:space="preserve">Legislative </w:t>
            </w:r>
            <w:proofErr w:type="spellStart"/>
            <w:r w:rsidRPr="00544C49">
              <w:rPr>
                <w:rFonts w:cstheme="minorHAnsi"/>
              </w:rPr>
              <w:t>fractionalization</w:t>
            </w:r>
            <w:proofErr w:type="spellEnd"/>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2F37FB"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837253"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C5A155"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CB2926"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F66688" w14:textId="77777777" w:rsidR="00FB66C8" w:rsidRPr="00544C49" w:rsidRDefault="00FB66C8" w:rsidP="009A444C">
            <w:pPr>
              <w:autoSpaceDE w:val="0"/>
              <w:autoSpaceDN w:val="0"/>
              <w:adjustRightInd w:val="0"/>
              <w:jc w:val="center"/>
              <w:rPr>
                <w:rFonts w:cstheme="minorHAnsi"/>
              </w:rPr>
            </w:pPr>
            <w:r w:rsidRPr="00544C49">
              <w:rPr>
                <w:rFonts w:cstheme="minorHAnsi"/>
              </w:rPr>
              <w:t>4.405</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[1.624]</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C82D13"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75F830"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r>
      <w:tr w:rsidR="00FB66C8" w:rsidRPr="00544C49" w14:paraId="1DA9B72A" w14:textId="77777777" w:rsidTr="00FB66C8">
        <w:tblPrEx>
          <w:tblBorders>
            <w:top w:val="none" w:sz="0" w:space="0" w:color="auto"/>
          </w:tblBorders>
        </w:tblPrEx>
        <w:trPr>
          <w:trHeight w:val="816"/>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271598" w14:textId="77777777" w:rsidR="00FB66C8" w:rsidRPr="00544C49" w:rsidRDefault="00FB66C8" w:rsidP="009A444C">
            <w:pPr>
              <w:autoSpaceDE w:val="0"/>
              <w:autoSpaceDN w:val="0"/>
              <w:adjustRightInd w:val="0"/>
              <w:rPr>
                <w:rFonts w:cstheme="minorHAnsi"/>
              </w:rPr>
            </w:pPr>
            <w:proofErr w:type="spellStart"/>
            <w:r w:rsidRPr="00544C49">
              <w:rPr>
                <w:rFonts w:cstheme="minorHAnsi"/>
              </w:rPr>
              <w:lastRenderedPageBreak/>
              <w:t>Czechia</w:t>
            </w:r>
            <w:proofErr w:type="spellEnd"/>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742164"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31C383"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262552"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72A57C"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437911"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882DAF" w14:textId="77777777" w:rsidR="00FB66C8" w:rsidRPr="00544C49" w:rsidRDefault="00FB66C8" w:rsidP="009A444C">
            <w:pPr>
              <w:autoSpaceDE w:val="0"/>
              <w:autoSpaceDN w:val="0"/>
              <w:adjustRightInd w:val="0"/>
              <w:jc w:val="center"/>
              <w:rPr>
                <w:rFonts w:cstheme="minorHAnsi"/>
              </w:rPr>
            </w:pPr>
            <w:r w:rsidRPr="00544C49">
              <w:rPr>
                <w:rFonts w:cstheme="minorHAnsi"/>
              </w:rPr>
              <w:t>0.261</w:t>
            </w:r>
            <w:r w:rsidRPr="00544C49">
              <w:rPr>
                <w:rFonts w:ascii="MS Gothic" w:eastAsia="MS Gothic" w:hAnsi="MS Gothic" w:cs="MS Gothic" w:hint="eastAsia"/>
              </w:rPr>
              <w:t> </w:t>
            </w:r>
            <w:r w:rsidRPr="00544C49">
              <w:rPr>
                <w:rFonts w:cstheme="minorHAnsi"/>
              </w:rPr>
              <w:t>[0.541]</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4D685D" w14:textId="77777777" w:rsidR="00FB66C8" w:rsidRPr="00544C49" w:rsidRDefault="00FB66C8" w:rsidP="009A444C">
            <w:pPr>
              <w:autoSpaceDE w:val="0"/>
              <w:autoSpaceDN w:val="0"/>
              <w:adjustRightInd w:val="0"/>
              <w:jc w:val="center"/>
              <w:rPr>
                <w:rFonts w:cstheme="minorHAnsi"/>
              </w:rPr>
            </w:pPr>
            <w:r w:rsidRPr="00544C49">
              <w:rPr>
                <w:rFonts w:cstheme="minorHAnsi"/>
              </w:rPr>
              <w:t>0.0382</w:t>
            </w:r>
            <w:r w:rsidRPr="00544C49">
              <w:rPr>
                <w:rFonts w:ascii="MS Gothic" w:eastAsia="MS Gothic" w:hAnsi="MS Gothic" w:cs="MS Gothic" w:hint="eastAsia"/>
              </w:rPr>
              <w:t> </w:t>
            </w:r>
            <w:r w:rsidRPr="00544C49">
              <w:rPr>
                <w:rFonts w:cstheme="minorHAnsi"/>
              </w:rPr>
              <w:t>[0.537]</w:t>
            </w:r>
          </w:p>
        </w:tc>
      </w:tr>
      <w:tr w:rsidR="00FB66C8" w:rsidRPr="00544C49" w14:paraId="1F6899FC" w14:textId="77777777" w:rsidTr="00FB66C8">
        <w:tblPrEx>
          <w:tblBorders>
            <w:top w:val="none" w:sz="0" w:space="0" w:color="auto"/>
          </w:tblBorders>
        </w:tblPrEx>
        <w:trPr>
          <w:trHeight w:val="816"/>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E49802" w14:textId="77777777" w:rsidR="00FB66C8" w:rsidRPr="00544C49" w:rsidRDefault="00FB66C8" w:rsidP="009A444C">
            <w:pPr>
              <w:autoSpaceDE w:val="0"/>
              <w:autoSpaceDN w:val="0"/>
              <w:adjustRightInd w:val="0"/>
              <w:rPr>
                <w:rFonts w:cstheme="minorHAnsi"/>
              </w:rPr>
            </w:pPr>
            <w:proofErr w:type="spellStart"/>
            <w:r w:rsidRPr="00544C49">
              <w:rPr>
                <w:rFonts w:cstheme="minorHAnsi"/>
              </w:rPr>
              <w:t>Hungary</w:t>
            </w:r>
            <w:proofErr w:type="spellEnd"/>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A83EB8"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7B094F"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210E31"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2A3642"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704E41"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76EA01" w14:textId="77777777" w:rsidR="00FB66C8" w:rsidRPr="00544C49" w:rsidRDefault="00FB66C8" w:rsidP="009A444C">
            <w:pPr>
              <w:autoSpaceDE w:val="0"/>
              <w:autoSpaceDN w:val="0"/>
              <w:adjustRightInd w:val="0"/>
              <w:jc w:val="center"/>
              <w:rPr>
                <w:rFonts w:cstheme="minorHAnsi"/>
              </w:rPr>
            </w:pPr>
            <w:r w:rsidRPr="00544C49">
              <w:rPr>
                <w:rFonts w:cstheme="minorHAnsi"/>
              </w:rPr>
              <w:t>-1.416</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[0.573]</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FC12C3" w14:textId="77777777" w:rsidR="00FB66C8" w:rsidRPr="00544C49" w:rsidRDefault="00FB66C8" w:rsidP="009A444C">
            <w:pPr>
              <w:autoSpaceDE w:val="0"/>
              <w:autoSpaceDN w:val="0"/>
              <w:adjustRightInd w:val="0"/>
              <w:jc w:val="center"/>
              <w:rPr>
                <w:rFonts w:cstheme="minorHAnsi"/>
              </w:rPr>
            </w:pPr>
            <w:r w:rsidRPr="00544C49">
              <w:rPr>
                <w:rFonts w:cstheme="minorHAnsi"/>
              </w:rPr>
              <w:t>-1.079</w:t>
            </w:r>
            <w:r w:rsidRPr="00544C49">
              <w:rPr>
                <w:rFonts w:ascii="MS Gothic" w:eastAsia="MS Gothic" w:hAnsi="MS Gothic" w:cs="MS Gothic" w:hint="eastAsia"/>
              </w:rPr>
              <w:t> </w:t>
            </w:r>
            <w:r w:rsidRPr="00544C49">
              <w:rPr>
                <w:rFonts w:cstheme="minorHAnsi"/>
              </w:rPr>
              <w:t>[0.586]</w:t>
            </w:r>
          </w:p>
        </w:tc>
      </w:tr>
      <w:tr w:rsidR="00FB66C8" w:rsidRPr="00544C49" w14:paraId="06D272A5" w14:textId="77777777" w:rsidTr="00FB66C8">
        <w:tblPrEx>
          <w:tblBorders>
            <w:top w:val="none" w:sz="0" w:space="0" w:color="auto"/>
          </w:tblBorders>
        </w:tblPrEx>
        <w:trPr>
          <w:trHeight w:val="816"/>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E8158B" w14:textId="77777777" w:rsidR="00FB66C8" w:rsidRPr="00544C49" w:rsidRDefault="00FB66C8" w:rsidP="009A444C">
            <w:pPr>
              <w:autoSpaceDE w:val="0"/>
              <w:autoSpaceDN w:val="0"/>
              <w:adjustRightInd w:val="0"/>
              <w:rPr>
                <w:rFonts w:cstheme="minorHAnsi"/>
              </w:rPr>
            </w:pPr>
            <w:proofErr w:type="spellStart"/>
            <w:r w:rsidRPr="00544C49">
              <w:rPr>
                <w:rFonts w:cstheme="minorHAnsi"/>
              </w:rPr>
              <w:t>Poland</w:t>
            </w:r>
            <w:proofErr w:type="spellEnd"/>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8F236E"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4EF3B4"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E7F178"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276176"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D2C6AD"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1CE0BE" w14:textId="77777777" w:rsidR="00FB66C8" w:rsidRPr="00544C49" w:rsidRDefault="00FB66C8" w:rsidP="009A444C">
            <w:pPr>
              <w:autoSpaceDE w:val="0"/>
              <w:autoSpaceDN w:val="0"/>
              <w:adjustRightInd w:val="0"/>
              <w:jc w:val="center"/>
              <w:rPr>
                <w:rFonts w:cstheme="minorHAnsi"/>
              </w:rPr>
            </w:pPr>
            <w:r w:rsidRPr="00544C49">
              <w:rPr>
                <w:rFonts w:cstheme="minorHAnsi"/>
              </w:rPr>
              <w:t>-0.109</w:t>
            </w:r>
            <w:r w:rsidRPr="00544C49">
              <w:rPr>
                <w:rFonts w:ascii="MS Gothic" w:eastAsia="MS Gothic" w:hAnsi="MS Gothic" w:cs="MS Gothic" w:hint="eastAsia"/>
              </w:rPr>
              <w:t> </w:t>
            </w:r>
            <w:r w:rsidRPr="00544C49">
              <w:rPr>
                <w:rFonts w:cstheme="minorHAnsi"/>
              </w:rPr>
              <w:t>[0.592]</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E6C9A4" w14:textId="77777777" w:rsidR="00FB66C8" w:rsidRPr="00544C49" w:rsidRDefault="00FB66C8" w:rsidP="009A444C">
            <w:pPr>
              <w:autoSpaceDE w:val="0"/>
              <w:autoSpaceDN w:val="0"/>
              <w:adjustRightInd w:val="0"/>
              <w:jc w:val="center"/>
              <w:rPr>
                <w:rFonts w:cstheme="minorHAnsi"/>
              </w:rPr>
            </w:pPr>
            <w:r w:rsidRPr="00544C49">
              <w:rPr>
                <w:rFonts w:cstheme="minorHAnsi"/>
              </w:rPr>
              <w:t>-0.826</w:t>
            </w:r>
            <w:r w:rsidRPr="00544C49">
              <w:rPr>
                <w:rFonts w:ascii="MS Gothic" w:eastAsia="MS Gothic" w:hAnsi="MS Gothic" w:cs="MS Gothic" w:hint="eastAsia"/>
              </w:rPr>
              <w:t> </w:t>
            </w:r>
            <w:r w:rsidRPr="00544C49">
              <w:rPr>
                <w:rFonts w:cstheme="minorHAnsi"/>
              </w:rPr>
              <w:t>[0.606]</w:t>
            </w:r>
          </w:p>
        </w:tc>
      </w:tr>
      <w:tr w:rsidR="00FB66C8" w:rsidRPr="00544C49" w14:paraId="76FDC8B7" w14:textId="77777777" w:rsidTr="00FB66C8">
        <w:tblPrEx>
          <w:tblBorders>
            <w:top w:val="none" w:sz="0" w:space="0" w:color="auto"/>
          </w:tblBorders>
        </w:tblPrEx>
        <w:trPr>
          <w:trHeight w:val="268"/>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84E427" w14:textId="77777777" w:rsidR="00FB66C8" w:rsidRPr="00544C49" w:rsidRDefault="00FB66C8" w:rsidP="009A444C">
            <w:pPr>
              <w:autoSpaceDE w:val="0"/>
              <w:autoSpaceDN w:val="0"/>
              <w:adjustRightInd w:val="0"/>
              <w:rPr>
                <w:rFonts w:cstheme="minorHAnsi"/>
              </w:rPr>
            </w:pPr>
            <w:r w:rsidRPr="00544C49">
              <w:rPr>
                <w:rFonts w:cstheme="minorHAnsi"/>
              </w:rPr>
              <w:t>Slovenia</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319F8F"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C3004C"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EF4B28"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233EC9"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2C653B"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347BD4" w14:textId="77777777" w:rsidR="00FB66C8" w:rsidRPr="00544C49" w:rsidRDefault="00FB66C8" w:rsidP="009A444C">
            <w:pPr>
              <w:autoSpaceDE w:val="0"/>
              <w:autoSpaceDN w:val="0"/>
              <w:adjustRightInd w:val="0"/>
              <w:jc w:val="center"/>
              <w:rPr>
                <w:rFonts w:cstheme="minorHAnsi"/>
              </w:rPr>
            </w:pPr>
            <w:r w:rsidRPr="00544C49">
              <w:rPr>
                <w:rFonts w:cstheme="minorHAnsi"/>
              </w:rPr>
              <w:t>0</w:t>
            </w:r>
            <w:r w:rsidRPr="00544C49">
              <w:rPr>
                <w:rFonts w:ascii="MS Gothic" w:eastAsia="MS Gothic" w:hAnsi="MS Gothic" w:cs="MS Gothic" w:hint="eastAsia"/>
              </w:rPr>
              <w:t> </w:t>
            </w:r>
            <w:r w:rsidRPr="00544C49">
              <w:rPr>
                <w:rFonts w:cstheme="minorHAnsi"/>
              </w:rPr>
              <w:t>[.]</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7F3414" w14:textId="77777777" w:rsidR="00FB66C8" w:rsidRPr="00544C49" w:rsidRDefault="00FB66C8" w:rsidP="009A444C">
            <w:pPr>
              <w:autoSpaceDE w:val="0"/>
              <w:autoSpaceDN w:val="0"/>
              <w:adjustRightInd w:val="0"/>
              <w:jc w:val="center"/>
              <w:rPr>
                <w:rFonts w:cstheme="minorHAnsi"/>
              </w:rPr>
            </w:pPr>
            <w:r w:rsidRPr="00544C49">
              <w:rPr>
                <w:rFonts w:cstheme="minorHAnsi"/>
              </w:rPr>
              <w:t>0</w:t>
            </w:r>
            <w:r w:rsidRPr="00544C49">
              <w:rPr>
                <w:rFonts w:ascii="MS Gothic" w:eastAsia="MS Gothic" w:hAnsi="MS Gothic" w:cs="MS Gothic" w:hint="eastAsia"/>
              </w:rPr>
              <w:t> </w:t>
            </w:r>
            <w:r w:rsidRPr="00544C49">
              <w:rPr>
                <w:rFonts w:cstheme="minorHAnsi"/>
              </w:rPr>
              <w:t>[.]</w:t>
            </w:r>
          </w:p>
        </w:tc>
      </w:tr>
      <w:tr w:rsidR="00FB66C8" w:rsidRPr="00544C49" w14:paraId="765D6D10" w14:textId="77777777" w:rsidTr="00FB66C8">
        <w:tblPrEx>
          <w:tblBorders>
            <w:top w:val="none" w:sz="0" w:space="0" w:color="auto"/>
          </w:tblBorders>
        </w:tblPrEx>
        <w:trPr>
          <w:trHeight w:val="2181"/>
        </w:trPr>
        <w:tc>
          <w:tcPr>
            <w:tcW w:w="19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0A1270" w14:textId="77777777" w:rsidR="00FB66C8" w:rsidRPr="00544C49" w:rsidRDefault="00FB66C8" w:rsidP="009A444C">
            <w:pPr>
              <w:autoSpaceDE w:val="0"/>
              <w:autoSpaceDN w:val="0"/>
              <w:adjustRightInd w:val="0"/>
              <w:rPr>
                <w:rFonts w:cstheme="minorHAnsi"/>
                <w:lang w:val="en-US"/>
              </w:rPr>
            </w:pPr>
            <w:r w:rsidRPr="00544C49">
              <w:rPr>
                <w:rFonts w:cstheme="minorHAnsi"/>
                <w:lang w:val="en-US"/>
              </w:rPr>
              <w:t>Frequency of government consultations in the policy field</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721333"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57746F"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1A6A5E"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6F59CA"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D4525B"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683AD7" w14:textId="77777777" w:rsidR="00FB66C8" w:rsidRPr="00544C49" w:rsidRDefault="00FB66C8" w:rsidP="009A444C">
            <w:pPr>
              <w:autoSpaceDE w:val="0"/>
              <w:autoSpaceDN w:val="0"/>
              <w:adjustRightInd w:val="0"/>
              <w:jc w:val="center"/>
              <w:rPr>
                <w:rFonts w:cstheme="minorHAnsi"/>
              </w:rPr>
            </w:pPr>
            <w:r w:rsidRPr="00544C49">
              <w:rPr>
                <w:rFonts w:ascii="MS Gothic" w:eastAsia="MS Gothic" w:hAnsi="MS Gothic" w:cs="MS Gothic" w:hint="eastAsia"/>
              </w:rPr>
              <w:t> </w:t>
            </w:r>
          </w:p>
        </w:tc>
        <w:tc>
          <w:tcPr>
            <w:tcW w:w="17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A5EC0D" w14:textId="77777777" w:rsidR="00FB66C8" w:rsidRPr="00544C49" w:rsidRDefault="00FB66C8" w:rsidP="009A444C">
            <w:pPr>
              <w:autoSpaceDE w:val="0"/>
              <w:autoSpaceDN w:val="0"/>
              <w:adjustRightInd w:val="0"/>
              <w:jc w:val="center"/>
              <w:rPr>
                <w:rFonts w:cstheme="minorHAnsi"/>
              </w:rPr>
            </w:pPr>
            <w:r w:rsidRPr="00544C49">
              <w:rPr>
                <w:rFonts w:cstheme="minorHAnsi"/>
              </w:rPr>
              <w:t>-2.834</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[0.433]</w:t>
            </w:r>
          </w:p>
        </w:tc>
      </w:tr>
      <w:tr w:rsidR="00FB66C8" w:rsidRPr="00544C49" w14:paraId="0B5C884C" w14:textId="77777777" w:rsidTr="00FB66C8">
        <w:tblPrEx>
          <w:tblBorders>
            <w:top w:val="none" w:sz="0" w:space="0" w:color="auto"/>
          </w:tblBorders>
        </w:tblPrEx>
        <w:trPr>
          <w:trHeight w:val="816"/>
        </w:trPr>
        <w:tc>
          <w:tcPr>
            <w:tcW w:w="1913"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92DE8F2" w14:textId="77777777" w:rsidR="00FB66C8" w:rsidRPr="00544C49" w:rsidRDefault="00FB66C8" w:rsidP="009A444C">
            <w:pPr>
              <w:autoSpaceDE w:val="0"/>
              <w:autoSpaceDN w:val="0"/>
              <w:adjustRightInd w:val="0"/>
              <w:rPr>
                <w:rFonts w:cstheme="minorHAnsi"/>
              </w:rPr>
            </w:pPr>
            <w:r w:rsidRPr="00544C49">
              <w:rPr>
                <w:rFonts w:cstheme="minorHAnsi"/>
              </w:rPr>
              <w:t>Constant</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14E8452" w14:textId="77777777" w:rsidR="00FB66C8" w:rsidRPr="00544C49" w:rsidRDefault="00FB66C8" w:rsidP="009A444C">
            <w:pPr>
              <w:autoSpaceDE w:val="0"/>
              <w:autoSpaceDN w:val="0"/>
              <w:adjustRightInd w:val="0"/>
              <w:jc w:val="center"/>
              <w:rPr>
                <w:rFonts w:cstheme="minorHAnsi"/>
              </w:rPr>
            </w:pPr>
            <w:r w:rsidRPr="00544C49">
              <w:rPr>
                <w:rFonts w:cstheme="minorHAnsi"/>
              </w:rPr>
              <w:t>4.264</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[0.903]</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C373A18" w14:textId="77777777" w:rsidR="00FB66C8" w:rsidRPr="00544C49" w:rsidRDefault="00FB66C8" w:rsidP="009A444C">
            <w:pPr>
              <w:autoSpaceDE w:val="0"/>
              <w:autoSpaceDN w:val="0"/>
              <w:adjustRightInd w:val="0"/>
              <w:jc w:val="center"/>
              <w:rPr>
                <w:rFonts w:cstheme="minorHAnsi"/>
              </w:rPr>
            </w:pPr>
            <w:r w:rsidRPr="00544C49">
              <w:rPr>
                <w:rFonts w:cstheme="minorHAnsi"/>
              </w:rPr>
              <w:t>3.612</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[0.874]</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DBC91BF" w14:textId="77777777" w:rsidR="00FB66C8" w:rsidRPr="00544C49" w:rsidRDefault="00FB66C8" w:rsidP="009A444C">
            <w:pPr>
              <w:autoSpaceDE w:val="0"/>
              <w:autoSpaceDN w:val="0"/>
              <w:adjustRightInd w:val="0"/>
              <w:jc w:val="center"/>
              <w:rPr>
                <w:rFonts w:cstheme="minorHAnsi"/>
              </w:rPr>
            </w:pPr>
            <w:r w:rsidRPr="00544C49">
              <w:rPr>
                <w:rFonts w:cstheme="minorHAnsi"/>
              </w:rPr>
              <w:t>2.608</w:t>
            </w:r>
            <w:r w:rsidRPr="00544C49">
              <w:rPr>
                <w:rFonts w:ascii="MS Gothic" w:eastAsia="MS Gothic" w:hAnsi="MS Gothic" w:cs="MS Gothic" w:hint="eastAsia"/>
              </w:rPr>
              <w:t> </w:t>
            </w:r>
            <w:r w:rsidRPr="00544C49">
              <w:rPr>
                <w:rFonts w:cstheme="minorHAnsi"/>
              </w:rPr>
              <w:t>[1.645]</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6301CEF" w14:textId="77777777" w:rsidR="00FB66C8" w:rsidRPr="00544C49" w:rsidRDefault="00FB66C8" w:rsidP="009A444C">
            <w:pPr>
              <w:autoSpaceDE w:val="0"/>
              <w:autoSpaceDN w:val="0"/>
              <w:adjustRightInd w:val="0"/>
              <w:jc w:val="center"/>
              <w:rPr>
                <w:rFonts w:cstheme="minorHAnsi"/>
              </w:rPr>
            </w:pPr>
            <w:r w:rsidRPr="00544C49">
              <w:rPr>
                <w:rFonts w:cstheme="minorHAnsi"/>
              </w:rPr>
              <w:t>3.385</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[1.705]</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ED2E0C7" w14:textId="77777777" w:rsidR="00FB66C8" w:rsidRPr="00544C49" w:rsidRDefault="00FB66C8" w:rsidP="009A444C">
            <w:pPr>
              <w:autoSpaceDE w:val="0"/>
              <w:autoSpaceDN w:val="0"/>
              <w:adjustRightInd w:val="0"/>
              <w:jc w:val="center"/>
              <w:rPr>
                <w:rFonts w:cstheme="minorHAnsi"/>
              </w:rPr>
            </w:pPr>
            <w:r w:rsidRPr="00544C49">
              <w:rPr>
                <w:rFonts w:cstheme="minorHAnsi"/>
              </w:rPr>
              <w:t>-0.495</w:t>
            </w:r>
            <w:r w:rsidRPr="00544C49">
              <w:rPr>
                <w:rFonts w:ascii="MS Gothic" w:eastAsia="MS Gothic" w:hAnsi="MS Gothic" w:cs="MS Gothic" w:hint="eastAsia"/>
              </w:rPr>
              <w:t> </w:t>
            </w:r>
            <w:r w:rsidRPr="00544C49">
              <w:rPr>
                <w:rFonts w:cstheme="minorHAnsi"/>
              </w:rPr>
              <w:t>[1.887]</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B0617F8" w14:textId="77777777" w:rsidR="00FB66C8" w:rsidRPr="00544C49" w:rsidRDefault="00FB66C8" w:rsidP="009A444C">
            <w:pPr>
              <w:autoSpaceDE w:val="0"/>
              <w:autoSpaceDN w:val="0"/>
              <w:adjustRightInd w:val="0"/>
              <w:jc w:val="center"/>
              <w:rPr>
                <w:rFonts w:cstheme="minorHAnsi"/>
              </w:rPr>
            </w:pPr>
            <w:r w:rsidRPr="00544C49">
              <w:rPr>
                <w:rFonts w:cstheme="minorHAnsi"/>
              </w:rPr>
              <w:t>2.599</w:t>
            </w:r>
            <w:r w:rsidRPr="00544C49">
              <w:rPr>
                <w:rFonts w:ascii="MS Gothic" w:eastAsia="MS Gothic" w:hAnsi="MS Gothic" w:cs="MS Gothic" w:hint="eastAsia"/>
              </w:rPr>
              <w:t> </w:t>
            </w:r>
            <w:r w:rsidRPr="00544C49">
              <w:rPr>
                <w:rFonts w:cstheme="minorHAnsi"/>
              </w:rPr>
              <w:t>[1.671]</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3D27198" w14:textId="77777777" w:rsidR="00FB66C8" w:rsidRPr="00544C49" w:rsidRDefault="00FB66C8" w:rsidP="009A444C">
            <w:pPr>
              <w:autoSpaceDE w:val="0"/>
              <w:autoSpaceDN w:val="0"/>
              <w:adjustRightInd w:val="0"/>
              <w:jc w:val="center"/>
              <w:rPr>
                <w:rFonts w:cstheme="minorHAnsi"/>
              </w:rPr>
            </w:pPr>
            <w:r w:rsidRPr="00544C49">
              <w:rPr>
                <w:rFonts w:cstheme="minorHAnsi"/>
              </w:rPr>
              <w:t>5.400</w:t>
            </w:r>
            <w:r w:rsidRPr="00544C49">
              <w:rPr>
                <w:rFonts w:cstheme="minorHAnsi"/>
                <w:vertAlign w:val="superscript"/>
              </w:rPr>
              <w:t>**</w:t>
            </w:r>
            <w:r w:rsidRPr="00544C49">
              <w:rPr>
                <w:rFonts w:ascii="MS Gothic" w:eastAsia="MS Gothic" w:hAnsi="MS Gothic" w:cs="MS Gothic" w:hint="eastAsia"/>
              </w:rPr>
              <w:t> </w:t>
            </w:r>
            <w:r w:rsidRPr="00544C49">
              <w:rPr>
                <w:rFonts w:cstheme="minorHAnsi"/>
              </w:rPr>
              <w:t>[1.761]</w:t>
            </w:r>
          </w:p>
        </w:tc>
      </w:tr>
      <w:tr w:rsidR="00FB66C8" w:rsidRPr="00544C49" w14:paraId="5D843E54" w14:textId="77777777" w:rsidTr="00FB66C8">
        <w:tblPrEx>
          <w:tblBorders>
            <w:top w:val="none" w:sz="0" w:space="0" w:color="auto"/>
          </w:tblBorders>
        </w:tblPrEx>
        <w:trPr>
          <w:trHeight w:val="268"/>
        </w:trPr>
        <w:tc>
          <w:tcPr>
            <w:tcW w:w="1913"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7E5884C" w14:textId="77777777" w:rsidR="00FB66C8" w:rsidRPr="00544C49" w:rsidRDefault="00FB66C8" w:rsidP="009A444C">
            <w:pPr>
              <w:autoSpaceDE w:val="0"/>
              <w:autoSpaceDN w:val="0"/>
              <w:adjustRightInd w:val="0"/>
              <w:rPr>
                <w:rFonts w:cstheme="minorHAnsi"/>
              </w:rPr>
            </w:pPr>
            <w:r w:rsidRPr="00544C49">
              <w:rPr>
                <w:rFonts w:cstheme="minorHAnsi"/>
                <w:i/>
                <w:iCs/>
              </w:rPr>
              <w:t>R</w:t>
            </w:r>
            <w:r w:rsidRPr="00544C49">
              <w:rPr>
                <w:rFonts w:cstheme="minorHAnsi"/>
                <w:vertAlign w:val="superscript"/>
              </w:rPr>
              <w:t>2</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BAAD0C2" w14:textId="77777777" w:rsidR="00FB66C8" w:rsidRPr="00544C49" w:rsidRDefault="00FB66C8" w:rsidP="009A444C">
            <w:pPr>
              <w:autoSpaceDE w:val="0"/>
              <w:autoSpaceDN w:val="0"/>
              <w:adjustRightInd w:val="0"/>
              <w:jc w:val="center"/>
              <w:rPr>
                <w:rFonts w:cstheme="minorHAnsi"/>
              </w:rPr>
            </w:pPr>
            <w:r w:rsidRPr="00544C49">
              <w:rPr>
                <w:rFonts w:cstheme="minorHAnsi"/>
              </w:rPr>
              <w:t>0.125</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31773C7" w14:textId="77777777" w:rsidR="00FB66C8" w:rsidRPr="00544C49" w:rsidRDefault="00FB66C8" w:rsidP="009A444C">
            <w:pPr>
              <w:autoSpaceDE w:val="0"/>
              <w:autoSpaceDN w:val="0"/>
              <w:adjustRightInd w:val="0"/>
              <w:jc w:val="center"/>
              <w:rPr>
                <w:rFonts w:cstheme="minorHAnsi"/>
              </w:rPr>
            </w:pPr>
            <w:r w:rsidRPr="00544C49">
              <w:rPr>
                <w:rFonts w:cstheme="minorHAnsi"/>
              </w:rPr>
              <w:t>0.232</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5C14FD7" w14:textId="77777777" w:rsidR="00FB66C8" w:rsidRPr="00544C49" w:rsidRDefault="00FB66C8" w:rsidP="009A444C">
            <w:pPr>
              <w:autoSpaceDE w:val="0"/>
              <w:autoSpaceDN w:val="0"/>
              <w:adjustRightInd w:val="0"/>
              <w:jc w:val="center"/>
              <w:rPr>
                <w:rFonts w:cstheme="minorHAnsi"/>
              </w:rPr>
            </w:pPr>
            <w:r w:rsidRPr="00544C49">
              <w:rPr>
                <w:rFonts w:cstheme="minorHAnsi"/>
              </w:rPr>
              <w:t>0.241</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420CDEF" w14:textId="77777777" w:rsidR="00FB66C8" w:rsidRPr="00544C49" w:rsidRDefault="00FB66C8" w:rsidP="009A444C">
            <w:pPr>
              <w:autoSpaceDE w:val="0"/>
              <w:autoSpaceDN w:val="0"/>
              <w:adjustRightInd w:val="0"/>
              <w:jc w:val="center"/>
              <w:rPr>
                <w:rFonts w:cstheme="minorHAnsi"/>
              </w:rPr>
            </w:pPr>
            <w:r w:rsidRPr="00544C49">
              <w:rPr>
                <w:rFonts w:cstheme="minorHAnsi"/>
              </w:rPr>
              <w:t>0.253</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9893A12" w14:textId="77777777" w:rsidR="00FB66C8" w:rsidRPr="00544C49" w:rsidRDefault="00FB66C8" w:rsidP="009A444C">
            <w:pPr>
              <w:autoSpaceDE w:val="0"/>
              <w:autoSpaceDN w:val="0"/>
              <w:adjustRightInd w:val="0"/>
              <w:jc w:val="center"/>
              <w:rPr>
                <w:rFonts w:cstheme="minorHAnsi"/>
              </w:rPr>
            </w:pPr>
            <w:r w:rsidRPr="00544C49">
              <w:rPr>
                <w:rFonts w:cstheme="minorHAnsi"/>
              </w:rPr>
              <w:t>0.260</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0857BEA" w14:textId="77777777" w:rsidR="00FB66C8" w:rsidRPr="00544C49" w:rsidRDefault="00FB66C8" w:rsidP="009A444C">
            <w:pPr>
              <w:autoSpaceDE w:val="0"/>
              <w:autoSpaceDN w:val="0"/>
              <w:adjustRightInd w:val="0"/>
              <w:jc w:val="center"/>
              <w:rPr>
                <w:rFonts w:cstheme="minorHAnsi"/>
              </w:rPr>
            </w:pPr>
            <w:r w:rsidRPr="00544C49">
              <w:rPr>
                <w:rFonts w:cstheme="minorHAnsi"/>
              </w:rPr>
              <w:t>0.268</w:t>
            </w:r>
          </w:p>
        </w:tc>
        <w:tc>
          <w:tcPr>
            <w:tcW w:w="1739"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BEF7C66" w14:textId="77777777" w:rsidR="00FB66C8" w:rsidRPr="00544C49" w:rsidRDefault="00FB66C8" w:rsidP="009A444C">
            <w:pPr>
              <w:autoSpaceDE w:val="0"/>
              <w:autoSpaceDN w:val="0"/>
              <w:adjustRightInd w:val="0"/>
              <w:jc w:val="center"/>
              <w:rPr>
                <w:rFonts w:cstheme="minorHAnsi"/>
              </w:rPr>
            </w:pPr>
            <w:r w:rsidRPr="00544C49">
              <w:rPr>
                <w:rFonts w:cstheme="minorHAnsi"/>
              </w:rPr>
              <w:t>0.376</w:t>
            </w:r>
          </w:p>
        </w:tc>
      </w:tr>
      <w:tr w:rsidR="00FB66C8" w:rsidRPr="00544C49" w14:paraId="7353A239" w14:textId="77777777" w:rsidTr="00FB66C8">
        <w:trPr>
          <w:trHeight w:val="536"/>
        </w:trPr>
        <w:tc>
          <w:tcPr>
            <w:tcW w:w="1913"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557FE4C" w14:textId="77777777" w:rsidR="00FB66C8" w:rsidRPr="00544C49" w:rsidRDefault="00FB66C8" w:rsidP="009A444C">
            <w:pPr>
              <w:autoSpaceDE w:val="0"/>
              <w:autoSpaceDN w:val="0"/>
              <w:adjustRightInd w:val="0"/>
              <w:rPr>
                <w:rFonts w:cstheme="minorHAnsi"/>
              </w:rPr>
            </w:pPr>
            <w:proofErr w:type="spellStart"/>
            <w:r w:rsidRPr="00544C49">
              <w:rPr>
                <w:rFonts w:cstheme="minorHAnsi"/>
              </w:rPr>
              <w:t>Observations</w:t>
            </w:r>
            <w:proofErr w:type="spellEnd"/>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BC38507" w14:textId="77777777" w:rsidR="00FB66C8" w:rsidRPr="00544C49" w:rsidRDefault="00FB66C8" w:rsidP="009A444C">
            <w:pPr>
              <w:autoSpaceDE w:val="0"/>
              <w:autoSpaceDN w:val="0"/>
              <w:adjustRightInd w:val="0"/>
              <w:jc w:val="center"/>
              <w:rPr>
                <w:rFonts w:cstheme="minorHAnsi"/>
              </w:rPr>
            </w:pPr>
            <w:r w:rsidRPr="00544C49">
              <w:rPr>
                <w:rFonts w:cstheme="minorHAnsi"/>
              </w:rPr>
              <w:t>311</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6D301BB" w14:textId="77777777" w:rsidR="00FB66C8" w:rsidRPr="00544C49" w:rsidRDefault="00FB66C8" w:rsidP="009A444C">
            <w:pPr>
              <w:autoSpaceDE w:val="0"/>
              <w:autoSpaceDN w:val="0"/>
              <w:adjustRightInd w:val="0"/>
              <w:jc w:val="center"/>
              <w:rPr>
                <w:rFonts w:cstheme="minorHAnsi"/>
              </w:rPr>
            </w:pPr>
            <w:r w:rsidRPr="00544C49">
              <w:rPr>
                <w:rFonts w:cstheme="minorHAnsi"/>
              </w:rPr>
              <w:t>295</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47F658DF" w14:textId="77777777" w:rsidR="00FB66C8" w:rsidRPr="00544C49" w:rsidRDefault="00FB66C8" w:rsidP="009A444C">
            <w:pPr>
              <w:autoSpaceDE w:val="0"/>
              <w:autoSpaceDN w:val="0"/>
              <w:adjustRightInd w:val="0"/>
              <w:jc w:val="center"/>
              <w:rPr>
                <w:rFonts w:cstheme="minorHAnsi"/>
              </w:rPr>
            </w:pPr>
            <w:r w:rsidRPr="00544C49">
              <w:rPr>
                <w:rFonts w:cstheme="minorHAnsi"/>
              </w:rPr>
              <w:t>295</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0BC391B" w14:textId="77777777" w:rsidR="00FB66C8" w:rsidRPr="00544C49" w:rsidRDefault="00FB66C8" w:rsidP="009A444C">
            <w:pPr>
              <w:autoSpaceDE w:val="0"/>
              <w:autoSpaceDN w:val="0"/>
              <w:adjustRightInd w:val="0"/>
              <w:jc w:val="center"/>
              <w:rPr>
                <w:rFonts w:cstheme="minorHAnsi"/>
              </w:rPr>
            </w:pPr>
            <w:r w:rsidRPr="00544C49">
              <w:rPr>
                <w:rFonts w:cstheme="minorHAnsi"/>
              </w:rPr>
              <w:t>295</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FE78F55" w14:textId="77777777" w:rsidR="00FB66C8" w:rsidRPr="00544C49" w:rsidRDefault="00FB66C8" w:rsidP="009A444C">
            <w:pPr>
              <w:autoSpaceDE w:val="0"/>
              <w:autoSpaceDN w:val="0"/>
              <w:adjustRightInd w:val="0"/>
              <w:jc w:val="center"/>
              <w:rPr>
                <w:rFonts w:cstheme="minorHAnsi"/>
              </w:rPr>
            </w:pPr>
            <w:r w:rsidRPr="00544C49">
              <w:rPr>
                <w:rFonts w:cstheme="minorHAnsi"/>
              </w:rPr>
              <w:t>295</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1729781" w14:textId="77777777" w:rsidR="00FB66C8" w:rsidRPr="00544C49" w:rsidRDefault="00FB66C8" w:rsidP="009A444C">
            <w:pPr>
              <w:autoSpaceDE w:val="0"/>
              <w:autoSpaceDN w:val="0"/>
              <w:adjustRightInd w:val="0"/>
              <w:jc w:val="center"/>
              <w:rPr>
                <w:rFonts w:cstheme="minorHAnsi"/>
              </w:rPr>
            </w:pPr>
            <w:r w:rsidRPr="00544C49">
              <w:rPr>
                <w:rFonts w:cstheme="minorHAnsi"/>
              </w:rPr>
              <w:t>295</w:t>
            </w:r>
          </w:p>
        </w:tc>
        <w:tc>
          <w:tcPr>
            <w:tcW w:w="1739"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42B11B8" w14:textId="77777777" w:rsidR="00FB66C8" w:rsidRPr="00544C49" w:rsidRDefault="00FB66C8" w:rsidP="009A444C">
            <w:pPr>
              <w:autoSpaceDE w:val="0"/>
              <w:autoSpaceDN w:val="0"/>
              <w:adjustRightInd w:val="0"/>
              <w:jc w:val="center"/>
              <w:rPr>
                <w:rFonts w:cstheme="minorHAnsi"/>
              </w:rPr>
            </w:pPr>
            <w:r w:rsidRPr="00544C49">
              <w:rPr>
                <w:rFonts w:cstheme="minorHAnsi"/>
              </w:rPr>
              <w:t>266</w:t>
            </w:r>
          </w:p>
        </w:tc>
      </w:tr>
    </w:tbl>
    <w:p w14:paraId="6A835180" w14:textId="77777777" w:rsidR="00FB66C8" w:rsidRPr="00544C49" w:rsidRDefault="00FB66C8" w:rsidP="00FB66C8">
      <w:pPr>
        <w:autoSpaceDE w:val="0"/>
        <w:autoSpaceDN w:val="0"/>
        <w:adjustRightInd w:val="0"/>
        <w:rPr>
          <w:rFonts w:cstheme="minorHAnsi"/>
          <w:sz w:val="20"/>
          <w:szCs w:val="20"/>
        </w:rPr>
      </w:pPr>
      <w:r w:rsidRPr="00544C49">
        <w:rPr>
          <w:rFonts w:cstheme="minorHAnsi"/>
          <w:sz w:val="20"/>
          <w:szCs w:val="20"/>
        </w:rPr>
        <w:t xml:space="preserve">Standard </w:t>
      </w:r>
      <w:proofErr w:type="spellStart"/>
      <w:r w:rsidRPr="00544C49">
        <w:rPr>
          <w:rFonts w:cstheme="minorHAnsi"/>
          <w:sz w:val="20"/>
          <w:szCs w:val="20"/>
        </w:rPr>
        <w:t>errors</w:t>
      </w:r>
      <w:proofErr w:type="spellEnd"/>
      <w:r w:rsidRPr="00544C49">
        <w:rPr>
          <w:rFonts w:cstheme="minorHAnsi"/>
          <w:sz w:val="20"/>
          <w:szCs w:val="20"/>
        </w:rPr>
        <w:t xml:space="preserve"> in </w:t>
      </w:r>
      <w:proofErr w:type="spellStart"/>
      <w:r w:rsidRPr="00544C49">
        <w:rPr>
          <w:rFonts w:cstheme="minorHAnsi"/>
          <w:sz w:val="20"/>
          <w:szCs w:val="20"/>
        </w:rPr>
        <w:t>brackets</w:t>
      </w:r>
      <w:proofErr w:type="spellEnd"/>
    </w:p>
    <w:p w14:paraId="4ADA91D0" w14:textId="77777777" w:rsidR="00FB66C8" w:rsidRPr="00544C49" w:rsidRDefault="00FB66C8" w:rsidP="00FB66C8">
      <w:pPr>
        <w:autoSpaceDE w:val="0"/>
        <w:autoSpaceDN w:val="0"/>
        <w:adjustRightInd w:val="0"/>
        <w:rPr>
          <w:rFonts w:cstheme="minorHAnsi"/>
          <w:sz w:val="20"/>
          <w:szCs w:val="20"/>
          <w:lang w:val="en-US"/>
        </w:rPr>
      </w:pPr>
      <w:r w:rsidRPr="00544C49">
        <w:rPr>
          <w:rFonts w:cstheme="minorHAnsi"/>
          <w:sz w:val="20"/>
          <w:szCs w:val="20"/>
          <w:lang w:val="en-US"/>
        </w:rPr>
        <w:t>Linear regression models, robust standard errors</w:t>
      </w:r>
    </w:p>
    <w:p w14:paraId="3E18AB22" w14:textId="77777777" w:rsidR="00FB66C8" w:rsidRPr="00213F4C" w:rsidRDefault="00FB66C8" w:rsidP="00FB66C8">
      <w:pPr>
        <w:autoSpaceDE w:val="0"/>
        <w:autoSpaceDN w:val="0"/>
        <w:adjustRightInd w:val="0"/>
        <w:rPr>
          <w:rFonts w:cstheme="minorHAnsi"/>
          <w:sz w:val="20"/>
          <w:szCs w:val="20"/>
          <w:lang w:val="en-US"/>
        </w:rPr>
      </w:pPr>
      <w:r w:rsidRPr="00213F4C">
        <w:rPr>
          <w:rFonts w:cstheme="minorHAnsi"/>
          <w:sz w:val="20"/>
          <w:szCs w:val="20"/>
          <w:vertAlign w:val="superscript"/>
          <w:lang w:val="en-US"/>
        </w:rPr>
        <w:t>*</w:t>
      </w:r>
      <w:r w:rsidRPr="00213F4C">
        <w:rPr>
          <w:rFonts w:cstheme="minorHAnsi"/>
          <w:sz w:val="20"/>
          <w:szCs w:val="20"/>
          <w:lang w:val="en-US"/>
        </w:rPr>
        <w:t xml:space="preserve"> </w:t>
      </w:r>
      <w:r w:rsidRPr="00213F4C">
        <w:rPr>
          <w:rFonts w:cstheme="minorHAnsi"/>
          <w:i/>
          <w:iCs/>
          <w:sz w:val="20"/>
          <w:szCs w:val="20"/>
          <w:lang w:val="en-US"/>
        </w:rPr>
        <w:t>p</w:t>
      </w:r>
      <w:r w:rsidRPr="00213F4C">
        <w:rPr>
          <w:rFonts w:cstheme="minorHAnsi"/>
          <w:sz w:val="20"/>
          <w:szCs w:val="20"/>
          <w:lang w:val="en-US"/>
        </w:rPr>
        <w:t xml:space="preserve"> &lt; 0.05, </w:t>
      </w:r>
      <w:r w:rsidRPr="00213F4C">
        <w:rPr>
          <w:rFonts w:cstheme="minorHAnsi"/>
          <w:sz w:val="20"/>
          <w:szCs w:val="20"/>
          <w:vertAlign w:val="superscript"/>
          <w:lang w:val="en-US"/>
        </w:rPr>
        <w:t>**</w:t>
      </w:r>
      <w:r w:rsidRPr="00213F4C">
        <w:rPr>
          <w:rFonts w:cstheme="minorHAnsi"/>
          <w:sz w:val="20"/>
          <w:szCs w:val="20"/>
          <w:lang w:val="en-US"/>
        </w:rPr>
        <w:t xml:space="preserve"> </w:t>
      </w:r>
      <w:r w:rsidRPr="00213F4C">
        <w:rPr>
          <w:rFonts w:cstheme="minorHAnsi"/>
          <w:i/>
          <w:iCs/>
          <w:sz w:val="20"/>
          <w:szCs w:val="20"/>
          <w:lang w:val="en-US"/>
        </w:rPr>
        <w:t>p</w:t>
      </w:r>
      <w:r w:rsidRPr="00213F4C">
        <w:rPr>
          <w:rFonts w:cstheme="minorHAnsi"/>
          <w:sz w:val="20"/>
          <w:szCs w:val="20"/>
          <w:lang w:val="en-US"/>
        </w:rPr>
        <w:t xml:space="preserve"> &lt; 0.01, </w:t>
      </w:r>
      <w:r w:rsidRPr="00213F4C">
        <w:rPr>
          <w:rFonts w:cstheme="minorHAnsi"/>
          <w:sz w:val="20"/>
          <w:szCs w:val="20"/>
          <w:vertAlign w:val="superscript"/>
          <w:lang w:val="en-US"/>
        </w:rPr>
        <w:t>***</w:t>
      </w:r>
      <w:r w:rsidRPr="00213F4C">
        <w:rPr>
          <w:rFonts w:cstheme="minorHAnsi"/>
          <w:sz w:val="20"/>
          <w:szCs w:val="20"/>
          <w:lang w:val="en-US"/>
        </w:rPr>
        <w:t xml:space="preserve"> </w:t>
      </w:r>
      <w:r w:rsidRPr="00213F4C">
        <w:rPr>
          <w:rFonts w:cstheme="minorHAnsi"/>
          <w:i/>
          <w:iCs/>
          <w:sz w:val="20"/>
          <w:szCs w:val="20"/>
          <w:lang w:val="en-US"/>
        </w:rPr>
        <w:t>p</w:t>
      </w:r>
      <w:r w:rsidRPr="00213F4C">
        <w:rPr>
          <w:rFonts w:cstheme="minorHAnsi"/>
          <w:sz w:val="20"/>
          <w:szCs w:val="20"/>
          <w:lang w:val="en-US"/>
        </w:rPr>
        <w:t xml:space="preserve"> &lt; 0.001</w:t>
      </w:r>
    </w:p>
    <w:p w14:paraId="536A17A2" w14:textId="77777777" w:rsidR="00FB66C8" w:rsidRPr="00213F4C" w:rsidRDefault="00FB66C8" w:rsidP="00FB66C8">
      <w:pPr>
        <w:autoSpaceDE w:val="0"/>
        <w:autoSpaceDN w:val="0"/>
        <w:adjustRightInd w:val="0"/>
        <w:rPr>
          <w:rFonts w:cstheme="minorHAnsi"/>
          <w:sz w:val="20"/>
          <w:szCs w:val="20"/>
          <w:lang w:val="en-US"/>
        </w:rPr>
      </w:pPr>
    </w:p>
    <w:p w14:paraId="28198B5A" w14:textId="77777777" w:rsidR="00FB66C8" w:rsidRDefault="00FB66C8" w:rsidP="00FB66C8">
      <w:pPr>
        <w:spacing w:after="200" w:line="480" w:lineRule="auto"/>
        <w:ind w:left="142" w:right="277"/>
        <w:jc w:val="both"/>
        <w:rPr>
          <w:rFonts w:cstheme="minorHAnsi"/>
          <w:lang w:val="en-GB"/>
        </w:rPr>
      </w:pPr>
      <w:r w:rsidRPr="0012519F">
        <w:rPr>
          <w:rFonts w:cstheme="minorHAnsi"/>
          <w:lang w:val="en-GB"/>
        </w:rPr>
        <w:lastRenderedPageBreak/>
        <w:t xml:space="preserve">Financial resources at the micro-level are based on a question on the organization’s financial planning horizon, measured on a 5-point scale ranging from less than 1 year to more than 5 years. We recoded this variable into a dichotomous variable (0: less than 1 to 3 years, 1: from 4 to more than 5 years). </w:t>
      </w:r>
    </w:p>
    <w:p w14:paraId="7703CBF1" w14:textId="77777777" w:rsidR="00FB66C8" w:rsidRDefault="00FB66C8" w:rsidP="00FB66C8">
      <w:pPr>
        <w:spacing w:after="200" w:line="480" w:lineRule="auto"/>
        <w:ind w:left="142" w:right="277"/>
        <w:jc w:val="both"/>
        <w:rPr>
          <w:rFonts w:cstheme="minorHAnsi"/>
          <w:lang w:val="en-GB"/>
        </w:rPr>
      </w:pPr>
      <w:r w:rsidRPr="007D0EBC">
        <w:rPr>
          <w:rFonts w:cstheme="minorHAnsi"/>
          <w:lang w:val="en-GB"/>
        </w:rPr>
        <w:t>The findings from the ‘baseline’ models stay essentially the same: that is, professionalization, domestic cooperation, legislative fractionalization, and our organizational level proxy for backsliding all prove to be robust, lending further support to our results. However, none of the population ecology variables reach statistical significance. This most probably can be explained by the much smaller sample size though.</w:t>
      </w:r>
    </w:p>
    <w:p w14:paraId="67B3CAFE" w14:textId="77777777" w:rsidR="00FB66C8" w:rsidRDefault="00FB66C8" w:rsidP="00FB66C8">
      <w:pPr>
        <w:spacing w:after="200" w:line="480" w:lineRule="auto"/>
        <w:ind w:left="142" w:right="277"/>
        <w:jc w:val="both"/>
        <w:rPr>
          <w:rFonts w:cstheme="minorHAnsi"/>
          <w:lang w:val="en-GB"/>
        </w:rPr>
      </w:pPr>
      <w:r>
        <w:rPr>
          <w:rFonts w:cstheme="minorHAnsi"/>
          <w:lang w:val="en-GB"/>
        </w:rPr>
        <w:t xml:space="preserve">We decided to drop the financial planning horizon variable from the models as it drastically reduces the number of observations and does not yield any significant results. As the number of observations in each model shows, unfortunately, not every respondent answered every question, and we must be very careful in which variables to include. We control for financial resources in the main models though: our composite professionalization index includes having paid staff. </w:t>
      </w:r>
    </w:p>
    <w:p w14:paraId="6450813E" w14:textId="26106ABF" w:rsidR="00FB66C8" w:rsidRDefault="00FB66C8" w:rsidP="00FB66C8">
      <w:pPr>
        <w:spacing w:after="200" w:line="480" w:lineRule="auto"/>
        <w:ind w:left="142" w:right="277"/>
        <w:jc w:val="both"/>
        <w:rPr>
          <w:rFonts w:cstheme="minorHAnsi"/>
          <w:lang w:val="en-GB"/>
        </w:rPr>
      </w:pPr>
    </w:p>
    <w:p w14:paraId="5EDBF90D" w14:textId="77777777" w:rsidR="00FB66C8" w:rsidRDefault="00FB66C8">
      <w:pPr>
        <w:rPr>
          <w:rFonts w:cstheme="minorHAnsi"/>
          <w:lang w:val="en-GB"/>
        </w:rPr>
      </w:pPr>
      <w:r>
        <w:rPr>
          <w:rFonts w:cstheme="minorHAnsi"/>
          <w:lang w:val="en-GB"/>
        </w:rPr>
        <w:br w:type="page"/>
      </w:r>
    </w:p>
    <w:p w14:paraId="77C12F3B" w14:textId="77777777" w:rsidR="0069708A" w:rsidRPr="00F71E4F" w:rsidRDefault="0069708A" w:rsidP="0069708A">
      <w:pPr>
        <w:autoSpaceDE w:val="0"/>
        <w:autoSpaceDN w:val="0"/>
        <w:adjustRightInd w:val="0"/>
        <w:rPr>
          <w:rFonts w:cstheme="minorHAnsi"/>
          <w:lang w:val="en-US"/>
        </w:rPr>
      </w:pPr>
      <w:r w:rsidRPr="00F71E4F">
        <w:rPr>
          <w:rFonts w:cstheme="minorHAnsi"/>
          <w:b/>
          <w:bCs/>
          <w:lang w:val="en-US"/>
        </w:rPr>
        <w:lastRenderedPageBreak/>
        <w:t>Table 6. online appendix</w:t>
      </w:r>
      <w:r w:rsidRPr="00F71E4F">
        <w:rPr>
          <w:rFonts w:cstheme="minorHAnsi"/>
          <w:lang w:val="en-US"/>
        </w:rPr>
        <w:t xml:space="preserve"> - Population-level determinants of access to policy makers - Czech, Hungarian, Polish, and Slovenian health care, higher </w:t>
      </w:r>
      <w:proofErr w:type="gramStart"/>
      <w:r w:rsidRPr="00F71E4F">
        <w:rPr>
          <w:rFonts w:cstheme="minorHAnsi"/>
          <w:lang w:val="en-US"/>
        </w:rPr>
        <w:t>education</w:t>
      </w:r>
      <w:proofErr w:type="gramEnd"/>
      <w:r w:rsidRPr="00F71E4F">
        <w:rPr>
          <w:rFonts w:cstheme="minorHAnsi"/>
          <w:lang w:val="en-US"/>
        </w:rPr>
        <w:t xml:space="preserve"> and energy policy interest groups</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69708A" w:rsidRPr="00F71E4F" w14:paraId="54640268" w14:textId="77777777" w:rsidTr="009A444C">
        <w:tc>
          <w:tcPr>
            <w:tcW w:w="442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93DE1F2" w14:textId="77777777" w:rsidR="0069708A" w:rsidRPr="00F71E4F" w:rsidRDefault="0069708A" w:rsidP="009A444C">
            <w:pPr>
              <w:autoSpaceDE w:val="0"/>
              <w:autoSpaceDN w:val="0"/>
              <w:adjustRightInd w:val="0"/>
              <w:rPr>
                <w:rFonts w:cstheme="minorHAnsi"/>
                <w:lang w:val="en-US"/>
              </w:rPr>
            </w:pPr>
          </w:p>
        </w:tc>
        <w:tc>
          <w:tcPr>
            <w:tcW w:w="432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611CFF6" w14:textId="77777777" w:rsidR="0069708A" w:rsidRPr="00F71E4F" w:rsidRDefault="0069708A" w:rsidP="009A444C">
            <w:pPr>
              <w:autoSpaceDE w:val="0"/>
              <w:autoSpaceDN w:val="0"/>
              <w:adjustRightInd w:val="0"/>
              <w:jc w:val="center"/>
              <w:rPr>
                <w:rFonts w:cstheme="minorHAnsi"/>
              </w:rPr>
            </w:pPr>
            <w:r w:rsidRPr="00F71E4F">
              <w:rPr>
                <w:rFonts w:cstheme="minorHAnsi"/>
              </w:rPr>
              <w:t>(1)</w:t>
            </w:r>
          </w:p>
        </w:tc>
      </w:tr>
      <w:tr w:rsidR="0069708A" w:rsidRPr="00DD7E0D" w14:paraId="3A126821" w14:textId="77777777" w:rsidTr="009A444C">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BD3B28" w14:textId="77777777" w:rsidR="0069708A" w:rsidRPr="00F71E4F" w:rsidRDefault="0069708A" w:rsidP="009A444C">
            <w:pPr>
              <w:autoSpaceDE w:val="0"/>
              <w:autoSpaceDN w:val="0"/>
              <w:adjustRightInd w:val="0"/>
              <w:rPr>
                <w:rFonts w:cstheme="minorHAnsi"/>
              </w:rPr>
            </w:pP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932C2C" w14:textId="77777777" w:rsidR="0069708A" w:rsidRPr="00F71E4F" w:rsidRDefault="0069708A" w:rsidP="009A444C">
            <w:pPr>
              <w:autoSpaceDE w:val="0"/>
              <w:autoSpaceDN w:val="0"/>
              <w:adjustRightInd w:val="0"/>
              <w:jc w:val="center"/>
              <w:rPr>
                <w:rFonts w:cstheme="minorHAnsi"/>
                <w:lang w:val="en-US"/>
              </w:rPr>
            </w:pPr>
            <w:r w:rsidRPr="00F71E4F">
              <w:rPr>
                <w:rFonts w:cstheme="minorHAnsi"/>
                <w:lang w:val="en-US"/>
              </w:rPr>
              <w:t>Access to the government and parliament - composite index</w:t>
            </w:r>
          </w:p>
        </w:tc>
      </w:tr>
      <w:tr w:rsidR="0069708A" w:rsidRPr="00F71E4F" w14:paraId="4C976963" w14:textId="77777777" w:rsidTr="009A444C">
        <w:tblPrEx>
          <w:tblBorders>
            <w:top w:val="none" w:sz="0" w:space="0" w:color="auto"/>
          </w:tblBorders>
        </w:tblPrEx>
        <w:tc>
          <w:tcPr>
            <w:tcW w:w="442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F319327" w14:textId="77777777" w:rsidR="0069708A" w:rsidRPr="00F71E4F" w:rsidRDefault="0069708A" w:rsidP="009A444C">
            <w:pPr>
              <w:autoSpaceDE w:val="0"/>
              <w:autoSpaceDN w:val="0"/>
              <w:adjustRightInd w:val="0"/>
              <w:rPr>
                <w:rFonts w:cstheme="minorHAnsi"/>
              </w:rPr>
            </w:pPr>
            <w:r w:rsidRPr="00F71E4F">
              <w:rPr>
                <w:rFonts w:cstheme="minorHAnsi"/>
              </w:rPr>
              <w:t xml:space="preserve">Relative </w:t>
            </w:r>
            <w:proofErr w:type="spellStart"/>
            <w:r w:rsidRPr="00F71E4F">
              <w:rPr>
                <w:rFonts w:cstheme="minorHAnsi"/>
              </w:rPr>
              <w:t>population</w:t>
            </w:r>
            <w:proofErr w:type="spellEnd"/>
            <w:r w:rsidRPr="00F71E4F">
              <w:rPr>
                <w:rFonts w:cstheme="minorHAnsi"/>
              </w:rPr>
              <w:t xml:space="preserve"> </w:t>
            </w:r>
            <w:proofErr w:type="spellStart"/>
            <w:r w:rsidRPr="00F71E4F">
              <w:rPr>
                <w:rFonts w:cstheme="minorHAnsi"/>
              </w:rPr>
              <w:t>density</w:t>
            </w:r>
            <w:proofErr w:type="spellEnd"/>
            <w:r w:rsidRPr="00F71E4F">
              <w:rPr>
                <w:rFonts w:cstheme="minorHAnsi"/>
              </w:rPr>
              <w:t xml:space="preserve"> (%)</w:t>
            </w:r>
          </w:p>
        </w:tc>
        <w:tc>
          <w:tcPr>
            <w:tcW w:w="432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BE71EDA" w14:textId="77777777" w:rsidR="0069708A" w:rsidRPr="00F71E4F" w:rsidRDefault="0069708A" w:rsidP="009A444C">
            <w:pPr>
              <w:autoSpaceDE w:val="0"/>
              <w:autoSpaceDN w:val="0"/>
              <w:adjustRightInd w:val="0"/>
              <w:jc w:val="center"/>
              <w:rPr>
                <w:rFonts w:cstheme="minorHAnsi"/>
              </w:rPr>
            </w:pPr>
            <w:r w:rsidRPr="00F71E4F">
              <w:rPr>
                <w:rFonts w:cstheme="minorHAnsi"/>
              </w:rPr>
              <w:t>-0.0178</w:t>
            </w:r>
            <w:r w:rsidRPr="00F71E4F">
              <w:rPr>
                <w:rFonts w:ascii="MS Gothic" w:eastAsia="MS Gothic" w:hAnsi="MS Gothic" w:cs="MS Gothic" w:hint="eastAsia"/>
              </w:rPr>
              <w:t> </w:t>
            </w:r>
            <w:r w:rsidRPr="00F71E4F">
              <w:rPr>
                <w:rFonts w:cstheme="minorHAnsi"/>
              </w:rPr>
              <w:t>[0.0110]</w:t>
            </w:r>
          </w:p>
        </w:tc>
      </w:tr>
      <w:tr w:rsidR="0069708A" w:rsidRPr="00F71E4F" w14:paraId="7C9D7650" w14:textId="77777777" w:rsidTr="009A444C">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B2CCC9" w14:textId="77777777" w:rsidR="0069708A" w:rsidRPr="00F71E4F" w:rsidRDefault="0069708A" w:rsidP="009A444C">
            <w:pPr>
              <w:autoSpaceDE w:val="0"/>
              <w:autoSpaceDN w:val="0"/>
              <w:adjustRightInd w:val="0"/>
              <w:rPr>
                <w:rFonts w:cstheme="minorHAnsi"/>
              </w:rPr>
            </w:pPr>
            <w:r w:rsidRPr="00F71E4F">
              <w:rPr>
                <w:rFonts w:cstheme="minorHAnsi"/>
              </w:rPr>
              <w:t xml:space="preserve">Government </w:t>
            </w:r>
            <w:proofErr w:type="spellStart"/>
            <w:r w:rsidRPr="00F71E4F">
              <w:rPr>
                <w:rFonts w:cstheme="minorHAnsi"/>
              </w:rPr>
              <w:t>expenditure</w:t>
            </w:r>
            <w:proofErr w:type="spellEnd"/>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672258" w14:textId="77777777" w:rsidR="0069708A" w:rsidRPr="00F71E4F" w:rsidRDefault="0069708A" w:rsidP="009A444C">
            <w:pPr>
              <w:autoSpaceDE w:val="0"/>
              <w:autoSpaceDN w:val="0"/>
              <w:adjustRightInd w:val="0"/>
              <w:jc w:val="center"/>
              <w:rPr>
                <w:rFonts w:cstheme="minorHAnsi"/>
              </w:rPr>
            </w:pPr>
            <w:r w:rsidRPr="00F71E4F">
              <w:rPr>
                <w:rFonts w:cstheme="minorHAnsi"/>
              </w:rPr>
              <w:t>-0.322</w:t>
            </w:r>
            <w:r w:rsidRPr="00F71E4F">
              <w:rPr>
                <w:rFonts w:cstheme="minorHAnsi"/>
                <w:vertAlign w:val="superscript"/>
              </w:rPr>
              <w:t>*</w:t>
            </w:r>
            <w:r w:rsidRPr="00F71E4F">
              <w:rPr>
                <w:rFonts w:ascii="MS Gothic" w:eastAsia="MS Gothic" w:hAnsi="MS Gothic" w:cs="MS Gothic" w:hint="eastAsia"/>
              </w:rPr>
              <w:t> </w:t>
            </w:r>
            <w:r w:rsidRPr="00F71E4F">
              <w:rPr>
                <w:rFonts w:cstheme="minorHAnsi"/>
              </w:rPr>
              <w:t>[0.150]</w:t>
            </w:r>
          </w:p>
        </w:tc>
      </w:tr>
      <w:tr w:rsidR="0069708A" w:rsidRPr="00F71E4F" w14:paraId="617B2898" w14:textId="77777777" w:rsidTr="009A444C">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D0CDEE" w14:textId="77777777" w:rsidR="0069708A" w:rsidRPr="00F71E4F" w:rsidRDefault="0069708A" w:rsidP="009A444C">
            <w:pPr>
              <w:autoSpaceDE w:val="0"/>
              <w:autoSpaceDN w:val="0"/>
              <w:adjustRightInd w:val="0"/>
              <w:rPr>
                <w:rFonts w:cstheme="minorHAnsi"/>
                <w:lang w:val="en-US"/>
              </w:rPr>
            </w:pPr>
            <w:r w:rsidRPr="00F71E4F">
              <w:rPr>
                <w:rFonts w:cstheme="minorHAnsi"/>
                <w:lang w:val="en-US"/>
              </w:rPr>
              <w:t>Logarithm of latent constituency size</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78E878" w14:textId="77777777" w:rsidR="0069708A" w:rsidRPr="00F71E4F" w:rsidRDefault="0069708A" w:rsidP="009A444C">
            <w:pPr>
              <w:autoSpaceDE w:val="0"/>
              <w:autoSpaceDN w:val="0"/>
              <w:adjustRightInd w:val="0"/>
              <w:jc w:val="center"/>
              <w:rPr>
                <w:rFonts w:cstheme="minorHAnsi"/>
              </w:rPr>
            </w:pPr>
            <w:r w:rsidRPr="00F71E4F">
              <w:rPr>
                <w:rFonts w:cstheme="minorHAnsi"/>
              </w:rPr>
              <w:t>0.601</w:t>
            </w:r>
            <w:r w:rsidRPr="00F71E4F">
              <w:rPr>
                <w:rFonts w:cstheme="minorHAnsi"/>
                <w:vertAlign w:val="superscript"/>
              </w:rPr>
              <w:t>**</w:t>
            </w:r>
            <w:r w:rsidRPr="00F71E4F">
              <w:rPr>
                <w:rFonts w:ascii="MS Gothic" w:eastAsia="MS Gothic" w:hAnsi="MS Gothic" w:cs="MS Gothic" w:hint="eastAsia"/>
              </w:rPr>
              <w:t> </w:t>
            </w:r>
            <w:r w:rsidRPr="00F71E4F">
              <w:rPr>
                <w:rFonts w:cstheme="minorHAnsi"/>
              </w:rPr>
              <w:t>[0.227]</w:t>
            </w:r>
          </w:p>
        </w:tc>
      </w:tr>
      <w:tr w:rsidR="0069708A" w:rsidRPr="00F71E4F" w14:paraId="4E7B34FB" w14:textId="77777777" w:rsidTr="009A444C">
        <w:tblPrEx>
          <w:tblBorders>
            <w:top w:val="none" w:sz="0" w:space="0" w:color="auto"/>
          </w:tblBorders>
        </w:tblPrEx>
        <w:tc>
          <w:tcPr>
            <w:tcW w:w="442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4CD149BA" w14:textId="77777777" w:rsidR="0069708A" w:rsidRPr="00F71E4F" w:rsidRDefault="0069708A" w:rsidP="009A444C">
            <w:pPr>
              <w:autoSpaceDE w:val="0"/>
              <w:autoSpaceDN w:val="0"/>
              <w:adjustRightInd w:val="0"/>
              <w:rPr>
                <w:rFonts w:cstheme="minorHAnsi"/>
              </w:rPr>
            </w:pPr>
            <w:r w:rsidRPr="00F71E4F">
              <w:rPr>
                <w:rFonts w:cstheme="minorHAnsi"/>
              </w:rPr>
              <w:t>Constant</w:t>
            </w:r>
          </w:p>
        </w:tc>
        <w:tc>
          <w:tcPr>
            <w:tcW w:w="432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4063DBD" w14:textId="77777777" w:rsidR="0069708A" w:rsidRPr="00F71E4F" w:rsidRDefault="0069708A" w:rsidP="009A444C">
            <w:pPr>
              <w:autoSpaceDE w:val="0"/>
              <w:autoSpaceDN w:val="0"/>
              <w:adjustRightInd w:val="0"/>
              <w:jc w:val="center"/>
              <w:rPr>
                <w:rFonts w:cstheme="minorHAnsi"/>
              </w:rPr>
            </w:pPr>
            <w:r w:rsidRPr="00F71E4F">
              <w:rPr>
                <w:rFonts w:cstheme="minorHAnsi"/>
              </w:rPr>
              <w:t>5.970</w:t>
            </w:r>
            <w:r w:rsidRPr="00F71E4F">
              <w:rPr>
                <w:rFonts w:cstheme="minorHAnsi"/>
                <w:vertAlign w:val="superscript"/>
              </w:rPr>
              <w:t>***</w:t>
            </w:r>
            <w:r w:rsidRPr="00F71E4F">
              <w:rPr>
                <w:rFonts w:ascii="MS Gothic" w:eastAsia="MS Gothic" w:hAnsi="MS Gothic" w:cs="MS Gothic" w:hint="eastAsia"/>
              </w:rPr>
              <w:t> </w:t>
            </w:r>
            <w:r w:rsidRPr="00F71E4F">
              <w:rPr>
                <w:rFonts w:cstheme="minorHAnsi"/>
              </w:rPr>
              <w:t>[1.274]</w:t>
            </w:r>
          </w:p>
        </w:tc>
      </w:tr>
      <w:tr w:rsidR="0069708A" w:rsidRPr="00F71E4F" w14:paraId="1A81EF1A" w14:textId="77777777" w:rsidTr="009A444C">
        <w:tblPrEx>
          <w:tblBorders>
            <w:top w:val="none" w:sz="0" w:space="0" w:color="auto"/>
          </w:tblBorders>
        </w:tblPrEx>
        <w:tc>
          <w:tcPr>
            <w:tcW w:w="442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7AC594C" w14:textId="77777777" w:rsidR="0069708A" w:rsidRPr="00F71E4F" w:rsidRDefault="0069708A" w:rsidP="009A444C">
            <w:pPr>
              <w:autoSpaceDE w:val="0"/>
              <w:autoSpaceDN w:val="0"/>
              <w:adjustRightInd w:val="0"/>
              <w:rPr>
                <w:rFonts w:cstheme="minorHAnsi"/>
              </w:rPr>
            </w:pPr>
            <w:r w:rsidRPr="00F71E4F">
              <w:rPr>
                <w:rFonts w:cstheme="minorHAnsi"/>
                <w:i/>
                <w:iCs/>
              </w:rPr>
              <w:t>R</w:t>
            </w:r>
            <w:r w:rsidRPr="00F71E4F">
              <w:rPr>
                <w:rFonts w:cstheme="minorHAnsi"/>
                <w:vertAlign w:val="superscript"/>
              </w:rPr>
              <w:t>2</w:t>
            </w:r>
          </w:p>
        </w:tc>
        <w:tc>
          <w:tcPr>
            <w:tcW w:w="432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9EAA9D3" w14:textId="77777777" w:rsidR="0069708A" w:rsidRPr="00F71E4F" w:rsidRDefault="0069708A" w:rsidP="009A444C">
            <w:pPr>
              <w:autoSpaceDE w:val="0"/>
              <w:autoSpaceDN w:val="0"/>
              <w:adjustRightInd w:val="0"/>
              <w:jc w:val="center"/>
              <w:rPr>
                <w:rFonts w:cstheme="minorHAnsi"/>
              </w:rPr>
            </w:pPr>
            <w:r w:rsidRPr="00F71E4F">
              <w:rPr>
                <w:rFonts w:cstheme="minorHAnsi"/>
              </w:rPr>
              <w:t>0.028</w:t>
            </w:r>
          </w:p>
        </w:tc>
      </w:tr>
      <w:tr w:rsidR="0069708A" w:rsidRPr="00F71E4F" w14:paraId="4DA89EB6" w14:textId="77777777" w:rsidTr="009A444C">
        <w:tc>
          <w:tcPr>
            <w:tcW w:w="442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5BE7E0F" w14:textId="77777777" w:rsidR="0069708A" w:rsidRPr="00F71E4F" w:rsidRDefault="0069708A" w:rsidP="009A444C">
            <w:pPr>
              <w:autoSpaceDE w:val="0"/>
              <w:autoSpaceDN w:val="0"/>
              <w:adjustRightInd w:val="0"/>
              <w:rPr>
                <w:rFonts w:cstheme="minorHAnsi"/>
              </w:rPr>
            </w:pPr>
            <w:proofErr w:type="spellStart"/>
            <w:r w:rsidRPr="00F71E4F">
              <w:rPr>
                <w:rFonts w:cstheme="minorHAnsi"/>
              </w:rPr>
              <w:t>Observations</w:t>
            </w:r>
            <w:proofErr w:type="spellEnd"/>
          </w:p>
        </w:tc>
        <w:tc>
          <w:tcPr>
            <w:tcW w:w="432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7F6AF1B" w14:textId="77777777" w:rsidR="0069708A" w:rsidRPr="00F71E4F" w:rsidRDefault="0069708A" w:rsidP="009A444C">
            <w:pPr>
              <w:autoSpaceDE w:val="0"/>
              <w:autoSpaceDN w:val="0"/>
              <w:adjustRightInd w:val="0"/>
              <w:jc w:val="center"/>
              <w:rPr>
                <w:rFonts w:cstheme="minorHAnsi"/>
              </w:rPr>
            </w:pPr>
            <w:r w:rsidRPr="00F71E4F">
              <w:rPr>
                <w:rFonts w:cstheme="minorHAnsi"/>
              </w:rPr>
              <w:t>368</w:t>
            </w:r>
          </w:p>
        </w:tc>
      </w:tr>
    </w:tbl>
    <w:p w14:paraId="58DD885A" w14:textId="77777777" w:rsidR="0069708A" w:rsidRPr="00F71E4F" w:rsidRDefault="0069708A" w:rsidP="0069708A">
      <w:pPr>
        <w:autoSpaceDE w:val="0"/>
        <w:autoSpaceDN w:val="0"/>
        <w:adjustRightInd w:val="0"/>
        <w:rPr>
          <w:rFonts w:cstheme="minorHAnsi"/>
          <w:sz w:val="20"/>
          <w:szCs w:val="20"/>
        </w:rPr>
      </w:pPr>
      <w:r w:rsidRPr="00F71E4F">
        <w:rPr>
          <w:rFonts w:cstheme="minorHAnsi"/>
          <w:sz w:val="20"/>
          <w:szCs w:val="20"/>
        </w:rPr>
        <w:t xml:space="preserve">Standard </w:t>
      </w:r>
      <w:proofErr w:type="spellStart"/>
      <w:r w:rsidRPr="00F71E4F">
        <w:rPr>
          <w:rFonts w:cstheme="minorHAnsi"/>
          <w:sz w:val="20"/>
          <w:szCs w:val="20"/>
        </w:rPr>
        <w:t>errors</w:t>
      </w:r>
      <w:proofErr w:type="spellEnd"/>
      <w:r w:rsidRPr="00F71E4F">
        <w:rPr>
          <w:rFonts w:cstheme="minorHAnsi"/>
          <w:sz w:val="20"/>
          <w:szCs w:val="20"/>
        </w:rPr>
        <w:t xml:space="preserve"> in </w:t>
      </w:r>
      <w:proofErr w:type="spellStart"/>
      <w:r w:rsidRPr="00F71E4F">
        <w:rPr>
          <w:rFonts w:cstheme="minorHAnsi"/>
          <w:sz w:val="20"/>
          <w:szCs w:val="20"/>
        </w:rPr>
        <w:t>brackets</w:t>
      </w:r>
      <w:proofErr w:type="spellEnd"/>
    </w:p>
    <w:p w14:paraId="45C4D58A" w14:textId="77777777" w:rsidR="0069708A" w:rsidRPr="00F71E4F" w:rsidRDefault="0069708A" w:rsidP="0069708A">
      <w:pPr>
        <w:autoSpaceDE w:val="0"/>
        <w:autoSpaceDN w:val="0"/>
        <w:adjustRightInd w:val="0"/>
        <w:rPr>
          <w:rFonts w:cstheme="minorHAnsi"/>
          <w:sz w:val="20"/>
          <w:szCs w:val="20"/>
          <w:lang w:val="en-US"/>
        </w:rPr>
      </w:pPr>
      <w:r w:rsidRPr="00F71E4F">
        <w:rPr>
          <w:rFonts w:cstheme="minorHAnsi"/>
          <w:sz w:val="20"/>
          <w:szCs w:val="20"/>
          <w:lang w:val="en-US"/>
        </w:rPr>
        <w:t>Linear regression models, robust standard errors</w:t>
      </w:r>
    </w:p>
    <w:p w14:paraId="2B40D7BD" w14:textId="77777777" w:rsidR="0069708A" w:rsidRPr="00F71E4F" w:rsidRDefault="0069708A" w:rsidP="0069708A">
      <w:pPr>
        <w:autoSpaceDE w:val="0"/>
        <w:autoSpaceDN w:val="0"/>
        <w:adjustRightInd w:val="0"/>
        <w:rPr>
          <w:rFonts w:cstheme="minorHAnsi"/>
          <w:sz w:val="20"/>
          <w:szCs w:val="20"/>
        </w:rPr>
      </w:pPr>
      <w:r w:rsidRPr="00F71E4F">
        <w:rPr>
          <w:rFonts w:cstheme="minorHAnsi"/>
          <w:sz w:val="20"/>
          <w:szCs w:val="20"/>
          <w:vertAlign w:val="superscript"/>
        </w:rPr>
        <w:t>*</w:t>
      </w:r>
      <w:r w:rsidRPr="00F71E4F">
        <w:rPr>
          <w:rFonts w:cstheme="minorHAnsi"/>
          <w:sz w:val="20"/>
          <w:szCs w:val="20"/>
        </w:rPr>
        <w:t xml:space="preserve"> </w:t>
      </w:r>
      <w:r w:rsidRPr="00F71E4F">
        <w:rPr>
          <w:rFonts w:cstheme="minorHAnsi"/>
          <w:i/>
          <w:iCs/>
          <w:sz w:val="20"/>
          <w:szCs w:val="20"/>
        </w:rPr>
        <w:t>p</w:t>
      </w:r>
      <w:r w:rsidRPr="00F71E4F">
        <w:rPr>
          <w:rFonts w:cstheme="minorHAnsi"/>
          <w:sz w:val="20"/>
          <w:szCs w:val="20"/>
        </w:rPr>
        <w:t xml:space="preserve"> &lt; 0.05, </w:t>
      </w:r>
      <w:r w:rsidRPr="00F71E4F">
        <w:rPr>
          <w:rFonts w:cstheme="minorHAnsi"/>
          <w:sz w:val="20"/>
          <w:szCs w:val="20"/>
          <w:vertAlign w:val="superscript"/>
        </w:rPr>
        <w:t>**</w:t>
      </w:r>
      <w:r w:rsidRPr="00F71E4F">
        <w:rPr>
          <w:rFonts w:cstheme="minorHAnsi"/>
          <w:sz w:val="20"/>
          <w:szCs w:val="20"/>
        </w:rPr>
        <w:t xml:space="preserve"> </w:t>
      </w:r>
      <w:r w:rsidRPr="00F71E4F">
        <w:rPr>
          <w:rFonts w:cstheme="minorHAnsi"/>
          <w:i/>
          <w:iCs/>
          <w:sz w:val="20"/>
          <w:szCs w:val="20"/>
        </w:rPr>
        <w:t>p</w:t>
      </w:r>
      <w:r w:rsidRPr="00F71E4F">
        <w:rPr>
          <w:rFonts w:cstheme="minorHAnsi"/>
          <w:sz w:val="20"/>
          <w:szCs w:val="20"/>
        </w:rPr>
        <w:t xml:space="preserve"> &lt; 0.01, </w:t>
      </w:r>
      <w:r w:rsidRPr="00F71E4F">
        <w:rPr>
          <w:rFonts w:cstheme="minorHAnsi"/>
          <w:sz w:val="20"/>
          <w:szCs w:val="20"/>
          <w:vertAlign w:val="superscript"/>
        </w:rPr>
        <w:t>***</w:t>
      </w:r>
      <w:r w:rsidRPr="00F71E4F">
        <w:rPr>
          <w:rFonts w:cstheme="minorHAnsi"/>
          <w:sz w:val="20"/>
          <w:szCs w:val="20"/>
        </w:rPr>
        <w:t xml:space="preserve"> </w:t>
      </w:r>
      <w:r w:rsidRPr="00F71E4F">
        <w:rPr>
          <w:rFonts w:cstheme="minorHAnsi"/>
          <w:i/>
          <w:iCs/>
          <w:sz w:val="20"/>
          <w:szCs w:val="20"/>
        </w:rPr>
        <w:t>p</w:t>
      </w:r>
      <w:r w:rsidRPr="00F71E4F">
        <w:rPr>
          <w:rFonts w:cstheme="minorHAnsi"/>
          <w:sz w:val="20"/>
          <w:szCs w:val="20"/>
        </w:rPr>
        <w:t xml:space="preserve"> &lt; 0.001</w:t>
      </w:r>
    </w:p>
    <w:p w14:paraId="71A147DF" w14:textId="77777777" w:rsidR="0069708A" w:rsidRPr="00F71E4F" w:rsidRDefault="0069708A" w:rsidP="0069708A">
      <w:pPr>
        <w:autoSpaceDE w:val="0"/>
        <w:autoSpaceDN w:val="0"/>
        <w:adjustRightInd w:val="0"/>
        <w:rPr>
          <w:rFonts w:cstheme="minorHAnsi"/>
        </w:rPr>
      </w:pPr>
    </w:p>
    <w:p w14:paraId="534F2A86" w14:textId="77777777" w:rsidR="0069708A" w:rsidRPr="00F71E4F" w:rsidRDefault="0069708A" w:rsidP="0069708A">
      <w:pPr>
        <w:rPr>
          <w:rFonts w:cstheme="minorHAnsi"/>
        </w:rPr>
      </w:pPr>
    </w:p>
    <w:p w14:paraId="2F8540B7" w14:textId="082ECCF0" w:rsidR="0069708A" w:rsidRDefault="0069708A" w:rsidP="00FB66C8">
      <w:pPr>
        <w:spacing w:after="200" w:line="480" w:lineRule="auto"/>
        <w:ind w:left="142" w:right="277"/>
        <w:jc w:val="both"/>
        <w:rPr>
          <w:rFonts w:cstheme="minorHAnsi"/>
          <w:lang w:val="en-GB"/>
        </w:rPr>
      </w:pPr>
    </w:p>
    <w:p w14:paraId="0678C53E" w14:textId="77777777" w:rsidR="0069708A" w:rsidRDefault="0069708A">
      <w:pPr>
        <w:rPr>
          <w:rFonts w:cstheme="minorHAnsi"/>
          <w:lang w:val="en-GB"/>
        </w:rPr>
      </w:pPr>
      <w:r>
        <w:rPr>
          <w:rFonts w:cstheme="minorHAnsi"/>
          <w:lang w:val="en-GB"/>
        </w:rPr>
        <w:br w:type="page"/>
      </w:r>
    </w:p>
    <w:p w14:paraId="0D3011FD" w14:textId="1585F483" w:rsidR="00FB66C8" w:rsidRDefault="00DD7E0D" w:rsidP="00FB66C8">
      <w:pPr>
        <w:spacing w:after="200" w:line="480" w:lineRule="auto"/>
        <w:ind w:left="142" w:right="277"/>
        <w:jc w:val="both"/>
        <w:rPr>
          <w:rFonts w:cstheme="minorHAnsi"/>
          <w:lang w:val="en-GB"/>
        </w:rPr>
      </w:pPr>
      <w:r>
        <w:rPr>
          <w:rFonts w:cstheme="minorHAnsi"/>
          <w:noProof/>
          <w:lang w:val="en-GB"/>
        </w:rPr>
        <w:lastRenderedPageBreak/>
        <w:drawing>
          <wp:inline distT="0" distB="0" distL="0" distR="0" wp14:anchorId="4F0200DC" wp14:editId="05EB52AD">
            <wp:extent cx="8464990" cy="4617267"/>
            <wp:effectExtent l="0" t="0" r="6350" b="5715"/>
            <wp:docPr id="155903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371" name="Grafik 15590371"/>
                    <pic:cNvPicPr/>
                  </pic:nvPicPr>
                  <pic:blipFill>
                    <a:blip r:embed="rId6">
                      <a:extLst>
                        <a:ext uri="{28A0092B-C50C-407E-A947-70E740481C1C}">
                          <a14:useLocalDpi xmlns:a14="http://schemas.microsoft.com/office/drawing/2010/main" val="0"/>
                        </a:ext>
                      </a:extLst>
                    </a:blip>
                    <a:stretch>
                      <a:fillRect/>
                    </a:stretch>
                  </pic:blipFill>
                  <pic:spPr>
                    <a:xfrm>
                      <a:off x="0" y="0"/>
                      <a:ext cx="8561795" cy="4670070"/>
                    </a:xfrm>
                    <a:prstGeom prst="rect">
                      <a:avLst/>
                    </a:prstGeom>
                  </pic:spPr>
                </pic:pic>
              </a:graphicData>
            </a:graphic>
          </wp:inline>
        </w:drawing>
      </w:r>
    </w:p>
    <w:p w14:paraId="777F6895" w14:textId="77777777" w:rsidR="00FB66C8" w:rsidRPr="009B0B50" w:rsidRDefault="00FB66C8" w:rsidP="00FB66C8">
      <w:pPr>
        <w:autoSpaceDE w:val="0"/>
        <w:autoSpaceDN w:val="0"/>
        <w:adjustRightInd w:val="0"/>
        <w:rPr>
          <w:rFonts w:cstheme="minorHAnsi"/>
          <w:lang w:val="en-GB"/>
        </w:rPr>
      </w:pPr>
    </w:p>
    <w:p w14:paraId="6DDC1510" w14:textId="5417FB09" w:rsidR="00FB66C8" w:rsidRPr="009B0B50" w:rsidRDefault="00DD7E0D" w:rsidP="00FB66C8">
      <w:pPr>
        <w:autoSpaceDE w:val="0"/>
        <w:autoSpaceDN w:val="0"/>
        <w:adjustRightInd w:val="0"/>
        <w:rPr>
          <w:rFonts w:cstheme="minorHAnsi"/>
          <w:lang w:val="en-US"/>
        </w:rPr>
      </w:pPr>
      <w:r>
        <w:rPr>
          <w:rFonts w:cstheme="minorHAnsi"/>
          <w:noProof/>
          <w:lang w:val="en-US"/>
        </w:rPr>
        <w:lastRenderedPageBreak/>
        <w:drawing>
          <wp:inline distT="0" distB="0" distL="0" distR="0" wp14:anchorId="3706652E" wp14:editId="5CE2937C">
            <wp:extent cx="8464990" cy="4617267"/>
            <wp:effectExtent l="0" t="0" r="6350" b="5715"/>
            <wp:docPr id="67032208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22084" name="Grafik 670322084"/>
                    <pic:cNvPicPr/>
                  </pic:nvPicPr>
                  <pic:blipFill>
                    <a:blip r:embed="rId7">
                      <a:extLst>
                        <a:ext uri="{28A0092B-C50C-407E-A947-70E740481C1C}">
                          <a14:useLocalDpi xmlns:a14="http://schemas.microsoft.com/office/drawing/2010/main" val="0"/>
                        </a:ext>
                      </a:extLst>
                    </a:blip>
                    <a:stretch>
                      <a:fillRect/>
                    </a:stretch>
                  </pic:blipFill>
                  <pic:spPr>
                    <a:xfrm>
                      <a:off x="0" y="0"/>
                      <a:ext cx="8541495" cy="4658997"/>
                    </a:xfrm>
                    <a:prstGeom prst="rect">
                      <a:avLst/>
                    </a:prstGeom>
                  </pic:spPr>
                </pic:pic>
              </a:graphicData>
            </a:graphic>
          </wp:inline>
        </w:drawing>
      </w:r>
    </w:p>
    <w:p w14:paraId="2F20E73F" w14:textId="77777777" w:rsidR="00FB66C8" w:rsidRPr="009B0B50" w:rsidRDefault="00FB66C8" w:rsidP="00FB66C8">
      <w:pPr>
        <w:rPr>
          <w:rFonts w:cstheme="minorHAnsi"/>
          <w:lang w:val="en-US"/>
        </w:rPr>
      </w:pPr>
    </w:p>
    <w:p w14:paraId="1F4629B0" w14:textId="131F1735" w:rsidR="00DD7E0D" w:rsidRDefault="00FB66C8">
      <w:pPr>
        <w:rPr>
          <w:b/>
          <w:bCs/>
          <w:lang w:val="en-US"/>
        </w:rPr>
      </w:pPr>
      <w:r w:rsidRPr="00FB66C8">
        <w:rPr>
          <w:b/>
          <w:bCs/>
          <w:lang w:val="en-US"/>
        </w:rPr>
        <w:br w:type="page"/>
      </w:r>
      <w:r w:rsidR="00DD7E0D">
        <w:rPr>
          <w:b/>
          <w:bCs/>
          <w:noProof/>
          <w:lang w:val="en-US"/>
        </w:rPr>
        <w:lastRenderedPageBreak/>
        <w:drawing>
          <wp:inline distT="0" distB="0" distL="0" distR="0" wp14:anchorId="5272E5BE" wp14:editId="08D1C891">
            <wp:extent cx="8464990" cy="4617267"/>
            <wp:effectExtent l="0" t="0" r="6350" b="5715"/>
            <wp:docPr id="186328439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84391" name="Grafik 1863284391"/>
                    <pic:cNvPicPr/>
                  </pic:nvPicPr>
                  <pic:blipFill>
                    <a:blip r:embed="rId8">
                      <a:extLst>
                        <a:ext uri="{28A0092B-C50C-407E-A947-70E740481C1C}">
                          <a14:useLocalDpi xmlns:a14="http://schemas.microsoft.com/office/drawing/2010/main" val="0"/>
                        </a:ext>
                      </a:extLst>
                    </a:blip>
                    <a:stretch>
                      <a:fillRect/>
                    </a:stretch>
                  </pic:blipFill>
                  <pic:spPr>
                    <a:xfrm>
                      <a:off x="0" y="0"/>
                      <a:ext cx="8581862" cy="4681015"/>
                    </a:xfrm>
                    <a:prstGeom prst="rect">
                      <a:avLst/>
                    </a:prstGeom>
                  </pic:spPr>
                </pic:pic>
              </a:graphicData>
            </a:graphic>
          </wp:inline>
        </w:drawing>
      </w:r>
    </w:p>
    <w:p w14:paraId="2AC9F6AA" w14:textId="77777777" w:rsidR="00DD7E0D" w:rsidRDefault="00DD7E0D">
      <w:pPr>
        <w:rPr>
          <w:b/>
          <w:bCs/>
          <w:lang w:val="en-US"/>
        </w:rPr>
      </w:pPr>
      <w:r>
        <w:rPr>
          <w:b/>
          <w:bCs/>
          <w:lang w:val="en-US"/>
        </w:rPr>
        <w:br w:type="page"/>
      </w:r>
    </w:p>
    <w:p w14:paraId="1833B7CE" w14:textId="77777777" w:rsidR="00DD7E0D" w:rsidRPr="00FB66C8" w:rsidRDefault="00DD7E0D">
      <w:pPr>
        <w:rPr>
          <w:b/>
          <w:bCs/>
          <w:lang w:val="en-US"/>
        </w:rPr>
      </w:pPr>
    </w:p>
    <w:p w14:paraId="54D7D20B" w14:textId="36F8F2D0" w:rsidR="00FB66C8" w:rsidRPr="00DD7E0D" w:rsidRDefault="00FB66C8" w:rsidP="00FB66C8">
      <w:pPr>
        <w:rPr>
          <w:b/>
          <w:bCs/>
          <w:lang w:val="en-US"/>
        </w:rPr>
      </w:pPr>
      <w:r w:rsidRPr="00DD7E0D">
        <w:rPr>
          <w:b/>
          <w:bCs/>
          <w:lang w:val="en-US"/>
        </w:rPr>
        <w:t>References</w:t>
      </w:r>
    </w:p>
    <w:p w14:paraId="530766C1" w14:textId="77777777" w:rsidR="00FB66C8" w:rsidRPr="00DD7E0D" w:rsidRDefault="00FB66C8" w:rsidP="00FB66C8">
      <w:pPr>
        <w:rPr>
          <w:lang w:val="en-US"/>
        </w:rPr>
      </w:pPr>
    </w:p>
    <w:p w14:paraId="1BFEC9F2" w14:textId="77777777" w:rsidR="00FB66C8" w:rsidRPr="00FB66C8" w:rsidRDefault="00FB66C8" w:rsidP="00FB66C8">
      <w:pPr>
        <w:pStyle w:val="EndNoteBibliography"/>
        <w:ind w:left="720" w:hanging="720"/>
        <w:rPr>
          <w:noProof/>
        </w:rPr>
      </w:pPr>
      <w:r>
        <w:fldChar w:fldCharType="begin"/>
      </w:r>
      <w:r>
        <w:instrText xml:space="preserve"> ADDIN EN.REFLIST </w:instrText>
      </w:r>
      <w:r>
        <w:fldChar w:fldCharType="separate"/>
      </w:r>
      <w:r w:rsidRPr="00FB66C8">
        <w:rPr>
          <w:b/>
          <w:noProof/>
        </w:rPr>
        <w:t>Deloitte</w:t>
      </w:r>
      <w:r w:rsidRPr="00FB66C8">
        <w:rPr>
          <w:noProof/>
        </w:rPr>
        <w:t xml:space="preserve"> (2020) Economic and Social Impact Report Foratom. Bucharest: Deloitte Romania. </w:t>
      </w:r>
    </w:p>
    <w:p w14:paraId="4E9B6781" w14:textId="77777777" w:rsidR="00FB66C8" w:rsidRPr="00FB66C8" w:rsidRDefault="00FB66C8" w:rsidP="00FB66C8">
      <w:pPr>
        <w:pStyle w:val="EndNoteBibliography"/>
        <w:ind w:left="720" w:hanging="720"/>
        <w:rPr>
          <w:noProof/>
        </w:rPr>
      </w:pPr>
      <w:r w:rsidRPr="00FB66C8">
        <w:rPr>
          <w:b/>
          <w:noProof/>
        </w:rPr>
        <w:t>EEA</w:t>
      </w:r>
      <w:r w:rsidRPr="00FB66C8">
        <w:rPr>
          <w:noProof/>
        </w:rPr>
        <w:t xml:space="preserve"> (2019) Air Quality in Europe - 2019 report. </w:t>
      </w:r>
      <w:r w:rsidRPr="00FB66C8">
        <w:rPr>
          <w:i/>
          <w:noProof/>
        </w:rPr>
        <w:t>EEA Report.</w:t>
      </w:r>
      <w:r w:rsidRPr="00FB66C8">
        <w:rPr>
          <w:noProof/>
        </w:rPr>
        <w:t xml:space="preserve"> Copenhagen: European Environment Agency. </w:t>
      </w:r>
    </w:p>
    <w:p w14:paraId="5DABE61A" w14:textId="77777777" w:rsidR="00FB66C8" w:rsidRPr="00FB66C8" w:rsidRDefault="00FB66C8" w:rsidP="00FB66C8">
      <w:pPr>
        <w:pStyle w:val="EndNoteBibliography"/>
        <w:ind w:left="720" w:hanging="720"/>
        <w:rPr>
          <w:noProof/>
        </w:rPr>
      </w:pPr>
      <w:r w:rsidRPr="00FB66C8">
        <w:rPr>
          <w:b/>
          <w:noProof/>
        </w:rPr>
        <w:t>Eurostat</w:t>
      </w:r>
      <w:r w:rsidRPr="00FB66C8">
        <w:rPr>
          <w:noProof/>
        </w:rPr>
        <w:t xml:space="preserve"> (2020a) Classroom teachers and academic staff by education level, programme orientation, sex and age groups. Luxemburg: Eurostat. </w:t>
      </w:r>
    </w:p>
    <w:p w14:paraId="0015441A" w14:textId="77777777" w:rsidR="00FB66C8" w:rsidRPr="00FB66C8" w:rsidRDefault="00FB66C8" w:rsidP="00FB66C8">
      <w:pPr>
        <w:pStyle w:val="EndNoteBibliography"/>
        <w:ind w:left="720" w:hanging="720"/>
        <w:rPr>
          <w:noProof/>
        </w:rPr>
      </w:pPr>
      <w:r w:rsidRPr="00FB66C8">
        <w:rPr>
          <w:b/>
          <w:noProof/>
        </w:rPr>
        <w:t>Eurostat</w:t>
      </w:r>
      <w:r w:rsidRPr="00FB66C8">
        <w:rPr>
          <w:noProof/>
        </w:rPr>
        <w:t xml:space="preserve"> (2020b) Health care expenditure by function. Luxemburg: Eurostat. </w:t>
      </w:r>
    </w:p>
    <w:p w14:paraId="67FB3C67" w14:textId="77777777" w:rsidR="00FB66C8" w:rsidRPr="00FB66C8" w:rsidRDefault="00FB66C8" w:rsidP="00FB66C8">
      <w:pPr>
        <w:pStyle w:val="EndNoteBibliography"/>
        <w:ind w:left="720" w:hanging="720"/>
        <w:rPr>
          <w:noProof/>
        </w:rPr>
      </w:pPr>
      <w:r w:rsidRPr="00FB66C8">
        <w:rPr>
          <w:b/>
          <w:noProof/>
        </w:rPr>
        <w:t>Eurostat</w:t>
      </w:r>
      <w:r w:rsidRPr="00FB66C8">
        <w:rPr>
          <w:noProof/>
        </w:rPr>
        <w:t xml:space="preserve"> (2020c) Health personnel by NUTS 2 regions. Luxemburg: Eurostat. </w:t>
      </w:r>
    </w:p>
    <w:p w14:paraId="6A78EE46" w14:textId="77777777" w:rsidR="00FB66C8" w:rsidRPr="00FB66C8" w:rsidRDefault="00FB66C8" w:rsidP="00FB66C8">
      <w:pPr>
        <w:pStyle w:val="EndNoteBibliography"/>
        <w:ind w:left="720" w:hanging="720"/>
        <w:rPr>
          <w:noProof/>
        </w:rPr>
      </w:pPr>
      <w:r w:rsidRPr="00FB66C8">
        <w:rPr>
          <w:b/>
          <w:noProof/>
        </w:rPr>
        <w:t>Eurostat</w:t>
      </w:r>
      <w:r w:rsidRPr="00FB66C8">
        <w:rPr>
          <w:noProof/>
        </w:rPr>
        <w:t xml:space="preserve"> (2020d) Hospital beds by type of care (hlth_rs_bds). 10.07.2020 ed. Luxembourg: Eurostat. </w:t>
      </w:r>
    </w:p>
    <w:p w14:paraId="5CC87A5E" w14:textId="77777777" w:rsidR="00FB66C8" w:rsidRPr="00FB66C8" w:rsidRDefault="00FB66C8" w:rsidP="00FB66C8">
      <w:pPr>
        <w:pStyle w:val="EndNoteBibliography"/>
        <w:ind w:left="720" w:hanging="720"/>
        <w:rPr>
          <w:noProof/>
        </w:rPr>
      </w:pPr>
      <w:r w:rsidRPr="00FB66C8">
        <w:rPr>
          <w:b/>
          <w:noProof/>
        </w:rPr>
        <w:t>Eurostat</w:t>
      </w:r>
      <w:r w:rsidRPr="00FB66C8">
        <w:rPr>
          <w:noProof/>
        </w:rPr>
        <w:t xml:space="preserve"> (2020e) Public expenditure on education by education level and programme orientation - as % of GDP. Luxemburg: Eurostat. </w:t>
      </w:r>
    </w:p>
    <w:p w14:paraId="442B9B10" w14:textId="77777777" w:rsidR="00FB66C8" w:rsidRPr="00FB66C8" w:rsidRDefault="00FB66C8" w:rsidP="00FB66C8">
      <w:pPr>
        <w:pStyle w:val="EndNoteBibliography"/>
        <w:ind w:left="720" w:hanging="720"/>
        <w:rPr>
          <w:noProof/>
        </w:rPr>
      </w:pPr>
      <w:r w:rsidRPr="00FB66C8">
        <w:rPr>
          <w:b/>
          <w:noProof/>
        </w:rPr>
        <w:t>Eurostat</w:t>
      </w:r>
      <w:r w:rsidRPr="00FB66C8">
        <w:rPr>
          <w:noProof/>
        </w:rPr>
        <w:t xml:space="preserve"> (2020f) Students enrolled in tertiary education by education level, programme orientation, sex, type of institution and intensity of participation. Luxemburg: Eurostat. </w:t>
      </w:r>
    </w:p>
    <w:p w14:paraId="0FD7ECCB" w14:textId="77777777" w:rsidR="00FB66C8" w:rsidRPr="00FB66C8" w:rsidRDefault="00FB66C8" w:rsidP="00FB66C8">
      <w:pPr>
        <w:pStyle w:val="EndNoteBibliography"/>
        <w:ind w:left="720" w:hanging="720"/>
        <w:rPr>
          <w:noProof/>
        </w:rPr>
      </w:pPr>
      <w:r w:rsidRPr="00FB66C8">
        <w:rPr>
          <w:b/>
          <w:noProof/>
        </w:rPr>
        <w:t>Eurostat</w:t>
      </w:r>
      <w:r w:rsidRPr="00FB66C8">
        <w:rPr>
          <w:noProof/>
        </w:rPr>
        <w:t xml:space="preserve"> (2020g) Treatable and preventable mortality of residents by cause and sex. 04.06.2020 ed. Luxembourg: Eurostat. </w:t>
      </w:r>
    </w:p>
    <w:p w14:paraId="16800E78" w14:textId="77777777" w:rsidR="00FB66C8" w:rsidRPr="00FB66C8" w:rsidRDefault="00FB66C8" w:rsidP="00FB66C8">
      <w:pPr>
        <w:pStyle w:val="EndNoteBibliography"/>
        <w:ind w:left="720" w:hanging="720"/>
        <w:rPr>
          <w:noProof/>
        </w:rPr>
      </w:pPr>
      <w:r w:rsidRPr="00FB66C8">
        <w:rPr>
          <w:b/>
          <w:noProof/>
        </w:rPr>
        <w:t>Eurostat</w:t>
      </w:r>
      <w:r w:rsidRPr="00FB66C8">
        <w:rPr>
          <w:noProof/>
        </w:rPr>
        <w:t xml:space="preserve"> (2021a) General government expenditure by function (COFOG). 22.03.2021 ed. Luxembourg: Eurostat. </w:t>
      </w:r>
    </w:p>
    <w:p w14:paraId="2B2CA869" w14:textId="77777777" w:rsidR="00FB66C8" w:rsidRPr="00FB66C8" w:rsidRDefault="00FB66C8" w:rsidP="00FB66C8">
      <w:pPr>
        <w:pStyle w:val="EndNoteBibliography"/>
        <w:ind w:left="720" w:hanging="720"/>
        <w:rPr>
          <w:noProof/>
        </w:rPr>
      </w:pPr>
      <w:r w:rsidRPr="00FB66C8">
        <w:rPr>
          <w:b/>
          <w:noProof/>
        </w:rPr>
        <w:t>Eurostat</w:t>
      </w:r>
      <w:r w:rsidRPr="00FB66C8">
        <w:rPr>
          <w:noProof/>
        </w:rPr>
        <w:t xml:space="preserve"> (2021b) Industry by employment size class (NACE Rev. 2, B-E). 08.03.2021 ed. Luxembourg: Eurostat. </w:t>
      </w:r>
    </w:p>
    <w:p w14:paraId="2B19BA00" w14:textId="77777777" w:rsidR="00FB66C8" w:rsidRPr="00FB66C8" w:rsidRDefault="00FB66C8" w:rsidP="00FB66C8">
      <w:pPr>
        <w:pStyle w:val="EndNoteBibliography"/>
        <w:ind w:left="720" w:hanging="720"/>
        <w:rPr>
          <w:noProof/>
        </w:rPr>
      </w:pPr>
      <w:r w:rsidRPr="00FB66C8">
        <w:rPr>
          <w:b/>
          <w:noProof/>
        </w:rPr>
        <w:t>Eurostat</w:t>
      </w:r>
      <w:r w:rsidRPr="00FB66C8">
        <w:rPr>
          <w:noProof/>
        </w:rPr>
        <w:t xml:space="preserve"> (2021c) SBS data by NUTS 2 regions and NACE Rev. 2 16.03.2021 ed. Luxembourg: Eurostat. </w:t>
      </w:r>
    </w:p>
    <w:p w14:paraId="708AA02F" w14:textId="77777777" w:rsidR="00FB66C8" w:rsidRPr="00FB66C8" w:rsidRDefault="00FB66C8" w:rsidP="00FB66C8">
      <w:pPr>
        <w:pStyle w:val="EndNoteBibliography"/>
        <w:ind w:left="720" w:hanging="720"/>
        <w:rPr>
          <w:noProof/>
        </w:rPr>
      </w:pPr>
      <w:r w:rsidRPr="00FB66C8">
        <w:rPr>
          <w:b/>
          <w:noProof/>
        </w:rPr>
        <w:t>IRENA</w:t>
      </w:r>
      <w:r w:rsidRPr="00FB66C8">
        <w:rPr>
          <w:noProof/>
        </w:rPr>
        <w:t xml:space="preserve"> (2020) Renewable Energy Employment by Country. </w:t>
      </w:r>
      <w:r w:rsidRPr="00FB66C8">
        <w:rPr>
          <w:i/>
          <w:noProof/>
        </w:rPr>
        <w:t xml:space="preserve">Renewable Energy and Jobs - Annual Review 2020. </w:t>
      </w:r>
      <w:r w:rsidRPr="00FB66C8">
        <w:rPr>
          <w:noProof/>
        </w:rPr>
        <w:t xml:space="preserve">September 2020 ed. Masdar City: International Renewable Energy Agency. </w:t>
      </w:r>
    </w:p>
    <w:p w14:paraId="37889470" w14:textId="77777777" w:rsidR="00FB66C8" w:rsidRPr="00FB66C8" w:rsidRDefault="00FB66C8" w:rsidP="00FB66C8">
      <w:pPr>
        <w:pStyle w:val="EndNoteBibliography"/>
        <w:ind w:left="720" w:hanging="720"/>
        <w:rPr>
          <w:noProof/>
        </w:rPr>
      </w:pPr>
      <w:r w:rsidRPr="00FB66C8">
        <w:rPr>
          <w:b/>
          <w:noProof/>
        </w:rPr>
        <w:t>Yearwood J et al.</w:t>
      </w:r>
      <w:r w:rsidRPr="00FB66C8">
        <w:rPr>
          <w:noProof/>
        </w:rPr>
        <w:t xml:space="preserve"> (2020) Study on energy costs, taxes and the impact of government interventions on investments - Country subsidy factsheets. Luxembourg: European Commission. </w:t>
      </w:r>
    </w:p>
    <w:p w14:paraId="7CF27FFE" w14:textId="7CB49A18" w:rsidR="00FB66C8" w:rsidRPr="00FB66C8" w:rsidRDefault="00FB66C8" w:rsidP="00FB66C8">
      <w:pPr>
        <w:rPr>
          <w:lang w:val="en-US"/>
        </w:rPr>
      </w:pPr>
      <w:r>
        <w:fldChar w:fldCharType="end"/>
      </w:r>
    </w:p>
    <w:p w14:paraId="4A0D1EA0" w14:textId="77777777" w:rsidR="004102FB" w:rsidRPr="00FB66C8" w:rsidRDefault="004102FB">
      <w:pPr>
        <w:rPr>
          <w:lang w:val="en-US"/>
        </w:rPr>
      </w:pPr>
    </w:p>
    <w:sectPr w:rsidR="004102FB" w:rsidRPr="00FB66C8" w:rsidSect="00C201E3">
      <w:headerReference w:type="default" r:id="rId9"/>
      <w:footerReference w:type="even" r:id="rId10"/>
      <w:footerReference w:type="defaul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66D5" w14:textId="77777777" w:rsidR="003931CE" w:rsidRDefault="003931CE" w:rsidP="00254F6A">
      <w:r>
        <w:separator/>
      </w:r>
    </w:p>
  </w:endnote>
  <w:endnote w:type="continuationSeparator" w:id="0">
    <w:p w14:paraId="0FCE6A11" w14:textId="77777777" w:rsidR="003931CE" w:rsidRDefault="003931CE" w:rsidP="0025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53043725"/>
      <w:docPartObj>
        <w:docPartGallery w:val="Page Numbers (Bottom of Page)"/>
        <w:docPartUnique/>
      </w:docPartObj>
    </w:sdtPr>
    <w:sdtContent>
      <w:p w14:paraId="7CD4D02D" w14:textId="2E6BBCF1" w:rsidR="00254F6A" w:rsidRDefault="00254F6A" w:rsidP="00254F6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9F59153" w14:textId="77777777" w:rsidR="00254F6A" w:rsidRDefault="00254F6A" w:rsidP="00254F6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75970107"/>
      <w:docPartObj>
        <w:docPartGallery w:val="Page Numbers (Bottom of Page)"/>
        <w:docPartUnique/>
      </w:docPartObj>
    </w:sdtPr>
    <w:sdtContent>
      <w:p w14:paraId="6F7BF026" w14:textId="27F7904D" w:rsidR="00254F6A" w:rsidRDefault="00254F6A" w:rsidP="00254F6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DA2F41D" w14:textId="77777777" w:rsidR="00254F6A" w:rsidRDefault="00254F6A" w:rsidP="00254F6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3D4B" w14:textId="77777777" w:rsidR="003931CE" w:rsidRDefault="003931CE" w:rsidP="00254F6A">
      <w:r>
        <w:separator/>
      </w:r>
    </w:p>
  </w:footnote>
  <w:footnote w:type="continuationSeparator" w:id="0">
    <w:p w14:paraId="1241B1E7" w14:textId="77777777" w:rsidR="003931CE" w:rsidRDefault="003931CE" w:rsidP="0025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5C4C" w14:textId="77777777" w:rsidR="00A45F1E" w:rsidRPr="00A45F1E" w:rsidRDefault="00A45F1E" w:rsidP="00A45F1E">
    <w:pPr>
      <w:ind w:left="142" w:right="277"/>
      <w:jc w:val="both"/>
      <w:rPr>
        <w:rFonts w:cstheme="minorHAnsi"/>
        <w:b/>
        <w:bCs/>
        <w:lang w:val="en-GB"/>
      </w:rPr>
    </w:pPr>
    <w:r w:rsidRPr="00A45F1E">
      <w:rPr>
        <w:rFonts w:cstheme="minorHAnsi"/>
        <w:b/>
        <w:bCs/>
        <w:lang w:val="en-GB"/>
      </w:rPr>
      <w:t xml:space="preserve">Supplementary material to Rafael </w:t>
    </w:r>
    <w:proofErr w:type="spellStart"/>
    <w:r w:rsidRPr="00A45F1E">
      <w:rPr>
        <w:rFonts w:cstheme="minorHAnsi"/>
        <w:b/>
        <w:bCs/>
        <w:lang w:val="en-GB"/>
      </w:rPr>
      <w:t>Labanino</w:t>
    </w:r>
    <w:proofErr w:type="spellEnd"/>
    <w:r w:rsidRPr="00A45F1E">
      <w:rPr>
        <w:rFonts w:cstheme="minorHAnsi"/>
        <w:b/>
        <w:bCs/>
        <w:lang w:val="en-GB"/>
      </w:rPr>
      <w:t xml:space="preserve"> and Michael Dobbins (2023): The Macro-Political Context and Interest Groups’ Access to Policymakers, </w:t>
    </w:r>
    <w:r w:rsidRPr="00A45F1E">
      <w:rPr>
        <w:rFonts w:cstheme="minorHAnsi"/>
        <w:b/>
        <w:bCs/>
        <w:i/>
        <w:iCs/>
        <w:lang w:val="en-GB"/>
      </w:rPr>
      <w:t xml:space="preserve">Government and Opposition </w:t>
    </w:r>
  </w:p>
  <w:p w14:paraId="7058E31E" w14:textId="77777777" w:rsidR="00A45F1E" w:rsidRPr="00A45F1E" w:rsidRDefault="00A45F1E">
    <w:pPr>
      <w:pStyle w:val="Kopfzeil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201E3"/>
    <w:rsid w:val="000171C3"/>
    <w:rsid w:val="0003328A"/>
    <w:rsid w:val="00035F52"/>
    <w:rsid w:val="00096440"/>
    <w:rsid w:val="000A6DC0"/>
    <w:rsid w:val="000B3CDF"/>
    <w:rsid w:val="000F537B"/>
    <w:rsid w:val="001071FF"/>
    <w:rsid w:val="00133C03"/>
    <w:rsid w:val="0014249E"/>
    <w:rsid w:val="001D4676"/>
    <w:rsid w:val="001D7514"/>
    <w:rsid w:val="00213C4D"/>
    <w:rsid w:val="00254F6A"/>
    <w:rsid w:val="002A7603"/>
    <w:rsid w:val="00391842"/>
    <w:rsid w:val="003931CE"/>
    <w:rsid w:val="003C1043"/>
    <w:rsid w:val="004102FB"/>
    <w:rsid w:val="00411248"/>
    <w:rsid w:val="00445551"/>
    <w:rsid w:val="00472C93"/>
    <w:rsid w:val="004929BD"/>
    <w:rsid w:val="004C77A5"/>
    <w:rsid w:val="00530104"/>
    <w:rsid w:val="00534173"/>
    <w:rsid w:val="005E772E"/>
    <w:rsid w:val="006076C9"/>
    <w:rsid w:val="006437F4"/>
    <w:rsid w:val="0065716F"/>
    <w:rsid w:val="00673BCD"/>
    <w:rsid w:val="0069708A"/>
    <w:rsid w:val="006A0778"/>
    <w:rsid w:val="006A6F62"/>
    <w:rsid w:val="006C707C"/>
    <w:rsid w:val="006D6E87"/>
    <w:rsid w:val="00706EEC"/>
    <w:rsid w:val="00783F50"/>
    <w:rsid w:val="00784C81"/>
    <w:rsid w:val="0079474A"/>
    <w:rsid w:val="007B5BB3"/>
    <w:rsid w:val="007B5C5F"/>
    <w:rsid w:val="00803557"/>
    <w:rsid w:val="00804167"/>
    <w:rsid w:val="008C7E1D"/>
    <w:rsid w:val="008D472B"/>
    <w:rsid w:val="008F02C8"/>
    <w:rsid w:val="008F3238"/>
    <w:rsid w:val="008F639D"/>
    <w:rsid w:val="00945C5D"/>
    <w:rsid w:val="00947917"/>
    <w:rsid w:val="009751B8"/>
    <w:rsid w:val="0098412B"/>
    <w:rsid w:val="009D13AA"/>
    <w:rsid w:val="009E01D0"/>
    <w:rsid w:val="00A12C0A"/>
    <w:rsid w:val="00A36B29"/>
    <w:rsid w:val="00A45F1E"/>
    <w:rsid w:val="00A517A6"/>
    <w:rsid w:val="00A5479E"/>
    <w:rsid w:val="00A709A1"/>
    <w:rsid w:val="00A82DE5"/>
    <w:rsid w:val="00A84244"/>
    <w:rsid w:val="00AB36D3"/>
    <w:rsid w:val="00AC227A"/>
    <w:rsid w:val="00AD080F"/>
    <w:rsid w:val="00AF4CA5"/>
    <w:rsid w:val="00AF7C57"/>
    <w:rsid w:val="00B274E0"/>
    <w:rsid w:val="00B52C54"/>
    <w:rsid w:val="00BA0F2B"/>
    <w:rsid w:val="00BD6DAA"/>
    <w:rsid w:val="00BD7B8D"/>
    <w:rsid w:val="00BE7E91"/>
    <w:rsid w:val="00C01097"/>
    <w:rsid w:val="00C07A89"/>
    <w:rsid w:val="00C201E3"/>
    <w:rsid w:val="00C70077"/>
    <w:rsid w:val="00C72F56"/>
    <w:rsid w:val="00CB3BF4"/>
    <w:rsid w:val="00D015C6"/>
    <w:rsid w:val="00D32786"/>
    <w:rsid w:val="00D40671"/>
    <w:rsid w:val="00D73E6E"/>
    <w:rsid w:val="00DB0373"/>
    <w:rsid w:val="00DD7E0D"/>
    <w:rsid w:val="00DE2A1D"/>
    <w:rsid w:val="00DE3657"/>
    <w:rsid w:val="00E34545"/>
    <w:rsid w:val="00E91B6A"/>
    <w:rsid w:val="00F8241A"/>
    <w:rsid w:val="00FB6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64BB"/>
  <w15:chartTrackingRefBased/>
  <w15:docId w15:val="{76A2A579-583A-CA45-9C81-8ECFCC3D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01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6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FB66C8"/>
    <w:rPr>
      <w:rFonts w:cs="Open Sans"/>
      <w:b/>
      <w:bCs/>
      <w:color w:val="000000"/>
      <w:sz w:val="10"/>
      <w:szCs w:val="10"/>
    </w:rPr>
  </w:style>
  <w:style w:type="paragraph" w:customStyle="1" w:styleId="EndNoteBibliography">
    <w:name w:val="EndNote Bibliography"/>
    <w:basedOn w:val="Standard"/>
    <w:link w:val="EndNoteBibliographyZchn"/>
    <w:rsid w:val="00FB66C8"/>
    <w:rPr>
      <w:rFonts w:ascii="Calibri" w:hAnsi="Calibri" w:cs="Calibri"/>
      <w:lang w:val="en-US"/>
    </w:rPr>
  </w:style>
  <w:style w:type="character" w:customStyle="1" w:styleId="EndNoteBibliographyZchn">
    <w:name w:val="EndNote Bibliography Zchn"/>
    <w:basedOn w:val="Absatz-Standardschriftart"/>
    <w:link w:val="EndNoteBibliography"/>
    <w:rsid w:val="00FB66C8"/>
    <w:rPr>
      <w:rFonts w:ascii="Calibri" w:hAnsi="Calibri" w:cs="Calibri"/>
      <w:lang w:val="en-US"/>
    </w:rPr>
  </w:style>
  <w:style w:type="paragraph" w:customStyle="1" w:styleId="EndNoteBibliographyTitle">
    <w:name w:val="EndNote Bibliography Title"/>
    <w:basedOn w:val="Standard"/>
    <w:link w:val="EndNoteBibliographyTitleZchn"/>
    <w:rsid w:val="00FB66C8"/>
    <w:pPr>
      <w:jc w:val="center"/>
    </w:pPr>
    <w:rPr>
      <w:rFonts w:ascii="Calibri" w:hAnsi="Calibri" w:cs="Calibri"/>
      <w:lang w:val="en-US"/>
    </w:rPr>
  </w:style>
  <w:style w:type="character" w:customStyle="1" w:styleId="EndNoteBibliographyTitleZchn">
    <w:name w:val="EndNote Bibliography Title Zchn"/>
    <w:basedOn w:val="Absatz-Standardschriftart"/>
    <w:link w:val="EndNoteBibliographyTitle"/>
    <w:rsid w:val="00FB66C8"/>
    <w:rPr>
      <w:rFonts w:ascii="Calibri" w:hAnsi="Calibri" w:cs="Calibri"/>
      <w:lang w:val="en-US"/>
    </w:rPr>
  </w:style>
  <w:style w:type="paragraph" w:styleId="Fuzeile">
    <w:name w:val="footer"/>
    <w:basedOn w:val="Standard"/>
    <w:link w:val="FuzeileZchn"/>
    <w:uiPriority w:val="99"/>
    <w:unhideWhenUsed/>
    <w:rsid w:val="00254F6A"/>
    <w:pPr>
      <w:tabs>
        <w:tab w:val="center" w:pos="4536"/>
        <w:tab w:val="right" w:pos="9072"/>
      </w:tabs>
    </w:pPr>
  </w:style>
  <w:style w:type="character" w:customStyle="1" w:styleId="FuzeileZchn">
    <w:name w:val="Fußzeile Zchn"/>
    <w:basedOn w:val="Absatz-Standardschriftart"/>
    <w:link w:val="Fuzeile"/>
    <w:uiPriority w:val="99"/>
    <w:rsid w:val="00254F6A"/>
  </w:style>
  <w:style w:type="character" w:styleId="Seitenzahl">
    <w:name w:val="page number"/>
    <w:basedOn w:val="Absatz-Standardschriftart"/>
    <w:uiPriority w:val="99"/>
    <w:semiHidden/>
    <w:unhideWhenUsed/>
    <w:rsid w:val="00254F6A"/>
  </w:style>
  <w:style w:type="paragraph" w:styleId="Kopfzeile">
    <w:name w:val="header"/>
    <w:basedOn w:val="Standard"/>
    <w:link w:val="KopfzeileZchn"/>
    <w:uiPriority w:val="99"/>
    <w:unhideWhenUsed/>
    <w:rsid w:val="00A45F1E"/>
    <w:pPr>
      <w:tabs>
        <w:tab w:val="center" w:pos="4536"/>
        <w:tab w:val="right" w:pos="9072"/>
      </w:tabs>
    </w:pPr>
  </w:style>
  <w:style w:type="character" w:customStyle="1" w:styleId="KopfzeileZchn">
    <w:name w:val="Kopfzeile Zchn"/>
    <w:basedOn w:val="Absatz-Standardschriftart"/>
    <w:link w:val="Kopfzeile"/>
    <w:uiPriority w:val="99"/>
    <w:rsid w:val="00A4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4743</Words>
  <Characters>29885</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Labanino-Sebestyen</dc:creator>
  <cp:keywords/>
  <dc:description/>
  <cp:lastModifiedBy>Rafael Labanino</cp:lastModifiedBy>
  <cp:revision>9</cp:revision>
  <dcterms:created xsi:type="dcterms:W3CDTF">2023-05-05T12:21:00Z</dcterms:created>
  <dcterms:modified xsi:type="dcterms:W3CDTF">2023-05-05T13:10:00Z</dcterms:modified>
</cp:coreProperties>
</file>