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9DFCC" w14:textId="673EBDE9" w:rsidR="00A77B3E" w:rsidRPr="004A6212" w:rsidRDefault="0020549D" w:rsidP="00D87291">
      <w:pPr>
        <w:pStyle w:val="Style-1"/>
        <w:widowControl/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LA-ICP-MS U-</w:t>
      </w:r>
      <w:r w:rsid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(</w:t>
      </w:r>
      <w:r w:rsidRP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Th-</w:t>
      </w:r>
      <w:r w:rsid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)</w:t>
      </w:r>
      <w:r w:rsidRP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Pb</w:t>
      </w:r>
      <w:r w:rsidR="00D87291" w:rsidRP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</w:t>
      </w:r>
      <w:r w:rsidRP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data</w:t>
      </w:r>
      <w:r w:rsid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analytical </w:t>
      </w:r>
      <w:proofErr w:type="gramStart"/>
      <w:r w:rsidR="004A6212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details</w:t>
      </w:r>
      <w:proofErr w:type="gramEnd"/>
    </w:p>
    <w:p w14:paraId="078B7B04" w14:textId="77777777" w:rsidR="00A77B3E" w:rsidRPr="004A6212" w:rsidRDefault="00A77B3E">
      <w:pPr>
        <w:pStyle w:val="Style-2"/>
        <w:widowControl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27" w:type="dxa"/>
        <w:tblLayout w:type="fixed"/>
        <w:tblLook w:val="0000" w:firstRow="0" w:lastRow="0" w:firstColumn="0" w:lastColumn="0" w:noHBand="0" w:noVBand="0"/>
      </w:tblPr>
      <w:tblGrid>
        <w:gridCol w:w="2242"/>
        <w:gridCol w:w="6685"/>
      </w:tblGrid>
      <w:tr w:rsidR="00A2640C" w:rsidRPr="004A6212" w14:paraId="53DBAEFE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CFAFD22" w14:textId="77777777" w:rsidR="00A2640C" w:rsidRPr="004A6212" w:rsidRDefault="00A2640C" w:rsidP="00A2640C">
            <w:pPr>
              <w:pStyle w:val="Style-3"/>
              <w:widowControl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Laboratory &amp; Sample Preparation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3CDA911" w14:textId="77777777" w:rsidR="00A2640C" w:rsidRPr="004A6212" w:rsidRDefault="00A2640C" w:rsidP="00A2640C">
            <w:pPr>
              <w:pStyle w:val="Style-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0C" w:rsidRPr="004A6212" w14:paraId="62E226D8" w14:textId="77777777" w:rsidTr="00A2640C">
        <w:trPr>
          <w:trHeight w:val="341"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51A7F" w14:textId="77777777" w:rsidR="00A2640C" w:rsidRPr="004A6212" w:rsidRDefault="00A2640C" w:rsidP="00A2640C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Laboratory name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633E8" w14:textId="2166E2A8" w:rsidR="00A2640C" w:rsidRPr="004A6212" w:rsidRDefault="00133C6A" w:rsidP="00A2640C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CNR-Istituto di Geoscienze e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Georisorse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U.O. Pavia (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Italy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)</w:t>
            </w:r>
          </w:p>
        </w:tc>
      </w:tr>
      <w:tr w:rsidR="00A2640C" w:rsidRPr="004A6212" w14:paraId="4A0061DE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904F6" w14:textId="77777777" w:rsidR="00A2640C" w:rsidRPr="004A6212" w:rsidRDefault="00A2640C" w:rsidP="00A2640C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Sample type/mineral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018B3" w14:textId="3D6FCEDF" w:rsidR="00A2640C" w:rsidRPr="004A6212" w:rsidRDefault="00133C6A" w:rsidP="00A2640C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Monazite and titanite</w:t>
            </w:r>
          </w:p>
        </w:tc>
      </w:tr>
      <w:tr w:rsidR="00133C6A" w:rsidRPr="004A6212" w14:paraId="1E0A1BD4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76F7F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Sample preparation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D198E" w14:textId="73E16D36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Polished thin section with a thickness of 30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sym w:font="Symbol" w:char="F06D"/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 and/or 50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sym w:font="Symbol" w:char="F06D"/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m.</w:t>
            </w:r>
          </w:p>
        </w:tc>
      </w:tr>
      <w:tr w:rsidR="00133C6A" w:rsidRPr="004A6212" w14:paraId="4BE93BBF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A532F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Imaging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5EA45" w14:textId="385AFE0E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BSE images with normal brightness/contrast setting and highly contrasted, MIRA3 TESCAN FE-SEM, 20kV, 16-17mm working distance</w:t>
            </w:r>
          </w:p>
        </w:tc>
      </w:tr>
      <w:tr w:rsidR="00133C6A" w:rsidRPr="004A6212" w14:paraId="5BE5720E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DA5F0B1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Laser ablation system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0F9C20" w14:textId="77777777" w:rsidR="00133C6A" w:rsidRPr="004A6212" w:rsidRDefault="00133C6A" w:rsidP="00133C6A">
            <w:pPr>
              <w:pStyle w:val="Style-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6A" w:rsidRPr="004A6212" w14:paraId="1D0E1321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57BA6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Make, Model &amp; type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54CBF" w14:textId="2F8198AF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Geolas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102 from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Microlas</w:t>
            </w:r>
            <w:proofErr w:type="spellEnd"/>
          </w:p>
        </w:tc>
      </w:tr>
      <w:tr w:rsidR="00133C6A" w:rsidRPr="004A6212" w14:paraId="427E300E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0A75D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Ablation cell &amp; volume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17479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In-house built low volume cell, volume ca. 4 cm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133C6A" w:rsidRPr="004A6212" w14:paraId="3C4F3696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66AB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Laser wavelength (nm)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8E252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193 nm</w:t>
            </w:r>
          </w:p>
        </w:tc>
      </w:tr>
      <w:tr w:rsidR="00133C6A" w:rsidRPr="004A6212" w14:paraId="0D8CC4B0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DE751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Pulse width (ns)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FEB90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4 ns</w:t>
            </w:r>
          </w:p>
        </w:tc>
      </w:tr>
      <w:tr w:rsidR="00133C6A" w:rsidRPr="004A6212" w14:paraId="10A94E74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25174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Fluence (J.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cm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-2</w:t>
            </w:r>
            <w:proofErr w:type="gram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BADDA" w14:textId="3F0DAAF4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7 J.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cm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-2</w:t>
            </w:r>
            <w:proofErr w:type="gramEnd"/>
          </w:p>
        </w:tc>
      </w:tr>
      <w:tr w:rsidR="00133C6A" w:rsidRPr="004A6212" w14:paraId="3A5CEF9A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36BD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Repetition rate (Hz)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CFDAF" w14:textId="42FC5271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3 Hz for monazite; 5 Hz for titanite</w:t>
            </w:r>
          </w:p>
        </w:tc>
      </w:tr>
      <w:tr w:rsidR="00133C6A" w:rsidRPr="004A6212" w14:paraId="6E9566FF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0B64C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Ablation duration (secs)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E42CD" w14:textId="1A42E71C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40 secs</w:t>
            </w:r>
          </w:p>
        </w:tc>
      </w:tr>
      <w:tr w:rsidR="00133C6A" w:rsidRPr="004A6212" w14:paraId="50337442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D2B2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Ablation pit depth / ablation rate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CCA23" w14:textId="16079AEF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Not measured</w:t>
            </w:r>
          </w:p>
        </w:tc>
      </w:tr>
      <w:tr w:rsidR="00133C6A" w:rsidRPr="004A6212" w14:paraId="34ED3F58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FF61F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Spot diameter (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m) nominal/actual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1DD8D" w14:textId="34FE87B5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m for monazite; 25 or 35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m for titanite</w:t>
            </w:r>
          </w:p>
        </w:tc>
      </w:tr>
      <w:tr w:rsidR="00133C6A" w:rsidRPr="004A6212" w14:paraId="45645323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3D3A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Sampling mode / pattern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ABE54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Static spot ablation</w:t>
            </w:r>
          </w:p>
        </w:tc>
      </w:tr>
      <w:tr w:rsidR="00133C6A" w:rsidRPr="004A6212" w14:paraId="70806413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64F84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Carrier gas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540B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100% He in the cell,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Ar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make-up gas combined using a Y-piece 50% along the sample transport line to the torch.</w:t>
            </w:r>
          </w:p>
        </w:tc>
      </w:tr>
      <w:tr w:rsidR="00133C6A" w:rsidRPr="004A6212" w14:paraId="1BFD9E69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C2491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Cell carrier gas flow (l/min)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3854D" w14:textId="7A8C36A9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0.44 l/min</w:t>
            </w:r>
          </w:p>
        </w:tc>
      </w:tr>
      <w:tr w:rsidR="00133C6A" w:rsidRPr="004A6212" w14:paraId="04B2970A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BB2E7E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ICP-MS Instrument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97766E1" w14:textId="77777777" w:rsidR="00133C6A" w:rsidRPr="004A6212" w:rsidRDefault="00133C6A" w:rsidP="00133C6A">
            <w:pPr>
              <w:pStyle w:val="Style-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6A" w:rsidRPr="004A6212" w14:paraId="7956425F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9112E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Make, Model &amp; type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4F48B" w14:textId="4E2B5FD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Agilent 8900 ICP-MS</w:t>
            </w:r>
          </w:p>
        </w:tc>
      </w:tr>
      <w:tr w:rsidR="00133C6A" w:rsidRPr="004A6212" w14:paraId="4B962C09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D3A75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Sample introduction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895C3" w14:textId="39CEC3FF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Ablation aerosol (sample + He +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Ar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133C6A" w:rsidRPr="004A6212" w14:paraId="187E3952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4391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RF power (W)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E65A5" w14:textId="64ACC90E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1250W</w:t>
            </w:r>
          </w:p>
        </w:tc>
      </w:tr>
      <w:tr w:rsidR="00133C6A" w:rsidRPr="004A6212" w14:paraId="0E9CE47D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9B21E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Make-up gas flow (l/min)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2ECA3" w14:textId="0AFB42C5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0.44 l/min He + 0.91 l/min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Ar</w:t>
            </w:r>
            <w:proofErr w:type="spellEnd"/>
          </w:p>
        </w:tc>
      </w:tr>
      <w:tr w:rsidR="00133C6A" w:rsidRPr="004A6212" w14:paraId="348B6825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63686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Detection system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6857B" w14:textId="58A10836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Single quadrupole, </w:t>
            </w:r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>dual detection</w:t>
            </w:r>
            <w:r w:rsidR="00B920CA" w:rsidRPr="004A6212">
              <w:rPr>
                <w:rFonts w:ascii="Arial" w:hAnsi="Arial" w:cs="Arial"/>
                <w:color w:val="000000"/>
                <w:sz w:val="24"/>
                <w:szCs w:val="24"/>
              </w:rPr>
              <w:t>, no-gas mode</w:t>
            </w:r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3C6A" w:rsidRPr="004A6212" w14:paraId="40D77598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7309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Masses measured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AD975" w14:textId="198C509E" w:rsidR="00133C6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Monazite: 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>202-20</w:t>
            </w:r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>, 23</w:t>
            </w:r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proofErr w:type="gramEnd"/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016C516F" w14:textId="77777777" w:rsidR="00B920C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17F6F23" w14:textId="71D0248D" w:rsidR="00F371AC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titanite: </w:t>
            </w:r>
            <w:r w:rsidR="00EC2726" w:rsidRPr="004A6212">
              <w:rPr>
                <w:rFonts w:ascii="Arial" w:hAnsi="Arial" w:cs="Arial"/>
                <w:color w:val="000000"/>
                <w:sz w:val="24"/>
                <w:szCs w:val="24"/>
              </w:rPr>
              <w:t>27, 29, 31, 43, 44, 49, 51, 55, 57, 89, 90, 93, 139, 140, 141, 146, 149, 151, 157, 159, 163, 165, 167, 169, 173, 175, 177, 198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, 202-208</w:t>
            </w:r>
            <w:r w:rsidR="00EC2726" w:rsidRPr="004A6212">
              <w:rPr>
                <w:rFonts w:ascii="Arial" w:hAnsi="Arial" w:cs="Arial"/>
                <w:color w:val="000000"/>
                <w:sz w:val="24"/>
                <w:szCs w:val="24"/>
              </w:rPr>
              <w:t>, 232, 238 for titanite</w:t>
            </w:r>
          </w:p>
        </w:tc>
      </w:tr>
      <w:tr w:rsidR="00133C6A" w:rsidRPr="004A6212" w14:paraId="5CABAA6F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72701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Integration time per peak/dwell times (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ms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); quadrupole settling time between mass jumps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B1533" w14:textId="634A377E" w:rsidR="00133C6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Monazite: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202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Hg (50),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204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Pb (150),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Pb (20),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Pb (40),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208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Pb (10),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232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 (2), and 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>U (20</w:t>
            </w:r>
            <w:proofErr w:type="gramStart"/>
            <w:r w:rsidR="00F371AC" w:rsidRPr="004A6212"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proofErr w:type="gramEnd"/>
          </w:p>
          <w:p w14:paraId="2144757B" w14:textId="77777777" w:rsidR="00B920C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302297" w14:textId="08E62DF4" w:rsidR="0047391B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titanite: 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Al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Si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P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31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Ca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43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Ca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44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Ti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49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V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51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Mn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55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Fe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57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(3), Y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89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Zr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90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Nb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93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La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139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Ce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140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Pr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141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Nd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146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Sm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149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Eu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151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Gd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157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Tb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159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Dy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163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Ho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165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Er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167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Tm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169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Yb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173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Lu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175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Hf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177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Hg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198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Hg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202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Pb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204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(5), Pb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(30), Pb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(45), Pb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208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(15), Th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232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(10), U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="0047391B" w:rsidRPr="004A6212">
              <w:rPr>
                <w:rFonts w:ascii="Arial" w:hAnsi="Arial" w:cs="Arial"/>
                <w:color w:val="000000"/>
                <w:sz w:val="24"/>
                <w:szCs w:val="24"/>
              </w:rPr>
              <w:t>(10).</w:t>
            </w:r>
          </w:p>
        </w:tc>
      </w:tr>
      <w:tr w:rsidR="00133C6A" w:rsidRPr="004A6212" w14:paraId="701615E7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64B4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Total integration time per output datapoint (secs)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2AC4D" w14:textId="7BB37E24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~</w:t>
            </w:r>
            <w:r w:rsidR="00F371AC" w:rsidRPr="004A6212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0128C8" w:rsidRPr="004A6212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secs</w:t>
            </w:r>
            <w:r w:rsidR="000128C8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for monazite; ~0.3secs for titanite</w:t>
            </w:r>
          </w:p>
          <w:p w14:paraId="4648C0B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(N.B. this should represent the time resolution of the data)</w:t>
            </w:r>
          </w:p>
        </w:tc>
      </w:tr>
      <w:tr w:rsidR="00133C6A" w:rsidRPr="004A6212" w14:paraId="04C97266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32E90" w14:textId="1A288A0D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‘Sensitivity’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29560" w14:textId="2044D204" w:rsidR="00133C6A" w:rsidRPr="004A6212" w:rsidRDefault="00EC2726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9000 cps of Th on NIST612</w:t>
            </w:r>
          </w:p>
        </w:tc>
      </w:tr>
      <w:tr w:rsidR="00133C6A" w:rsidRPr="004A6212" w14:paraId="0DB4EA08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66389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IC Dead time (ns)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54641" w14:textId="244754DD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3C6A" w:rsidRPr="004A6212" w14:paraId="3E7A4CBB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82F425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Data Processing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ADD14F8" w14:textId="77777777" w:rsidR="00133C6A" w:rsidRPr="004A6212" w:rsidRDefault="00133C6A" w:rsidP="00133C6A">
            <w:pPr>
              <w:pStyle w:val="Style-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6A" w:rsidRPr="004A6212" w14:paraId="561AD223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E654B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Gas blank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0D367" w14:textId="1D6DE0A9" w:rsidR="00F26491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30 second </w:t>
            </w:r>
            <w:r w:rsidR="00F26491" w:rsidRPr="004A6212">
              <w:rPr>
                <w:rFonts w:ascii="Arial" w:hAnsi="Arial" w:cs="Arial"/>
                <w:color w:val="000000"/>
                <w:sz w:val="24"/>
                <w:szCs w:val="24"/>
              </w:rPr>
              <w:t>before and after ablation</w:t>
            </w:r>
          </w:p>
        </w:tc>
      </w:tr>
      <w:tr w:rsidR="00133C6A" w:rsidRPr="004A6212" w14:paraId="00F78B62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C59A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Calibration strategy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8BEB9" w14:textId="0FF58216" w:rsidR="00EC2726" w:rsidRPr="004A6212" w:rsidRDefault="00EC2726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MOACIR and MKED-1</w:t>
            </w:r>
            <w:r w:rsidR="000128C8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were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used as primary reference material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 for monazite and titanite dating</w:t>
            </w:r>
            <w:r w:rsidR="000128C8" w:rsidRPr="004A6212">
              <w:rPr>
                <w:rFonts w:ascii="Arial" w:hAnsi="Arial" w:cs="Arial"/>
                <w:color w:val="000000"/>
                <w:sz w:val="24"/>
                <w:szCs w:val="24"/>
              </w:rPr>
              <w:t>, respectively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6DD89A58" w14:textId="2B4F5262" w:rsidR="00EC2726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44069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monazite</w:t>
            </w:r>
            <w:proofErr w:type="gram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Aleinikoff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al., 2006; Liu et al., 2012) was analysed as secondary/validation standard.</w:t>
            </w:r>
          </w:p>
          <w:p w14:paraId="3551A82F" w14:textId="77777777" w:rsidR="00B920C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AB7DD87" w14:textId="64E25BA2" w:rsidR="00B920CA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Titanite trace elements:</w:t>
            </w:r>
          </w:p>
          <w:p w14:paraId="4ABA3725" w14:textId="77777777" w:rsidR="00B920CA" w:rsidRPr="004A6212" w:rsidRDefault="00B920CA" w:rsidP="00B920C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NIST610 was used as primary reference materials for titanite trace element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characterization</w:t>
            </w:r>
            <w:proofErr w:type="gramEnd"/>
          </w:p>
          <w:p w14:paraId="3507A2A6" w14:textId="18ADF070" w:rsidR="00B920CA" w:rsidRPr="004A6212" w:rsidRDefault="00F26491" w:rsidP="00B920C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MKED-1 and TTN150 (Klemme et al., 2008) were analysed 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>as secondaries/validation</w:t>
            </w:r>
          </w:p>
        </w:tc>
      </w:tr>
      <w:tr w:rsidR="00133C6A" w:rsidRPr="004A6212" w14:paraId="31FEA15C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AD03F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Reference Material info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257A9" w14:textId="3BD7D64B" w:rsidR="00F26491" w:rsidRPr="004A6212" w:rsidRDefault="00F26491" w:rsidP="00F26491">
            <w:pPr>
              <w:pStyle w:val="Style-3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MOACIR monazite: Cruz et al. 1996; Seydoux-Guillaume</w:t>
            </w:r>
          </w:p>
          <w:p w14:paraId="6D79CD07" w14:textId="4962A66E" w:rsidR="00F26491" w:rsidRPr="004A6212" w:rsidRDefault="00F26491" w:rsidP="00F26491">
            <w:pPr>
              <w:pStyle w:val="Style-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et al. </w:t>
            </w:r>
            <w:r w:rsidR="00B920CA" w:rsidRPr="004A621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2002a, b)</w:t>
            </w:r>
            <w:r w:rsidR="00B920CA"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considering the values, re-calibrated for</w:t>
            </w:r>
          </w:p>
          <w:p w14:paraId="74BB6F30" w14:textId="77777777" w:rsidR="00F26491" w:rsidRPr="004A6212" w:rsidRDefault="00F26491" w:rsidP="00F26491">
            <w:pPr>
              <w:pStyle w:val="Style-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isotopic disequilibrium, reported by Gasquet et al. (2010).</w:t>
            </w:r>
          </w:p>
          <w:p w14:paraId="77702035" w14:textId="075C6EB2" w:rsidR="00F26491" w:rsidRPr="004A6212" w:rsidRDefault="00B920C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44069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monazite</w:t>
            </w:r>
            <w:proofErr w:type="gram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Aleinikoff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(2006) with the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Th values after Liu et al. (2012);</w:t>
            </w:r>
          </w:p>
          <w:p w14:paraId="780FD660" w14:textId="77777777" w:rsidR="00F26491" w:rsidRPr="004A6212" w:rsidRDefault="00F26491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B3AC375" w14:textId="77777777" w:rsidR="00F26491" w:rsidRPr="004A6212" w:rsidRDefault="000128C8" w:rsidP="00B920C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MKED</w:t>
            </w:r>
            <w:r w:rsidR="00F26491" w:rsidRPr="004A6212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F26491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titanite</w:t>
            </w:r>
            <w:r w:rsidR="00B920CA" w:rsidRPr="004A6212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Spandler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</w:t>
            </w:r>
            <w:r w:rsidR="00B920CA" w:rsidRPr="004A6212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2016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515207"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proofErr w:type="gramEnd"/>
          </w:p>
          <w:p w14:paraId="15584BC9" w14:textId="0541CC92" w:rsidR="00515207" w:rsidRPr="004A6212" w:rsidRDefault="00515207" w:rsidP="00515207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Bear Lake and Khan River titanite: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Mazoz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(2022).</w:t>
            </w:r>
          </w:p>
          <w:p w14:paraId="05DC59AF" w14:textId="77777777" w:rsidR="00515207" w:rsidRPr="004A6212" w:rsidRDefault="00515207" w:rsidP="00515207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065F1EC" w14:textId="1D9208D1" w:rsidR="00515207" w:rsidRPr="004A6212" w:rsidRDefault="00515207" w:rsidP="00515207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3C6A" w:rsidRPr="004A6212" w14:paraId="34C7AB2C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109DC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Data processing package used / Correction for LIEF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DE9B7" w14:textId="77777777" w:rsidR="0092384B" w:rsidRPr="004A6212" w:rsidRDefault="0092384B" w:rsidP="0092384B">
            <w:pPr>
              <w:pStyle w:val="Style-3"/>
              <w:widowControl/>
              <w:rPr>
                <w:rFonts w:ascii="Arial" w:hAnsi="Arial" w:cs="Arial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GLITTER </w:t>
            </w:r>
            <w:r w:rsidRPr="004A6212">
              <w:rPr>
                <w:rFonts w:ascii="Arial" w:hAnsi="Arial" w:cs="Arial"/>
                <w:sz w:val="24"/>
                <w:szCs w:val="24"/>
                <w:lang w:eastAsia="fr-FR"/>
              </w:rPr>
              <w:t xml:space="preserve">®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(van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Achterbergh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al., 2001)</w:t>
            </w:r>
          </w:p>
          <w:p w14:paraId="416402AE" w14:textId="6C0717EE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3C6A" w:rsidRPr="004A6212" w14:paraId="59B1E201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E8847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Mass discrimination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F0F11" w14:textId="589CAED6" w:rsidR="00133C6A" w:rsidRPr="004A6212" w:rsidRDefault="0092384B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Standard-sample bracketing with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Pb,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U and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Th normalized to reference material</w:t>
            </w:r>
          </w:p>
        </w:tc>
      </w:tr>
      <w:tr w:rsidR="00133C6A" w:rsidRPr="004A6212" w14:paraId="22433103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8309C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Common-Pb correction,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composition</w:t>
            </w:r>
            <w:proofErr w:type="gram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and uncertainty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D87E5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No common-Pb correction applied to the data.</w:t>
            </w:r>
          </w:p>
        </w:tc>
      </w:tr>
      <w:tr w:rsidR="00133C6A" w:rsidRPr="004A6212" w14:paraId="0F528C2D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C0B3F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Uncertainty level &amp; propagation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82A7A" w14:textId="48A5C075" w:rsidR="00133C6A" w:rsidRPr="004A6212" w:rsidRDefault="0092384B" w:rsidP="0092384B">
            <w:pPr>
              <w:pStyle w:val="Style-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Ages are quoted at 2sigma absolute, propagation is by quadratic addition according to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Horstwood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(2003). Reproducibility and age uncertainty of reference material are propagated.</w:t>
            </w:r>
          </w:p>
        </w:tc>
      </w:tr>
      <w:tr w:rsidR="00133C6A" w:rsidRPr="004A6212" w14:paraId="16FF325F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84594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Quality control / Validation</w:t>
            </w: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FF83F" w14:textId="13E27907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44069 monazite (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Aleinikoff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al., 2006):</w:t>
            </w:r>
            <w:r w:rsidR="00133C6A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average ratio ± 1sigma;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precision(</w:t>
            </w:r>
            <w:proofErr w:type="gram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%); accuracy(%)</w:t>
            </w:r>
          </w:p>
          <w:p w14:paraId="330EEC4F" w14:textId="36E01C0D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Pb: 0,0538±0,0014; 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2.2%;</w:t>
            </w:r>
            <w:proofErr w:type="gramEnd"/>
          </w:p>
          <w:p w14:paraId="4BE97D14" w14:textId="72231711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235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U: 0,5070±0,0132; 2.1%; 2.45%</w:t>
            </w:r>
            <w:r w:rsidR="00075514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(a)</w:t>
            </w:r>
          </w:p>
          <w:p w14:paraId="6949FB16" w14:textId="3976B35A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U: 0,0683±0,0007; 1.4%; 0.33%</w:t>
            </w:r>
            <w:r w:rsidR="00075514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(a)</w:t>
            </w:r>
          </w:p>
          <w:p w14:paraId="43A2F0AF" w14:textId="3C6DB50A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Th: 0,0219±0,0002; 3.6%; 4.88%</w:t>
            </w:r>
            <w:r w:rsidR="00075514"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(b)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3A1418A1" w14:textId="43DA8980" w:rsidR="004511BA" w:rsidRPr="004A6212" w:rsidRDefault="00075514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Data for the accuracy are from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Aleinikoff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(2006) for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(a)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and Liu et al. (2012) for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(b)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B076DD3" w14:textId="5CF83B9F" w:rsidR="004511BA" w:rsidRPr="004A6212" w:rsidRDefault="004511B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Precision: 2.2%</w:t>
            </w:r>
          </w:p>
          <w:p w14:paraId="3FF2378D" w14:textId="70AF9581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Wtd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ave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 age = 338 ± 3 (2</w:t>
            </w:r>
            <w:r w:rsidRPr="004A6212">
              <w:rPr>
                <w:rFonts w:ascii="Arial" w:hAnsi="Arial" w:cs="Arial"/>
                <w:i/>
                <w:color w:val="000000"/>
                <w:sz w:val="24"/>
                <w:szCs w:val="24"/>
              </w:rPr>
              <w:t>s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, MSWD = 0.9, n=8)</w:t>
            </w:r>
          </w:p>
          <w:p w14:paraId="4A49EE92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GJ-1 –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Wtd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ave</w:t>
            </w:r>
            <w:proofErr w:type="spellEnd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 age = 602 ± 5 (2</w:t>
            </w:r>
            <w:r w:rsidRPr="004A6212">
              <w:rPr>
                <w:rFonts w:ascii="Arial" w:hAnsi="Arial" w:cs="Arial"/>
                <w:i/>
                <w:color w:val="000000"/>
                <w:sz w:val="24"/>
                <w:szCs w:val="24"/>
              </w:rPr>
              <w:t>s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, MSWD = 1.1, n=7)</w:t>
            </w:r>
          </w:p>
          <w:p w14:paraId="2BC920B0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Systematic uncertainty for propagation is 2% (2</w:t>
            </w:r>
            <w:r w:rsidRPr="004A6212">
              <w:rPr>
                <w:rFonts w:ascii="Arial" w:hAnsi="Arial" w:cs="Arial"/>
                <w:i/>
                <w:color w:val="000000"/>
                <w:sz w:val="24"/>
                <w:szCs w:val="24"/>
              </w:rPr>
              <w:t>s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07CC6015" w14:textId="77777777" w:rsidR="00623A1A" w:rsidRPr="004A6212" w:rsidRDefault="00623A1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DE63D27" w14:textId="0C2AAE10" w:rsidR="003938CB" w:rsidRPr="004A6212" w:rsidRDefault="00623A1A" w:rsidP="00623A1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Bear Lake titanite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: average ratio ± 1sigma; precision</w:t>
            </w:r>
            <w:r w:rsidR="00515207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(%); accuracy</w:t>
            </w:r>
            <w:r w:rsidR="00515207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(%)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. Accuracy is measured with respect to the reference value proposed by </w:t>
            </w:r>
            <w:proofErr w:type="spellStart"/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Mazoz</w:t>
            </w:r>
            <w:proofErr w:type="spellEnd"/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(2022).</w:t>
            </w:r>
          </w:p>
          <w:p w14:paraId="26287349" w14:textId="13116898" w:rsidR="00623A1A" w:rsidRPr="004A6212" w:rsidRDefault="00623A1A" w:rsidP="00623A1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Pb: 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11314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0014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1.31%; </w:t>
            </w:r>
            <w:proofErr w:type="gramStart"/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B05130" w:rsidRPr="004A6212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%;</w:t>
            </w:r>
            <w:proofErr w:type="gramEnd"/>
          </w:p>
          <w:p w14:paraId="3611DEF4" w14:textId="7860E53E" w:rsidR="00623A1A" w:rsidRPr="004A6212" w:rsidRDefault="00623A1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235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U: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3.08732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8049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; 2.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1%;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-3.57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  <w:p w14:paraId="19D62049" w14:textId="6BC1F796" w:rsidR="00623A1A" w:rsidRPr="004A6212" w:rsidRDefault="00623A1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U: 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.19792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±0,00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434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2.19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%;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-4.94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  <w:p w14:paraId="4CA7623C" w14:textId="77777777" w:rsidR="00623A1A" w:rsidRPr="004A6212" w:rsidRDefault="00623A1A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707754" w14:textId="0D964ED4" w:rsidR="00623A1A" w:rsidRPr="004A6212" w:rsidRDefault="00623A1A" w:rsidP="00623A1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Khan River titanite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: average ratio ± 1sigma; precision</w:t>
            </w:r>
            <w:r w:rsidR="00515207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(%); accuracy</w:t>
            </w:r>
            <w:r w:rsidR="00515207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(%). Accuracy is measured with respect to the reference value proposed by </w:t>
            </w:r>
            <w:proofErr w:type="spellStart"/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Mazoz</w:t>
            </w:r>
            <w:proofErr w:type="spellEnd"/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et al. (2022).</w:t>
            </w:r>
          </w:p>
          <w:p w14:paraId="7BFB6953" w14:textId="02694FB1" w:rsidR="00B05130" w:rsidRPr="004A6212" w:rsidRDefault="00B05130" w:rsidP="00B05130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Pb: 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6118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5255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8.59%;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-1.28</w:t>
            </w:r>
            <w:proofErr w:type="gramStart"/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%;</w:t>
            </w:r>
            <w:proofErr w:type="gramEnd"/>
          </w:p>
          <w:p w14:paraId="77047E33" w14:textId="23109D56" w:rsidR="00B05130" w:rsidRPr="004A6212" w:rsidRDefault="00B05130" w:rsidP="00B05130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207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235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U: 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.73966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87656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11.85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%;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-6.24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  <w:p w14:paraId="1152226C" w14:textId="6F3B3F0F" w:rsidR="00623A1A" w:rsidRPr="004A6212" w:rsidRDefault="00B05130" w:rsidP="00133C6A">
            <w:pPr>
              <w:pStyle w:val="Style-3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Pb/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238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U: 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.08752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±0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r w:rsidR="003938CB" w:rsidRPr="004A6212">
              <w:rPr>
                <w:rFonts w:ascii="Arial" w:hAnsi="Arial" w:cs="Arial"/>
                <w:color w:val="000000"/>
                <w:sz w:val="24"/>
                <w:szCs w:val="24"/>
              </w:rPr>
              <w:t>3556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4.06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 xml:space="preserve">%; </w:t>
            </w:r>
            <w:r w:rsidR="002B4628" w:rsidRPr="004A6212">
              <w:rPr>
                <w:rFonts w:ascii="Arial" w:hAnsi="Arial" w:cs="Arial"/>
                <w:color w:val="000000"/>
                <w:sz w:val="24"/>
                <w:szCs w:val="24"/>
              </w:rPr>
              <w:t>-4.69</w:t>
            </w:r>
            <w:r w:rsidRPr="004A6212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</w:tr>
      <w:tr w:rsidR="00133C6A" w:rsidRPr="004A6212" w14:paraId="05752094" w14:textId="77777777" w:rsidTr="00A2640C"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73C35A3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A62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Other information</w:t>
            </w:r>
          </w:p>
          <w:p w14:paraId="3BE280DC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sz w:val="24"/>
                <w:szCs w:val="24"/>
              </w:rPr>
            </w:pPr>
          </w:p>
          <w:p w14:paraId="7B765F2B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sz w:val="24"/>
                <w:szCs w:val="24"/>
              </w:rPr>
            </w:pPr>
          </w:p>
          <w:p w14:paraId="072E005E" w14:textId="77777777" w:rsidR="00133C6A" w:rsidRPr="004A6212" w:rsidRDefault="00133C6A" w:rsidP="00133C6A">
            <w:pPr>
              <w:pStyle w:val="Style-3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AD0C07D" w14:textId="4E5CBD46" w:rsidR="00133C6A" w:rsidRPr="004A6212" w:rsidRDefault="00133C6A" w:rsidP="00133C6A">
            <w:pPr>
              <w:pStyle w:val="Style-2"/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647F2FD" w14:textId="77777777" w:rsidR="00A77B3E" w:rsidRPr="004A6212" w:rsidRDefault="00A77B3E" w:rsidP="009F4616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lang w:val="en-GB"/>
        </w:rPr>
      </w:pPr>
    </w:p>
    <w:p w14:paraId="5C34FE89" w14:textId="37D46551" w:rsidR="009F4616" w:rsidRPr="004A6212" w:rsidRDefault="009F4616" w:rsidP="009F4616">
      <w:pPr>
        <w:pStyle w:val="html-xx"/>
        <w:spacing w:before="0" w:beforeAutospacing="0" w:after="200" w:afterAutospacing="0" w:line="276" w:lineRule="auto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Aleinikoff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J.N.; Schenck, W.S.; Plank, M.O.;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Srogi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L.; Fanning, C.M.; Kamo, S.L.;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Bosbyshell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H. 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2005.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Deciphering igneous and metamorphic events in high-grade rocks of the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wilmington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complex,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delaware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: Morphology, cathodoluminescence and backscattered electron zoning, and shrimp u-pb geochronology of zircon and monazite.</w:t>
      </w:r>
      <w:r w:rsidRPr="004A6212">
        <w:rPr>
          <w:rFonts w:ascii="Arial" w:hAnsi="Arial" w:cs="Arial"/>
          <w:lang w:val="en-GB"/>
        </w:rPr>
        <w:t> </w:t>
      </w:r>
      <w:r w:rsidRPr="004A6212">
        <w:rPr>
          <w:rFonts w:ascii="Arial" w:hAnsi="Arial" w:cs="Arial"/>
          <w:shd w:val="clear" w:color="auto" w:fill="FFFFFF"/>
          <w:lang w:val="en-GB"/>
        </w:rPr>
        <w:t>Geol. Soc. Am. Bull.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lang w:val="en-GB"/>
        </w:rPr>
        <w:t> </w:t>
      </w:r>
      <w:r w:rsidRPr="004A6212">
        <w:rPr>
          <w:rFonts w:ascii="Arial" w:hAnsi="Arial" w:cs="Arial"/>
          <w:shd w:val="clear" w:color="auto" w:fill="FFFFFF"/>
          <w:lang w:val="en-GB"/>
        </w:rPr>
        <w:t>118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39–64.</w:t>
      </w:r>
    </w:p>
    <w:p w14:paraId="7477700A" w14:textId="74443042" w:rsidR="009F4616" w:rsidRPr="004A6212" w:rsidRDefault="00F26491" w:rsidP="009F4616">
      <w:pPr>
        <w:pStyle w:val="html-xx"/>
        <w:spacing w:before="0" w:beforeAutospacing="0" w:after="200" w:afterAutospacing="0" w:line="276" w:lineRule="auto"/>
        <w:jc w:val="both"/>
        <w:rPr>
          <w:rFonts w:ascii="Arial" w:hAnsi="Arial" w:cs="Arial"/>
          <w:color w:val="222222"/>
          <w:shd w:val="clear" w:color="auto" w:fill="FFFFFF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Cruz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J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Cunha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C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Merlet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C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Sabatè</w:t>
      </w:r>
      <w:proofErr w:type="spellEnd"/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P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1996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Datação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pontual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das</w:t>
      </w:r>
      <w:proofErr w:type="spellEnd"/>
      <w:r w:rsidR="009F4616"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monazitas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da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região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de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Itambé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, Bahia,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através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da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microssonda</w:t>
      </w:r>
      <w:proofErr w:type="spellEnd"/>
      <w:r w:rsidR="009F4616"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electronica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XXXIX Congresso Brasileiro de Geologia,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vol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2,</w:t>
      </w:r>
      <w:r w:rsidR="009F4616"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Sociedade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 Brasileira de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Geologià-Núcleo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</w:rPr>
        <w:t>Bahià-Segipe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</w:rPr>
        <w:t>, pp</w:t>
      </w:r>
      <w:r w:rsidR="009F4616" w:rsidRPr="004A6212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</w:rPr>
        <w:t>206–209</w:t>
      </w:r>
    </w:p>
    <w:p w14:paraId="39E8316E" w14:textId="57573B97" w:rsidR="009F4616" w:rsidRPr="004A6212" w:rsidRDefault="00F26491" w:rsidP="009F4616">
      <w:pPr>
        <w:pStyle w:val="html-xx"/>
        <w:spacing w:before="0" w:beforeAutospacing="0" w:after="200" w:afterAutospacing="0" w:line="276" w:lineRule="auto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Gasquet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D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Bertrand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Paquette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L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Lehmann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Ratzoy</w:t>
      </w:r>
      <w:proofErr w:type="spellEnd"/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G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De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Ascencão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Guedes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R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Tiepolo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Boullier</w:t>
      </w:r>
      <w:proofErr w:type="spellEnd"/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A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Scaillet</w:t>
      </w:r>
      <w:proofErr w:type="spellEnd"/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S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Nomade</w:t>
      </w:r>
      <w:proofErr w:type="spellEnd"/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S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2010</w:t>
      </w:r>
      <w:r w:rsidR="00AA5509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Miocene to Messinian deformation and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hydrothermal activity in a pre-Alpine basement massif of the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French western Alps: new U–Th–Pb and argon ages from the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Lauzière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massif. Bulletin de la Société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Géologique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de France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181: 227–241</w:t>
      </w:r>
    </w:p>
    <w:p w14:paraId="58215C11" w14:textId="3ADBF4FA" w:rsidR="00F26491" w:rsidRPr="004A6212" w:rsidRDefault="00F26491" w:rsidP="009F4616">
      <w:pPr>
        <w:pStyle w:val="html-xx"/>
        <w:spacing w:before="0" w:beforeAutospacing="0" w:after="200" w:afterAutospacing="0" w:line="276" w:lineRule="auto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Horstwood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A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Foster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G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L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Parrish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R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R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Noble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S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R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Nowell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G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2003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Common-Pb corrected in situ U-Pb accessory mineral geochronology by LA-MCICP-MS. J Anal </w:t>
      </w:r>
      <w:proofErr w:type="gram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At</w:t>
      </w:r>
      <w:proofErr w:type="gram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Spectrom</w:t>
      </w:r>
      <w:proofErr w:type="spellEnd"/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18:837–846</w:t>
      </w:r>
    </w:p>
    <w:p w14:paraId="46F7DD54" w14:textId="0A09061E" w:rsidR="009F4616" w:rsidRPr="004A6212" w:rsidRDefault="009F4616" w:rsidP="009B5258">
      <w:pPr>
        <w:pStyle w:val="html-xx"/>
        <w:spacing w:after="200" w:line="276" w:lineRule="auto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Klemme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S.,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Prowatke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S.,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Münker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C., Magee, C. W.,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Lahaye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Y., Zack, T.,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Kasemann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S.A., 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Cabato, E.J.A., Kaeser, B., 2008. 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Synthesis and Preliminary Characterisation of New 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Silicate, Phosphate and Titanite Reference Glasses.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Geostandards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and </w:t>
      </w:r>
      <w:proofErr w:type="spellStart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Geoanalytical</w:t>
      </w:r>
      <w:proofErr w:type="spellEnd"/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Research, 32, 39-54. 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US"/>
        </w:rPr>
        <w:t>DOI: 10.1111/j.1751-908X.</w:t>
      </w:r>
      <w:proofErr w:type="gramStart"/>
      <w:r w:rsidR="009B5258" w:rsidRPr="004A6212">
        <w:rPr>
          <w:rFonts w:ascii="Arial" w:hAnsi="Arial" w:cs="Arial"/>
          <w:color w:val="222222"/>
          <w:shd w:val="clear" w:color="auto" w:fill="FFFFFF"/>
          <w:lang w:val="en-US"/>
        </w:rPr>
        <w:t>2008.00873.x</w:t>
      </w:r>
      <w:proofErr w:type="gramEnd"/>
    </w:p>
    <w:p w14:paraId="66556AFC" w14:textId="521AA43C" w:rsidR="009F4616" w:rsidRPr="004A6212" w:rsidRDefault="009F4616" w:rsidP="009F4616">
      <w:pPr>
        <w:pStyle w:val="html-xx"/>
        <w:spacing w:before="0" w:beforeAutospacing="0" w:after="200" w:afterAutospacing="0" w:line="276" w:lineRule="auto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Liu, Z.-C.; Wu, F.-Y.; Yang, Y.-H.; Yang, J.-H.; Wilde, S.A.</w:t>
      </w:r>
      <w:r w:rsidR="009B5258" w:rsidRPr="004A6212">
        <w:rPr>
          <w:rFonts w:ascii="Arial" w:hAnsi="Arial" w:cs="Arial"/>
          <w:color w:val="222222"/>
          <w:shd w:val="clear" w:color="auto" w:fill="FFFFFF"/>
          <w:lang w:val="en-GB"/>
        </w:rPr>
        <w:t>, 2012.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Neodymium isotopic compositions of the standard monazites used in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uthpb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geochronology.</w:t>
      </w:r>
      <w:r w:rsidRPr="004A6212">
        <w:rPr>
          <w:rFonts w:ascii="Arial" w:hAnsi="Arial" w:cs="Arial"/>
          <w:shd w:val="clear" w:color="auto" w:fill="FFFFFF"/>
          <w:lang w:val="en-GB"/>
        </w:rPr>
        <w:t> Chem. Geol.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shd w:val="clear" w:color="auto" w:fill="FFFFFF"/>
          <w:lang w:val="en-GB"/>
        </w:rPr>
        <w:t> 334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221–239.</w:t>
      </w:r>
    </w:p>
    <w:p w14:paraId="7A02FCB7" w14:textId="79F2242D" w:rsidR="009F4616" w:rsidRPr="004A6212" w:rsidRDefault="009F4616" w:rsidP="00AA5509">
      <w:pPr>
        <w:pStyle w:val="html-xx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Mazoz</w:t>
      </w:r>
      <w:proofErr w:type="spellEnd"/>
      <w:r w:rsidR="0025782A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A., Goncalves, G.O., Lana, C., Buick I.S., Corfu, F., Kama, S.L., Wang, H., Yang, Y-H, Scholz, R., Queiroga, G., Fu, B., Martins, L., </w:t>
      </w:r>
      <w:proofErr w:type="spellStart"/>
      <w:r w:rsidR="0025782A" w:rsidRPr="004A6212">
        <w:rPr>
          <w:rFonts w:ascii="Arial" w:hAnsi="Arial" w:cs="Arial"/>
          <w:color w:val="222222"/>
          <w:shd w:val="clear" w:color="auto" w:fill="FFFFFF"/>
          <w:lang w:val="en-GB"/>
        </w:rPr>
        <w:t>Schannor</w:t>
      </w:r>
      <w:proofErr w:type="spellEnd"/>
      <w:r w:rsidR="0025782A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M., </w:t>
      </w:r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Tropia de Abreu, A., Babinski, M., Peixoto, E., Ventura Santos, R., 2022. </w:t>
      </w:r>
      <w:r w:rsidR="0025782A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Khan River and Bear Lake: Two Natural Titanite Reference </w:t>
      </w:r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Materials for High-Spatial Resolution U-Pb Microanalysis. </w:t>
      </w:r>
      <w:proofErr w:type="spellStart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>Geostandards</w:t>
      </w:r>
      <w:proofErr w:type="spellEnd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 and </w:t>
      </w:r>
      <w:proofErr w:type="spellStart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>Geoanalytical</w:t>
      </w:r>
      <w:proofErr w:type="spellEnd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 xml:space="preserve"> Research, </w:t>
      </w:r>
      <w:proofErr w:type="spellStart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>doi</w:t>
      </w:r>
      <w:proofErr w:type="spellEnd"/>
      <w:r w:rsidR="0025782A" w:rsidRPr="004A6212">
        <w:rPr>
          <w:rFonts w:ascii="Arial" w:hAnsi="Arial" w:cs="Arial"/>
          <w:color w:val="222222"/>
          <w:shd w:val="clear" w:color="auto" w:fill="FFFFFF"/>
          <w:lang w:val="en-US"/>
        </w:rPr>
        <w:t>: 10.1111/ggr.12444</w:t>
      </w:r>
    </w:p>
    <w:p w14:paraId="7BD943EB" w14:textId="582F95CF" w:rsidR="00F26491" w:rsidRPr="004A6212" w:rsidRDefault="00F26491" w:rsidP="009F4616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Seydoux-Guillaume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A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Paquette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L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Wiedenbeck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Montel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Heinrich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W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2002a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Experimental resetting of the U–Th–Pb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system in monazite. Chem Geol 191:165–181</w:t>
      </w:r>
    </w:p>
    <w:p w14:paraId="0E6A232E" w14:textId="77777777" w:rsidR="009F4616" w:rsidRPr="004A6212" w:rsidRDefault="009F4616" w:rsidP="009F4616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</w:p>
    <w:p w14:paraId="158CDFA3" w14:textId="45E48968" w:rsidR="00F30B31" w:rsidRPr="004A6212" w:rsidRDefault="00F26491" w:rsidP="00F30B31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Seydoux-Guillaume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A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Wirth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R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Nasdala</w:t>
      </w:r>
      <w:proofErr w:type="spellEnd"/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L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Gottschalk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Montel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J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M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Heinrich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,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W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, 2002b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XRD, TEM and Raman study of experimental</w:t>
      </w:r>
      <w:r w:rsidR="009F4616"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 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annealing of natural monazite. Phys Chem Miner 29: 240–253</w:t>
      </w:r>
    </w:p>
    <w:p w14:paraId="4AF4E8B1" w14:textId="77777777" w:rsidR="00F30B31" w:rsidRPr="004A6212" w:rsidRDefault="00F30B31" w:rsidP="00F30B31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</w:p>
    <w:p w14:paraId="1760024B" w14:textId="4BF5936D" w:rsidR="00F30B31" w:rsidRPr="004A6212" w:rsidRDefault="00F30B31" w:rsidP="00F30B31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Spandler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r w:rsidR="00195B35" w:rsidRPr="004A6212">
        <w:rPr>
          <w:rFonts w:ascii="Arial" w:hAnsi="Arial" w:cs="Arial"/>
          <w:color w:val="222222"/>
          <w:shd w:val="clear" w:color="auto" w:fill="FFFFFF"/>
          <w:lang w:val="en-GB"/>
        </w:rPr>
        <w:t>C.</w:t>
      </w:r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Hammerli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 xml:space="preserve">, J., Sha, P., Hilbert-Wolf, H., Hu, Yi, Roberts, Eric, Schmitz, Mark, 2016. MKED1: A new titanite standard for in situ analysis of </w:t>
      </w:r>
      <w:proofErr w:type="spellStart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Sm</w:t>
      </w:r>
      <w:proofErr w:type="spellEnd"/>
      <w:r w:rsidRPr="004A6212">
        <w:rPr>
          <w:rFonts w:ascii="Arial" w:hAnsi="Arial" w:cs="Arial"/>
          <w:color w:val="222222"/>
          <w:shd w:val="clear" w:color="auto" w:fill="FFFFFF"/>
          <w:lang w:val="en-GB"/>
        </w:rPr>
        <w:t>–Nd isotopes and U–Pb geochronology. Chemical Geology 425, 110–126. https://doi.org/10.1016/j.chemgeo.2016.01.002.</w:t>
      </w:r>
    </w:p>
    <w:p w14:paraId="06F61428" w14:textId="6D6520A1" w:rsidR="009F4616" w:rsidRPr="004A6212" w:rsidRDefault="009F4616" w:rsidP="00F30B31">
      <w:pPr>
        <w:pStyle w:val="html-xx"/>
        <w:spacing w:before="0" w:beforeAutospacing="0" w:after="0" w:afterAutospacing="0"/>
        <w:jc w:val="both"/>
        <w:rPr>
          <w:rFonts w:ascii="Arial" w:hAnsi="Arial" w:cs="Arial"/>
          <w:color w:val="222222"/>
          <w:shd w:val="clear" w:color="auto" w:fill="FFFFFF"/>
          <w:lang w:val="en-GB"/>
        </w:rPr>
      </w:pPr>
    </w:p>
    <w:sectPr w:rsidR="009F4616" w:rsidRPr="004A6212">
      <w:pgSz w:w="11906" w:h="16838"/>
      <w:pgMar w:top="1440" w:right="1800" w:bottom="1440" w:left="1800" w:header="708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059FF"/>
    <w:multiLevelType w:val="hybridMultilevel"/>
    <w:tmpl w:val="A5B0D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41793"/>
    <w:multiLevelType w:val="multilevel"/>
    <w:tmpl w:val="3FD6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470430">
    <w:abstractNumId w:val="1"/>
  </w:num>
  <w:num w:numId="2" w16cid:durableId="203175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doNotValidateAgainstSchema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9D"/>
    <w:rsid w:val="000128C8"/>
    <w:rsid w:val="00075514"/>
    <w:rsid w:val="00133C6A"/>
    <w:rsid w:val="00157D39"/>
    <w:rsid w:val="00172A82"/>
    <w:rsid w:val="00195B35"/>
    <w:rsid w:val="001F23F1"/>
    <w:rsid w:val="0020549D"/>
    <w:rsid w:val="0025782A"/>
    <w:rsid w:val="002B4628"/>
    <w:rsid w:val="002B6C2A"/>
    <w:rsid w:val="0031644D"/>
    <w:rsid w:val="003938CB"/>
    <w:rsid w:val="003D45F7"/>
    <w:rsid w:val="003F1E35"/>
    <w:rsid w:val="00434B5F"/>
    <w:rsid w:val="004511BA"/>
    <w:rsid w:val="0047391B"/>
    <w:rsid w:val="004A6212"/>
    <w:rsid w:val="00515207"/>
    <w:rsid w:val="00602E59"/>
    <w:rsid w:val="0061443A"/>
    <w:rsid w:val="00623A1A"/>
    <w:rsid w:val="006B640D"/>
    <w:rsid w:val="0086725F"/>
    <w:rsid w:val="008E0E90"/>
    <w:rsid w:val="0092384B"/>
    <w:rsid w:val="00982CA6"/>
    <w:rsid w:val="009B5258"/>
    <w:rsid w:val="009F4616"/>
    <w:rsid w:val="00A103BF"/>
    <w:rsid w:val="00A152AC"/>
    <w:rsid w:val="00A2640C"/>
    <w:rsid w:val="00A77B3E"/>
    <w:rsid w:val="00AA5509"/>
    <w:rsid w:val="00B05130"/>
    <w:rsid w:val="00B14D66"/>
    <w:rsid w:val="00B920CA"/>
    <w:rsid w:val="00CE1CA5"/>
    <w:rsid w:val="00D87291"/>
    <w:rsid w:val="00DB4707"/>
    <w:rsid w:val="00E218FB"/>
    <w:rsid w:val="00E365BB"/>
    <w:rsid w:val="00E77791"/>
    <w:rsid w:val="00EC2726"/>
    <w:rsid w:val="00F26491"/>
    <w:rsid w:val="00F30B31"/>
    <w:rsid w:val="00F371AC"/>
    <w:rsid w:val="00FE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0AEE9"/>
  <w14:defaultImageDpi w14:val="0"/>
  <w15:docId w15:val="{741E256F-4F33-634F-B556-CDB789DC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-1">
    <w:name w:val="Style-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Style-2">
    <w:name w:val="Style-2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Style-3">
    <w:name w:val="Style-3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Style-4">
    <w:name w:val="Style-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p1">
    <w:name w:val="p1"/>
    <w:basedOn w:val="Normale"/>
    <w:rsid w:val="00F26491"/>
    <w:pPr>
      <w:widowControl/>
      <w:autoSpaceDE/>
      <w:autoSpaceDN/>
      <w:adjustRightInd/>
    </w:pPr>
    <w:rPr>
      <w:rFonts w:ascii="Helvetica" w:hAnsi="Helvetica"/>
      <w:color w:val="000000"/>
      <w:sz w:val="13"/>
      <w:szCs w:val="13"/>
      <w:lang w:val="it-IT" w:eastAsia="it-IT"/>
    </w:rPr>
  </w:style>
  <w:style w:type="paragraph" w:customStyle="1" w:styleId="html-xx">
    <w:name w:val="html-xx"/>
    <w:basedOn w:val="Normale"/>
    <w:rsid w:val="004511BA"/>
    <w:pPr>
      <w:widowControl/>
      <w:autoSpaceDE/>
      <w:autoSpaceDN/>
      <w:adjustRightInd/>
      <w:spacing w:before="100" w:beforeAutospacing="1" w:after="100" w:afterAutospacing="1"/>
    </w:pPr>
    <w:rPr>
      <w:lang w:val="it-IT" w:eastAsia="it-IT"/>
    </w:rPr>
  </w:style>
  <w:style w:type="character" w:customStyle="1" w:styleId="apple-converted-space">
    <w:name w:val="apple-converted-space"/>
    <w:basedOn w:val="Carpredefinitoparagrafo"/>
    <w:rsid w:val="004511BA"/>
  </w:style>
  <w:style w:type="character" w:customStyle="1" w:styleId="html-italic">
    <w:name w:val="html-italic"/>
    <w:basedOn w:val="Carpredefinitoparagrafo"/>
    <w:rsid w:val="004511BA"/>
  </w:style>
  <w:style w:type="character" w:styleId="Collegamentoipertestuale">
    <w:name w:val="Hyperlink"/>
    <w:uiPriority w:val="99"/>
    <w:unhideWhenUsed/>
    <w:rsid w:val="004511BA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Data reporting Table (Information) for LA-ICP-MS U-Th-Pb data</vt:lpstr>
      <vt:lpstr>Data reporting Table (Information) for LA-ICP-MS U-Th-Pb data</vt:lpstr>
    </vt:vector>
  </TitlesOfParts>
  <Company>The British Geological Survey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reporting Table (Information) for LA-ICP-MS U-Th-Pb data</dc:title>
  <dc:creator>Horstwood, Matthew S.A.</dc:creator>
  <cp:lastModifiedBy>stefania.corvo</cp:lastModifiedBy>
  <cp:revision>18</cp:revision>
  <dcterms:created xsi:type="dcterms:W3CDTF">2025-01-24T13:13:00Z</dcterms:created>
  <dcterms:modified xsi:type="dcterms:W3CDTF">2025-03-07T13:25:00Z</dcterms:modified>
</cp:coreProperties>
</file>