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25E0" w14:textId="4228E07C" w:rsidR="00682AA7" w:rsidRDefault="00682AA7">
      <w:pPr>
        <w:spacing w:after="160" w:line="259" w:lineRule="auto"/>
        <w:rPr>
          <w:b/>
          <w:color w:val="000000"/>
        </w:rPr>
      </w:pPr>
      <w:r>
        <w:rPr>
          <w:noProof/>
        </w:rPr>
        <w:drawing>
          <wp:inline distT="0" distB="0" distL="0" distR="0" wp14:anchorId="3538D448" wp14:editId="620F1D97">
            <wp:extent cx="5943600" cy="4942840"/>
            <wp:effectExtent l="0" t="0" r="0" b="0"/>
            <wp:docPr id="1428350363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350363" name="Picture 1" descr="A screenshot of a graph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2F598" w14:textId="1D7E1BAA" w:rsidR="00EC4E12" w:rsidRPr="000C63BB" w:rsidRDefault="00EC4E12" w:rsidP="00EC4E12">
      <w:pPr>
        <w:autoSpaceDE w:val="0"/>
        <w:autoSpaceDN w:val="0"/>
        <w:adjustRightInd w:val="0"/>
        <w:spacing w:line="480" w:lineRule="auto"/>
        <w:rPr>
          <w:rFonts w:cs="Arial"/>
          <w:b/>
          <w:color w:val="000000"/>
          <w:szCs w:val="20"/>
        </w:rPr>
      </w:pPr>
      <w:r w:rsidRPr="000A42FF">
        <w:rPr>
          <w:rFonts w:cs="Arial"/>
          <w:b/>
          <w:color w:val="000000"/>
          <w:szCs w:val="20"/>
        </w:rPr>
        <w:t>Fig</w:t>
      </w:r>
      <w:r w:rsidR="00516C0B">
        <w:rPr>
          <w:rFonts w:cs="Arial"/>
          <w:b/>
          <w:color w:val="000000"/>
          <w:szCs w:val="20"/>
        </w:rPr>
        <w:t>.</w:t>
      </w:r>
      <w:r w:rsidRPr="000A42FF">
        <w:rPr>
          <w:rFonts w:cs="Arial"/>
          <w:b/>
          <w:color w:val="000000"/>
          <w:szCs w:val="20"/>
        </w:rPr>
        <w:t xml:space="preserve"> </w:t>
      </w:r>
      <w:r w:rsidR="00516C0B">
        <w:rPr>
          <w:rFonts w:cs="Arial"/>
          <w:b/>
          <w:color w:val="000000"/>
          <w:szCs w:val="20"/>
        </w:rPr>
        <w:t>S1</w:t>
      </w:r>
      <w:r w:rsidRPr="000A42FF">
        <w:rPr>
          <w:rFonts w:cs="Arial"/>
          <w:b/>
          <w:color w:val="000000"/>
          <w:szCs w:val="20"/>
        </w:rPr>
        <w:t>.</w:t>
      </w:r>
      <w:r w:rsidRPr="00D11AF5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The </w:t>
      </w:r>
      <w:r w:rsidR="00516C0B">
        <w:rPr>
          <w:rFonts w:cs="Arial"/>
          <w:color w:val="000000"/>
          <w:szCs w:val="20"/>
        </w:rPr>
        <w:t>12</w:t>
      </w:r>
      <w:r w:rsidR="009F522E">
        <w:rPr>
          <w:rFonts w:cs="Arial"/>
          <w:color w:val="000000"/>
          <w:szCs w:val="20"/>
        </w:rPr>
        <w:t>-</w:t>
      </w:r>
      <w:r>
        <w:rPr>
          <w:rFonts w:cs="Arial"/>
          <w:color w:val="000000"/>
          <w:szCs w:val="20"/>
        </w:rPr>
        <w:t>clus</w:t>
      </w:r>
      <w:r w:rsidR="00516C0B">
        <w:rPr>
          <w:rFonts w:cs="Arial"/>
          <w:color w:val="000000"/>
          <w:szCs w:val="20"/>
        </w:rPr>
        <w:t>ter time-series from Cooke (2024</w:t>
      </w:r>
      <w:r>
        <w:rPr>
          <w:rFonts w:cs="Arial"/>
          <w:color w:val="000000"/>
          <w:szCs w:val="20"/>
        </w:rPr>
        <w:t>), each with kurtosis and skewness estimated. Also shown in the background of each frame (grey line) is the aggregate national-scale time-series of Fig. 1. The overlay helps clarify that the regional spikes that are the source of heavy skewness and kurtosis are aligned with national</w:t>
      </w:r>
      <w:r w:rsidR="0030064C">
        <w:rPr>
          <w:rFonts w:cs="Arial"/>
          <w:color w:val="000000"/>
          <w:szCs w:val="20"/>
        </w:rPr>
        <w:t>-scale</w:t>
      </w:r>
      <w:r>
        <w:rPr>
          <w:rFonts w:cs="Arial"/>
          <w:color w:val="000000"/>
          <w:szCs w:val="20"/>
        </w:rPr>
        <w:t xml:space="preserve"> cycling.</w:t>
      </w:r>
    </w:p>
    <w:p w14:paraId="035A9501" w14:textId="77777777" w:rsidR="00EC4E12" w:rsidRDefault="00EC4E12" w:rsidP="00F41854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</w:p>
    <w:p w14:paraId="787A5B55" w14:textId="1976DE22" w:rsidR="00F41854" w:rsidRDefault="00F41854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4D730CB7" w14:textId="71032B16" w:rsidR="0005190A" w:rsidRDefault="00D943D2" w:rsidP="0005190A">
      <w:pPr>
        <w:spacing w:line="480" w:lineRule="auto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263ED03B" wp14:editId="424DC9C7">
            <wp:extent cx="5165271" cy="3155451"/>
            <wp:effectExtent l="0" t="0" r="0" b="6985"/>
            <wp:docPr id="252023388" name="Picture 1" descr="A graph of different size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23388" name="Picture 1" descr="A graph of different sizes and number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574" cy="316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6C80" w14:textId="77777777" w:rsidR="00F41854" w:rsidRDefault="00F41854" w:rsidP="0005190A">
      <w:pPr>
        <w:spacing w:line="480" w:lineRule="auto"/>
        <w:rPr>
          <w:b/>
          <w:color w:val="000000"/>
        </w:rPr>
      </w:pPr>
    </w:p>
    <w:p w14:paraId="51BBB4D3" w14:textId="12659186" w:rsidR="00423A7F" w:rsidRDefault="00516C0B" w:rsidP="0005190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>
        <w:rPr>
          <w:rFonts w:cs="Arial"/>
          <w:b/>
          <w:color w:val="000000"/>
          <w:szCs w:val="20"/>
        </w:rPr>
        <w:t>Fig.</w:t>
      </w:r>
      <w:r w:rsidR="0005190A" w:rsidRPr="000A42FF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b/>
          <w:color w:val="000000"/>
          <w:szCs w:val="20"/>
        </w:rPr>
        <w:t>S</w:t>
      </w:r>
      <w:r w:rsidR="00F41854">
        <w:rPr>
          <w:rFonts w:cs="Arial"/>
          <w:b/>
          <w:color w:val="000000"/>
          <w:szCs w:val="20"/>
        </w:rPr>
        <w:t>2</w:t>
      </w:r>
      <w:r w:rsidR="0005190A" w:rsidRPr="000A42FF">
        <w:rPr>
          <w:rFonts w:cs="Arial"/>
          <w:b/>
          <w:color w:val="000000"/>
          <w:szCs w:val="20"/>
        </w:rPr>
        <w:t>.</w:t>
      </w:r>
      <w:r w:rsidR="0005190A" w:rsidRPr="00D11AF5">
        <w:rPr>
          <w:rFonts w:cs="Arial"/>
          <w:color w:val="000000"/>
          <w:szCs w:val="20"/>
        </w:rPr>
        <w:t xml:space="preserve"> </w:t>
      </w:r>
      <w:r w:rsidR="00453ED4">
        <w:rPr>
          <w:rFonts w:cs="Arial"/>
          <w:color w:val="000000"/>
          <w:szCs w:val="20"/>
        </w:rPr>
        <w:t xml:space="preserve">Histograms of </w:t>
      </w:r>
      <w:r w:rsidR="00BB1812">
        <w:rPr>
          <w:rFonts w:cs="Arial"/>
          <w:color w:val="000000"/>
          <w:szCs w:val="20"/>
        </w:rPr>
        <w:t xml:space="preserve">skewness and kurtosis estimated from the </w:t>
      </w:r>
      <w:r>
        <w:rPr>
          <w:rFonts w:cs="Arial"/>
          <w:color w:val="000000"/>
          <w:szCs w:val="20"/>
        </w:rPr>
        <w:t>12</w:t>
      </w:r>
      <w:r w:rsidR="0030064C">
        <w:rPr>
          <w:rFonts w:cs="Arial"/>
          <w:color w:val="000000"/>
          <w:szCs w:val="20"/>
        </w:rPr>
        <w:t>-</w:t>
      </w:r>
      <w:r>
        <w:rPr>
          <w:rFonts w:cs="Arial"/>
          <w:color w:val="000000"/>
          <w:szCs w:val="20"/>
        </w:rPr>
        <w:t>cluster time-series in Fig. S</w:t>
      </w:r>
      <w:r w:rsidR="00F41854">
        <w:rPr>
          <w:rFonts w:cs="Arial"/>
          <w:color w:val="000000"/>
          <w:szCs w:val="20"/>
        </w:rPr>
        <w:t>1</w:t>
      </w:r>
      <w:r w:rsidR="00BB1812">
        <w:rPr>
          <w:rFonts w:cs="Arial"/>
          <w:color w:val="000000"/>
          <w:szCs w:val="20"/>
        </w:rPr>
        <w:t xml:space="preserve">. </w:t>
      </w:r>
    </w:p>
    <w:p w14:paraId="5F4073AA" w14:textId="77777777" w:rsidR="00423A7F" w:rsidRDefault="00423A7F">
      <w:pPr>
        <w:spacing w:after="160" w:line="259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14:paraId="75227370" w14:textId="77777777" w:rsidR="00F519E6" w:rsidRDefault="00F519E6" w:rsidP="00F519E6">
      <w:pPr>
        <w:spacing w:line="480" w:lineRule="auto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100B9862" wp14:editId="64AEC86A">
            <wp:extent cx="4680857" cy="4680857"/>
            <wp:effectExtent l="0" t="0" r="5715" b="5715"/>
            <wp:docPr id="1038035577" name="Picture 1" descr="A graph with number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035577" name="Picture 1" descr="A graph with numbers and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8749" cy="46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8314" w14:textId="7DE92EF0" w:rsidR="00F519E6" w:rsidRPr="000C63BB" w:rsidRDefault="00516C0B" w:rsidP="00F519E6">
      <w:pPr>
        <w:autoSpaceDE w:val="0"/>
        <w:autoSpaceDN w:val="0"/>
        <w:adjustRightInd w:val="0"/>
        <w:spacing w:line="48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Fig.</w:t>
      </w:r>
      <w:r w:rsidR="00F519E6" w:rsidRPr="000A42FF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b/>
          <w:color w:val="000000"/>
          <w:szCs w:val="20"/>
        </w:rPr>
        <w:t>S</w:t>
      </w:r>
      <w:r w:rsidR="00F41854">
        <w:rPr>
          <w:rFonts w:cs="Arial"/>
          <w:b/>
          <w:color w:val="000000"/>
          <w:szCs w:val="20"/>
        </w:rPr>
        <w:t>3</w:t>
      </w:r>
      <w:r w:rsidR="00F519E6" w:rsidRPr="000A42FF">
        <w:rPr>
          <w:rFonts w:cs="Arial"/>
          <w:b/>
          <w:color w:val="000000"/>
          <w:szCs w:val="20"/>
        </w:rPr>
        <w:t>.</w:t>
      </w:r>
      <w:r w:rsidR="00F519E6" w:rsidRPr="00D11AF5">
        <w:rPr>
          <w:rFonts w:cs="Arial"/>
          <w:color w:val="000000"/>
          <w:szCs w:val="20"/>
        </w:rPr>
        <w:t xml:space="preserve"> </w:t>
      </w:r>
      <w:r w:rsidR="00F519E6">
        <w:rPr>
          <w:rFonts w:cs="Arial"/>
          <w:color w:val="000000"/>
          <w:szCs w:val="20"/>
        </w:rPr>
        <w:t xml:space="preserve">Histogram of pairwise correlations between cluster time-series in Fig. </w:t>
      </w:r>
      <w:r>
        <w:rPr>
          <w:rFonts w:cs="Arial"/>
          <w:color w:val="000000"/>
          <w:szCs w:val="20"/>
        </w:rPr>
        <w:t>S</w:t>
      </w:r>
      <w:bookmarkStart w:id="0" w:name="_GoBack"/>
      <w:bookmarkEnd w:id="0"/>
      <w:r w:rsidR="0064629D">
        <w:rPr>
          <w:rFonts w:cs="Arial"/>
          <w:color w:val="000000"/>
          <w:szCs w:val="20"/>
        </w:rPr>
        <w:t>1</w:t>
      </w:r>
      <w:r w:rsidR="00F519E6">
        <w:rPr>
          <w:rFonts w:cs="Arial"/>
          <w:color w:val="000000"/>
          <w:szCs w:val="20"/>
        </w:rPr>
        <w:t xml:space="preserve">. </w:t>
      </w:r>
    </w:p>
    <w:p w14:paraId="12B8659E" w14:textId="77777777" w:rsidR="00F519E6" w:rsidRDefault="00F519E6" w:rsidP="00F519E6">
      <w:pPr>
        <w:spacing w:line="480" w:lineRule="auto"/>
        <w:rPr>
          <w:color w:val="000000"/>
        </w:rPr>
      </w:pPr>
    </w:p>
    <w:p w14:paraId="471F1F96" w14:textId="77777777" w:rsidR="00F519E6" w:rsidRPr="0005190A" w:rsidRDefault="00F519E6" w:rsidP="00F519E6"/>
    <w:p w14:paraId="5245D24C" w14:textId="77777777" w:rsidR="0005190A" w:rsidRPr="000C63BB" w:rsidRDefault="0005190A" w:rsidP="0005190A">
      <w:pPr>
        <w:autoSpaceDE w:val="0"/>
        <w:autoSpaceDN w:val="0"/>
        <w:adjustRightInd w:val="0"/>
        <w:spacing w:line="480" w:lineRule="auto"/>
        <w:rPr>
          <w:rFonts w:cs="Arial"/>
          <w:b/>
          <w:color w:val="000000"/>
          <w:szCs w:val="20"/>
        </w:rPr>
      </w:pPr>
    </w:p>
    <w:p w14:paraId="2914F585" w14:textId="77777777" w:rsidR="0005190A" w:rsidRDefault="0005190A" w:rsidP="0005190A">
      <w:pPr>
        <w:spacing w:line="480" w:lineRule="auto"/>
        <w:rPr>
          <w:color w:val="000000"/>
        </w:rPr>
      </w:pPr>
    </w:p>
    <w:p w14:paraId="07685340" w14:textId="77777777" w:rsidR="00536181" w:rsidRPr="0005190A" w:rsidRDefault="00536181" w:rsidP="0005190A"/>
    <w:sectPr w:rsidR="00536181" w:rsidRPr="0005190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0110" w14:textId="77777777" w:rsidR="00987AB5" w:rsidRDefault="00987AB5" w:rsidP="00DD5F2A">
      <w:r>
        <w:separator/>
      </w:r>
    </w:p>
  </w:endnote>
  <w:endnote w:type="continuationSeparator" w:id="0">
    <w:p w14:paraId="55AAEB11" w14:textId="77777777" w:rsidR="00987AB5" w:rsidRDefault="00987AB5" w:rsidP="00DD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88B8" w14:textId="77777777" w:rsidR="00987AB5" w:rsidRDefault="00987AB5" w:rsidP="00DD5F2A">
      <w:r>
        <w:separator/>
      </w:r>
    </w:p>
  </w:footnote>
  <w:footnote w:type="continuationSeparator" w:id="0">
    <w:p w14:paraId="3CB51FCD" w14:textId="77777777" w:rsidR="00987AB5" w:rsidRDefault="00987AB5" w:rsidP="00DD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207A" w14:textId="71232937" w:rsidR="00DD5F2A" w:rsidRDefault="00DD5F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F10F66" wp14:editId="072CEBB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" name="Text Box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B337D4" w14:textId="1771719F" w:rsidR="00DD5F2A" w:rsidRPr="00DD5F2A" w:rsidRDefault="00DD5F2A" w:rsidP="00DD5F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D5F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10F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UNCLASSIFIED - NON CLASSIFIÉ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" filled="f" stroked="f">
              <v:textbox style="mso-fit-shape-to-text:t" inset="0,15pt,20pt,0">
                <w:txbxContent>
                  <w:p w14:paraId="15B337D4" w14:textId="1771719F" w:rsidR="00DD5F2A" w:rsidRPr="00DD5F2A" w:rsidRDefault="00DD5F2A" w:rsidP="00DD5F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D5F2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0CA0" w14:textId="32A64B7F" w:rsidR="00516C0B" w:rsidRPr="00516C0B" w:rsidRDefault="00516C0B" w:rsidP="00516C0B">
    <w:pPr>
      <w:spacing w:line="480" w:lineRule="auto"/>
      <w:rPr>
        <w:b/>
        <w:color w:val="000000"/>
      </w:rPr>
    </w:pPr>
    <w:r>
      <w:rPr>
        <w:i/>
        <w:iCs/>
      </w:rPr>
      <w:t xml:space="preserve">B.J. </w:t>
    </w:r>
    <w:r w:rsidR="004C7946" w:rsidRPr="00EA7BCF">
      <w:rPr>
        <w:i/>
        <w:iCs/>
      </w:rPr>
      <w:t xml:space="preserve">Cooke – </w:t>
    </w:r>
    <w:r w:rsidRPr="003F4666">
      <w:t xml:space="preserve">Forest tent caterpillar (Lepidoptera: </w:t>
    </w:r>
    <w:proofErr w:type="spellStart"/>
    <w:r w:rsidRPr="003F4666">
      <w:t>Lasiocampidae</w:t>
    </w:r>
    <w:proofErr w:type="spellEnd"/>
    <w:r w:rsidRPr="003F4666">
      <w:t xml:space="preserve">) across Canada, 1938–2001: II. Emergent periodicity </w:t>
    </w:r>
    <w:r w:rsidRPr="003F4666">
      <w:t/>
    </w:r>
    <w:r w:rsidRPr="003F4666">
      <w:t>from asynchronous eruptive anomalies</w:t>
    </w:r>
    <w:r>
      <w:t xml:space="preserve"> - </w:t>
    </w:r>
    <w:r>
      <w:rPr>
        <w:b/>
        <w:color w:val="000000"/>
      </w:rPr>
      <w:t>Supplementary material</w:t>
    </w:r>
  </w:p>
  <w:p w14:paraId="06A81B82" w14:textId="6E45F6B9" w:rsidR="00DD5F2A" w:rsidRDefault="00DD5F2A" w:rsidP="00516C0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ED0A" w14:textId="4B4B02AA" w:rsidR="00DD5F2A" w:rsidRDefault="00DD5F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20C07" wp14:editId="2E723CC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 Box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F7356" w14:textId="68984CEF" w:rsidR="00DD5F2A" w:rsidRPr="00DD5F2A" w:rsidRDefault="00DD5F2A" w:rsidP="00DD5F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D5F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20C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UNCLASSIFIED -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" filled="f" stroked="f">
              <v:textbox style="mso-fit-shape-to-text:t" inset="0,15pt,20pt,0">
                <w:txbxContent>
                  <w:p w14:paraId="031F7356" w14:textId="68984CEF" w:rsidR="00DD5F2A" w:rsidRPr="00DD5F2A" w:rsidRDefault="00DD5F2A" w:rsidP="00DD5F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D5F2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2A"/>
    <w:rsid w:val="0005190A"/>
    <w:rsid w:val="00082D2D"/>
    <w:rsid w:val="000A1CEC"/>
    <w:rsid w:val="000B4D22"/>
    <w:rsid w:val="00235143"/>
    <w:rsid w:val="00243C02"/>
    <w:rsid w:val="00252F39"/>
    <w:rsid w:val="002667B3"/>
    <w:rsid w:val="0030064C"/>
    <w:rsid w:val="00341E64"/>
    <w:rsid w:val="00373DD7"/>
    <w:rsid w:val="00374B84"/>
    <w:rsid w:val="00384DAD"/>
    <w:rsid w:val="00397C17"/>
    <w:rsid w:val="00423A7F"/>
    <w:rsid w:val="00453ED4"/>
    <w:rsid w:val="004567E5"/>
    <w:rsid w:val="004C7946"/>
    <w:rsid w:val="00516C0B"/>
    <w:rsid w:val="00520714"/>
    <w:rsid w:val="00536181"/>
    <w:rsid w:val="00577FF4"/>
    <w:rsid w:val="005A2032"/>
    <w:rsid w:val="0064629D"/>
    <w:rsid w:val="00682AA7"/>
    <w:rsid w:val="006A5BE8"/>
    <w:rsid w:val="006D45CF"/>
    <w:rsid w:val="006F35F5"/>
    <w:rsid w:val="00775241"/>
    <w:rsid w:val="007F6C9F"/>
    <w:rsid w:val="008012CD"/>
    <w:rsid w:val="00883881"/>
    <w:rsid w:val="008E179A"/>
    <w:rsid w:val="00954217"/>
    <w:rsid w:val="00987AB5"/>
    <w:rsid w:val="009F3990"/>
    <w:rsid w:val="009F522E"/>
    <w:rsid w:val="00AC1062"/>
    <w:rsid w:val="00AE1E1E"/>
    <w:rsid w:val="00B87E39"/>
    <w:rsid w:val="00BB1812"/>
    <w:rsid w:val="00C17970"/>
    <w:rsid w:val="00D943D2"/>
    <w:rsid w:val="00DD5F2A"/>
    <w:rsid w:val="00E245F3"/>
    <w:rsid w:val="00E62D44"/>
    <w:rsid w:val="00EB1D34"/>
    <w:rsid w:val="00EC3AE7"/>
    <w:rsid w:val="00EC4E12"/>
    <w:rsid w:val="00F41854"/>
    <w:rsid w:val="00F519E6"/>
    <w:rsid w:val="00F81A6A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822F"/>
  <w15:chartTrackingRefBased/>
  <w15:docId w15:val="{293206FD-C536-4090-8779-473D191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F2A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C7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94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qFormat/>
    <w:rsid w:val="00516C0B"/>
    <w:pPr>
      <w:spacing w:before="240" w:after="6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16C0B"/>
    <w:rPr>
      <w:rFonts w:asciiTheme="majorHAnsi" w:eastAsiaTheme="majorEastAsia" w:hAnsiTheme="majorHAnsi" w:cstheme="majorBidi"/>
      <w:b/>
      <w:bCs/>
      <w:kern w:val="28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619fd-75dc-48cb-820d-8f683a95dd8b}" enabled="1" method="Privileged" siteId="{05c95b33-90ca-49d5-b644-288b930b912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Barry</dc:creator>
  <cp:keywords/>
  <dc:description/>
  <cp:lastModifiedBy>MK</cp:lastModifiedBy>
  <cp:revision>3</cp:revision>
  <dcterms:created xsi:type="dcterms:W3CDTF">2023-12-09T23:30:00Z</dcterms:created>
  <dcterms:modified xsi:type="dcterms:W3CDTF">2024-03-04T01:06:00Z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UNCLASSIFIED - NON CLASSIFIÉ</vt:lpwstr>
  </property>
</Properties>
</file>