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4F8C" w14:textId="77777777" w:rsidR="000B34A6" w:rsidRPr="000B34A6" w:rsidRDefault="000B34A6" w:rsidP="000B34A6">
      <w:pPr>
        <w:rPr>
          <w:rFonts w:ascii="Times New Roman" w:hAnsi="Times New Roman" w:cs="Times New Roman"/>
          <w:b/>
          <w:bCs/>
        </w:rPr>
      </w:pPr>
      <w:r w:rsidRPr="000B34A6">
        <w:rPr>
          <w:rFonts w:ascii="Times New Roman" w:hAnsi="Times New Roman" w:cs="Times New Roman"/>
          <w:b/>
          <w:bCs/>
        </w:rPr>
        <w:t>Supplementary Appendix 1</w:t>
      </w:r>
    </w:p>
    <w:p w14:paraId="1DA5908B" w14:textId="77777777" w:rsidR="000B34A6" w:rsidRPr="000B34A6" w:rsidRDefault="000B34A6" w:rsidP="000B34A6">
      <w:pPr>
        <w:rPr>
          <w:rFonts w:ascii="Times New Roman" w:hAnsi="Times New Roman" w:cs="Times New Roman"/>
          <w:b/>
          <w:bCs/>
        </w:rPr>
      </w:pPr>
      <w:r w:rsidRPr="000B34A6">
        <w:rPr>
          <w:rFonts w:ascii="Times New Roman" w:hAnsi="Times New Roman" w:cs="Times New Roman"/>
          <w:b/>
          <w:bCs/>
        </w:rPr>
        <w:t>Coding Framework and Codebook</w:t>
      </w:r>
    </w:p>
    <w:p w14:paraId="73A6E083" w14:textId="72B65DE9" w:rsidR="000B34A6" w:rsidRDefault="000B34A6" w:rsidP="000B34A6">
      <w:pPr>
        <w:rPr>
          <w:rFonts w:ascii="Times New Roman" w:hAnsi="Times New Roman" w:cs="Times New Roman"/>
        </w:rPr>
      </w:pPr>
      <w:r w:rsidRPr="000B34A6">
        <w:rPr>
          <w:rFonts w:ascii="Times New Roman" w:hAnsi="Times New Roman" w:cs="Times New Roman"/>
        </w:rPr>
        <w:t xml:space="preserve">The following coding framework was used to categorise media articles examining </w:t>
      </w:r>
      <w:r w:rsidR="00ED5625">
        <w:rPr>
          <w:rFonts w:ascii="Times New Roman" w:hAnsi="Times New Roman" w:cs="Times New Roman"/>
        </w:rPr>
        <w:t xml:space="preserve">young people’s </w:t>
      </w:r>
      <w:r w:rsidRPr="000B34A6">
        <w:rPr>
          <w:rFonts w:ascii="Times New Roman" w:hAnsi="Times New Roman" w:cs="Times New Roman"/>
        </w:rPr>
        <w:t xml:space="preserve">social media use in relation to the Netflix series </w:t>
      </w:r>
      <w:r w:rsidR="001517D0">
        <w:rPr>
          <w:rFonts w:ascii="Times New Roman" w:hAnsi="Times New Roman" w:cs="Times New Roman"/>
        </w:rPr>
        <w:t>‘</w:t>
      </w:r>
      <w:r w:rsidRPr="000B34A6">
        <w:rPr>
          <w:rFonts w:ascii="Times New Roman" w:hAnsi="Times New Roman" w:cs="Times New Roman"/>
          <w:i/>
          <w:iCs/>
        </w:rPr>
        <w:t>Adolescence</w:t>
      </w:r>
      <w:r w:rsidR="001517D0">
        <w:rPr>
          <w:rFonts w:ascii="Times New Roman" w:hAnsi="Times New Roman" w:cs="Times New Roman"/>
          <w:i/>
          <w:iCs/>
        </w:rPr>
        <w:t>’</w:t>
      </w:r>
      <w:r w:rsidRPr="000B34A6">
        <w:rPr>
          <w:rFonts w:ascii="Times New Roman" w:hAnsi="Times New Roman" w:cs="Times New Roman"/>
        </w:rPr>
        <w:t xml:space="preserve">. </w:t>
      </w:r>
      <w:r w:rsidR="00694697" w:rsidRPr="00694697">
        <w:rPr>
          <w:rFonts w:ascii="Times New Roman" w:hAnsi="Times New Roman" w:cs="Times New Roman"/>
        </w:rPr>
        <w:t>All variables were coded independently by trained researchers using the definitions and decision rules outlined below.</w:t>
      </w:r>
    </w:p>
    <w:tbl>
      <w:tblPr>
        <w:tblStyle w:val="TableGrid"/>
        <w:tblW w:w="0" w:type="auto"/>
        <w:tblLook w:val="04A0" w:firstRow="1" w:lastRow="0" w:firstColumn="1" w:lastColumn="0" w:noHBand="0" w:noVBand="1"/>
      </w:tblPr>
      <w:tblGrid>
        <w:gridCol w:w="2334"/>
        <w:gridCol w:w="4358"/>
        <w:gridCol w:w="2776"/>
        <w:gridCol w:w="4480"/>
      </w:tblGrid>
      <w:tr w:rsidR="00F654E3" w14:paraId="100507DE" w14:textId="77777777" w:rsidTr="004B4A12">
        <w:tc>
          <w:tcPr>
            <w:tcW w:w="2334" w:type="dxa"/>
          </w:tcPr>
          <w:p w14:paraId="438EBAC0" w14:textId="63831E99" w:rsidR="00F654E3" w:rsidRPr="000628AE" w:rsidRDefault="000628AE" w:rsidP="000628AE">
            <w:pPr>
              <w:jc w:val="center"/>
              <w:rPr>
                <w:rFonts w:ascii="Times New Roman" w:hAnsi="Times New Roman" w:cs="Times New Roman"/>
                <w:b/>
                <w:bCs/>
              </w:rPr>
            </w:pPr>
            <w:r w:rsidRPr="000628AE">
              <w:rPr>
                <w:rFonts w:ascii="Times New Roman" w:hAnsi="Times New Roman" w:cs="Times New Roman"/>
                <w:b/>
                <w:bCs/>
              </w:rPr>
              <w:t>Variable</w:t>
            </w:r>
          </w:p>
        </w:tc>
        <w:tc>
          <w:tcPr>
            <w:tcW w:w="4358" w:type="dxa"/>
          </w:tcPr>
          <w:p w14:paraId="559F2467" w14:textId="2050F642" w:rsidR="00F654E3" w:rsidRPr="000628AE" w:rsidRDefault="000628AE" w:rsidP="000628AE">
            <w:pPr>
              <w:jc w:val="center"/>
              <w:rPr>
                <w:rFonts w:ascii="Times New Roman" w:hAnsi="Times New Roman" w:cs="Times New Roman"/>
                <w:b/>
                <w:bCs/>
              </w:rPr>
            </w:pPr>
            <w:r w:rsidRPr="000628AE">
              <w:rPr>
                <w:rFonts w:ascii="Times New Roman" w:hAnsi="Times New Roman" w:cs="Times New Roman"/>
                <w:b/>
                <w:bCs/>
              </w:rPr>
              <w:t>Definition</w:t>
            </w:r>
          </w:p>
        </w:tc>
        <w:tc>
          <w:tcPr>
            <w:tcW w:w="2776" w:type="dxa"/>
          </w:tcPr>
          <w:p w14:paraId="5544564A" w14:textId="2353FCA4" w:rsidR="00F654E3" w:rsidRPr="000628AE" w:rsidRDefault="000628AE" w:rsidP="000628AE">
            <w:pPr>
              <w:jc w:val="center"/>
              <w:rPr>
                <w:rFonts w:ascii="Times New Roman" w:hAnsi="Times New Roman" w:cs="Times New Roman"/>
                <w:b/>
                <w:bCs/>
              </w:rPr>
            </w:pPr>
            <w:r w:rsidRPr="000628AE">
              <w:rPr>
                <w:rFonts w:ascii="Times New Roman" w:hAnsi="Times New Roman" w:cs="Times New Roman"/>
                <w:b/>
                <w:bCs/>
              </w:rPr>
              <w:t>Coding Categories</w:t>
            </w:r>
          </w:p>
        </w:tc>
        <w:tc>
          <w:tcPr>
            <w:tcW w:w="4480" w:type="dxa"/>
          </w:tcPr>
          <w:p w14:paraId="39AF2AAD" w14:textId="067EB255" w:rsidR="00F654E3" w:rsidRPr="000628AE" w:rsidRDefault="000628AE" w:rsidP="000628AE">
            <w:pPr>
              <w:jc w:val="center"/>
              <w:rPr>
                <w:rFonts w:ascii="Times New Roman" w:hAnsi="Times New Roman" w:cs="Times New Roman"/>
                <w:b/>
                <w:bCs/>
              </w:rPr>
            </w:pPr>
            <w:r w:rsidRPr="000628AE">
              <w:rPr>
                <w:rFonts w:ascii="Times New Roman" w:hAnsi="Times New Roman" w:cs="Times New Roman"/>
                <w:b/>
                <w:bCs/>
              </w:rPr>
              <w:t>Decision Rules/Notes</w:t>
            </w:r>
          </w:p>
        </w:tc>
      </w:tr>
      <w:tr w:rsidR="00F654E3" w14:paraId="5FA15FF8" w14:textId="77777777" w:rsidTr="004B4A12">
        <w:tc>
          <w:tcPr>
            <w:tcW w:w="2334" w:type="dxa"/>
          </w:tcPr>
          <w:p w14:paraId="2C0B7B09" w14:textId="26F06E1A" w:rsidR="00F654E3" w:rsidRDefault="001B585B" w:rsidP="000B34A6">
            <w:pPr>
              <w:rPr>
                <w:rFonts w:ascii="Times New Roman" w:hAnsi="Times New Roman" w:cs="Times New Roman"/>
              </w:rPr>
            </w:pPr>
            <w:r w:rsidRPr="001B585B">
              <w:rPr>
                <w:rFonts w:ascii="Times New Roman" w:hAnsi="Times New Roman" w:cs="Times New Roman"/>
              </w:rPr>
              <w:t>Country</w:t>
            </w:r>
          </w:p>
        </w:tc>
        <w:tc>
          <w:tcPr>
            <w:tcW w:w="4358" w:type="dxa"/>
          </w:tcPr>
          <w:p w14:paraId="4F7BC243" w14:textId="7D062944" w:rsidR="00F654E3" w:rsidRDefault="001B585B" w:rsidP="000B34A6">
            <w:pPr>
              <w:rPr>
                <w:rFonts w:ascii="Times New Roman" w:hAnsi="Times New Roman" w:cs="Times New Roman"/>
              </w:rPr>
            </w:pPr>
            <w:r w:rsidRPr="001B585B">
              <w:rPr>
                <w:rFonts w:ascii="Times New Roman" w:hAnsi="Times New Roman" w:cs="Times New Roman"/>
              </w:rPr>
              <w:t>National context of the news outlet in which the article was published.</w:t>
            </w:r>
          </w:p>
        </w:tc>
        <w:tc>
          <w:tcPr>
            <w:tcW w:w="2776" w:type="dxa"/>
          </w:tcPr>
          <w:p w14:paraId="59D874CE" w14:textId="5061E5B6" w:rsidR="00F654E3" w:rsidRDefault="001B585B" w:rsidP="000B34A6">
            <w:pPr>
              <w:rPr>
                <w:rFonts w:ascii="Times New Roman" w:hAnsi="Times New Roman" w:cs="Times New Roman"/>
              </w:rPr>
            </w:pPr>
            <w:r>
              <w:rPr>
                <w:rFonts w:ascii="Times New Roman" w:hAnsi="Times New Roman" w:cs="Times New Roman"/>
              </w:rPr>
              <w:t>United Kingdom</w:t>
            </w:r>
            <w:r w:rsidRPr="001B585B">
              <w:rPr>
                <w:rFonts w:ascii="Times New Roman" w:hAnsi="Times New Roman" w:cs="Times New Roman"/>
              </w:rPr>
              <w:t>;</w:t>
            </w:r>
            <w:r>
              <w:rPr>
                <w:rFonts w:ascii="Times New Roman" w:hAnsi="Times New Roman" w:cs="Times New Roman"/>
              </w:rPr>
              <w:t xml:space="preserve"> </w:t>
            </w:r>
            <w:r w:rsidRPr="001B585B">
              <w:rPr>
                <w:rFonts w:ascii="Times New Roman" w:hAnsi="Times New Roman" w:cs="Times New Roman"/>
              </w:rPr>
              <w:t>Ireland</w:t>
            </w:r>
          </w:p>
        </w:tc>
        <w:tc>
          <w:tcPr>
            <w:tcW w:w="4480" w:type="dxa"/>
          </w:tcPr>
          <w:p w14:paraId="6005F553" w14:textId="16AF2AA6" w:rsidR="00F654E3" w:rsidRDefault="001B585B" w:rsidP="000B34A6">
            <w:pPr>
              <w:rPr>
                <w:rFonts w:ascii="Times New Roman" w:hAnsi="Times New Roman" w:cs="Times New Roman"/>
              </w:rPr>
            </w:pPr>
            <w:r w:rsidRPr="001B585B">
              <w:rPr>
                <w:rFonts w:ascii="Times New Roman" w:hAnsi="Times New Roman" w:cs="Times New Roman"/>
              </w:rPr>
              <w:t>Code based on the primary country of the outlet (e.g. BBC, Guardian, Sun</w:t>
            </w:r>
            <w:r w:rsidR="004C2969">
              <w:rPr>
                <w:rFonts w:ascii="Times New Roman" w:hAnsi="Times New Roman" w:cs="Times New Roman"/>
              </w:rPr>
              <w:t xml:space="preserve">, </w:t>
            </w:r>
            <w:r w:rsidR="00835A06">
              <w:rPr>
                <w:rFonts w:ascii="Times New Roman" w:hAnsi="Times New Roman" w:cs="Times New Roman"/>
              </w:rPr>
              <w:t>Independent</w:t>
            </w:r>
            <w:r w:rsidR="006A78B0">
              <w:rPr>
                <w:rFonts w:ascii="Times New Roman" w:hAnsi="Times New Roman" w:cs="Times New Roman"/>
              </w:rPr>
              <w:t>, Daily Mail</w:t>
            </w:r>
            <w:r w:rsidRPr="001B585B">
              <w:rPr>
                <w:rFonts w:ascii="Times New Roman" w:hAnsi="Times New Roman" w:cs="Times New Roman"/>
              </w:rPr>
              <w:t xml:space="preserve"> = </w:t>
            </w:r>
            <w:r w:rsidR="004C2969">
              <w:rPr>
                <w:rFonts w:ascii="Times New Roman" w:hAnsi="Times New Roman" w:cs="Times New Roman"/>
              </w:rPr>
              <w:t>UK</w:t>
            </w:r>
            <w:r w:rsidRPr="001B585B">
              <w:rPr>
                <w:rFonts w:ascii="Times New Roman" w:hAnsi="Times New Roman" w:cs="Times New Roman"/>
              </w:rPr>
              <w:t xml:space="preserve">; RTÉ, Irish Times, Irish Independent, The Journal, BreakingNews.ie = Ireland). </w:t>
            </w:r>
          </w:p>
        </w:tc>
      </w:tr>
      <w:tr w:rsidR="00F654E3" w14:paraId="7F3E17F4" w14:textId="77777777" w:rsidTr="004B4A12">
        <w:tc>
          <w:tcPr>
            <w:tcW w:w="2334" w:type="dxa"/>
          </w:tcPr>
          <w:p w14:paraId="4CEB9FBC" w14:textId="0D70D85F" w:rsidR="00F654E3" w:rsidRDefault="005033D1" w:rsidP="000B34A6">
            <w:pPr>
              <w:rPr>
                <w:rFonts w:ascii="Times New Roman" w:hAnsi="Times New Roman" w:cs="Times New Roman"/>
              </w:rPr>
            </w:pPr>
            <w:r w:rsidRPr="005033D1">
              <w:rPr>
                <w:rFonts w:ascii="Times New Roman" w:hAnsi="Times New Roman" w:cs="Times New Roman"/>
              </w:rPr>
              <w:t>News source</w:t>
            </w:r>
          </w:p>
        </w:tc>
        <w:tc>
          <w:tcPr>
            <w:tcW w:w="4358" w:type="dxa"/>
          </w:tcPr>
          <w:p w14:paraId="065BC5B1" w14:textId="55DC9AB7" w:rsidR="00F654E3" w:rsidRDefault="00E5552F" w:rsidP="000B34A6">
            <w:pPr>
              <w:rPr>
                <w:rFonts w:ascii="Times New Roman" w:hAnsi="Times New Roman" w:cs="Times New Roman"/>
              </w:rPr>
            </w:pPr>
            <w:r w:rsidRPr="00E5552F">
              <w:rPr>
                <w:rFonts w:ascii="Times New Roman" w:hAnsi="Times New Roman" w:cs="Times New Roman"/>
              </w:rPr>
              <w:t>The media outlet in which the article was published.</w:t>
            </w:r>
          </w:p>
        </w:tc>
        <w:tc>
          <w:tcPr>
            <w:tcW w:w="2776" w:type="dxa"/>
          </w:tcPr>
          <w:p w14:paraId="09BBDB57" w14:textId="76E2188E" w:rsidR="00F654E3" w:rsidRDefault="00E5552F" w:rsidP="000B34A6">
            <w:pPr>
              <w:rPr>
                <w:rFonts w:ascii="Times New Roman" w:hAnsi="Times New Roman" w:cs="Times New Roman"/>
              </w:rPr>
            </w:pPr>
            <w:r w:rsidRPr="00E5552F">
              <w:rPr>
                <w:rFonts w:ascii="Times New Roman" w:hAnsi="Times New Roman" w:cs="Times New Roman"/>
              </w:rPr>
              <w:t>BBC News; The Guardian; The Independent; Daily Mail; The Sun; RTÉ News; Irish Times; Irish Independent; The Journal; BreakingNews.ie</w:t>
            </w:r>
          </w:p>
        </w:tc>
        <w:tc>
          <w:tcPr>
            <w:tcW w:w="4480" w:type="dxa"/>
          </w:tcPr>
          <w:p w14:paraId="06DA4963" w14:textId="71E6AD93" w:rsidR="00F654E3" w:rsidRDefault="00031D8A" w:rsidP="000B34A6">
            <w:pPr>
              <w:rPr>
                <w:rFonts w:ascii="Times New Roman" w:hAnsi="Times New Roman" w:cs="Times New Roman"/>
              </w:rPr>
            </w:pPr>
            <w:r w:rsidRPr="00031D8A">
              <w:rPr>
                <w:rFonts w:ascii="Times New Roman" w:hAnsi="Times New Roman" w:cs="Times New Roman"/>
              </w:rPr>
              <w:t>Code based on the outlet named on the article. Use a single category per article. Articles syndicated across outlets are coded according to the outlet where they were retrieved.</w:t>
            </w:r>
          </w:p>
        </w:tc>
      </w:tr>
      <w:tr w:rsidR="00F654E3" w14:paraId="2C3FD0F1" w14:textId="77777777" w:rsidTr="004B4A12">
        <w:tc>
          <w:tcPr>
            <w:tcW w:w="2334" w:type="dxa"/>
          </w:tcPr>
          <w:p w14:paraId="0C29E64D" w14:textId="57671339" w:rsidR="00F654E3" w:rsidRPr="00C03DC7" w:rsidRDefault="00C03DC7" w:rsidP="000B34A6">
            <w:pPr>
              <w:rPr>
                <w:rFonts w:ascii="Times New Roman" w:hAnsi="Times New Roman" w:cs="Times New Roman"/>
              </w:rPr>
            </w:pPr>
            <w:r w:rsidRPr="00C03DC7">
              <w:rPr>
                <w:rFonts w:ascii="Times New Roman" w:hAnsi="Times New Roman" w:cs="Times New Roman"/>
              </w:rPr>
              <w:t>Publication date</w:t>
            </w:r>
          </w:p>
        </w:tc>
        <w:tc>
          <w:tcPr>
            <w:tcW w:w="4358" w:type="dxa"/>
          </w:tcPr>
          <w:p w14:paraId="3E74D8C9" w14:textId="1B70600C" w:rsidR="00F654E3" w:rsidRDefault="00C03DC7" w:rsidP="000B34A6">
            <w:pPr>
              <w:rPr>
                <w:rFonts w:ascii="Times New Roman" w:hAnsi="Times New Roman" w:cs="Times New Roman"/>
              </w:rPr>
            </w:pPr>
            <w:r w:rsidRPr="00C03DC7">
              <w:rPr>
                <w:rFonts w:ascii="Times New Roman" w:hAnsi="Times New Roman" w:cs="Times New Roman"/>
              </w:rPr>
              <w:t>Calendar date on which the article was first published online.</w:t>
            </w:r>
          </w:p>
        </w:tc>
        <w:tc>
          <w:tcPr>
            <w:tcW w:w="2776" w:type="dxa"/>
          </w:tcPr>
          <w:p w14:paraId="23AD756E" w14:textId="76FD6930" w:rsidR="00F654E3" w:rsidRDefault="007814A8" w:rsidP="000B34A6">
            <w:pPr>
              <w:rPr>
                <w:rFonts w:ascii="Times New Roman" w:hAnsi="Times New Roman" w:cs="Times New Roman"/>
              </w:rPr>
            </w:pPr>
            <w:r w:rsidRPr="007814A8">
              <w:rPr>
                <w:rFonts w:ascii="Times New Roman" w:hAnsi="Times New Roman" w:cs="Times New Roman"/>
              </w:rPr>
              <w:t>DD/MM/YYYY (free</w:t>
            </w:r>
            <w:r w:rsidRPr="007814A8">
              <w:rPr>
                <w:rFonts w:ascii="Times New Roman" w:hAnsi="Times New Roman" w:cs="Times New Roman"/>
              </w:rPr>
              <w:noBreakHyphen/>
              <w:t>text date); derived period variable: Pre</w:t>
            </w:r>
            <w:r w:rsidRPr="007814A8">
              <w:rPr>
                <w:rFonts w:ascii="Times New Roman" w:hAnsi="Times New Roman" w:cs="Times New Roman"/>
              </w:rPr>
              <w:noBreakHyphen/>
              <w:t>Adolescence (12 Dec 2024–12 Mar 2025); Post</w:t>
            </w:r>
            <w:r w:rsidRPr="007814A8">
              <w:rPr>
                <w:rFonts w:ascii="Times New Roman" w:hAnsi="Times New Roman" w:cs="Times New Roman"/>
              </w:rPr>
              <w:noBreakHyphen/>
              <w:t>Adolescence (13 Mar 2025–11 Jun 2025)</w:t>
            </w:r>
          </w:p>
        </w:tc>
        <w:tc>
          <w:tcPr>
            <w:tcW w:w="4480" w:type="dxa"/>
          </w:tcPr>
          <w:p w14:paraId="507ED1B4" w14:textId="6D64A7C0" w:rsidR="00F654E3" w:rsidRDefault="007814A8" w:rsidP="000B34A6">
            <w:pPr>
              <w:rPr>
                <w:rFonts w:ascii="Times New Roman" w:hAnsi="Times New Roman" w:cs="Times New Roman"/>
              </w:rPr>
            </w:pPr>
            <w:r w:rsidRPr="007814A8">
              <w:rPr>
                <w:rFonts w:ascii="Times New Roman" w:hAnsi="Times New Roman" w:cs="Times New Roman"/>
              </w:rPr>
              <w:t>Enter the exact publication date as shown on the article. For analysis, dates were recoded into a binary period variable (pre vs post release) based on whether they fell before or after 13 March 2025.</w:t>
            </w:r>
          </w:p>
        </w:tc>
      </w:tr>
      <w:tr w:rsidR="004B4A12" w14:paraId="341694AB" w14:textId="77777777" w:rsidTr="004B4A12">
        <w:tc>
          <w:tcPr>
            <w:tcW w:w="2334" w:type="dxa"/>
          </w:tcPr>
          <w:p w14:paraId="1488B846" w14:textId="338B60E4" w:rsidR="004B4A12" w:rsidRPr="00C03DC7" w:rsidRDefault="004508F1" w:rsidP="000B34A6">
            <w:pPr>
              <w:rPr>
                <w:rFonts w:ascii="Times New Roman" w:hAnsi="Times New Roman" w:cs="Times New Roman"/>
              </w:rPr>
            </w:pPr>
            <w:r w:rsidRPr="004508F1">
              <w:rPr>
                <w:rFonts w:ascii="Times New Roman" w:hAnsi="Times New Roman" w:cs="Times New Roman"/>
              </w:rPr>
              <w:t>Article type</w:t>
            </w:r>
          </w:p>
        </w:tc>
        <w:tc>
          <w:tcPr>
            <w:tcW w:w="4358" w:type="dxa"/>
          </w:tcPr>
          <w:p w14:paraId="5C1201B6" w14:textId="340FDC4A" w:rsidR="004B4A12" w:rsidRPr="00C03DC7" w:rsidRDefault="004508F1" w:rsidP="000B34A6">
            <w:pPr>
              <w:rPr>
                <w:rFonts w:ascii="Times New Roman" w:hAnsi="Times New Roman" w:cs="Times New Roman"/>
              </w:rPr>
            </w:pPr>
            <w:r w:rsidRPr="004508F1">
              <w:rPr>
                <w:rFonts w:ascii="Times New Roman" w:hAnsi="Times New Roman" w:cs="Times New Roman"/>
              </w:rPr>
              <w:t>The journalistic format or genre of the piece.</w:t>
            </w:r>
          </w:p>
        </w:tc>
        <w:tc>
          <w:tcPr>
            <w:tcW w:w="2776" w:type="dxa"/>
          </w:tcPr>
          <w:p w14:paraId="39D88A5E" w14:textId="55E3FD72" w:rsidR="004B4A12" w:rsidRPr="007814A8" w:rsidRDefault="004508F1" w:rsidP="000B34A6">
            <w:pPr>
              <w:rPr>
                <w:rFonts w:ascii="Times New Roman" w:hAnsi="Times New Roman" w:cs="Times New Roman"/>
              </w:rPr>
            </w:pPr>
            <w:r w:rsidRPr="004508F1">
              <w:rPr>
                <w:rFonts w:ascii="Times New Roman" w:hAnsi="Times New Roman" w:cs="Times New Roman"/>
              </w:rPr>
              <w:t>News report; Feature; Opinion/commentary; Editorial; Other</w:t>
            </w:r>
          </w:p>
        </w:tc>
        <w:tc>
          <w:tcPr>
            <w:tcW w:w="4480" w:type="dxa"/>
          </w:tcPr>
          <w:p w14:paraId="43411D87" w14:textId="477A8502" w:rsidR="004B4A12" w:rsidRPr="007814A8" w:rsidRDefault="004508F1" w:rsidP="000B34A6">
            <w:pPr>
              <w:rPr>
                <w:rFonts w:ascii="Times New Roman" w:hAnsi="Times New Roman" w:cs="Times New Roman"/>
              </w:rPr>
            </w:pPr>
            <w:r w:rsidRPr="004508F1">
              <w:rPr>
                <w:rFonts w:ascii="Times New Roman" w:hAnsi="Times New Roman" w:cs="Times New Roman"/>
              </w:rPr>
              <w:t>Classify according to outlet labelling where available (e.g. “Opinion”, “Comment”). Straightforward event or announcement coverage = News report; longer background or human‑interest pieces = Feature; signed columns expressing a viewpoint =</w:t>
            </w:r>
            <w:r w:rsidR="00855F7D">
              <w:rPr>
                <w:rFonts w:ascii="Times New Roman" w:hAnsi="Times New Roman" w:cs="Times New Roman"/>
              </w:rPr>
              <w:t xml:space="preserve"> </w:t>
            </w:r>
            <w:r w:rsidRPr="004508F1">
              <w:rPr>
                <w:rFonts w:ascii="Times New Roman" w:hAnsi="Times New Roman" w:cs="Times New Roman"/>
              </w:rPr>
              <w:lastRenderedPageBreak/>
              <w:t>Opinion/commentary; unsigned institutional pieces = Editorial; use “Other” for formats that do not fit these categories.</w:t>
            </w:r>
          </w:p>
        </w:tc>
      </w:tr>
      <w:tr w:rsidR="00E81945" w14:paraId="04EF2CB6" w14:textId="77777777" w:rsidTr="004B4A12">
        <w:tc>
          <w:tcPr>
            <w:tcW w:w="2334" w:type="dxa"/>
          </w:tcPr>
          <w:p w14:paraId="63AB79A7" w14:textId="107511CC" w:rsidR="00E81945" w:rsidRPr="004508F1" w:rsidRDefault="00E81945" w:rsidP="000B34A6">
            <w:pPr>
              <w:rPr>
                <w:rFonts w:ascii="Times New Roman" w:hAnsi="Times New Roman" w:cs="Times New Roman"/>
              </w:rPr>
            </w:pPr>
            <w:r w:rsidRPr="00E81945">
              <w:rPr>
                <w:rFonts w:ascii="Times New Roman" w:hAnsi="Times New Roman" w:cs="Times New Roman"/>
              </w:rPr>
              <w:lastRenderedPageBreak/>
              <w:t>Author role</w:t>
            </w:r>
          </w:p>
        </w:tc>
        <w:tc>
          <w:tcPr>
            <w:tcW w:w="4358" w:type="dxa"/>
          </w:tcPr>
          <w:p w14:paraId="4466F520" w14:textId="69E54167" w:rsidR="00E81945" w:rsidRPr="004508F1" w:rsidRDefault="00E81945" w:rsidP="000B34A6">
            <w:pPr>
              <w:rPr>
                <w:rFonts w:ascii="Times New Roman" w:hAnsi="Times New Roman" w:cs="Times New Roman"/>
              </w:rPr>
            </w:pPr>
            <w:r w:rsidRPr="00E81945">
              <w:rPr>
                <w:rFonts w:ascii="Times New Roman" w:hAnsi="Times New Roman" w:cs="Times New Roman"/>
              </w:rPr>
              <w:t>Primary professional role of the named author(s).</w:t>
            </w:r>
          </w:p>
        </w:tc>
        <w:tc>
          <w:tcPr>
            <w:tcW w:w="2776" w:type="dxa"/>
          </w:tcPr>
          <w:p w14:paraId="3CD6B753" w14:textId="4A582B9F" w:rsidR="00E81945" w:rsidRPr="004508F1" w:rsidRDefault="00E81945" w:rsidP="000B34A6">
            <w:pPr>
              <w:rPr>
                <w:rFonts w:ascii="Times New Roman" w:hAnsi="Times New Roman" w:cs="Times New Roman"/>
              </w:rPr>
            </w:pPr>
            <w:r w:rsidRPr="00E81945">
              <w:rPr>
                <w:rFonts w:ascii="Times New Roman" w:hAnsi="Times New Roman" w:cs="Times New Roman"/>
              </w:rPr>
              <w:t>Journalist; Non</w:t>
            </w:r>
            <w:r w:rsidRPr="00E81945">
              <w:rPr>
                <w:rFonts w:ascii="Times New Roman" w:hAnsi="Times New Roman" w:cs="Times New Roman"/>
              </w:rPr>
              <w:noBreakHyphen/>
              <w:t>journalist</w:t>
            </w:r>
          </w:p>
        </w:tc>
        <w:tc>
          <w:tcPr>
            <w:tcW w:w="4480" w:type="dxa"/>
          </w:tcPr>
          <w:p w14:paraId="1443B7CF" w14:textId="135669B6" w:rsidR="00E81945" w:rsidRPr="004508F1" w:rsidRDefault="00E81945" w:rsidP="000B34A6">
            <w:pPr>
              <w:rPr>
                <w:rFonts w:ascii="Times New Roman" w:hAnsi="Times New Roman" w:cs="Times New Roman"/>
              </w:rPr>
            </w:pPr>
            <w:r w:rsidRPr="00E81945">
              <w:rPr>
                <w:rFonts w:ascii="Times New Roman" w:hAnsi="Times New Roman" w:cs="Times New Roman"/>
              </w:rPr>
              <w:t>Code “Journalist” when the author is staff or freelance media personnel. Code “Non</w:t>
            </w:r>
            <w:r w:rsidRPr="00E81945">
              <w:rPr>
                <w:rFonts w:ascii="Times New Roman" w:hAnsi="Times New Roman" w:cs="Times New Roman"/>
              </w:rPr>
              <w:noBreakHyphen/>
              <w:t>journalist” when the author is identified primarily as an academic, clinician, policymaker, charity representative, or other non</w:t>
            </w:r>
            <w:r w:rsidRPr="00E81945">
              <w:rPr>
                <w:rFonts w:ascii="Times New Roman" w:hAnsi="Times New Roman" w:cs="Times New Roman"/>
              </w:rPr>
              <w:noBreakHyphen/>
              <w:t>media professional (based on byline/description).</w:t>
            </w:r>
          </w:p>
        </w:tc>
      </w:tr>
      <w:tr w:rsidR="00E81945" w14:paraId="7E044934" w14:textId="77777777" w:rsidTr="004B4A12">
        <w:tc>
          <w:tcPr>
            <w:tcW w:w="2334" w:type="dxa"/>
          </w:tcPr>
          <w:p w14:paraId="583189DD" w14:textId="307185D0" w:rsidR="00E81945" w:rsidRPr="004508F1" w:rsidRDefault="000D3062" w:rsidP="000B34A6">
            <w:pPr>
              <w:rPr>
                <w:rFonts w:ascii="Times New Roman" w:hAnsi="Times New Roman" w:cs="Times New Roman"/>
              </w:rPr>
            </w:pPr>
            <w:r w:rsidRPr="000D3062">
              <w:rPr>
                <w:rFonts w:ascii="Times New Roman" w:hAnsi="Times New Roman" w:cs="Times New Roman"/>
              </w:rPr>
              <w:t>Author gender</w:t>
            </w:r>
          </w:p>
        </w:tc>
        <w:tc>
          <w:tcPr>
            <w:tcW w:w="4358" w:type="dxa"/>
          </w:tcPr>
          <w:p w14:paraId="7F82D5C6" w14:textId="48F9A374" w:rsidR="00E81945" w:rsidRPr="004508F1" w:rsidRDefault="000D3062" w:rsidP="000B34A6">
            <w:pPr>
              <w:rPr>
                <w:rFonts w:ascii="Times New Roman" w:hAnsi="Times New Roman" w:cs="Times New Roman"/>
              </w:rPr>
            </w:pPr>
            <w:r w:rsidRPr="000D3062">
              <w:rPr>
                <w:rFonts w:ascii="Times New Roman" w:hAnsi="Times New Roman" w:cs="Times New Roman"/>
              </w:rPr>
              <w:t>Inferred gender of the article’s author(s), based on name and any biographical information provided.</w:t>
            </w:r>
          </w:p>
        </w:tc>
        <w:tc>
          <w:tcPr>
            <w:tcW w:w="2776" w:type="dxa"/>
          </w:tcPr>
          <w:p w14:paraId="59500736" w14:textId="1FB25F98" w:rsidR="00E81945" w:rsidRPr="004508F1" w:rsidRDefault="000D3062" w:rsidP="000B34A6">
            <w:pPr>
              <w:rPr>
                <w:rFonts w:ascii="Times New Roman" w:hAnsi="Times New Roman" w:cs="Times New Roman"/>
              </w:rPr>
            </w:pPr>
            <w:r w:rsidRPr="000D3062">
              <w:rPr>
                <w:rFonts w:ascii="Times New Roman" w:hAnsi="Times New Roman" w:cs="Times New Roman"/>
              </w:rPr>
              <w:t>Male; Female; Mixed; Unknown</w:t>
            </w:r>
          </w:p>
        </w:tc>
        <w:tc>
          <w:tcPr>
            <w:tcW w:w="4480" w:type="dxa"/>
          </w:tcPr>
          <w:p w14:paraId="6E318D3D" w14:textId="20351B18" w:rsidR="00E81945" w:rsidRPr="004508F1" w:rsidRDefault="000D3062" w:rsidP="000B34A6">
            <w:pPr>
              <w:rPr>
                <w:rFonts w:ascii="Times New Roman" w:hAnsi="Times New Roman" w:cs="Times New Roman"/>
              </w:rPr>
            </w:pPr>
            <w:r w:rsidRPr="000D3062">
              <w:rPr>
                <w:rFonts w:ascii="Times New Roman" w:hAnsi="Times New Roman" w:cs="Times New Roman"/>
              </w:rPr>
              <w:t>Code “Male” or “Female” when the byline clearly indicates a single author whose gender can reasonably be inferred. Use “Mixed” when multiple authors with different inferred genders are listed. Use “Unknown” when the byline is absent, uses only initials, or gender cannot be inferred with confidence.</w:t>
            </w:r>
          </w:p>
        </w:tc>
      </w:tr>
      <w:tr w:rsidR="00F654E3" w14:paraId="59BA87C3" w14:textId="77777777" w:rsidTr="004B4A12">
        <w:tc>
          <w:tcPr>
            <w:tcW w:w="2334" w:type="dxa"/>
          </w:tcPr>
          <w:p w14:paraId="273F6C45" w14:textId="09557653" w:rsidR="00F654E3" w:rsidRDefault="00E401DF" w:rsidP="000B34A6">
            <w:pPr>
              <w:rPr>
                <w:rFonts w:ascii="Times New Roman" w:hAnsi="Times New Roman" w:cs="Times New Roman"/>
              </w:rPr>
            </w:pPr>
            <w:r w:rsidRPr="00E401DF">
              <w:rPr>
                <w:rFonts w:ascii="Times New Roman" w:hAnsi="Times New Roman" w:cs="Times New Roman"/>
              </w:rPr>
              <w:t>Primary focus of article</w:t>
            </w:r>
          </w:p>
        </w:tc>
        <w:tc>
          <w:tcPr>
            <w:tcW w:w="4358" w:type="dxa"/>
          </w:tcPr>
          <w:p w14:paraId="472947D1" w14:textId="6A85A733" w:rsidR="00F654E3" w:rsidRDefault="00475153" w:rsidP="000B34A6">
            <w:pPr>
              <w:rPr>
                <w:rFonts w:ascii="Times New Roman" w:hAnsi="Times New Roman" w:cs="Times New Roman"/>
              </w:rPr>
            </w:pPr>
            <w:r w:rsidRPr="00475153">
              <w:rPr>
                <w:rFonts w:ascii="Times New Roman" w:hAnsi="Times New Roman" w:cs="Times New Roman"/>
              </w:rPr>
              <w:t>The main substantive topic or issue the article addresses in relation to y</w:t>
            </w:r>
            <w:r w:rsidR="003F1D0F">
              <w:rPr>
                <w:rFonts w:ascii="Times New Roman" w:hAnsi="Times New Roman" w:cs="Times New Roman"/>
              </w:rPr>
              <w:t>oung people</w:t>
            </w:r>
            <w:r w:rsidRPr="00475153">
              <w:rPr>
                <w:rFonts w:ascii="Times New Roman" w:hAnsi="Times New Roman" w:cs="Times New Roman"/>
              </w:rPr>
              <w:t xml:space="preserve"> and social media.</w:t>
            </w:r>
          </w:p>
        </w:tc>
        <w:tc>
          <w:tcPr>
            <w:tcW w:w="2776" w:type="dxa"/>
          </w:tcPr>
          <w:p w14:paraId="15B4F1F9" w14:textId="5E704032" w:rsidR="00F654E3" w:rsidRDefault="004D6BD3" w:rsidP="000B34A6">
            <w:pPr>
              <w:rPr>
                <w:rFonts w:ascii="Times New Roman" w:hAnsi="Times New Roman" w:cs="Times New Roman"/>
              </w:rPr>
            </w:pPr>
            <w:r w:rsidRPr="004D6BD3">
              <w:rPr>
                <w:rFonts w:ascii="Times New Roman" w:hAnsi="Times New Roman" w:cs="Times New Roman"/>
              </w:rPr>
              <w:t>Young people’s social media use</w:t>
            </w:r>
            <w:r w:rsidR="00475153" w:rsidRPr="004D6BD3">
              <w:rPr>
                <w:rFonts w:ascii="Times New Roman" w:hAnsi="Times New Roman" w:cs="Times New Roman"/>
              </w:rPr>
              <w:t>;</w:t>
            </w:r>
            <w:r w:rsidR="00475153" w:rsidRPr="00475153">
              <w:rPr>
                <w:rFonts w:ascii="Times New Roman" w:hAnsi="Times New Roman" w:cs="Times New Roman"/>
              </w:rPr>
              <w:t xml:space="preserve"> Online safety/digital wellbeing; Toxic masculinity/incel culture/misogyny/violence against women; Policy and regulation of social media; Mental health and social media</w:t>
            </w:r>
          </w:p>
        </w:tc>
        <w:tc>
          <w:tcPr>
            <w:tcW w:w="4480" w:type="dxa"/>
          </w:tcPr>
          <w:p w14:paraId="59B39727" w14:textId="6736BDD7" w:rsidR="00F654E3" w:rsidRDefault="00475153" w:rsidP="000B34A6">
            <w:pPr>
              <w:rPr>
                <w:rFonts w:ascii="Times New Roman" w:hAnsi="Times New Roman" w:cs="Times New Roman"/>
              </w:rPr>
            </w:pPr>
            <w:r w:rsidRPr="00475153">
              <w:rPr>
                <w:rFonts w:ascii="Times New Roman" w:hAnsi="Times New Roman" w:cs="Times New Roman"/>
              </w:rPr>
              <w:t>Code the single dominant focus based on headline, opening paragraphs, and overall emphasis. If multiple topics are mentioned, choose the one most heavily discussed. Articles centred on manosphere, misogyny or incel-related harms are coded under “Toxic masculinity/incel culture/misogyny/violence against women,” even if online safety is also discussed.</w:t>
            </w:r>
          </w:p>
        </w:tc>
      </w:tr>
      <w:tr w:rsidR="006C4AD3" w14:paraId="0A5603D1" w14:textId="77777777" w:rsidTr="004B4A12">
        <w:tc>
          <w:tcPr>
            <w:tcW w:w="2334" w:type="dxa"/>
          </w:tcPr>
          <w:p w14:paraId="4F34BEE2" w14:textId="4FAB5B55" w:rsidR="006C4AD3" w:rsidRPr="00E401DF" w:rsidRDefault="006C4AD3" w:rsidP="000B34A6">
            <w:pPr>
              <w:rPr>
                <w:rFonts w:ascii="Times New Roman" w:hAnsi="Times New Roman" w:cs="Times New Roman"/>
              </w:rPr>
            </w:pPr>
            <w:r w:rsidRPr="006C4AD3">
              <w:rPr>
                <w:rFonts w:ascii="Times New Roman" w:hAnsi="Times New Roman" w:cs="Times New Roman"/>
              </w:rPr>
              <w:t>Article tone towards social media</w:t>
            </w:r>
          </w:p>
        </w:tc>
        <w:tc>
          <w:tcPr>
            <w:tcW w:w="4358" w:type="dxa"/>
          </w:tcPr>
          <w:p w14:paraId="358BB600" w14:textId="7C6C0E23" w:rsidR="006C4AD3" w:rsidRPr="00475153" w:rsidRDefault="006C4AD3" w:rsidP="000B34A6">
            <w:pPr>
              <w:rPr>
                <w:rFonts w:ascii="Times New Roman" w:hAnsi="Times New Roman" w:cs="Times New Roman"/>
              </w:rPr>
            </w:pPr>
            <w:r w:rsidRPr="006C4AD3">
              <w:rPr>
                <w:rFonts w:ascii="Times New Roman" w:hAnsi="Times New Roman" w:cs="Times New Roman"/>
              </w:rPr>
              <w:t>Overall evaluative tone of the article regarding social media’s impact on children and young people.</w:t>
            </w:r>
          </w:p>
        </w:tc>
        <w:tc>
          <w:tcPr>
            <w:tcW w:w="2776" w:type="dxa"/>
          </w:tcPr>
          <w:p w14:paraId="4BD1E5EE" w14:textId="3B3A58C6" w:rsidR="006C4AD3" w:rsidRPr="00475153" w:rsidRDefault="00877582" w:rsidP="000B34A6">
            <w:pPr>
              <w:rPr>
                <w:rFonts w:ascii="Times New Roman" w:hAnsi="Times New Roman" w:cs="Times New Roman"/>
              </w:rPr>
            </w:pPr>
            <w:r>
              <w:rPr>
                <w:rFonts w:ascii="Times New Roman" w:hAnsi="Times New Roman" w:cs="Times New Roman"/>
              </w:rPr>
              <w:t>Positive, n</w:t>
            </w:r>
            <w:r w:rsidRPr="00877582">
              <w:rPr>
                <w:rFonts w:ascii="Times New Roman" w:hAnsi="Times New Roman" w:cs="Times New Roman"/>
              </w:rPr>
              <w:t>egative; Neutral/mixed</w:t>
            </w:r>
          </w:p>
        </w:tc>
        <w:tc>
          <w:tcPr>
            <w:tcW w:w="4480" w:type="dxa"/>
          </w:tcPr>
          <w:p w14:paraId="4E6EC3B0" w14:textId="4C81AA9F" w:rsidR="006C4AD3" w:rsidRPr="00475153" w:rsidRDefault="0023020E" w:rsidP="000B34A6">
            <w:pPr>
              <w:rPr>
                <w:rFonts w:ascii="Times New Roman" w:hAnsi="Times New Roman" w:cs="Times New Roman"/>
              </w:rPr>
            </w:pPr>
            <w:r w:rsidRPr="0023020E">
              <w:rPr>
                <w:rFonts w:ascii="Times New Roman" w:hAnsi="Times New Roman" w:cs="Times New Roman"/>
              </w:rPr>
              <w:t xml:space="preserve">“Negative” where the dominant tone emphasises harms, risks, or problems of social media, even if brief benefits are mentioned. “Neutral/mixed” where the article presents a more descriptive or </w:t>
            </w:r>
            <w:r w:rsidRPr="0023020E">
              <w:rPr>
                <w:rFonts w:ascii="Times New Roman" w:hAnsi="Times New Roman" w:cs="Times New Roman"/>
              </w:rPr>
              <w:lastRenderedPageBreak/>
              <w:t>balanced account, including both risks and benefits without clear prioritisation of one side. Base coding on the overall article, not isolated quotes.</w:t>
            </w:r>
          </w:p>
        </w:tc>
      </w:tr>
      <w:tr w:rsidR="00A4708A" w14:paraId="6F49F834" w14:textId="77777777" w:rsidTr="004B4A12">
        <w:tc>
          <w:tcPr>
            <w:tcW w:w="2334" w:type="dxa"/>
          </w:tcPr>
          <w:p w14:paraId="0AB63015" w14:textId="5AD3FCE4" w:rsidR="00A4708A" w:rsidRPr="006C4AD3" w:rsidRDefault="00A4708A" w:rsidP="000B34A6">
            <w:pPr>
              <w:rPr>
                <w:rFonts w:ascii="Times New Roman" w:hAnsi="Times New Roman" w:cs="Times New Roman"/>
              </w:rPr>
            </w:pPr>
            <w:r w:rsidRPr="00A4708A">
              <w:rPr>
                <w:rFonts w:ascii="Times New Roman" w:hAnsi="Times New Roman" w:cs="Times New Roman"/>
              </w:rPr>
              <w:lastRenderedPageBreak/>
              <w:t xml:space="preserve">Severity framing </w:t>
            </w:r>
          </w:p>
        </w:tc>
        <w:tc>
          <w:tcPr>
            <w:tcW w:w="4358" w:type="dxa"/>
          </w:tcPr>
          <w:p w14:paraId="0A5F45D0" w14:textId="263FCCD4" w:rsidR="00A4708A" w:rsidRPr="006C4AD3" w:rsidRDefault="00A4708A" w:rsidP="000B34A6">
            <w:pPr>
              <w:rPr>
                <w:rFonts w:ascii="Times New Roman" w:hAnsi="Times New Roman" w:cs="Times New Roman"/>
              </w:rPr>
            </w:pPr>
            <w:r w:rsidRPr="00A4708A">
              <w:rPr>
                <w:rFonts w:ascii="Times New Roman" w:hAnsi="Times New Roman" w:cs="Times New Roman"/>
              </w:rPr>
              <w:t xml:space="preserve">The extent to which the article frames </w:t>
            </w:r>
            <w:r w:rsidR="00EF7035">
              <w:rPr>
                <w:rFonts w:ascii="Times New Roman" w:hAnsi="Times New Roman" w:cs="Times New Roman"/>
              </w:rPr>
              <w:t>young people’s</w:t>
            </w:r>
            <w:r w:rsidRPr="00A4708A">
              <w:rPr>
                <w:rFonts w:ascii="Times New Roman" w:hAnsi="Times New Roman" w:cs="Times New Roman"/>
              </w:rPr>
              <w:t xml:space="preserve"> social media use as an urgent, severe, or escalating threat versus a more measured issue.</w:t>
            </w:r>
          </w:p>
        </w:tc>
        <w:tc>
          <w:tcPr>
            <w:tcW w:w="2776" w:type="dxa"/>
          </w:tcPr>
          <w:p w14:paraId="0405E82D" w14:textId="1C95495A" w:rsidR="00A4708A" w:rsidRDefault="008A3E8F" w:rsidP="000B34A6">
            <w:pPr>
              <w:rPr>
                <w:rFonts w:ascii="Times New Roman" w:hAnsi="Times New Roman" w:cs="Times New Roman"/>
              </w:rPr>
            </w:pPr>
            <w:r w:rsidRPr="008A3E8F">
              <w:rPr>
                <w:rFonts w:ascii="Times New Roman" w:hAnsi="Times New Roman" w:cs="Times New Roman"/>
              </w:rPr>
              <w:t>Alarmist; Balanced</w:t>
            </w:r>
          </w:p>
        </w:tc>
        <w:tc>
          <w:tcPr>
            <w:tcW w:w="4480" w:type="dxa"/>
          </w:tcPr>
          <w:p w14:paraId="6E1EC6CB" w14:textId="52C9B3E1" w:rsidR="008A3E8F" w:rsidRPr="00196BEB" w:rsidRDefault="008A3E8F" w:rsidP="008A3E8F">
            <w:pPr>
              <w:rPr>
                <w:rFonts w:ascii="Times New Roman" w:hAnsi="Times New Roman" w:cs="Times New Roman"/>
              </w:rPr>
            </w:pPr>
            <w:r w:rsidRPr="008A3E8F">
              <w:rPr>
                <w:rFonts w:ascii="Times New Roman" w:hAnsi="Times New Roman" w:cs="Times New Roman"/>
              </w:rPr>
              <w:t xml:space="preserve">Alarmist: Coverage portrays </w:t>
            </w:r>
            <w:r w:rsidR="00EF7035">
              <w:rPr>
                <w:rFonts w:ascii="Times New Roman" w:hAnsi="Times New Roman" w:cs="Times New Roman"/>
              </w:rPr>
              <w:t>young people’s</w:t>
            </w:r>
            <w:r w:rsidRPr="008A3E8F">
              <w:rPr>
                <w:rFonts w:ascii="Times New Roman" w:hAnsi="Times New Roman" w:cs="Times New Roman"/>
              </w:rPr>
              <w:t xml:space="preserve"> social media use primarily in terms of imminent, severe, or escalating harm, often emphasising crisis or threat via strongly evaluative/emotive language and calls for urgent, far</w:t>
            </w:r>
            <w:r w:rsidRPr="008A3E8F">
              <w:rPr>
                <w:rFonts w:ascii="Times New Roman" w:hAnsi="Times New Roman" w:cs="Times New Roman"/>
              </w:rPr>
              <w:noBreakHyphen/>
              <w:t>reaching action. Examples: headlines such as “Adolescence reveals a terrifying truth: smartphones are poison for boys’ minds” or “Dire warning issued following the release of Netflix's Adolescence over ‘tsunami’ of boys turning to misogyny.”</w:t>
            </w:r>
          </w:p>
          <w:p w14:paraId="71A8AEE2" w14:textId="0BBAC110" w:rsidR="00A4708A" w:rsidRPr="0023020E" w:rsidRDefault="008A3E8F" w:rsidP="000B34A6">
            <w:pPr>
              <w:rPr>
                <w:rFonts w:ascii="Times New Roman" w:hAnsi="Times New Roman" w:cs="Times New Roman"/>
              </w:rPr>
            </w:pPr>
            <w:r w:rsidRPr="008A3E8F">
              <w:rPr>
                <w:rFonts w:ascii="Times New Roman" w:hAnsi="Times New Roman" w:cs="Times New Roman"/>
              </w:rPr>
              <w:t xml:space="preserve">Balanced: Reporting that presents both potential risks and benefits, or that situates harms within evidence, policy context, or diverse </w:t>
            </w:r>
            <w:r w:rsidR="00EF7035">
              <w:rPr>
                <w:rFonts w:ascii="Times New Roman" w:hAnsi="Times New Roman" w:cs="Times New Roman"/>
              </w:rPr>
              <w:t>young people’s</w:t>
            </w:r>
            <w:r w:rsidRPr="008A3E8F">
              <w:rPr>
                <w:rFonts w:ascii="Times New Roman" w:hAnsi="Times New Roman" w:cs="Times New Roman"/>
              </w:rPr>
              <w:t xml:space="preserve"> experiences, using more measured language. Example: “How to talk to your children about Adolescence, incels and the manosphere.”</w:t>
            </w:r>
          </w:p>
        </w:tc>
      </w:tr>
      <w:tr w:rsidR="003343E7" w14:paraId="73072578" w14:textId="77777777" w:rsidTr="004B4A12">
        <w:tc>
          <w:tcPr>
            <w:tcW w:w="2334" w:type="dxa"/>
          </w:tcPr>
          <w:p w14:paraId="35036A7F" w14:textId="4962EC7C" w:rsidR="003343E7" w:rsidRPr="00A4708A" w:rsidRDefault="003343E7" w:rsidP="000B34A6">
            <w:pPr>
              <w:rPr>
                <w:rFonts w:ascii="Times New Roman" w:hAnsi="Times New Roman" w:cs="Times New Roman"/>
              </w:rPr>
            </w:pPr>
            <w:r w:rsidRPr="003343E7">
              <w:rPr>
                <w:rFonts w:ascii="Times New Roman" w:hAnsi="Times New Roman" w:cs="Times New Roman"/>
              </w:rPr>
              <w:t>Mention of vulnerable cohorts</w:t>
            </w:r>
          </w:p>
        </w:tc>
        <w:tc>
          <w:tcPr>
            <w:tcW w:w="4358" w:type="dxa"/>
          </w:tcPr>
          <w:p w14:paraId="5F1948A0" w14:textId="74DBE902" w:rsidR="003343E7" w:rsidRPr="00A4708A" w:rsidRDefault="003343E7" w:rsidP="000B34A6">
            <w:pPr>
              <w:rPr>
                <w:rFonts w:ascii="Times New Roman" w:hAnsi="Times New Roman" w:cs="Times New Roman"/>
              </w:rPr>
            </w:pPr>
            <w:r w:rsidRPr="003343E7">
              <w:rPr>
                <w:rFonts w:ascii="Times New Roman" w:hAnsi="Times New Roman" w:cs="Times New Roman"/>
              </w:rPr>
              <w:t>Whether the article explicitly references particular groups of young people as especially vulnerable or at risk in relation to social media use.</w:t>
            </w:r>
          </w:p>
        </w:tc>
        <w:tc>
          <w:tcPr>
            <w:tcW w:w="2776" w:type="dxa"/>
          </w:tcPr>
          <w:p w14:paraId="68040EB2" w14:textId="68EAEDE9" w:rsidR="003343E7" w:rsidRPr="008A3E8F" w:rsidRDefault="00854AAB" w:rsidP="000B34A6">
            <w:pPr>
              <w:rPr>
                <w:rFonts w:ascii="Times New Roman" w:hAnsi="Times New Roman" w:cs="Times New Roman"/>
              </w:rPr>
            </w:pPr>
            <w:r w:rsidRPr="00854AAB">
              <w:rPr>
                <w:rFonts w:ascii="Times New Roman" w:hAnsi="Times New Roman" w:cs="Times New Roman"/>
              </w:rPr>
              <w:t>Yes; No</w:t>
            </w:r>
          </w:p>
        </w:tc>
        <w:tc>
          <w:tcPr>
            <w:tcW w:w="4480" w:type="dxa"/>
          </w:tcPr>
          <w:p w14:paraId="7EB4A411" w14:textId="41114C01" w:rsidR="003343E7" w:rsidRPr="003343E7" w:rsidRDefault="0002013A" w:rsidP="008A3E8F">
            <w:pPr>
              <w:rPr>
                <w:rFonts w:ascii="Times New Roman" w:hAnsi="Times New Roman" w:cs="Times New Roman"/>
              </w:rPr>
            </w:pPr>
            <w:r w:rsidRPr="0002013A">
              <w:rPr>
                <w:rFonts w:ascii="Times New Roman" w:hAnsi="Times New Roman" w:cs="Times New Roman"/>
              </w:rPr>
              <w:t xml:space="preserve">Code “Yes” if any specific group (e.g. young boys, young girls, young people with mental health difficulties, LGBTQIA+ young people, neurodivergent young people, ethnic minority young people, young people from low socioeconomic backgrounds) is described as especially affected or at heightened risk. Code “No” if </w:t>
            </w:r>
            <w:r w:rsidRPr="0002013A">
              <w:rPr>
                <w:rFonts w:ascii="Times New Roman" w:hAnsi="Times New Roman" w:cs="Times New Roman"/>
              </w:rPr>
              <w:lastRenderedPageBreak/>
              <w:t>only generic references to “children”, “teens”, or “young people” are made.</w:t>
            </w:r>
          </w:p>
        </w:tc>
      </w:tr>
      <w:tr w:rsidR="00B032F4" w14:paraId="0B66B333" w14:textId="77777777" w:rsidTr="004B4A12">
        <w:tc>
          <w:tcPr>
            <w:tcW w:w="2334" w:type="dxa"/>
          </w:tcPr>
          <w:p w14:paraId="77597BE3" w14:textId="577D8906" w:rsidR="00B032F4" w:rsidRPr="003343E7" w:rsidRDefault="00B032F4" w:rsidP="000B34A6">
            <w:pPr>
              <w:rPr>
                <w:rFonts w:ascii="Times New Roman" w:hAnsi="Times New Roman" w:cs="Times New Roman"/>
              </w:rPr>
            </w:pPr>
            <w:r w:rsidRPr="00B032F4">
              <w:rPr>
                <w:rFonts w:ascii="Times New Roman" w:hAnsi="Times New Roman" w:cs="Times New Roman"/>
              </w:rPr>
              <w:lastRenderedPageBreak/>
              <w:t>Vulnerable cohorts referenced (type)</w:t>
            </w:r>
          </w:p>
        </w:tc>
        <w:tc>
          <w:tcPr>
            <w:tcW w:w="4358" w:type="dxa"/>
          </w:tcPr>
          <w:p w14:paraId="3EF2A0DC" w14:textId="73F70EB2" w:rsidR="00B032F4" w:rsidRPr="003343E7" w:rsidRDefault="00B032F4" w:rsidP="000B34A6">
            <w:pPr>
              <w:rPr>
                <w:rFonts w:ascii="Times New Roman" w:hAnsi="Times New Roman" w:cs="Times New Roman"/>
              </w:rPr>
            </w:pPr>
            <w:r w:rsidRPr="00B032F4">
              <w:rPr>
                <w:rFonts w:ascii="Times New Roman" w:hAnsi="Times New Roman" w:cs="Times New Roman"/>
              </w:rPr>
              <w:t>Specific vulnerable groups of young people explicitly identified in the article.</w:t>
            </w:r>
          </w:p>
        </w:tc>
        <w:tc>
          <w:tcPr>
            <w:tcW w:w="2776" w:type="dxa"/>
          </w:tcPr>
          <w:p w14:paraId="7D11F940" w14:textId="64B70D9F" w:rsidR="00B032F4" w:rsidRPr="00854AAB" w:rsidRDefault="00085F3B" w:rsidP="000B34A6">
            <w:pPr>
              <w:rPr>
                <w:rFonts w:ascii="Times New Roman" w:hAnsi="Times New Roman" w:cs="Times New Roman"/>
              </w:rPr>
            </w:pPr>
            <w:r w:rsidRPr="00085F3B">
              <w:rPr>
                <w:rFonts w:ascii="Times New Roman" w:hAnsi="Times New Roman" w:cs="Times New Roman"/>
              </w:rPr>
              <w:t>Young males; Young females; Young people with mental health disorders; LGBTQIA+ young people; Neurodivergent young people; Ethnic minority young people; Young people from low socioeconomic backgrounds (each coded yes/no for presence)</w:t>
            </w:r>
          </w:p>
        </w:tc>
        <w:tc>
          <w:tcPr>
            <w:tcW w:w="4480" w:type="dxa"/>
          </w:tcPr>
          <w:p w14:paraId="35940A94" w14:textId="671E8A24" w:rsidR="00B032F4" w:rsidRPr="003343E7" w:rsidRDefault="0067288E" w:rsidP="008A3E8F">
            <w:pPr>
              <w:rPr>
                <w:rFonts w:ascii="Times New Roman" w:hAnsi="Times New Roman" w:cs="Times New Roman"/>
              </w:rPr>
            </w:pPr>
            <w:r w:rsidRPr="0067288E">
              <w:rPr>
                <w:rFonts w:ascii="Times New Roman" w:hAnsi="Times New Roman" w:cs="Times New Roman"/>
              </w:rPr>
              <w:t>Code each category independently as present/absent. For example, articles that emphasise “boys” or “young men” as particularly affected are coded as “Young males = yes.” References to “children with depression”, “anxious teens” etc. are coded under “Young people with mental health disorders.” Where multiple vulnerable cohorts are mentioned, mark all that apply.</w:t>
            </w:r>
          </w:p>
        </w:tc>
      </w:tr>
      <w:tr w:rsidR="00101F3D" w14:paraId="1C7B63F6" w14:textId="77777777" w:rsidTr="004B4A12">
        <w:tc>
          <w:tcPr>
            <w:tcW w:w="2334" w:type="dxa"/>
          </w:tcPr>
          <w:p w14:paraId="2B105CEA" w14:textId="6ACAB745" w:rsidR="00101F3D" w:rsidRPr="00B032F4" w:rsidRDefault="00101F3D" w:rsidP="000B34A6">
            <w:pPr>
              <w:rPr>
                <w:rFonts w:ascii="Times New Roman" w:hAnsi="Times New Roman" w:cs="Times New Roman"/>
              </w:rPr>
            </w:pPr>
            <w:r w:rsidRPr="00101F3D">
              <w:rPr>
                <w:rFonts w:ascii="Times New Roman" w:hAnsi="Times New Roman" w:cs="Times New Roman"/>
              </w:rPr>
              <w:t>References to toxic masculinity or incel culture</w:t>
            </w:r>
          </w:p>
        </w:tc>
        <w:tc>
          <w:tcPr>
            <w:tcW w:w="4358" w:type="dxa"/>
          </w:tcPr>
          <w:p w14:paraId="2DC9446A" w14:textId="46176A43" w:rsidR="00101F3D" w:rsidRPr="00B032F4" w:rsidRDefault="00101F3D" w:rsidP="000B34A6">
            <w:pPr>
              <w:rPr>
                <w:rFonts w:ascii="Times New Roman" w:hAnsi="Times New Roman" w:cs="Times New Roman"/>
              </w:rPr>
            </w:pPr>
            <w:r w:rsidRPr="00101F3D">
              <w:rPr>
                <w:rFonts w:ascii="Times New Roman" w:hAnsi="Times New Roman" w:cs="Times New Roman"/>
              </w:rPr>
              <w:t>Whether the article explicitly mentions toxic masculinity, incels, manosphere, or closely related concepts as part of its discussion.</w:t>
            </w:r>
          </w:p>
        </w:tc>
        <w:tc>
          <w:tcPr>
            <w:tcW w:w="2776" w:type="dxa"/>
          </w:tcPr>
          <w:p w14:paraId="1D527452" w14:textId="52F44503" w:rsidR="00101F3D" w:rsidRPr="00B032F4" w:rsidRDefault="00101F3D" w:rsidP="000B34A6">
            <w:pPr>
              <w:rPr>
                <w:rFonts w:ascii="Times New Roman" w:hAnsi="Times New Roman" w:cs="Times New Roman"/>
              </w:rPr>
            </w:pPr>
            <w:r w:rsidRPr="00101F3D">
              <w:rPr>
                <w:rFonts w:ascii="Times New Roman" w:hAnsi="Times New Roman" w:cs="Times New Roman"/>
              </w:rPr>
              <w:t>Yes; No</w:t>
            </w:r>
          </w:p>
        </w:tc>
        <w:tc>
          <w:tcPr>
            <w:tcW w:w="4480" w:type="dxa"/>
          </w:tcPr>
          <w:p w14:paraId="7F453125" w14:textId="64F9F6FB" w:rsidR="00101F3D" w:rsidRPr="00B032F4" w:rsidRDefault="00246824" w:rsidP="008A3E8F">
            <w:pPr>
              <w:rPr>
                <w:rFonts w:ascii="Times New Roman" w:hAnsi="Times New Roman" w:cs="Times New Roman"/>
              </w:rPr>
            </w:pPr>
            <w:r w:rsidRPr="00246824">
              <w:rPr>
                <w:rFonts w:ascii="Times New Roman" w:hAnsi="Times New Roman" w:cs="Times New Roman"/>
              </w:rPr>
              <w:t>Code “Yes” when terms such as “toxic masculinity”, “incel”, “manosphere”, “misogynistic influencers” or equivalent are used in the article text or headline. General references to sexism or gender inequality without these concepts are coded “No.”</w:t>
            </w:r>
          </w:p>
        </w:tc>
      </w:tr>
      <w:tr w:rsidR="00101F3D" w14:paraId="3230FCA0" w14:textId="77777777" w:rsidTr="004B4A12">
        <w:tc>
          <w:tcPr>
            <w:tcW w:w="2334" w:type="dxa"/>
          </w:tcPr>
          <w:p w14:paraId="375F575F" w14:textId="61AFE6B5" w:rsidR="00101F3D" w:rsidRPr="00B032F4" w:rsidRDefault="003B559F" w:rsidP="000B34A6">
            <w:pPr>
              <w:rPr>
                <w:rFonts w:ascii="Times New Roman" w:hAnsi="Times New Roman" w:cs="Times New Roman"/>
              </w:rPr>
            </w:pPr>
            <w:r w:rsidRPr="003B559F">
              <w:rPr>
                <w:rFonts w:ascii="Times New Roman" w:hAnsi="Times New Roman" w:cs="Times New Roman"/>
              </w:rPr>
              <w:t>Article conflates social media and phone use</w:t>
            </w:r>
          </w:p>
        </w:tc>
        <w:tc>
          <w:tcPr>
            <w:tcW w:w="4358" w:type="dxa"/>
          </w:tcPr>
          <w:p w14:paraId="5FA79D7E" w14:textId="5B9803B0" w:rsidR="00101F3D" w:rsidRPr="00B032F4" w:rsidRDefault="003B559F" w:rsidP="000B34A6">
            <w:pPr>
              <w:rPr>
                <w:rFonts w:ascii="Times New Roman" w:hAnsi="Times New Roman" w:cs="Times New Roman"/>
              </w:rPr>
            </w:pPr>
            <w:r w:rsidRPr="003B559F">
              <w:rPr>
                <w:rFonts w:ascii="Times New Roman" w:hAnsi="Times New Roman" w:cs="Times New Roman"/>
              </w:rPr>
              <w:t>Whether the article treats general smartphone/phone use and social media use as interchangeable rather than distinct behaviours.</w:t>
            </w:r>
          </w:p>
        </w:tc>
        <w:tc>
          <w:tcPr>
            <w:tcW w:w="2776" w:type="dxa"/>
          </w:tcPr>
          <w:p w14:paraId="3C51DDA4" w14:textId="68602B6E" w:rsidR="00101F3D" w:rsidRPr="00B032F4" w:rsidRDefault="003B559F" w:rsidP="000B34A6">
            <w:pPr>
              <w:rPr>
                <w:rFonts w:ascii="Times New Roman" w:hAnsi="Times New Roman" w:cs="Times New Roman"/>
              </w:rPr>
            </w:pPr>
            <w:r w:rsidRPr="003B559F">
              <w:rPr>
                <w:rFonts w:ascii="Times New Roman" w:hAnsi="Times New Roman" w:cs="Times New Roman"/>
              </w:rPr>
              <w:t> Yes; No</w:t>
            </w:r>
          </w:p>
        </w:tc>
        <w:tc>
          <w:tcPr>
            <w:tcW w:w="4480" w:type="dxa"/>
          </w:tcPr>
          <w:p w14:paraId="2BB0A184" w14:textId="1999C259" w:rsidR="00101F3D" w:rsidRPr="00B032F4" w:rsidRDefault="003B559F" w:rsidP="008A3E8F">
            <w:pPr>
              <w:rPr>
                <w:rFonts w:ascii="Times New Roman" w:hAnsi="Times New Roman" w:cs="Times New Roman"/>
              </w:rPr>
            </w:pPr>
            <w:r w:rsidRPr="003B559F">
              <w:rPr>
                <w:rFonts w:ascii="Times New Roman" w:hAnsi="Times New Roman" w:cs="Times New Roman"/>
              </w:rPr>
              <w:t>Code “Yes” when the article moves between “phones”, “screens” and “social media” without distinction, implying that owning/using a phone is equivalent to social media engagement. Code “No” when it clearly differentiates between device use and social media platforms or focuses specifically on platforms.</w:t>
            </w:r>
          </w:p>
        </w:tc>
      </w:tr>
      <w:tr w:rsidR="00485459" w14:paraId="3B3BF3C7" w14:textId="77777777" w:rsidTr="004B4A12">
        <w:tc>
          <w:tcPr>
            <w:tcW w:w="2334" w:type="dxa"/>
          </w:tcPr>
          <w:p w14:paraId="747E8128" w14:textId="68C8E40A" w:rsidR="00485459" w:rsidRPr="00B032F4" w:rsidRDefault="00F913DF" w:rsidP="000B34A6">
            <w:pPr>
              <w:rPr>
                <w:rFonts w:ascii="Times New Roman" w:hAnsi="Times New Roman" w:cs="Times New Roman"/>
              </w:rPr>
            </w:pPr>
            <w:r w:rsidRPr="00F913DF">
              <w:rPr>
                <w:rFonts w:ascii="Times New Roman" w:hAnsi="Times New Roman" w:cs="Times New Roman"/>
              </w:rPr>
              <w:t>Personal narrative included</w:t>
            </w:r>
          </w:p>
        </w:tc>
        <w:tc>
          <w:tcPr>
            <w:tcW w:w="4358" w:type="dxa"/>
          </w:tcPr>
          <w:p w14:paraId="342DD13F" w14:textId="63CF07F2" w:rsidR="00485459" w:rsidRPr="00B032F4" w:rsidRDefault="00FA60AF" w:rsidP="000B34A6">
            <w:pPr>
              <w:rPr>
                <w:rFonts w:ascii="Times New Roman" w:hAnsi="Times New Roman" w:cs="Times New Roman"/>
              </w:rPr>
            </w:pPr>
            <w:r w:rsidRPr="00FA60AF">
              <w:rPr>
                <w:rFonts w:ascii="Times New Roman" w:hAnsi="Times New Roman" w:cs="Times New Roman"/>
              </w:rPr>
              <w:t>Whether the article includes a first</w:t>
            </w:r>
            <w:r w:rsidRPr="00FA60AF">
              <w:rPr>
                <w:rFonts w:ascii="Times New Roman" w:hAnsi="Times New Roman" w:cs="Times New Roman"/>
              </w:rPr>
              <w:noBreakHyphen/>
              <w:t xml:space="preserve">person account or detailed story about an identifiable individual or family affected by </w:t>
            </w:r>
            <w:r w:rsidR="00BC2A76">
              <w:rPr>
                <w:rFonts w:ascii="Times New Roman" w:hAnsi="Times New Roman" w:cs="Times New Roman"/>
              </w:rPr>
              <w:t xml:space="preserve">a young person’s </w:t>
            </w:r>
            <w:r w:rsidRPr="00FA60AF">
              <w:rPr>
                <w:rFonts w:ascii="Times New Roman" w:hAnsi="Times New Roman" w:cs="Times New Roman"/>
              </w:rPr>
              <w:t>social media use.</w:t>
            </w:r>
          </w:p>
        </w:tc>
        <w:tc>
          <w:tcPr>
            <w:tcW w:w="2776" w:type="dxa"/>
          </w:tcPr>
          <w:p w14:paraId="5CC11F26" w14:textId="6F3D1B2D" w:rsidR="00485459" w:rsidRPr="00B032F4" w:rsidRDefault="00FA60AF" w:rsidP="000B34A6">
            <w:pPr>
              <w:rPr>
                <w:rFonts w:ascii="Times New Roman" w:hAnsi="Times New Roman" w:cs="Times New Roman"/>
              </w:rPr>
            </w:pPr>
            <w:r w:rsidRPr="00FA60AF">
              <w:rPr>
                <w:rFonts w:ascii="Times New Roman" w:hAnsi="Times New Roman" w:cs="Times New Roman"/>
              </w:rPr>
              <w:t>Yes; No</w:t>
            </w:r>
          </w:p>
        </w:tc>
        <w:tc>
          <w:tcPr>
            <w:tcW w:w="4480" w:type="dxa"/>
          </w:tcPr>
          <w:p w14:paraId="77D4D6A8" w14:textId="75107DF7" w:rsidR="00485459" w:rsidRPr="00B032F4" w:rsidRDefault="00FA60AF" w:rsidP="008A3E8F">
            <w:pPr>
              <w:rPr>
                <w:rFonts w:ascii="Times New Roman" w:hAnsi="Times New Roman" w:cs="Times New Roman"/>
              </w:rPr>
            </w:pPr>
            <w:r w:rsidRPr="00FA60AF">
              <w:rPr>
                <w:rFonts w:ascii="Times New Roman" w:hAnsi="Times New Roman" w:cs="Times New Roman"/>
              </w:rPr>
              <w:t xml:space="preserve">Code “Yes” when the article contains a substantive narrative (e.g. bereaved parent, young person, teacher) describing their own experience, typically with quotes and </w:t>
            </w:r>
            <w:r w:rsidRPr="00FA60AF">
              <w:rPr>
                <w:rFonts w:ascii="Times New Roman" w:hAnsi="Times New Roman" w:cs="Times New Roman"/>
              </w:rPr>
              <w:lastRenderedPageBreak/>
              <w:t>contextual detail. Brief illustrative quotes without narrative context are coded “No.”</w:t>
            </w:r>
          </w:p>
        </w:tc>
      </w:tr>
      <w:tr w:rsidR="00485459" w14:paraId="22DDC4F8" w14:textId="77777777" w:rsidTr="004B4A12">
        <w:tc>
          <w:tcPr>
            <w:tcW w:w="2334" w:type="dxa"/>
          </w:tcPr>
          <w:p w14:paraId="17876E42" w14:textId="677E2EEF" w:rsidR="00485459" w:rsidRPr="00B032F4" w:rsidRDefault="00966D04" w:rsidP="000B34A6">
            <w:pPr>
              <w:rPr>
                <w:rFonts w:ascii="Times New Roman" w:hAnsi="Times New Roman" w:cs="Times New Roman"/>
              </w:rPr>
            </w:pPr>
            <w:r w:rsidRPr="00966D04">
              <w:rPr>
                <w:rFonts w:ascii="Times New Roman" w:hAnsi="Times New Roman" w:cs="Times New Roman"/>
              </w:rPr>
              <w:lastRenderedPageBreak/>
              <w:t>Narrative subject</w:t>
            </w:r>
          </w:p>
        </w:tc>
        <w:tc>
          <w:tcPr>
            <w:tcW w:w="4358" w:type="dxa"/>
          </w:tcPr>
          <w:p w14:paraId="419D959F" w14:textId="67D23BCF" w:rsidR="00485459" w:rsidRPr="00B032F4" w:rsidRDefault="00966D04" w:rsidP="000B34A6">
            <w:pPr>
              <w:rPr>
                <w:rFonts w:ascii="Times New Roman" w:hAnsi="Times New Roman" w:cs="Times New Roman"/>
              </w:rPr>
            </w:pPr>
            <w:r w:rsidRPr="00966D04">
              <w:rPr>
                <w:rFonts w:ascii="Times New Roman" w:hAnsi="Times New Roman" w:cs="Times New Roman"/>
              </w:rPr>
              <w:t>The primary group or role that the central personal narrative focuses on.</w:t>
            </w:r>
          </w:p>
        </w:tc>
        <w:tc>
          <w:tcPr>
            <w:tcW w:w="2776" w:type="dxa"/>
          </w:tcPr>
          <w:p w14:paraId="5581BEB7" w14:textId="24A0A6AA" w:rsidR="00485459" w:rsidRPr="00B032F4" w:rsidRDefault="00FC7509" w:rsidP="000B34A6">
            <w:pPr>
              <w:rPr>
                <w:rFonts w:ascii="Times New Roman" w:hAnsi="Times New Roman" w:cs="Times New Roman"/>
              </w:rPr>
            </w:pPr>
            <w:r>
              <w:rPr>
                <w:rFonts w:ascii="Times New Roman" w:hAnsi="Times New Roman" w:cs="Times New Roman"/>
              </w:rPr>
              <w:t>Parent</w:t>
            </w:r>
            <w:r w:rsidR="00966D04" w:rsidRPr="00966D04">
              <w:rPr>
                <w:rFonts w:ascii="Times New Roman" w:hAnsi="Times New Roman" w:cs="Times New Roman"/>
              </w:rPr>
              <w:t>; Young person; Professional (e.g. teacher, clinician, youth worker); Other</w:t>
            </w:r>
          </w:p>
        </w:tc>
        <w:tc>
          <w:tcPr>
            <w:tcW w:w="4480" w:type="dxa"/>
          </w:tcPr>
          <w:p w14:paraId="6D7E5708" w14:textId="4DC4A30E" w:rsidR="00485459" w:rsidRPr="00B032F4" w:rsidRDefault="00966D04" w:rsidP="008A3E8F">
            <w:pPr>
              <w:rPr>
                <w:rFonts w:ascii="Times New Roman" w:hAnsi="Times New Roman" w:cs="Times New Roman"/>
              </w:rPr>
            </w:pPr>
            <w:r w:rsidRPr="00966D04">
              <w:rPr>
                <w:rFonts w:ascii="Times New Roman" w:hAnsi="Times New Roman" w:cs="Times New Roman"/>
              </w:rPr>
              <w:t>Code the main subject whose experience anchors the narrative. If multiple narratives are present, select the one given greatest prominence (headline, opening, length). Use “Other” for narratives centred on, for example, campaigners or politicians.</w:t>
            </w:r>
          </w:p>
        </w:tc>
      </w:tr>
      <w:tr w:rsidR="00485459" w14:paraId="149E0C26" w14:textId="77777777" w:rsidTr="004B4A12">
        <w:tc>
          <w:tcPr>
            <w:tcW w:w="2334" w:type="dxa"/>
          </w:tcPr>
          <w:p w14:paraId="40FD49B6" w14:textId="0D261BC4" w:rsidR="00485459" w:rsidRPr="00B032F4" w:rsidRDefault="006F7F73" w:rsidP="000B34A6">
            <w:pPr>
              <w:rPr>
                <w:rFonts w:ascii="Times New Roman" w:hAnsi="Times New Roman" w:cs="Times New Roman"/>
              </w:rPr>
            </w:pPr>
            <w:r w:rsidRPr="006F7F73">
              <w:rPr>
                <w:rFonts w:ascii="Times New Roman" w:hAnsi="Times New Roman" w:cs="Times New Roman"/>
              </w:rPr>
              <w:t>Recommendations regarding young people’s social media use</w:t>
            </w:r>
          </w:p>
        </w:tc>
        <w:tc>
          <w:tcPr>
            <w:tcW w:w="4358" w:type="dxa"/>
          </w:tcPr>
          <w:p w14:paraId="5001990B" w14:textId="58370E1C" w:rsidR="00485459" w:rsidRPr="00B032F4" w:rsidRDefault="00CD228A" w:rsidP="000B34A6">
            <w:pPr>
              <w:rPr>
                <w:rFonts w:ascii="Times New Roman" w:hAnsi="Times New Roman" w:cs="Times New Roman"/>
              </w:rPr>
            </w:pPr>
            <w:r w:rsidRPr="00CD228A">
              <w:rPr>
                <w:rFonts w:ascii="Times New Roman" w:hAnsi="Times New Roman" w:cs="Times New Roman"/>
              </w:rPr>
              <w:t>Whether the article proposes any actions or responses aimed at addressing young people’s social media use or online harms.</w:t>
            </w:r>
          </w:p>
        </w:tc>
        <w:tc>
          <w:tcPr>
            <w:tcW w:w="2776" w:type="dxa"/>
          </w:tcPr>
          <w:p w14:paraId="6859113D" w14:textId="7FDA091C" w:rsidR="00485459" w:rsidRPr="00B032F4" w:rsidRDefault="00517999" w:rsidP="000B34A6">
            <w:pPr>
              <w:rPr>
                <w:rFonts w:ascii="Times New Roman" w:hAnsi="Times New Roman" w:cs="Times New Roman"/>
              </w:rPr>
            </w:pPr>
            <w:r w:rsidRPr="00517999">
              <w:rPr>
                <w:rFonts w:ascii="Times New Roman" w:hAnsi="Times New Roman" w:cs="Times New Roman"/>
              </w:rPr>
              <w:t>Yes; No</w:t>
            </w:r>
          </w:p>
        </w:tc>
        <w:tc>
          <w:tcPr>
            <w:tcW w:w="4480" w:type="dxa"/>
          </w:tcPr>
          <w:p w14:paraId="3BF72D9F" w14:textId="4E9BCE3B" w:rsidR="00485459" w:rsidRPr="00B032F4" w:rsidRDefault="00517999" w:rsidP="008A3E8F">
            <w:pPr>
              <w:rPr>
                <w:rFonts w:ascii="Times New Roman" w:hAnsi="Times New Roman" w:cs="Times New Roman"/>
              </w:rPr>
            </w:pPr>
            <w:r w:rsidRPr="00517999">
              <w:rPr>
                <w:rFonts w:ascii="Times New Roman" w:hAnsi="Times New Roman" w:cs="Times New Roman"/>
              </w:rPr>
              <w:t>Code “Yes” when the article includes explicit recommendations (policy, clinical, educational, parental, platform-focused). General expressions of concern without suggested actions are coded “No.”​</w:t>
            </w:r>
          </w:p>
        </w:tc>
      </w:tr>
      <w:tr w:rsidR="00485459" w14:paraId="2D333636" w14:textId="77777777" w:rsidTr="004B4A12">
        <w:tc>
          <w:tcPr>
            <w:tcW w:w="2334" w:type="dxa"/>
          </w:tcPr>
          <w:p w14:paraId="04BC8E4B" w14:textId="34378CD7" w:rsidR="00485459" w:rsidRPr="00B032F4" w:rsidRDefault="00517999" w:rsidP="000B34A6">
            <w:pPr>
              <w:rPr>
                <w:rFonts w:ascii="Times New Roman" w:hAnsi="Times New Roman" w:cs="Times New Roman"/>
              </w:rPr>
            </w:pPr>
            <w:r w:rsidRPr="00517999">
              <w:rPr>
                <w:rFonts w:ascii="Times New Roman" w:hAnsi="Times New Roman" w:cs="Times New Roman"/>
              </w:rPr>
              <w:t>Recommendation type</w:t>
            </w:r>
          </w:p>
        </w:tc>
        <w:tc>
          <w:tcPr>
            <w:tcW w:w="4358" w:type="dxa"/>
          </w:tcPr>
          <w:p w14:paraId="50AB812D" w14:textId="2CFF2569" w:rsidR="00485459" w:rsidRPr="00B032F4" w:rsidRDefault="00CD228A" w:rsidP="000B34A6">
            <w:pPr>
              <w:rPr>
                <w:rFonts w:ascii="Times New Roman" w:hAnsi="Times New Roman" w:cs="Times New Roman"/>
              </w:rPr>
            </w:pPr>
            <w:r w:rsidRPr="00CD228A">
              <w:rPr>
                <w:rFonts w:ascii="Times New Roman" w:hAnsi="Times New Roman" w:cs="Times New Roman"/>
              </w:rPr>
              <w:t>Specific forms of action recommended in relation to young people’s social media or smartphone use.</w:t>
            </w:r>
          </w:p>
        </w:tc>
        <w:tc>
          <w:tcPr>
            <w:tcW w:w="2776" w:type="dxa"/>
          </w:tcPr>
          <w:p w14:paraId="5E878273" w14:textId="5868D06F" w:rsidR="00485459" w:rsidRPr="00B032F4" w:rsidRDefault="00517999" w:rsidP="000B34A6">
            <w:pPr>
              <w:rPr>
                <w:rFonts w:ascii="Times New Roman" w:hAnsi="Times New Roman" w:cs="Times New Roman"/>
              </w:rPr>
            </w:pPr>
            <w:r w:rsidRPr="00517999">
              <w:rPr>
                <w:rFonts w:ascii="Times New Roman" w:hAnsi="Times New Roman" w:cs="Times New Roman"/>
              </w:rPr>
              <w:t>Restrictions on use (age verification, screen</w:t>
            </w:r>
            <w:r w:rsidRPr="00517999">
              <w:rPr>
                <w:rFonts w:ascii="Times New Roman" w:hAnsi="Times New Roman" w:cs="Times New Roman"/>
              </w:rPr>
              <w:noBreakHyphen/>
              <w:t>time limits, parental controls)</w:t>
            </w:r>
            <w:r>
              <w:rPr>
                <w:rFonts w:ascii="Times New Roman" w:hAnsi="Times New Roman" w:cs="Times New Roman"/>
              </w:rPr>
              <w:t xml:space="preserve">; </w:t>
            </w:r>
            <w:r w:rsidRPr="00517999">
              <w:rPr>
                <w:rFonts w:ascii="Times New Roman" w:hAnsi="Times New Roman" w:cs="Times New Roman"/>
              </w:rPr>
              <w:t>Tighter government/tech regulation</w:t>
            </w:r>
            <w:r>
              <w:rPr>
                <w:rFonts w:ascii="Times New Roman" w:hAnsi="Times New Roman" w:cs="Times New Roman"/>
              </w:rPr>
              <w:t xml:space="preserve">; </w:t>
            </w:r>
            <w:r w:rsidRPr="00517999">
              <w:rPr>
                <w:rFonts w:ascii="Times New Roman" w:hAnsi="Times New Roman" w:cs="Times New Roman"/>
              </w:rPr>
              <w:t>Educational initiatives (school</w:t>
            </w:r>
            <w:r w:rsidRPr="00517999">
              <w:rPr>
                <w:rFonts w:ascii="Times New Roman" w:hAnsi="Times New Roman" w:cs="Times New Roman"/>
              </w:rPr>
              <w:noBreakHyphen/>
              <w:t>based, online safety education, digital wellbeing)</w:t>
            </w:r>
            <w:r>
              <w:rPr>
                <w:rFonts w:ascii="Times New Roman" w:hAnsi="Times New Roman" w:cs="Times New Roman"/>
              </w:rPr>
              <w:t xml:space="preserve">; </w:t>
            </w:r>
            <w:r w:rsidRPr="00517999">
              <w:rPr>
                <w:rFonts w:ascii="Times New Roman" w:hAnsi="Times New Roman" w:cs="Times New Roman"/>
              </w:rPr>
              <w:t>Changes to platform design/safeguarding features</w:t>
            </w:r>
            <w:r>
              <w:rPr>
                <w:rFonts w:ascii="Times New Roman" w:hAnsi="Times New Roman" w:cs="Times New Roman"/>
              </w:rPr>
              <w:t xml:space="preserve">; </w:t>
            </w:r>
            <w:r w:rsidRPr="00517999">
              <w:rPr>
                <w:rFonts w:ascii="Times New Roman" w:hAnsi="Times New Roman" w:cs="Times New Roman"/>
              </w:rPr>
              <w:t>Complete phone ban</w:t>
            </w:r>
            <w:r>
              <w:rPr>
                <w:rFonts w:ascii="Times New Roman" w:hAnsi="Times New Roman" w:cs="Times New Roman"/>
              </w:rPr>
              <w:t xml:space="preserve">; </w:t>
            </w:r>
            <w:r w:rsidRPr="00517999">
              <w:rPr>
                <w:rFonts w:ascii="Times New Roman" w:hAnsi="Times New Roman" w:cs="Times New Roman"/>
              </w:rPr>
              <w:t>Supports regarding mental health/toxic masculinity awareness programmes</w:t>
            </w:r>
          </w:p>
        </w:tc>
        <w:tc>
          <w:tcPr>
            <w:tcW w:w="4480" w:type="dxa"/>
          </w:tcPr>
          <w:p w14:paraId="0FA44D39" w14:textId="1B8CEB8C" w:rsidR="00485459" w:rsidRPr="00B032F4" w:rsidRDefault="00547F7F" w:rsidP="008A3E8F">
            <w:pPr>
              <w:rPr>
                <w:rFonts w:ascii="Times New Roman" w:hAnsi="Times New Roman" w:cs="Times New Roman"/>
              </w:rPr>
            </w:pPr>
            <w:r w:rsidRPr="00547F7F">
              <w:rPr>
                <w:rFonts w:ascii="Times New Roman" w:hAnsi="Times New Roman" w:cs="Times New Roman"/>
              </w:rPr>
              <w:t>Each category coded independently as present/absent. For example, proposals to “ban smartphones for under</w:t>
            </w:r>
            <w:r w:rsidRPr="00547F7F">
              <w:rPr>
                <w:rFonts w:ascii="Times New Roman" w:hAnsi="Times New Roman" w:cs="Times New Roman"/>
              </w:rPr>
              <w:noBreakHyphen/>
              <w:t>16s” are coded under “Complete phone ban”; calls for “better online safety lessons in schools” under “Educational initiatives”; calls for more counselling or support groups under “Supports regarding mental health/toxic masculinity awareness programmes.”</w:t>
            </w:r>
          </w:p>
        </w:tc>
      </w:tr>
      <w:tr w:rsidR="00E217D5" w14:paraId="3FC1BE75" w14:textId="77777777" w:rsidTr="004B4A12">
        <w:tc>
          <w:tcPr>
            <w:tcW w:w="2334" w:type="dxa"/>
          </w:tcPr>
          <w:p w14:paraId="0392BF80" w14:textId="3BEAB3B0" w:rsidR="00E217D5" w:rsidRPr="00517999" w:rsidRDefault="007C403E" w:rsidP="000B34A6">
            <w:pPr>
              <w:rPr>
                <w:rFonts w:ascii="Times New Roman" w:hAnsi="Times New Roman" w:cs="Times New Roman"/>
              </w:rPr>
            </w:pPr>
            <w:r w:rsidRPr="007C403E">
              <w:rPr>
                <w:rFonts w:ascii="Times New Roman" w:hAnsi="Times New Roman" w:cs="Times New Roman"/>
              </w:rPr>
              <w:t>Evidence cited for recommendations</w:t>
            </w:r>
          </w:p>
        </w:tc>
        <w:tc>
          <w:tcPr>
            <w:tcW w:w="4358" w:type="dxa"/>
          </w:tcPr>
          <w:p w14:paraId="2FC9547D" w14:textId="712C06DD" w:rsidR="00E217D5" w:rsidRPr="00517999" w:rsidRDefault="000563D6" w:rsidP="000B34A6">
            <w:pPr>
              <w:rPr>
                <w:rFonts w:ascii="Times New Roman" w:hAnsi="Times New Roman" w:cs="Times New Roman"/>
              </w:rPr>
            </w:pPr>
            <w:r w:rsidRPr="000563D6">
              <w:rPr>
                <w:rFonts w:ascii="Times New Roman" w:hAnsi="Times New Roman" w:cs="Times New Roman"/>
              </w:rPr>
              <w:t>Whether the article explicitly linked its recommendations regarding young people’s social media use to an identifiable evidence source.</w:t>
            </w:r>
          </w:p>
        </w:tc>
        <w:tc>
          <w:tcPr>
            <w:tcW w:w="2776" w:type="dxa"/>
          </w:tcPr>
          <w:p w14:paraId="59BB01B8" w14:textId="51BB4C8E" w:rsidR="00E217D5" w:rsidRPr="00517999" w:rsidRDefault="007C403E" w:rsidP="000B34A6">
            <w:pPr>
              <w:rPr>
                <w:rFonts w:ascii="Times New Roman" w:hAnsi="Times New Roman" w:cs="Times New Roman"/>
              </w:rPr>
            </w:pPr>
            <w:r w:rsidRPr="007C403E">
              <w:rPr>
                <w:rFonts w:ascii="Times New Roman" w:hAnsi="Times New Roman" w:cs="Times New Roman"/>
              </w:rPr>
              <w:t>Yes; No</w:t>
            </w:r>
          </w:p>
        </w:tc>
        <w:tc>
          <w:tcPr>
            <w:tcW w:w="4480" w:type="dxa"/>
          </w:tcPr>
          <w:p w14:paraId="763DE687" w14:textId="214C87BE" w:rsidR="00E217D5" w:rsidRPr="00547F7F" w:rsidRDefault="007C403E" w:rsidP="008A3E8F">
            <w:pPr>
              <w:rPr>
                <w:rFonts w:ascii="Times New Roman" w:hAnsi="Times New Roman" w:cs="Times New Roman"/>
              </w:rPr>
            </w:pPr>
            <w:r w:rsidRPr="007C403E">
              <w:rPr>
                <w:rFonts w:ascii="Times New Roman" w:hAnsi="Times New Roman" w:cs="Times New Roman"/>
              </w:rPr>
              <w:t xml:space="preserve">Code “Yes” when recommendations are clearly connected to named empirical studies, official inquiries, governmental or independent reports, large‑scale surveys, or </w:t>
            </w:r>
            <w:r w:rsidRPr="007C403E">
              <w:rPr>
                <w:rFonts w:ascii="Times New Roman" w:hAnsi="Times New Roman" w:cs="Times New Roman"/>
              </w:rPr>
              <w:lastRenderedPageBreak/>
              <w:t>specific guideline/consensus documents (e.g. “a recent NHS report found…”, “research from X University showed…”). Code “No” when recommendations are based on opinion, anecdote, advocacy, or generic phrases such as “research shows” without naming a specific source.</w:t>
            </w:r>
          </w:p>
        </w:tc>
      </w:tr>
      <w:tr w:rsidR="00485459" w14:paraId="0FFFCC73" w14:textId="77777777" w:rsidTr="004B4A12">
        <w:tc>
          <w:tcPr>
            <w:tcW w:w="2334" w:type="dxa"/>
          </w:tcPr>
          <w:p w14:paraId="160D29BC" w14:textId="09735280" w:rsidR="00485459" w:rsidRPr="00776AC4" w:rsidRDefault="00776AC4" w:rsidP="000B34A6">
            <w:pPr>
              <w:rPr>
                <w:rFonts w:ascii="Times New Roman" w:hAnsi="Times New Roman" w:cs="Times New Roman"/>
              </w:rPr>
            </w:pPr>
            <w:r w:rsidRPr="00776AC4">
              <w:rPr>
                <w:rFonts w:ascii="Times New Roman" w:hAnsi="Times New Roman" w:cs="Times New Roman"/>
              </w:rPr>
              <w:lastRenderedPageBreak/>
              <w:t>Responsibility attribution</w:t>
            </w:r>
          </w:p>
        </w:tc>
        <w:tc>
          <w:tcPr>
            <w:tcW w:w="4358" w:type="dxa"/>
          </w:tcPr>
          <w:p w14:paraId="1206D9D5" w14:textId="224F05BE" w:rsidR="00485459" w:rsidRPr="00B032F4" w:rsidRDefault="009E51F9" w:rsidP="000B34A6">
            <w:pPr>
              <w:rPr>
                <w:rFonts w:ascii="Times New Roman" w:hAnsi="Times New Roman" w:cs="Times New Roman"/>
              </w:rPr>
            </w:pPr>
            <w:r w:rsidRPr="009E51F9">
              <w:rPr>
                <w:rFonts w:ascii="Times New Roman" w:hAnsi="Times New Roman" w:cs="Times New Roman"/>
              </w:rPr>
              <w:t>Responsibility for protecting young people on social media</w:t>
            </w:r>
          </w:p>
        </w:tc>
        <w:tc>
          <w:tcPr>
            <w:tcW w:w="2776" w:type="dxa"/>
          </w:tcPr>
          <w:p w14:paraId="2BDF6D43" w14:textId="1385CD2A" w:rsidR="00485459" w:rsidRPr="00B032F4" w:rsidRDefault="009E51F9" w:rsidP="000B34A6">
            <w:pPr>
              <w:rPr>
                <w:rFonts w:ascii="Times New Roman" w:hAnsi="Times New Roman" w:cs="Times New Roman"/>
              </w:rPr>
            </w:pPr>
            <w:r w:rsidRPr="009E51F9">
              <w:rPr>
                <w:rFonts w:ascii="Times New Roman" w:hAnsi="Times New Roman" w:cs="Times New Roman"/>
              </w:rPr>
              <w:t>Government; Social media companies; Parents; Schools; You</w:t>
            </w:r>
            <w:r w:rsidR="00100767">
              <w:rPr>
                <w:rFonts w:ascii="Times New Roman" w:hAnsi="Times New Roman" w:cs="Times New Roman"/>
              </w:rPr>
              <w:t xml:space="preserve">ng people </w:t>
            </w:r>
            <w:r w:rsidRPr="009E51F9">
              <w:rPr>
                <w:rFonts w:ascii="Times New Roman" w:hAnsi="Times New Roman" w:cs="Times New Roman"/>
              </w:rPr>
              <w:t>themselves (each coded yes/no)</w:t>
            </w:r>
          </w:p>
        </w:tc>
        <w:tc>
          <w:tcPr>
            <w:tcW w:w="4480" w:type="dxa"/>
          </w:tcPr>
          <w:p w14:paraId="356F759D" w14:textId="4D14B49C" w:rsidR="00485459" w:rsidRPr="00B032F4" w:rsidRDefault="009E51F9" w:rsidP="008A3E8F">
            <w:pPr>
              <w:rPr>
                <w:rFonts w:ascii="Times New Roman" w:hAnsi="Times New Roman" w:cs="Times New Roman"/>
              </w:rPr>
            </w:pPr>
            <w:r w:rsidRPr="009E51F9">
              <w:rPr>
                <w:rFonts w:ascii="Times New Roman" w:hAnsi="Times New Roman" w:cs="Times New Roman"/>
              </w:rPr>
              <w:t>Code each actor as “Yes” if the article clearly assigns them a role or responsibility (e.g. “the government must act”, “parents need to step up”, “schools should ban phones”, “platforms must do more”, “young people must take responsibility”). Multiple actors can be endorsed within a single article.</w:t>
            </w:r>
          </w:p>
        </w:tc>
      </w:tr>
      <w:tr w:rsidR="00776AC4" w14:paraId="77AAD037" w14:textId="77777777" w:rsidTr="004B4A12">
        <w:tc>
          <w:tcPr>
            <w:tcW w:w="2334" w:type="dxa"/>
          </w:tcPr>
          <w:p w14:paraId="327C248A" w14:textId="47D7D4A5" w:rsidR="00776AC4" w:rsidRPr="00776AC4" w:rsidRDefault="00776AC4" w:rsidP="000B34A6">
            <w:pPr>
              <w:rPr>
                <w:rFonts w:ascii="Times New Roman" w:hAnsi="Times New Roman" w:cs="Times New Roman"/>
              </w:rPr>
            </w:pPr>
            <w:r w:rsidRPr="00776AC4">
              <w:rPr>
                <w:rFonts w:ascii="Times New Roman" w:hAnsi="Times New Roman" w:cs="Times New Roman"/>
              </w:rPr>
              <w:t>Positives of social media</w:t>
            </w:r>
          </w:p>
        </w:tc>
        <w:tc>
          <w:tcPr>
            <w:tcW w:w="4358" w:type="dxa"/>
          </w:tcPr>
          <w:p w14:paraId="5F928A83" w14:textId="37626266" w:rsidR="00776AC4" w:rsidRPr="00B032F4" w:rsidRDefault="009E51F9" w:rsidP="000B34A6">
            <w:pPr>
              <w:rPr>
                <w:rFonts w:ascii="Times New Roman" w:hAnsi="Times New Roman" w:cs="Times New Roman"/>
              </w:rPr>
            </w:pPr>
            <w:r w:rsidRPr="009E51F9">
              <w:rPr>
                <w:rFonts w:ascii="Times New Roman" w:hAnsi="Times New Roman" w:cs="Times New Roman"/>
              </w:rPr>
              <w:t>Whether the article highlights benefits or constructive roles of social media for young people.</w:t>
            </w:r>
          </w:p>
        </w:tc>
        <w:tc>
          <w:tcPr>
            <w:tcW w:w="2776" w:type="dxa"/>
          </w:tcPr>
          <w:p w14:paraId="13D8AF44" w14:textId="1D825401" w:rsidR="00776AC4" w:rsidRPr="00B032F4" w:rsidRDefault="009E51F9" w:rsidP="000B34A6">
            <w:pPr>
              <w:rPr>
                <w:rFonts w:ascii="Times New Roman" w:hAnsi="Times New Roman" w:cs="Times New Roman"/>
              </w:rPr>
            </w:pPr>
            <w:r w:rsidRPr="009E51F9">
              <w:rPr>
                <w:rFonts w:ascii="Times New Roman" w:hAnsi="Times New Roman" w:cs="Times New Roman"/>
              </w:rPr>
              <w:t>Yes; No</w:t>
            </w:r>
          </w:p>
        </w:tc>
        <w:tc>
          <w:tcPr>
            <w:tcW w:w="4480" w:type="dxa"/>
          </w:tcPr>
          <w:p w14:paraId="7AC877DA" w14:textId="5D7F416F" w:rsidR="00776AC4" w:rsidRPr="00B032F4" w:rsidRDefault="00FC75CD" w:rsidP="008A3E8F">
            <w:pPr>
              <w:rPr>
                <w:rFonts w:ascii="Times New Roman" w:hAnsi="Times New Roman" w:cs="Times New Roman"/>
              </w:rPr>
            </w:pPr>
            <w:r w:rsidRPr="00FC75CD">
              <w:rPr>
                <w:rFonts w:ascii="Times New Roman" w:hAnsi="Times New Roman" w:cs="Times New Roman"/>
              </w:rPr>
              <w:t>Code “Yes” when specific positive aspects are mentioned, such as social connection, peer support, access to information, activism, creativity, or identity exploration. Passing references to “pros and cons” without concrete positive examples are coded “No.”</w:t>
            </w:r>
          </w:p>
        </w:tc>
      </w:tr>
    </w:tbl>
    <w:p w14:paraId="0B0856AD" w14:textId="77777777" w:rsidR="00F654E3" w:rsidRPr="000B34A6" w:rsidRDefault="00F654E3" w:rsidP="000B34A6">
      <w:pPr>
        <w:rPr>
          <w:rFonts w:ascii="Times New Roman" w:hAnsi="Times New Roman" w:cs="Times New Roman"/>
        </w:rPr>
      </w:pPr>
    </w:p>
    <w:p w14:paraId="0781C11F" w14:textId="77777777" w:rsidR="004B0C79" w:rsidRPr="000B34A6" w:rsidRDefault="004B0C79">
      <w:pPr>
        <w:rPr>
          <w:rFonts w:ascii="Times New Roman" w:hAnsi="Times New Roman" w:cs="Times New Roman"/>
        </w:rPr>
      </w:pPr>
    </w:p>
    <w:sectPr w:rsidR="004B0C79" w:rsidRPr="000B34A6" w:rsidSect="00F654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72BCF"/>
    <w:multiLevelType w:val="multilevel"/>
    <w:tmpl w:val="D3F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744E47"/>
    <w:multiLevelType w:val="multilevel"/>
    <w:tmpl w:val="990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835FE2"/>
    <w:multiLevelType w:val="multilevel"/>
    <w:tmpl w:val="7D32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1943686">
    <w:abstractNumId w:val="0"/>
  </w:num>
  <w:num w:numId="2" w16cid:durableId="1474911956">
    <w:abstractNumId w:val="2"/>
  </w:num>
  <w:num w:numId="3" w16cid:durableId="2098011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A6"/>
    <w:rsid w:val="0002013A"/>
    <w:rsid w:val="00031D8A"/>
    <w:rsid w:val="000563D6"/>
    <w:rsid w:val="000628AE"/>
    <w:rsid w:val="00085F3B"/>
    <w:rsid w:val="000B34A6"/>
    <w:rsid w:val="000D3062"/>
    <w:rsid w:val="00100767"/>
    <w:rsid w:val="00101F3D"/>
    <w:rsid w:val="001517D0"/>
    <w:rsid w:val="00196BEB"/>
    <w:rsid w:val="001B585B"/>
    <w:rsid w:val="001F16E9"/>
    <w:rsid w:val="001F64F4"/>
    <w:rsid w:val="0023020E"/>
    <w:rsid w:val="00246824"/>
    <w:rsid w:val="002E4896"/>
    <w:rsid w:val="003343E7"/>
    <w:rsid w:val="003B559F"/>
    <w:rsid w:val="003F1D0F"/>
    <w:rsid w:val="004508F1"/>
    <w:rsid w:val="004545BE"/>
    <w:rsid w:val="00475153"/>
    <w:rsid w:val="00485459"/>
    <w:rsid w:val="004B0C79"/>
    <w:rsid w:val="004B4A12"/>
    <w:rsid w:val="004C2969"/>
    <w:rsid w:val="004D6BD3"/>
    <w:rsid w:val="005033D1"/>
    <w:rsid w:val="00517999"/>
    <w:rsid w:val="00547F7F"/>
    <w:rsid w:val="00596435"/>
    <w:rsid w:val="00646C79"/>
    <w:rsid w:val="0067288E"/>
    <w:rsid w:val="00683078"/>
    <w:rsid w:val="00694697"/>
    <w:rsid w:val="006A78B0"/>
    <w:rsid w:val="006C4AD3"/>
    <w:rsid w:val="006F7F73"/>
    <w:rsid w:val="00776AC4"/>
    <w:rsid w:val="007814A8"/>
    <w:rsid w:val="00797C27"/>
    <w:rsid w:val="007C403E"/>
    <w:rsid w:val="008312EC"/>
    <w:rsid w:val="00835A06"/>
    <w:rsid w:val="00854AAB"/>
    <w:rsid w:val="00855F7D"/>
    <w:rsid w:val="00877582"/>
    <w:rsid w:val="008A3E8F"/>
    <w:rsid w:val="00966D04"/>
    <w:rsid w:val="009E51F9"/>
    <w:rsid w:val="00A4708A"/>
    <w:rsid w:val="00B032F4"/>
    <w:rsid w:val="00BC265E"/>
    <w:rsid w:val="00BC2A76"/>
    <w:rsid w:val="00BF5960"/>
    <w:rsid w:val="00C03DC7"/>
    <w:rsid w:val="00C917C3"/>
    <w:rsid w:val="00CB60A5"/>
    <w:rsid w:val="00CD228A"/>
    <w:rsid w:val="00CE790A"/>
    <w:rsid w:val="00E217D5"/>
    <w:rsid w:val="00E401DF"/>
    <w:rsid w:val="00E5552F"/>
    <w:rsid w:val="00E81945"/>
    <w:rsid w:val="00ED24A0"/>
    <w:rsid w:val="00ED5625"/>
    <w:rsid w:val="00EF7035"/>
    <w:rsid w:val="00F552A0"/>
    <w:rsid w:val="00F654E3"/>
    <w:rsid w:val="00F913DF"/>
    <w:rsid w:val="00FA60AF"/>
    <w:rsid w:val="00FC7509"/>
    <w:rsid w:val="00FC75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8AFD"/>
  <w15:chartTrackingRefBased/>
  <w15:docId w15:val="{18A18E64-11D8-4E4F-BF5C-5CAB0CE5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4A6"/>
    <w:rPr>
      <w:rFonts w:eastAsiaTheme="majorEastAsia" w:cstheme="majorBidi"/>
      <w:color w:val="272727" w:themeColor="text1" w:themeTint="D8"/>
    </w:rPr>
  </w:style>
  <w:style w:type="paragraph" w:styleId="Title">
    <w:name w:val="Title"/>
    <w:basedOn w:val="Normal"/>
    <w:next w:val="Normal"/>
    <w:link w:val="TitleChar"/>
    <w:uiPriority w:val="10"/>
    <w:qFormat/>
    <w:rsid w:val="000B3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4A6"/>
    <w:pPr>
      <w:spacing w:before="160"/>
      <w:jc w:val="center"/>
    </w:pPr>
    <w:rPr>
      <w:i/>
      <w:iCs/>
      <w:color w:val="404040" w:themeColor="text1" w:themeTint="BF"/>
    </w:rPr>
  </w:style>
  <w:style w:type="character" w:customStyle="1" w:styleId="QuoteChar">
    <w:name w:val="Quote Char"/>
    <w:basedOn w:val="DefaultParagraphFont"/>
    <w:link w:val="Quote"/>
    <w:uiPriority w:val="29"/>
    <w:rsid w:val="000B34A6"/>
    <w:rPr>
      <w:i/>
      <w:iCs/>
      <w:color w:val="404040" w:themeColor="text1" w:themeTint="BF"/>
    </w:rPr>
  </w:style>
  <w:style w:type="paragraph" w:styleId="ListParagraph">
    <w:name w:val="List Paragraph"/>
    <w:basedOn w:val="Normal"/>
    <w:uiPriority w:val="34"/>
    <w:qFormat/>
    <w:rsid w:val="000B34A6"/>
    <w:pPr>
      <w:ind w:left="720"/>
      <w:contextualSpacing/>
    </w:pPr>
  </w:style>
  <w:style w:type="character" w:styleId="IntenseEmphasis">
    <w:name w:val="Intense Emphasis"/>
    <w:basedOn w:val="DefaultParagraphFont"/>
    <w:uiPriority w:val="21"/>
    <w:qFormat/>
    <w:rsid w:val="000B34A6"/>
    <w:rPr>
      <w:i/>
      <w:iCs/>
      <w:color w:val="0F4761" w:themeColor="accent1" w:themeShade="BF"/>
    </w:rPr>
  </w:style>
  <w:style w:type="paragraph" w:styleId="IntenseQuote">
    <w:name w:val="Intense Quote"/>
    <w:basedOn w:val="Normal"/>
    <w:next w:val="Normal"/>
    <w:link w:val="IntenseQuoteChar"/>
    <w:uiPriority w:val="30"/>
    <w:qFormat/>
    <w:rsid w:val="000B3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4A6"/>
    <w:rPr>
      <w:i/>
      <w:iCs/>
      <w:color w:val="0F4761" w:themeColor="accent1" w:themeShade="BF"/>
    </w:rPr>
  </w:style>
  <w:style w:type="character" w:styleId="IntenseReference">
    <w:name w:val="Intense Reference"/>
    <w:basedOn w:val="DefaultParagraphFont"/>
    <w:uiPriority w:val="32"/>
    <w:qFormat/>
    <w:rsid w:val="000B34A6"/>
    <w:rPr>
      <w:b/>
      <w:bCs/>
      <w:smallCaps/>
      <w:color w:val="0F4761" w:themeColor="accent1" w:themeShade="BF"/>
      <w:spacing w:val="5"/>
    </w:rPr>
  </w:style>
  <w:style w:type="table" w:styleId="TableGrid">
    <w:name w:val="Table Grid"/>
    <w:basedOn w:val="TableNormal"/>
    <w:uiPriority w:val="39"/>
    <w:rsid w:val="00F65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9154</Characters>
  <Application>Microsoft Office Word</Application>
  <DocSecurity>0</DocSecurity>
  <Lines>190</Lines>
  <Paragraphs>81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Bond</dc:creator>
  <cp:keywords/>
  <dc:description/>
  <cp:lastModifiedBy>Laura Bond</cp:lastModifiedBy>
  <cp:revision>74</cp:revision>
  <dcterms:created xsi:type="dcterms:W3CDTF">2026-03-12T09:31:00Z</dcterms:created>
  <dcterms:modified xsi:type="dcterms:W3CDTF">2026-03-12T17:22:00Z</dcterms:modified>
</cp:coreProperties>
</file>