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C3215" w14:textId="018FA2EF" w:rsidR="009B0CEC" w:rsidRPr="00662C31" w:rsidRDefault="00834C94" w:rsidP="00662C31">
      <w:pPr>
        <w:pStyle w:val="Title"/>
        <w:jc w:val="left"/>
        <w:rPr>
          <w:rFonts w:cstheme="majorHAnsi"/>
          <w:color w:val="auto"/>
          <w:lang w:val="en-GB"/>
        </w:rPr>
      </w:pPr>
      <w:r w:rsidRPr="0082018B">
        <w:rPr>
          <w:rFonts w:cstheme="majorHAnsi"/>
          <w:color w:val="auto"/>
          <w:lang w:val="en-GB"/>
        </w:rPr>
        <w:t>Supplement</w:t>
      </w:r>
      <w:r w:rsidR="00662C31">
        <w:rPr>
          <w:rFonts w:cstheme="majorHAnsi"/>
          <w:color w:val="auto"/>
          <w:lang w:val="en-GB"/>
        </w:rPr>
        <w:t xml:space="preserve">: </w:t>
      </w:r>
      <w:r w:rsidR="009B0CEC" w:rsidRPr="0082018B">
        <w:rPr>
          <w:rFonts w:cstheme="majorHAnsi"/>
          <w:color w:val="auto"/>
          <w:lang w:val="en-GB"/>
        </w:rPr>
        <w:t xml:space="preserve">Oral glucocorticoids and risk of psychiatric </w:t>
      </w:r>
      <w:r w:rsidR="008D05EE" w:rsidRPr="0082018B">
        <w:rPr>
          <w:rFonts w:cstheme="majorHAnsi"/>
          <w:color w:val="auto"/>
          <w:lang w:val="en-GB"/>
        </w:rPr>
        <w:t>and suicidal b</w:t>
      </w:r>
      <w:r w:rsidR="00F2560A" w:rsidRPr="0082018B">
        <w:rPr>
          <w:rFonts w:cstheme="majorHAnsi"/>
          <w:color w:val="auto"/>
          <w:lang w:val="en-GB"/>
        </w:rPr>
        <w:t>ehaviour</w:t>
      </w:r>
      <w:r w:rsidR="008D05EE" w:rsidRPr="0082018B">
        <w:rPr>
          <w:rFonts w:cstheme="majorHAnsi"/>
          <w:color w:val="auto"/>
          <w:lang w:val="en-GB"/>
        </w:rPr>
        <w:t xml:space="preserve"> </w:t>
      </w:r>
      <w:r w:rsidR="009B0CEC" w:rsidRPr="0082018B">
        <w:rPr>
          <w:rFonts w:cstheme="majorHAnsi"/>
          <w:color w:val="auto"/>
          <w:lang w:val="en-GB"/>
        </w:rPr>
        <w:t>outcomes: a population-based cohort study</w:t>
      </w:r>
    </w:p>
    <w:sdt>
      <w:sdtPr>
        <w:rPr>
          <w:rFonts w:eastAsiaTheme="minorHAnsi" w:cstheme="majorHAnsi"/>
          <w:color w:val="auto"/>
          <w:sz w:val="24"/>
          <w:szCs w:val="24"/>
          <w:lang w:val="en-GB"/>
        </w:rPr>
        <w:id w:val="-155900208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92F5F4A" w14:textId="112DAD27" w:rsidR="009B0CEC" w:rsidRPr="00370FA1" w:rsidRDefault="009B0CEC">
          <w:pPr>
            <w:pStyle w:val="TOCHeading"/>
            <w:rPr>
              <w:rFonts w:cstheme="majorHAnsi"/>
              <w:b/>
              <w:color w:val="auto"/>
              <w:lang w:val="en-GB"/>
            </w:rPr>
          </w:pPr>
          <w:r w:rsidRPr="00370FA1">
            <w:rPr>
              <w:rFonts w:cstheme="majorHAnsi"/>
              <w:b/>
              <w:color w:val="auto"/>
              <w:lang w:val="en-GB"/>
            </w:rPr>
            <w:t>Contents</w:t>
          </w:r>
        </w:p>
        <w:p w14:paraId="66616659" w14:textId="2D39EE98" w:rsidR="00370FA1" w:rsidRPr="00370FA1" w:rsidRDefault="009B0CEC">
          <w:pPr>
            <w:pStyle w:val="TOC2"/>
            <w:tabs>
              <w:tab w:val="right" w:leader="dot" w:pos="9396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r w:rsidRPr="00370FA1">
            <w:rPr>
              <w:rFonts w:asciiTheme="majorHAnsi" w:hAnsiTheme="majorHAnsi" w:cstheme="majorHAnsi"/>
              <w:lang w:val="en-GB"/>
            </w:rPr>
            <w:fldChar w:fldCharType="begin"/>
          </w:r>
          <w:r w:rsidRPr="00370FA1">
            <w:rPr>
              <w:rFonts w:asciiTheme="majorHAnsi" w:hAnsiTheme="majorHAnsi" w:cstheme="majorHAnsi"/>
              <w:lang w:val="en-GB"/>
            </w:rPr>
            <w:instrText xml:space="preserve"> TOC \o "1-3" \h \z \u </w:instrText>
          </w:r>
          <w:r w:rsidRPr="00370FA1">
            <w:rPr>
              <w:rFonts w:asciiTheme="majorHAnsi" w:hAnsiTheme="majorHAnsi" w:cstheme="majorHAnsi"/>
              <w:lang w:val="en-GB"/>
            </w:rPr>
            <w:fldChar w:fldCharType="separate"/>
          </w:r>
          <w:hyperlink w:anchor="_Toc193291660" w:history="1">
            <w:r w:rsidR="00370FA1" w:rsidRPr="00370FA1">
              <w:rPr>
                <w:rStyle w:val="Hyperlink"/>
                <w:rFonts w:asciiTheme="majorHAnsi" w:hAnsiTheme="majorHAnsi" w:cstheme="majorHAnsi"/>
                <w:noProof/>
                <w:lang w:val="en-GB"/>
              </w:rPr>
              <w:t>Table S1. Target trial emulation, indication cohorts</w:t>
            </w:r>
            <w:r w:rsidR="00370FA1" w:rsidRPr="00370FA1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370FA1" w:rsidRPr="00370FA1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370FA1" w:rsidRPr="00370FA1">
              <w:rPr>
                <w:rFonts w:asciiTheme="majorHAnsi" w:hAnsiTheme="majorHAnsi" w:cstheme="majorHAnsi"/>
                <w:noProof/>
                <w:webHidden/>
              </w:rPr>
              <w:instrText xml:space="preserve"> PAGEREF _Toc193291660 \h </w:instrText>
            </w:r>
            <w:r w:rsidR="00370FA1" w:rsidRPr="00370FA1">
              <w:rPr>
                <w:rFonts w:asciiTheme="majorHAnsi" w:hAnsiTheme="majorHAnsi" w:cstheme="majorHAnsi"/>
                <w:noProof/>
                <w:webHidden/>
              </w:rPr>
            </w:r>
            <w:r w:rsidR="00370FA1" w:rsidRPr="00370FA1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370FA1" w:rsidRPr="00370FA1">
              <w:rPr>
                <w:rFonts w:asciiTheme="majorHAnsi" w:hAnsiTheme="majorHAnsi" w:cstheme="majorHAnsi"/>
                <w:noProof/>
                <w:webHidden/>
              </w:rPr>
              <w:t>2</w:t>
            </w:r>
            <w:r w:rsidR="00370FA1" w:rsidRPr="00370FA1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41A05BB1" w14:textId="412B6B43" w:rsidR="00370FA1" w:rsidRPr="00370FA1" w:rsidRDefault="00370FA1">
          <w:pPr>
            <w:pStyle w:val="TOC2"/>
            <w:tabs>
              <w:tab w:val="right" w:leader="dot" w:pos="9396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193291661" w:history="1">
            <w:r w:rsidRPr="00370FA1">
              <w:rPr>
                <w:rStyle w:val="Hyperlink"/>
                <w:rFonts w:asciiTheme="majorHAnsi" w:hAnsiTheme="majorHAnsi" w:cstheme="majorHAnsi"/>
                <w:noProof/>
                <w:lang w:val="en-GB"/>
              </w:rPr>
              <w:t>Table S2. ICD-10 codes for autoimmune disorders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instrText xml:space="preserve"> PAGEREF _Toc193291661 \h </w:instrTex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3FEA7CB4" w14:textId="0EE25261" w:rsidR="00370FA1" w:rsidRPr="00370FA1" w:rsidRDefault="00370FA1">
          <w:pPr>
            <w:pStyle w:val="TOC2"/>
            <w:tabs>
              <w:tab w:val="right" w:leader="dot" w:pos="9396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193291662" w:history="1">
            <w:r w:rsidRPr="00370FA1">
              <w:rPr>
                <w:rStyle w:val="Hyperlink"/>
                <w:rFonts w:asciiTheme="majorHAnsi" w:hAnsiTheme="majorHAnsi" w:cstheme="majorHAnsi"/>
                <w:noProof/>
                <w:lang w:val="en-GB"/>
              </w:rPr>
              <w:t>Table S3. Characteristics of the individuals followed since an autoimmune disorder diagnosis (indication cohort)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instrText xml:space="preserve"> PAGEREF _Toc193291662 \h </w:instrTex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>5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21BED258" w14:textId="29F6A96F" w:rsidR="00370FA1" w:rsidRPr="00370FA1" w:rsidRDefault="00370FA1">
          <w:pPr>
            <w:pStyle w:val="TOC2"/>
            <w:tabs>
              <w:tab w:val="right" w:leader="dot" w:pos="9396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193291663" w:history="1">
            <w:r w:rsidRPr="00370FA1">
              <w:rPr>
                <w:rStyle w:val="Hyperlink"/>
                <w:rFonts w:asciiTheme="majorHAnsi" w:hAnsiTheme="majorHAnsi" w:cstheme="majorHAnsi"/>
                <w:noProof/>
                <w:lang w:val="en-GB"/>
              </w:rPr>
              <w:t>Table S4. Characteristics of the individuals followed since a gastrointestinal autoimmune disorder diagnosis (indication cohort)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instrText xml:space="preserve"> PAGEREF _Toc193291663 \h </w:instrTex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>6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3098425A" w14:textId="4CAF318B" w:rsidR="00370FA1" w:rsidRPr="00370FA1" w:rsidRDefault="00370FA1">
          <w:pPr>
            <w:pStyle w:val="TOC2"/>
            <w:tabs>
              <w:tab w:val="right" w:leader="dot" w:pos="9396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193291664" w:history="1">
            <w:r w:rsidRPr="00370FA1">
              <w:rPr>
                <w:rStyle w:val="Hyperlink"/>
                <w:rFonts w:asciiTheme="majorHAnsi" w:hAnsiTheme="majorHAnsi" w:cstheme="majorHAnsi"/>
                <w:noProof/>
                <w:lang w:val="en-GB"/>
              </w:rPr>
              <w:t>Table S5. Psychiatric and suicidal behaviour outcomes in individuals dispensed a glucocorticoid (medication-only cohort) using a within-individual analysis, stratified by sex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instrText xml:space="preserve"> PAGEREF _Toc193291664 \h </w:instrTex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>7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5C363C01" w14:textId="3C1217CB" w:rsidR="00370FA1" w:rsidRPr="00370FA1" w:rsidRDefault="00370FA1">
          <w:pPr>
            <w:pStyle w:val="TOC2"/>
            <w:tabs>
              <w:tab w:val="right" w:leader="dot" w:pos="9396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193291665" w:history="1">
            <w:r w:rsidRPr="00370FA1">
              <w:rPr>
                <w:rStyle w:val="Hyperlink"/>
                <w:rFonts w:asciiTheme="majorHAnsi" w:hAnsiTheme="majorHAnsi" w:cstheme="majorHAnsi"/>
                <w:noProof/>
                <w:lang w:val="en-GB"/>
              </w:rPr>
              <w:t>Table S6. Psychiatric and suicidal behaviour outcomes in individuals dispensed a glucocorticoid (medication-only cohort) using a within-individual analysis, stratified by age category</w:t>
            </w:r>
            <w:r w:rsidRPr="00370FA1">
              <w:rPr>
                <w:rStyle w:val="Hyperlink"/>
                <w:rFonts w:asciiTheme="majorHAnsi" w:hAnsiTheme="majorHAnsi" w:cstheme="majorHAnsi"/>
                <w:noProof/>
                <w:vertAlign w:val="superscript"/>
                <w:lang w:val="en-GB"/>
              </w:rPr>
              <w:t>a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instrText xml:space="preserve"> PAGEREF _Toc193291665 \h </w:instrTex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>8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27A8CCE1" w14:textId="13C00B36" w:rsidR="00370FA1" w:rsidRPr="00370FA1" w:rsidRDefault="00370FA1">
          <w:pPr>
            <w:pStyle w:val="TOC2"/>
            <w:tabs>
              <w:tab w:val="right" w:leader="dot" w:pos="9396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193291666" w:history="1">
            <w:r w:rsidRPr="00370FA1">
              <w:rPr>
                <w:rStyle w:val="Hyperlink"/>
                <w:rFonts w:asciiTheme="majorHAnsi" w:hAnsiTheme="majorHAnsi" w:cstheme="majorHAnsi"/>
                <w:noProof/>
                <w:lang w:val="en-GB"/>
              </w:rPr>
              <w:t>Table S7. Psychiatric and suicidal behaviour outcomes in individuals dispensed a glucocorticoid (medication-only cohort) using a within-individual analysis, excluding individuals ever dispensing an inhaled glucocorticoid during follow-up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instrText xml:space="preserve"> PAGEREF _Toc193291666 \h </w:instrTex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>9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11C89767" w14:textId="1A36F548" w:rsidR="00370FA1" w:rsidRPr="00370FA1" w:rsidRDefault="00370FA1">
          <w:pPr>
            <w:pStyle w:val="TOC2"/>
            <w:tabs>
              <w:tab w:val="right" w:leader="dot" w:pos="9396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193291667" w:history="1">
            <w:r w:rsidRPr="00370FA1">
              <w:rPr>
                <w:rStyle w:val="Hyperlink"/>
                <w:rFonts w:asciiTheme="majorHAnsi" w:hAnsiTheme="majorHAnsi" w:cstheme="majorHAnsi"/>
                <w:noProof/>
                <w:lang w:val="en-GB"/>
              </w:rPr>
              <w:t>Table S8. Psychiatric and suicidal behaviour outcomes in individuals dispensed a glucocorticoid (medication-only cohort) using a within-individual or between-individual analysis, stratified by indication and past psychiatric diagnosis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instrText xml:space="preserve"> PAGEREF _Toc193291667 \h </w:instrTex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>10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5764FEB8" w14:textId="5C768A32" w:rsidR="00370FA1" w:rsidRPr="00370FA1" w:rsidRDefault="00370FA1">
          <w:pPr>
            <w:pStyle w:val="TOC2"/>
            <w:tabs>
              <w:tab w:val="right" w:leader="dot" w:pos="9396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193291668" w:history="1">
            <w:r w:rsidRPr="00370FA1">
              <w:rPr>
                <w:rStyle w:val="Hyperlink"/>
                <w:rFonts w:asciiTheme="majorHAnsi" w:hAnsiTheme="majorHAnsi" w:cstheme="majorHAnsi"/>
                <w:noProof/>
                <w:lang w:val="en-GB"/>
              </w:rPr>
              <w:t>Table S9. Psychiatric and suicidal behaviour outcomes in individuals dispensed a glucocorticoid (medication-only cohort) using a within-individual analysis, by treatment periods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instrText xml:space="preserve"> PAGEREF _Toc193291668 \h </w:instrTex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>11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588CAA71" w14:textId="06F4C3AB" w:rsidR="00370FA1" w:rsidRPr="00370FA1" w:rsidRDefault="00370FA1">
          <w:pPr>
            <w:pStyle w:val="TOC2"/>
            <w:tabs>
              <w:tab w:val="right" w:leader="dot" w:pos="9396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193291669" w:history="1">
            <w:r w:rsidRPr="00370FA1">
              <w:rPr>
                <w:rStyle w:val="Hyperlink"/>
                <w:rFonts w:asciiTheme="majorHAnsi" w:hAnsiTheme="majorHAnsi" w:cstheme="majorHAnsi"/>
                <w:noProof/>
                <w:lang w:val="en-GB"/>
              </w:rPr>
              <w:t>Table S10. Associations of glucocorticoid treatment with the risk of psychiatric and suicidal behaviour outcomes at low, medium, and high average dosage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instrText xml:space="preserve"> PAGEREF _Toc193291669 \h </w:instrTex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>12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27738379" w14:textId="537D7773" w:rsidR="00370FA1" w:rsidRPr="00370FA1" w:rsidRDefault="00370FA1">
          <w:pPr>
            <w:pStyle w:val="TOC2"/>
            <w:tabs>
              <w:tab w:val="right" w:leader="dot" w:pos="9396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193291670" w:history="1">
            <w:r w:rsidRPr="00370FA1">
              <w:rPr>
                <w:rStyle w:val="Hyperlink"/>
                <w:rFonts w:asciiTheme="majorHAnsi" w:hAnsiTheme="majorHAnsi" w:cstheme="majorHAnsi"/>
                <w:noProof/>
                <w:lang w:val="en-GB"/>
              </w:rPr>
              <w:t>Table S11. Psychiatric and suicidal behaviour outcomes in individuals dispensed a glucocorticoid (medication-only cohort) using a within-individual analysis in the data linkage covering 2006-2020, compared to the data linkage covering 2006-2013 only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instrText xml:space="preserve"> PAGEREF _Toc193291670 \h </w:instrTex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>13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15878B4E" w14:textId="3CA7AD35" w:rsidR="00370FA1" w:rsidRPr="00370FA1" w:rsidRDefault="00370FA1">
          <w:pPr>
            <w:pStyle w:val="TOC2"/>
            <w:tabs>
              <w:tab w:val="right" w:leader="dot" w:pos="9396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193291671" w:history="1">
            <w:r w:rsidRPr="00370FA1">
              <w:rPr>
                <w:rStyle w:val="Hyperlink"/>
                <w:rFonts w:asciiTheme="majorHAnsi" w:hAnsiTheme="majorHAnsi" w:cstheme="majorHAnsi"/>
                <w:noProof/>
              </w:rPr>
              <w:t>Table S12. Per-protocol analysis of psychiatric and suicidal behaviour outcomes in individual with an autoimmune disorders diagnosis initiating a glucocorticoid versus those who do not (indication cohort)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instrText xml:space="preserve"> PAGEREF _Toc193291671 \h </w:instrTex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>14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0BF7FAB8" w14:textId="1C7B0AF5" w:rsidR="00370FA1" w:rsidRPr="00370FA1" w:rsidRDefault="00370FA1">
          <w:pPr>
            <w:pStyle w:val="TOC2"/>
            <w:tabs>
              <w:tab w:val="right" w:leader="dot" w:pos="9396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193291672" w:history="1">
            <w:r w:rsidRPr="00370FA1">
              <w:rPr>
                <w:rStyle w:val="Hyperlink"/>
                <w:rFonts w:asciiTheme="majorHAnsi" w:hAnsiTheme="majorHAnsi" w:cstheme="majorHAnsi"/>
                <w:noProof/>
              </w:rPr>
              <w:t>Table S13. Intention-to-treat analysis of psychiatric and suicidal behaviour outcomes in individual with a gastrointestinal autoimmune disorder diagnosis initiating a glucocorticoid versus those who do not (indication cohort)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instrText xml:space="preserve"> PAGEREF _Toc193291672 \h </w:instrTex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t>15</w:t>
            </w:r>
            <w:r w:rsidRPr="00370FA1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3450412D" w14:textId="50E117F8" w:rsidR="009B0CEC" w:rsidRDefault="009B0CEC" w:rsidP="00274C7A">
          <w:pPr>
            <w:rPr>
              <w:rFonts w:ascii="Calibri" w:hAnsi="Calibri" w:cs="Calibri"/>
              <w:lang w:val="en-GB"/>
            </w:rPr>
          </w:pPr>
          <w:r w:rsidRPr="00370FA1">
            <w:rPr>
              <w:rFonts w:asciiTheme="majorHAnsi" w:hAnsiTheme="majorHAnsi" w:cstheme="majorHAnsi"/>
              <w:b/>
              <w:bCs/>
              <w:noProof/>
              <w:lang w:val="en-GB"/>
            </w:rPr>
            <w:fldChar w:fldCharType="end"/>
          </w:r>
        </w:p>
      </w:sdtContent>
    </w:sdt>
    <w:p w14:paraId="6750DAE0" w14:textId="16EE5509" w:rsidR="00D86E32" w:rsidRPr="00704D52" w:rsidRDefault="003F4720" w:rsidP="00704D52">
      <w:pPr>
        <w:pStyle w:val="Heading2"/>
        <w:rPr>
          <w:color w:val="auto"/>
          <w:lang w:val="en-GB"/>
        </w:rPr>
      </w:pPr>
      <w:bookmarkStart w:id="0" w:name="_Toc193291660"/>
      <w:r w:rsidRPr="00704D52">
        <w:rPr>
          <w:color w:val="auto"/>
          <w:lang w:val="en-GB"/>
        </w:rPr>
        <w:lastRenderedPageBreak/>
        <w:t>Table S1. Target trial emulation, indication cohorts</w:t>
      </w:r>
      <w:bookmarkEnd w:id="0"/>
    </w:p>
    <w:tbl>
      <w:tblPr>
        <w:tblStyle w:val="GridTable1Light"/>
        <w:tblW w:w="10065" w:type="dxa"/>
        <w:tblLayout w:type="fixed"/>
        <w:tblLook w:val="0420" w:firstRow="1" w:lastRow="0" w:firstColumn="0" w:lastColumn="0" w:noHBand="0" w:noVBand="1"/>
      </w:tblPr>
      <w:tblGrid>
        <w:gridCol w:w="1298"/>
        <w:gridCol w:w="4089"/>
        <w:gridCol w:w="4678"/>
      </w:tblGrid>
      <w:tr w:rsidR="003F4720" w:rsidRPr="005143F6" w14:paraId="45B0A2D6" w14:textId="77777777" w:rsidTr="00D86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tcW w:w="1298" w:type="dxa"/>
            <w:hideMark/>
          </w:tcPr>
          <w:p w14:paraId="67E1B38E" w14:textId="77777777" w:rsidR="003F4720" w:rsidRPr="005143F6" w:rsidRDefault="003F4720" w:rsidP="00D860D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Component</w:t>
            </w:r>
          </w:p>
        </w:tc>
        <w:tc>
          <w:tcPr>
            <w:tcW w:w="4089" w:type="dxa"/>
          </w:tcPr>
          <w:p w14:paraId="58B233D0" w14:textId="4375814F" w:rsidR="003F4720" w:rsidRPr="005143F6" w:rsidRDefault="003F4720" w:rsidP="00D860D3">
            <w:pPr>
              <w:pStyle w:val="ListParagraph"/>
              <w:ind w:left="0"/>
              <w:rPr>
                <w:rFonts w:asciiTheme="majorHAnsi" w:hAnsiTheme="majorHAnsi" w:cstheme="majorHAnsi"/>
                <w:b w:val="0"/>
                <w:bCs w:val="0"/>
              </w:rPr>
            </w:pPr>
            <w:r w:rsidRPr="005143F6">
              <w:rPr>
                <w:rFonts w:asciiTheme="majorHAnsi" w:hAnsiTheme="majorHAnsi" w:cstheme="majorHAnsi"/>
              </w:rPr>
              <w:t>Target trial specification</w:t>
            </w:r>
            <w:r w:rsidR="002B25AD" w:rsidRPr="005143F6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4678" w:type="dxa"/>
            <w:hideMark/>
          </w:tcPr>
          <w:p w14:paraId="477A9B9D" w14:textId="77777777" w:rsidR="003F4720" w:rsidRPr="005143F6" w:rsidRDefault="003F4720" w:rsidP="00D860D3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Target trial emulation</w:t>
            </w:r>
          </w:p>
        </w:tc>
      </w:tr>
      <w:tr w:rsidR="002B25AD" w:rsidRPr="005143F6" w14:paraId="51539C0D" w14:textId="77777777" w:rsidTr="00283C19">
        <w:trPr>
          <w:trHeight w:val="905"/>
        </w:trPr>
        <w:tc>
          <w:tcPr>
            <w:tcW w:w="1298" w:type="dxa"/>
            <w:hideMark/>
          </w:tcPr>
          <w:p w14:paraId="2463CC8D" w14:textId="77777777" w:rsidR="002B25AD" w:rsidRPr="005143F6" w:rsidRDefault="002B25AD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  <w:b/>
                <w:bCs/>
              </w:rPr>
              <w:t>Eligibility criteria</w:t>
            </w:r>
          </w:p>
        </w:tc>
        <w:tc>
          <w:tcPr>
            <w:tcW w:w="4089" w:type="dxa"/>
          </w:tcPr>
          <w:p w14:paraId="09598A9F" w14:textId="0A9814B4" w:rsidR="002B25AD" w:rsidRPr="005143F6" w:rsidRDefault="00134A78" w:rsidP="002B25A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Age 15</w:t>
            </w:r>
            <w:r w:rsidR="002B25AD" w:rsidRPr="005143F6">
              <w:rPr>
                <w:rFonts w:asciiTheme="majorHAnsi" w:hAnsiTheme="majorHAnsi" w:cstheme="majorHAnsi"/>
              </w:rPr>
              <w:t xml:space="preserve">-54 years old </w:t>
            </w:r>
            <w:r w:rsidR="00A932E3" w:rsidRPr="005143F6">
              <w:rPr>
                <w:rFonts w:asciiTheme="majorHAnsi" w:hAnsiTheme="majorHAnsi" w:cstheme="majorHAnsi"/>
              </w:rPr>
              <w:t xml:space="preserve">July </w:t>
            </w:r>
            <w:r w:rsidR="00A932E3">
              <w:rPr>
                <w:rFonts w:asciiTheme="majorHAnsi" w:hAnsiTheme="majorHAnsi" w:cstheme="majorHAnsi"/>
              </w:rPr>
              <w:t xml:space="preserve">1 </w:t>
            </w:r>
            <w:r w:rsidR="00A932E3">
              <w:rPr>
                <w:rFonts w:asciiTheme="majorHAnsi" w:hAnsiTheme="majorHAnsi" w:cstheme="majorHAnsi"/>
              </w:rPr>
              <w:t>2006 to</w:t>
            </w:r>
            <w:r w:rsidR="00A932E3">
              <w:rPr>
                <w:rFonts w:asciiTheme="majorHAnsi" w:hAnsiTheme="majorHAnsi" w:cstheme="majorHAnsi"/>
              </w:rPr>
              <w:t xml:space="preserve"> </w:t>
            </w:r>
            <w:r w:rsidR="00A932E3" w:rsidRPr="005143F6">
              <w:rPr>
                <w:rFonts w:asciiTheme="majorHAnsi" w:hAnsiTheme="majorHAnsi" w:cstheme="majorHAnsi"/>
              </w:rPr>
              <w:t xml:space="preserve">November </w:t>
            </w:r>
            <w:r w:rsidR="00A932E3">
              <w:rPr>
                <w:rFonts w:asciiTheme="majorHAnsi" w:hAnsiTheme="majorHAnsi" w:cstheme="majorHAnsi"/>
              </w:rPr>
              <w:t xml:space="preserve">30 </w:t>
            </w:r>
            <w:r w:rsidR="00A932E3" w:rsidRPr="005143F6">
              <w:rPr>
                <w:rFonts w:asciiTheme="majorHAnsi" w:hAnsiTheme="majorHAnsi" w:cstheme="majorHAnsi"/>
              </w:rPr>
              <w:t>2019</w:t>
            </w:r>
            <w:r w:rsidR="00A932E3">
              <w:rPr>
                <w:rFonts w:asciiTheme="majorHAnsi" w:hAnsiTheme="majorHAnsi" w:cstheme="majorHAnsi"/>
              </w:rPr>
              <w:t>.</w:t>
            </w:r>
          </w:p>
          <w:p w14:paraId="4B27A052" w14:textId="319FE882" w:rsidR="002B25AD" w:rsidRPr="005143F6" w:rsidRDefault="002B25AD" w:rsidP="002B25A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Any autoimmune disorder</w:t>
            </w:r>
            <w:r w:rsidR="00FD71E0">
              <w:rPr>
                <w:rFonts w:asciiTheme="majorHAnsi" w:hAnsiTheme="majorHAnsi" w:cstheme="majorHAnsi"/>
              </w:rPr>
              <w:t xml:space="preserve"> cohort</w:t>
            </w:r>
            <w:r w:rsidRPr="005143F6">
              <w:rPr>
                <w:rFonts w:asciiTheme="majorHAnsi" w:hAnsiTheme="majorHAnsi" w:cstheme="majorHAnsi"/>
              </w:rPr>
              <w:t>: first diagno</w:t>
            </w:r>
            <w:r w:rsidR="00A932E3">
              <w:rPr>
                <w:rFonts w:asciiTheme="majorHAnsi" w:hAnsiTheme="majorHAnsi" w:cstheme="majorHAnsi"/>
              </w:rPr>
              <w:t xml:space="preserve">sis of any autoimmune disorder </w:t>
            </w:r>
            <w:r w:rsidRPr="005143F6">
              <w:rPr>
                <w:rFonts w:asciiTheme="majorHAnsi" w:hAnsiTheme="majorHAnsi" w:cstheme="majorHAnsi"/>
              </w:rPr>
              <w:t xml:space="preserve">July </w:t>
            </w:r>
            <w:r w:rsidR="00A932E3">
              <w:rPr>
                <w:rFonts w:asciiTheme="majorHAnsi" w:hAnsiTheme="majorHAnsi" w:cstheme="majorHAnsi"/>
              </w:rPr>
              <w:t xml:space="preserve">1 2006 to </w:t>
            </w:r>
            <w:r w:rsidR="00CA0BB3" w:rsidRPr="005143F6">
              <w:rPr>
                <w:rFonts w:asciiTheme="majorHAnsi" w:hAnsiTheme="majorHAnsi" w:cstheme="majorHAnsi"/>
              </w:rPr>
              <w:t xml:space="preserve">November </w:t>
            </w:r>
            <w:r w:rsidR="00A932E3">
              <w:rPr>
                <w:rFonts w:asciiTheme="majorHAnsi" w:hAnsiTheme="majorHAnsi" w:cstheme="majorHAnsi"/>
              </w:rPr>
              <w:t xml:space="preserve">30 </w:t>
            </w:r>
            <w:r w:rsidR="00CA0BB3" w:rsidRPr="005143F6">
              <w:rPr>
                <w:rFonts w:asciiTheme="majorHAnsi" w:hAnsiTheme="majorHAnsi" w:cstheme="majorHAnsi"/>
              </w:rPr>
              <w:t>2019</w:t>
            </w:r>
            <w:r w:rsidR="00A932E3">
              <w:rPr>
                <w:rFonts w:asciiTheme="majorHAnsi" w:hAnsiTheme="majorHAnsi" w:cstheme="majorHAnsi"/>
              </w:rPr>
              <w:t>.</w:t>
            </w:r>
          </w:p>
          <w:p w14:paraId="2B9F6D64" w14:textId="2417E68A" w:rsidR="002B25AD" w:rsidRPr="005143F6" w:rsidRDefault="002B25AD" w:rsidP="002B25A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Gastrointestinal autoimmune disorder cohort: first diagnosis of a gastrointesti</w:t>
            </w:r>
            <w:r w:rsidR="00A932E3">
              <w:rPr>
                <w:rFonts w:asciiTheme="majorHAnsi" w:hAnsiTheme="majorHAnsi" w:cstheme="majorHAnsi"/>
              </w:rPr>
              <w:t xml:space="preserve">nal autoimmune disorder </w:t>
            </w:r>
            <w:r w:rsidR="00A932E3" w:rsidRPr="005143F6">
              <w:rPr>
                <w:rFonts w:asciiTheme="majorHAnsi" w:hAnsiTheme="majorHAnsi" w:cstheme="majorHAnsi"/>
              </w:rPr>
              <w:t xml:space="preserve">July </w:t>
            </w:r>
            <w:r w:rsidR="00A932E3">
              <w:rPr>
                <w:rFonts w:asciiTheme="majorHAnsi" w:hAnsiTheme="majorHAnsi" w:cstheme="majorHAnsi"/>
              </w:rPr>
              <w:t xml:space="preserve">1 2006 to </w:t>
            </w:r>
            <w:r w:rsidR="00A932E3" w:rsidRPr="005143F6">
              <w:rPr>
                <w:rFonts w:asciiTheme="majorHAnsi" w:hAnsiTheme="majorHAnsi" w:cstheme="majorHAnsi"/>
              </w:rPr>
              <w:t xml:space="preserve">November </w:t>
            </w:r>
            <w:r w:rsidR="00A932E3">
              <w:rPr>
                <w:rFonts w:asciiTheme="majorHAnsi" w:hAnsiTheme="majorHAnsi" w:cstheme="majorHAnsi"/>
              </w:rPr>
              <w:t xml:space="preserve">30 </w:t>
            </w:r>
            <w:r w:rsidR="00A932E3" w:rsidRPr="005143F6">
              <w:rPr>
                <w:rFonts w:asciiTheme="majorHAnsi" w:hAnsiTheme="majorHAnsi" w:cstheme="majorHAnsi"/>
              </w:rPr>
              <w:t>2019</w:t>
            </w:r>
            <w:r w:rsidR="00A932E3">
              <w:rPr>
                <w:rFonts w:asciiTheme="majorHAnsi" w:hAnsiTheme="majorHAnsi" w:cstheme="majorHAnsi"/>
              </w:rPr>
              <w:t>.</w:t>
            </w:r>
          </w:p>
          <w:p w14:paraId="0704A25F" w14:textId="4FF2056F" w:rsidR="002B25AD" w:rsidRPr="005143F6" w:rsidRDefault="002B25AD" w:rsidP="002B25A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No corticosteroid (H02) prescriptions within 180 days before</w:t>
            </w:r>
            <w:r w:rsidR="00970A99">
              <w:rPr>
                <w:rFonts w:asciiTheme="majorHAnsi" w:hAnsiTheme="majorHAnsi" w:cstheme="majorHAnsi"/>
              </w:rPr>
              <w:t xml:space="preserve"> the</w:t>
            </w:r>
            <w:r w:rsidRPr="005143F6">
              <w:rPr>
                <w:rFonts w:asciiTheme="majorHAnsi" w:hAnsiTheme="majorHAnsi" w:cstheme="majorHAnsi"/>
              </w:rPr>
              <w:t xml:space="preserve"> autoimmune diagnosis</w:t>
            </w:r>
            <w:r w:rsidR="00A932E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678" w:type="dxa"/>
          </w:tcPr>
          <w:p w14:paraId="52B23DC7" w14:textId="77777777" w:rsidR="002B25AD" w:rsidRPr="005143F6" w:rsidRDefault="002B25AD" w:rsidP="002B25AD">
            <w:pPr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Same as target trial.</w:t>
            </w:r>
          </w:p>
          <w:p w14:paraId="40427A1E" w14:textId="0FA3ACC1" w:rsidR="002B25AD" w:rsidRPr="005143F6" w:rsidRDefault="002B25AD" w:rsidP="00663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2B25AD" w:rsidRPr="005143F6" w14:paraId="4D46F775" w14:textId="77777777" w:rsidTr="00283C19">
        <w:trPr>
          <w:trHeight w:val="924"/>
        </w:trPr>
        <w:tc>
          <w:tcPr>
            <w:tcW w:w="1298" w:type="dxa"/>
            <w:hideMark/>
          </w:tcPr>
          <w:p w14:paraId="0F967FAF" w14:textId="77777777" w:rsidR="002B25AD" w:rsidRPr="005143F6" w:rsidRDefault="002B25AD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  <w:b/>
                <w:bCs/>
              </w:rPr>
              <w:t>Treatment strategies</w:t>
            </w:r>
          </w:p>
        </w:tc>
        <w:tc>
          <w:tcPr>
            <w:tcW w:w="4089" w:type="dxa"/>
          </w:tcPr>
          <w:p w14:paraId="1AF8E9AA" w14:textId="32DC4563" w:rsidR="002B25AD" w:rsidRPr="005143F6" w:rsidRDefault="002B25AD" w:rsidP="002B25A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 xml:space="preserve">Initiation of a glucocorticoid (H02) within 28 days of </w:t>
            </w:r>
            <w:r w:rsidR="00970A99">
              <w:rPr>
                <w:rFonts w:asciiTheme="majorHAnsi" w:hAnsiTheme="majorHAnsi" w:cstheme="majorHAnsi"/>
              </w:rPr>
              <w:t>the</w:t>
            </w:r>
            <w:r w:rsidR="00134A78">
              <w:rPr>
                <w:rFonts w:asciiTheme="majorHAnsi" w:hAnsiTheme="majorHAnsi" w:cstheme="majorHAnsi"/>
              </w:rPr>
              <w:t xml:space="preserve"> </w:t>
            </w:r>
            <w:r w:rsidR="008E4768" w:rsidRPr="005143F6">
              <w:rPr>
                <w:rFonts w:asciiTheme="majorHAnsi" w:hAnsiTheme="majorHAnsi" w:cstheme="majorHAnsi"/>
              </w:rPr>
              <w:t>autoimmune</w:t>
            </w:r>
            <w:r w:rsidRPr="005143F6">
              <w:rPr>
                <w:rFonts w:asciiTheme="majorHAnsi" w:hAnsiTheme="majorHAnsi" w:cstheme="majorHAnsi"/>
              </w:rPr>
              <w:t xml:space="preserve"> diagnosis t</w:t>
            </w:r>
            <w:r w:rsidR="00134A78">
              <w:rPr>
                <w:rFonts w:asciiTheme="majorHAnsi" w:hAnsiTheme="majorHAnsi" w:cstheme="majorHAnsi"/>
              </w:rPr>
              <w:t>hen continuing to take the treatment</w:t>
            </w:r>
            <w:r w:rsidR="00A932E3">
              <w:rPr>
                <w:rFonts w:asciiTheme="majorHAnsi" w:hAnsiTheme="majorHAnsi" w:cstheme="majorHAnsi"/>
              </w:rPr>
              <w:t xml:space="preserve"> for 52 weeks.</w:t>
            </w:r>
          </w:p>
          <w:p w14:paraId="5A28E796" w14:textId="141A051C" w:rsidR="002B25AD" w:rsidRPr="005143F6" w:rsidRDefault="00FD71E0" w:rsidP="002B25A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 initiation of a</w:t>
            </w:r>
            <w:r w:rsidR="00134A78">
              <w:rPr>
                <w:rFonts w:asciiTheme="majorHAnsi" w:hAnsiTheme="majorHAnsi" w:cstheme="majorHAnsi"/>
              </w:rPr>
              <w:t xml:space="preserve"> glucocorticoid</w:t>
            </w:r>
            <w:r w:rsidR="002B25AD" w:rsidRPr="005143F6">
              <w:rPr>
                <w:rFonts w:asciiTheme="majorHAnsi" w:hAnsiTheme="majorHAnsi" w:cstheme="majorHAnsi"/>
              </w:rPr>
              <w:t xml:space="preserve"> within 28 days of </w:t>
            </w:r>
            <w:r w:rsidR="00970A99">
              <w:rPr>
                <w:rFonts w:asciiTheme="majorHAnsi" w:hAnsiTheme="majorHAnsi" w:cstheme="majorHAnsi"/>
              </w:rPr>
              <w:t xml:space="preserve">the </w:t>
            </w:r>
            <w:r w:rsidR="008E4768" w:rsidRPr="005143F6">
              <w:rPr>
                <w:rFonts w:asciiTheme="majorHAnsi" w:hAnsiTheme="majorHAnsi" w:cstheme="majorHAnsi"/>
              </w:rPr>
              <w:t>autoimmune</w:t>
            </w:r>
            <w:r w:rsidR="002B25AD" w:rsidRPr="005143F6">
              <w:rPr>
                <w:rFonts w:asciiTheme="majorHAnsi" w:hAnsiTheme="majorHAnsi" w:cstheme="majorHAnsi"/>
              </w:rPr>
              <w:t xml:space="preserve"> diagnosis and then remai</w:t>
            </w:r>
            <w:r w:rsidR="00A932E3">
              <w:rPr>
                <w:rFonts w:asciiTheme="majorHAnsi" w:hAnsiTheme="majorHAnsi" w:cstheme="majorHAnsi"/>
              </w:rPr>
              <w:t>ning off treatment for 52 weeks.</w:t>
            </w:r>
          </w:p>
          <w:p w14:paraId="0A4FD9AE" w14:textId="77777777" w:rsidR="002B25AD" w:rsidRPr="005143F6" w:rsidRDefault="002B25AD" w:rsidP="002B25AD">
            <w:pPr>
              <w:ind w:left="360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4678" w:type="dxa"/>
          </w:tcPr>
          <w:p w14:paraId="6E49549C" w14:textId="77777777" w:rsidR="002B25AD" w:rsidRPr="005143F6" w:rsidRDefault="002B25AD" w:rsidP="002B25AD">
            <w:pPr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Same as target trial.</w:t>
            </w:r>
          </w:p>
          <w:p w14:paraId="0E3FCCD3" w14:textId="77777777" w:rsidR="002B25AD" w:rsidRPr="005143F6" w:rsidRDefault="002B25AD" w:rsidP="002B25AD">
            <w:pPr>
              <w:pStyle w:val="ListParagraph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 </w:t>
            </w:r>
          </w:p>
          <w:p w14:paraId="40A180B6" w14:textId="5717427B" w:rsidR="002B25AD" w:rsidRPr="005143F6" w:rsidRDefault="00134A78" w:rsidP="002B25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Follow-up starts</w:t>
            </w:r>
            <w:r w:rsidR="002B25AD" w:rsidRPr="005143F6">
              <w:rPr>
                <w:rFonts w:asciiTheme="majorHAnsi" w:hAnsiTheme="majorHAnsi" w:cstheme="majorHAnsi"/>
              </w:rPr>
              <w:t xml:space="preserve"> at</w:t>
            </w:r>
            <w:r w:rsidR="008E4768" w:rsidRPr="005143F6">
              <w:rPr>
                <w:rFonts w:asciiTheme="majorHAnsi" w:hAnsiTheme="majorHAnsi" w:cstheme="majorHAnsi"/>
              </w:rPr>
              <w:t xml:space="preserve"> the</w:t>
            </w:r>
            <w:r>
              <w:rPr>
                <w:rFonts w:asciiTheme="majorHAnsi" w:hAnsiTheme="majorHAnsi" w:cstheme="majorHAnsi"/>
              </w:rPr>
              <w:t xml:space="preserve"> time an individual collects a prescription</w:t>
            </w:r>
            <w:r w:rsidR="002B25AD" w:rsidRPr="005143F6">
              <w:rPr>
                <w:rFonts w:asciiTheme="majorHAnsi" w:hAnsiTheme="majorHAnsi" w:cstheme="majorHAnsi"/>
              </w:rPr>
              <w:t xml:space="preserve"> in i</w:t>
            </w:r>
            <w:r w:rsidR="008E4768" w:rsidRPr="005143F6">
              <w:rPr>
                <w:rFonts w:asciiTheme="majorHAnsi" w:hAnsiTheme="majorHAnsi" w:cstheme="majorHAnsi"/>
              </w:rPr>
              <w:t>ndividuals assigned as initiators at baseline</w:t>
            </w:r>
            <w:r w:rsidR="002B25AD" w:rsidRPr="005143F6">
              <w:rPr>
                <w:rFonts w:asciiTheme="majorHAnsi" w:hAnsiTheme="majorHAnsi" w:cstheme="majorHAnsi"/>
              </w:rPr>
              <w:t xml:space="preserve">. The number of days between </w:t>
            </w:r>
            <w:r>
              <w:rPr>
                <w:rFonts w:asciiTheme="majorHAnsi" w:hAnsiTheme="majorHAnsi" w:cstheme="majorHAnsi"/>
              </w:rPr>
              <w:t>the autoimmune</w:t>
            </w:r>
            <w:r w:rsidR="002B25AD" w:rsidRPr="005143F6">
              <w:rPr>
                <w:rFonts w:asciiTheme="majorHAnsi" w:hAnsiTheme="majorHAnsi" w:cstheme="majorHAnsi"/>
              </w:rPr>
              <w:t xml:space="preserve"> diagnosis and </w:t>
            </w:r>
            <w:r>
              <w:rPr>
                <w:rFonts w:asciiTheme="majorHAnsi" w:hAnsiTheme="majorHAnsi" w:cstheme="majorHAnsi"/>
              </w:rPr>
              <w:t xml:space="preserve">the dispensation of a glucocorticoid prescription </w:t>
            </w:r>
            <w:r w:rsidR="002B25AD" w:rsidRPr="005143F6">
              <w:rPr>
                <w:rFonts w:asciiTheme="majorHAnsi" w:hAnsiTheme="majorHAnsi" w:cstheme="majorHAnsi"/>
              </w:rPr>
              <w:t xml:space="preserve">in initiators is randomly assigned to </w:t>
            </w:r>
            <w:r>
              <w:rPr>
                <w:rFonts w:asciiTheme="majorHAnsi" w:hAnsiTheme="majorHAnsi" w:cstheme="majorHAnsi"/>
              </w:rPr>
              <w:t>controls</w:t>
            </w:r>
            <w:r w:rsidR="002B25AD" w:rsidRPr="005143F6">
              <w:rPr>
                <w:rFonts w:asciiTheme="majorHAnsi" w:hAnsiTheme="majorHAnsi" w:cstheme="majorHAnsi"/>
              </w:rPr>
              <w:t xml:space="preserve"> – the</w:t>
            </w:r>
            <w:r>
              <w:rPr>
                <w:rFonts w:asciiTheme="majorHAnsi" w:hAnsiTheme="majorHAnsi" w:cstheme="majorHAnsi"/>
              </w:rPr>
              <w:t xml:space="preserve"> start of follow-up in</w:t>
            </w:r>
            <w:r w:rsidR="002B25AD" w:rsidRPr="005143F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controls occurs on this</w:t>
            </w:r>
            <w:r w:rsidR="002B25AD" w:rsidRPr="005143F6">
              <w:rPr>
                <w:rFonts w:asciiTheme="majorHAnsi" w:hAnsiTheme="majorHAnsi" w:cstheme="majorHAnsi"/>
              </w:rPr>
              <w:t xml:space="preserve"> number of days after their </w:t>
            </w:r>
            <w:r>
              <w:rPr>
                <w:rFonts w:asciiTheme="majorHAnsi" w:hAnsiTheme="majorHAnsi" w:cstheme="majorHAnsi"/>
              </w:rPr>
              <w:t>autoimmune</w:t>
            </w:r>
            <w:r w:rsidR="002B25AD" w:rsidRPr="005143F6">
              <w:rPr>
                <w:rFonts w:asciiTheme="majorHAnsi" w:hAnsiTheme="majorHAnsi" w:cstheme="majorHAnsi"/>
              </w:rPr>
              <w:t xml:space="preserve"> diagnosis.</w:t>
            </w:r>
            <w:r w:rsidR="00311AE2" w:rsidRPr="005143F6">
              <w:rPr>
                <w:rFonts w:asciiTheme="majorHAnsi" w:hAnsiTheme="majorHAnsi" w:cstheme="majorHAnsi"/>
              </w:rPr>
              <w:t xml:space="preserve"> </w:t>
            </w:r>
          </w:p>
          <w:p w14:paraId="6C6DD9BC" w14:textId="77777777" w:rsidR="002B25AD" w:rsidRPr="005143F6" w:rsidRDefault="002B25AD" w:rsidP="002B25AD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2B25AD" w:rsidRPr="005143F6" w14:paraId="00E619F1" w14:textId="77777777" w:rsidTr="00283C19">
        <w:trPr>
          <w:trHeight w:val="460"/>
        </w:trPr>
        <w:tc>
          <w:tcPr>
            <w:tcW w:w="1298" w:type="dxa"/>
            <w:hideMark/>
          </w:tcPr>
          <w:p w14:paraId="36902E94" w14:textId="77777777" w:rsidR="002B25AD" w:rsidRPr="005143F6" w:rsidRDefault="002B25AD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  <w:b/>
                <w:bCs/>
              </w:rPr>
              <w:t>Treatment assignment</w:t>
            </w:r>
          </w:p>
        </w:tc>
        <w:tc>
          <w:tcPr>
            <w:tcW w:w="4089" w:type="dxa"/>
          </w:tcPr>
          <w:p w14:paraId="5457ACE5" w14:textId="6885089F" w:rsidR="002B25AD" w:rsidRPr="005143F6" w:rsidRDefault="00134A78" w:rsidP="006B7B7E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At baseline, individuals are assigned to a strategy at random</w:t>
            </w:r>
            <w:r w:rsidR="002B25AD" w:rsidRPr="005143F6">
              <w:rPr>
                <w:rFonts w:asciiTheme="majorHAnsi" w:hAnsiTheme="majorHAnsi" w:cstheme="majorHAnsi"/>
              </w:rPr>
              <w:t xml:space="preserve"> and </w:t>
            </w:r>
            <w:r>
              <w:rPr>
                <w:rFonts w:asciiTheme="majorHAnsi" w:hAnsiTheme="majorHAnsi" w:cstheme="majorHAnsi"/>
              </w:rPr>
              <w:t>are</w:t>
            </w:r>
            <w:r w:rsidR="002B25AD" w:rsidRPr="005143F6">
              <w:rPr>
                <w:rFonts w:asciiTheme="majorHAnsi" w:hAnsiTheme="majorHAnsi" w:cstheme="majorHAnsi"/>
              </w:rPr>
              <w:t xml:space="preserve"> aware of the</w:t>
            </w:r>
            <w:r>
              <w:rPr>
                <w:rFonts w:asciiTheme="majorHAnsi" w:hAnsiTheme="majorHAnsi" w:cstheme="majorHAnsi"/>
              </w:rPr>
              <w:t>ir assigned</w:t>
            </w:r>
            <w:r w:rsidR="002B25AD" w:rsidRPr="005143F6">
              <w:rPr>
                <w:rFonts w:asciiTheme="majorHAnsi" w:hAnsiTheme="majorHAnsi" w:cstheme="majorHAnsi"/>
              </w:rPr>
              <w:t xml:space="preserve"> strategy.</w:t>
            </w:r>
          </w:p>
        </w:tc>
        <w:tc>
          <w:tcPr>
            <w:tcW w:w="4678" w:type="dxa"/>
          </w:tcPr>
          <w:p w14:paraId="6450BFC6" w14:textId="21CF6D50" w:rsidR="002B25AD" w:rsidRPr="005143F6" w:rsidRDefault="0066390E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We classify </w:t>
            </w:r>
            <w:r w:rsidR="002B25AD" w:rsidRPr="005143F6">
              <w:rPr>
                <w:rFonts w:asciiTheme="majorHAnsi" w:hAnsiTheme="majorHAnsi" w:cstheme="majorHAnsi"/>
              </w:rPr>
              <w:t>individuals according to the strategy they are compatible with at baseline.</w:t>
            </w:r>
          </w:p>
          <w:p w14:paraId="08D9EA0C" w14:textId="77777777" w:rsidR="002B25AD" w:rsidRPr="005143F6" w:rsidRDefault="002B25AD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2AF47D0B" w14:textId="1E872693" w:rsidR="002B25AD" w:rsidRPr="0066390E" w:rsidRDefault="006B7B7E" w:rsidP="002B25AD">
            <w:pPr>
              <w:pStyle w:val="ListParagraph"/>
              <w:ind w:left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Assignment of treatment strategy is assumed to be random</w:t>
            </w:r>
            <w:r w:rsidR="002B25AD" w:rsidRPr="0066390E">
              <w:rPr>
                <w:rFonts w:asciiTheme="majorHAnsi" w:hAnsiTheme="majorHAnsi" w:cstheme="majorHAnsi"/>
                <w:lang w:val="en-GB"/>
              </w:rPr>
              <w:t xml:space="preserve"> within levels of:</w:t>
            </w:r>
          </w:p>
          <w:p w14:paraId="006DC8B2" w14:textId="66E5B350" w:rsidR="002B25AD" w:rsidRPr="005143F6" w:rsidRDefault="002B25AD" w:rsidP="002B25AD">
            <w:pPr>
              <w:rPr>
                <w:rFonts w:asciiTheme="majorHAnsi" w:hAnsiTheme="majorHAnsi" w:cstheme="majorHAnsi"/>
                <w:lang w:val="en-GB"/>
              </w:rPr>
            </w:pPr>
            <w:r w:rsidRPr="0066390E">
              <w:rPr>
                <w:rFonts w:asciiTheme="majorHAnsi" w:hAnsiTheme="majorHAnsi" w:cstheme="majorHAnsi"/>
                <w:lang w:val="en-GB"/>
              </w:rPr>
              <w:t xml:space="preserve">sex, age category, </w:t>
            </w:r>
            <w:r w:rsidR="0066390E" w:rsidRPr="0066390E">
              <w:rPr>
                <w:rFonts w:asciiTheme="majorHAnsi" w:hAnsiTheme="majorHAnsi" w:cstheme="majorHAnsi"/>
                <w:lang w:val="en-GB"/>
              </w:rPr>
              <w:t xml:space="preserve">highest level of attained education of individual and their parents, </w:t>
            </w:r>
            <w:r w:rsidR="0066390E">
              <w:rPr>
                <w:rFonts w:asciiTheme="majorHAnsi" w:hAnsiTheme="majorHAnsi" w:cstheme="majorHAnsi"/>
                <w:lang w:val="en-GB"/>
              </w:rPr>
              <w:t>income level of the individual</w:t>
            </w:r>
            <w:r w:rsidRPr="005143F6">
              <w:rPr>
                <w:rFonts w:asciiTheme="majorHAnsi" w:hAnsiTheme="majorHAnsi" w:cstheme="majorHAnsi"/>
                <w:lang w:val="en-GB"/>
              </w:rPr>
              <w:t xml:space="preserve">, past </w:t>
            </w:r>
            <w:r w:rsidR="008C6228">
              <w:rPr>
                <w:rFonts w:asciiTheme="majorHAnsi" w:hAnsiTheme="majorHAnsi" w:cstheme="majorHAnsi"/>
                <w:lang w:val="en-GB"/>
              </w:rPr>
              <w:t>self-harm</w:t>
            </w:r>
            <w:r w:rsidRPr="005143F6">
              <w:rPr>
                <w:rFonts w:asciiTheme="majorHAnsi" w:hAnsiTheme="majorHAnsi" w:cstheme="majorHAnsi"/>
                <w:lang w:val="en-GB"/>
              </w:rPr>
              <w:t xml:space="preserve">, diagnoses (anxiety, </w:t>
            </w:r>
            <w:r w:rsidR="008E4768" w:rsidRPr="005143F6">
              <w:rPr>
                <w:rFonts w:asciiTheme="majorHAnsi" w:hAnsiTheme="majorHAnsi" w:cstheme="majorHAnsi"/>
                <w:lang w:val="en-GB"/>
              </w:rPr>
              <w:t xml:space="preserve">bipolar disorder, depression, </w:t>
            </w:r>
            <w:r w:rsidRPr="005143F6">
              <w:rPr>
                <w:rFonts w:asciiTheme="majorHAnsi" w:hAnsiTheme="majorHAnsi" w:cstheme="majorHAnsi"/>
                <w:lang w:val="en-GB"/>
              </w:rPr>
              <w:t>schizophrenia</w:t>
            </w:r>
            <w:r w:rsidR="0066390E">
              <w:rPr>
                <w:rFonts w:asciiTheme="majorHAnsi" w:hAnsiTheme="majorHAnsi" w:cstheme="majorHAnsi"/>
                <w:lang w:val="en-GB"/>
              </w:rPr>
              <w:t xml:space="preserve"> spectrum disorders</w:t>
            </w:r>
            <w:r w:rsidRPr="005143F6">
              <w:rPr>
                <w:rFonts w:asciiTheme="majorHAnsi" w:hAnsiTheme="majorHAnsi" w:cstheme="majorHAnsi"/>
                <w:lang w:val="en-GB"/>
              </w:rPr>
              <w:t>, substance use disorder),</w:t>
            </w:r>
            <w:r w:rsidR="006B7B7E">
              <w:rPr>
                <w:rFonts w:asciiTheme="majorHAnsi" w:hAnsiTheme="majorHAnsi" w:cstheme="majorHAnsi"/>
                <w:lang w:val="en-GB"/>
              </w:rPr>
              <w:t xml:space="preserve"> and</w:t>
            </w:r>
            <w:r w:rsidRPr="005143F6">
              <w:rPr>
                <w:rFonts w:asciiTheme="majorHAnsi" w:hAnsiTheme="majorHAnsi" w:cstheme="majorHAnsi"/>
                <w:lang w:val="en-GB"/>
              </w:rPr>
              <w:t xml:space="preserve"> year of diagnosis</w:t>
            </w:r>
            <w:r w:rsidR="00A932E3">
              <w:rPr>
                <w:rFonts w:asciiTheme="majorHAnsi" w:hAnsiTheme="majorHAnsi" w:cstheme="majorHAnsi"/>
                <w:lang w:val="en-GB"/>
              </w:rPr>
              <w:t>.</w:t>
            </w:r>
          </w:p>
          <w:p w14:paraId="0B1A095E" w14:textId="77777777" w:rsidR="002B25AD" w:rsidRPr="005143F6" w:rsidRDefault="002B25AD" w:rsidP="002B25AD">
            <w:pPr>
              <w:pStyle w:val="ListParagraph"/>
              <w:ind w:left="0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2B25AD" w:rsidRPr="005143F6" w14:paraId="5FFB1B1B" w14:textId="77777777" w:rsidTr="00D860D3">
        <w:trPr>
          <w:trHeight w:val="1078"/>
        </w:trPr>
        <w:tc>
          <w:tcPr>
            <w:tcW w:w="1298" w:type="dxa"/>
          </w:tcPr>
          <w:p w14:paraId="167DEE46" w14:textId="77777777" w:rsidR="002B25AD" w:rsidRPr="005143F6" w:rsidRDefault="002B25AD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  <w:b/>
                <w:bCs/>
              </w:rPr>
              <w:t>Outcomes</w:t>
            </w:r>
          </w:p>
        </w:tc>
        <w:tc>
          <w:tcPr>
            <w:tcW w:w="4089" w:type="dxa"/>
          </w:tcPr>
          <w:p w14:paraId="6384B229" w14:textId="18CF3FD3" w:rsidR="00CA0BB3" w:rsidRPr="005143F6" w:rsidRDefault="00CA0BB3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 xml:space="preserve">Unplanned </w:t>
            </w:r>
            <w:r w:rsidR="00A932E3">
              <w:rPr>
                <w:rFonts w:asciiTheme="majorHAnsi" w:hAnsiTheme="majorHAnsi" w:cstheme="majorHAnsi"/>
              </w:rPr>
              <w:t xml:space="preserve">specialist </w:t>
            </w:r>
            <w:r w:rsidRPr="005143F6">
              <w:rPr>
                <w:rFonts w:asciiTheme="majorHAnsi" w:hAnsiTheme="majorHAnsi" w:cstheme="majorHAnsi"/>
              </w:rPr>
              <w:t xml:space="preserve">inpatient or </w:t>
            </w:r>
            <w:r w:rsidR="00A932E3">
              <w:rPr>
                <w:rFonts w:asciiTheme="majorHAnsi" w:hAnsiTheme="majorHAnsi" w:cstheme="majorHAnsi"/>
              </w:rPr>
              <w:t xml:space="preserve">specialist </w:t>
            </w:r>
            <w:r w:rsidRPr="005143F6">
              <w:rPr>
                <w:rFonts w:asciiTheme="majorHAnsi" w:hAnsiTheme="majorHAnsi" w:cstheme="majorHAnsi"/>
              </w:rPr>
              <w:t>outpatient contacts for:</w:t>
            </w:r>
          </w:p>
          <w:p w14:paraId="463AB72F" w14:textId="75C7226C" w:rsidR="00CA0BB3" w:rsidRPr="005143F6" w:rsidRDefault="00CA0BB3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Anxiety disorder</w:t>
            </w:r>
          </w:p>
          <w:p w14:paraId="73808371" w14:textId="20ABBDA9" w:rsidR="00746B5C" w:rsidRPr="005143F6" w:rsidRDefault="00746B5C" w:rsidP="00746B5C">
            <w:pPr>
              <w:pStyle w:val="ListParagraph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ICD-10: F4</w:t>
            </w:r>
          </w:p>
          <w:p w14:paraId="75156884" w14:textId="09CB3427" w:rsidR="00CA0BB3" w:rsidRPr="005143F6" w:rsidRDefault="00CA0BB3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Bipolar disorder</w:t>
            </w:r>
          </w:p>
          <w:p w14:paraId="539C78C9" w14:textId="7D4CCC3D" w:rsidR="00CA0BB3" w:rsidRPr="005143F6" w:rsidRDefault="00CA0BB3" w:rsidP="00CA0BB3">
            <w:pPr>
              <w:pStyle w:val="ListParagraph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ICD-10: F250, F30, F31, F340</w:t>
            </w:r>
          </w:p>
          <w:p w14:paraId="3CCDD05B" w14:textId="7A3F84B6" w:rsidR="00CA0BB3" w:rsidRPr="005143F6" w:rsidRDefault="00CA0BB3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Depression</w:t>
            </w:r>
          </w:p>
          <w:p w14:paraId="71D33C0A" w14:textId="073EA3BD" w:rsidR="00CA0BB3" w:rsidRPr="005143F6" w:rsidRDefault="00CA0BB3" w:rsidP="00CA0BB3">
            <w:pPr>
              <w:pStyle w:val="ListParagraph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ICD-10: F32-F33, F34 excl. F340, F38-F39</w:t>
            </w:r>
          </w:p>
          <w:p w14:paraId="1EFA536E" w14:textId="18FB1B3F" w:rsidR="00CA0BB3" w:rsidRPr="005143F6" w:rsidRDefault="00CA0BB3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Schizophrenia spectrum disorders</w:t>
            </w:r>
          </w:p>
          <w:p w14:paraId="74510F88" w14:textId="01386843" w:rsidR="00CA0BB3" w:rsidRPr="005143F6" w:rsidRDefault="00CA0BB3" w:rsidP="00CA0BB3">
            <w:pPr>
              <w:pStyle w:val="ListParagraph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ICD-10: F2, excl. F250</w:t>
            </w:r>
          </w:p>
          <w:p w14:paraId="0EB902E6" w14:textId="3276F754" w:rsidR="002B25AD" w:rsidRPr="005143F6" w:rsidRDefault="00CA0BB3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lastRenderedPageBreak/>
              <w:t>Suicidal behaviour</w:t>
            </w:r>
          </w:p>
          <w:p w14:paraId="1FB99C4C" w14:textId="2BD9F143" w:rsidR="002B25AD" w:rsidRPr="005143F6" w:rsidRDefault="002B25AD" w:rsidP="00CA0BB3">
            <w:pPr>
              <w:pStyle w:val="ListParagraph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ICD-10</w:t>
            </w:r>
            <w:r w:rsidR="00CA0BB3" w:rsidRPr="005143F6">
              <w:rPr>
                <w:rFonts w:asciiTheme="majorHAnsi" w:hAnsiTheme="majorHAnsi" w:cstheme="majorHAnsi"/>
              </w:rPr>
              <w:t>:</w:t>
            </w:r>
            <w:r w:rsidRPr="005143F6">
              <w:rPr>
                <w:rFonts w:asciiTheme="majorHAnsi" w:hAnsiTheme="majorHAnsi" w:cstheme="majorHAnsi"/>
              </w:rPr>
              <w:t xml:space="preserve"> X60 - X84; Y10 - Y34</w:t>
            </w:r>
          </w:p>
          <w:p w14:paraId="09634407" w14:textId="77777777" w:rsidR="002B25AD" w:rsidRPr="005143F6" w:rsidRDefault="002B25AD" w:rsidP="002B25AD">
            <w:pPr>
              <w:ind w:left="1080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4678" w:type="dxa"/>
          </w:tcPr>
          <w:p w14:paraId="4035834E" w14:textId="2EADD24C" w:rsidR="002B25AD" w:rsidRPr="005143F6" w:rsidRDefault="002B25AD" w:rsidP="002B25AD">
            <w:pPr>
              <w:rPr>
                <w:rFonts w:asciiTheme="majorHAnsi" w:hAnsiTheme="majorHAnsi" w:cstheme="majorHAnsi"/>
                <w:highlight w:val="yellow"/>
              </w:rPr>
            </w:pPr>
            <w:r w:rsidRPr="005143F6">
              <w:rPr>
                <w:rFonts w:asciiTheme="majorHAnsi" w:hAnsiTheme="majorHAnsi" w:cstheme="majorHAnsi"/>
              </w:rPr>
              <w:lastRenderedPageBreak/>
              <w:t>Same as for target trial.</w:t>
            </w:r>
          </w:p>
        </w:tc>
      </w:tr>
      <w:tr w:rsidR="002B25AD" w:rsidRPr="005143F6" w14:paraId="119A73E0" w14:textId="77777777" w:rsidTr="00283C19">
        <w:trPr>
          <w:trHeight w:val="1027"/>
        </w:trPr>
        <w:tc>
          <w:tcPr>
            <w:tcW w:w="1298" w:type="dxa"/>
            <w:hideMark/>
          </w:tcPr>
          <w:p w14:paraId="3F4BB77F" w14:textId="77777777" w:rsidR="002B25AD" w:rsidRPr="005143F6" w:rsidRDefault="002B25AD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  <w:b/>
                <w:bCs/>
              </w:rPr>
              <w:t>Follow-up</w:t>
            </w:r>
          </w:p>
        </w:tc>
        <w:tc>
          <w:tcPr>
            <w:tcW w:w="4089" w:type="dxa"/>
          </w:tcPr>
          <w:p w14:paraId="5D697A69" w14:textId="2204A831" w:rsidR="002B25AD" w:rsidRPr="005143F6" w:rsidRDefault="00A932E3" w:rsidP="002B25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Follow-up s</w:t>
            </w:r>
            <w:r w:rsidR="002B25AD" w:rsidRPr="005143F6">
              <w:rPr>
                <w:rFonts w:asciiTheme="majorHAnsi" w:hAnsiTheme="majorHAnsi" w:cstheme="majorHAnsi"/>
              </w:rPr>
              <w:t xml:space="preserve">tarts at randomization and ends at (whichever occurs first): </w:t>
            </w:r>
          </w:p>
          <w:p w14:paraId="3289EEF4" w14:textId="595650A1" w:rsidR="002B25AD" w:rsidRDefault="00D775A7" w:rsidP="002B25A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5</w:t>
            </w:r>
            <w:r w:rsidR="002B25AD" w:rsidRPr="005143F6">
              <w:rPr>
                <w:rFonts w:asciiTheme="majorHAnsi" w:hAnsiTheme="majorHAnsi" w:cstheme="majorHAnsi"/>
              </w:rPr>
              <w:t>2 weeks after randomization</w:t>
            </w:r>
          </w:p>
          <w:p w14:paraId="5F6023F4" w14:textId="06501DF6" w:rsidR="00A932E3" w:rsidRPr="005143F6" w:rsidRDefault="00A932E3" w:rsidP="002B25A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Outcome</w:t>
            </w:r>
          </w:p>
          <w:p w14:paraId="70A0D430" w14:textId="0D693956" w:rsidR="002B25AD" w:rsidRPr="005143F6" w:rsidRDefault="00A932E3" w:rsidP="002B25A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Death</w:t>
            </w:r>
          </w:p>
          <w:p w14:paraId="3D1E0921" w14:textId="60488655" w:rsidR="002B25AD" w:rsidRPr="00A932E3" w:rsidRDefault="002B25AD" w:rsidP="00A932E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 xml:space="preserve">Emigration </w:t>
            </w:r>
          </w:p>
        </w:tc>
        <w:tc>
          <w:tcPr>
            <w:tcW w:w="4678" w:type="dxa"/>
          </w:tcPr>
          <w:p w14:paraId="6535147D" w14:textId="77777777" w:rsidR="002B25AD" w:rsidRPr="005143F6" w:rsidRDefault="002B25AD" w:rsidP="002B25AD">
            <w:pPr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Same as for target trial.</w:t>
            </w:r>
          </w:p>
          <w:p w14:paraId="22938D24" w14:textId="20F565D6" w:rsidR="002B25AD" w:rsidRPr="005143F6" w:rsidRDefault="002B25AD" w:rsidP="002B25AD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2B25AD" w:rsidRPr="005143F6" w14:paraId="6EDEBA60" w14:textId="77777777" w:rsidTr="00D775A7">
        <w:trPr>
          <w:trHeight w:val="411"/>
        </w:trPr>
        <w:tc>
          <w:tcPr>
            <w:tcW w:w="1298" w:type="dxa"/>
            <w:hideMark/>
          </w:tcPr>
          <w:p w14:paraId="6D5C0B06" w14:textId="77777777" w:rsidR="002B25AD" w:rsidRPr="005143F6" w:rsidRDefault="002B25AD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  <w:b/>
                <w:bCs/>
              </w:rPr>
              <w:t xml:space="preserve">Causal contrasts </w:t>
            </w:r>
          </w:p>
        </w:tc>
        <w:tc>
          <w:tcPr>
            <w:tcW w:w="4089" w:type="dxa"/>
            <w:shd w:val="clear" w:color="auto" w:fill="auto"/>
          </w:tcPr>
          <w:p w14:paraId="2989A3EE" w14:textId="5114BCDB" w:rsidR="00D775A7" w:rsidRPr="005143F6" w:rsidRDefault="002B25AD" w:rsidP="00D775A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Intention-to-treat effect</w:t>
            </w:r>
            <w:r w:rsidR="00614C15">
              <w:rPr>
                <w:rFonts w:asciiTheme="majorHAnsi" w:hAnsiTheme="majorHAnsi" w:cstheme="majorHAnsi"/>
              </w:rPr>
              <w:t xml:space="preserve"> at 14, 120, and 365 days of follow-up</w:t>
            </w:r>
            <w:r w:rsidR="00A932E3">
              <w:rPr>
                <w:rFonts w:asciiTheme="majorHAnsi" w:hAnsiTheme="majorHAnsi" w:cstheme="majorHAnsi"/>
              </w:rPr>
              <w:t>.</w:t>
            </w:r>
          </w:p>
          <w:p w14:paraId="04794052" w14:textId="7BA7026B" w:rsidR="002B25AD" w:rsidRPr="005143F6" w:rsidRDefault="002B25AD" w:rsidP="00D775A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</w:rPr>
              <w:t>Per-protocol effect</w:t>
            </w:r>
            <w:r w:rsidR="00614C15">
              <w:rPr>
                <w:rFonts w:asciiTheme="majorHAnsi" w:hAnsiTheme="majorHAnsi" w:cstheme="majorHAnsi"/>
              </w:rPr>
              <w:t xml:space="preserve"> at 14, 120, and 365 days of follow-up</w:t>
            </w:r>
            <w:r w:rsidR="00A932E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678" w:type="dxa"/>
          </w:tcPr>
          <w:p w14:paraId="3AA53493" w14:textId="239DEC4F" w:rsidR="002B25AD" w:rsidRPr="005143F6" w:rsidRDefault="002B25AD" w:rsidP="002B25AD">
            <w:pPr>
              <w:pStyle w:val="ListParagraph"/>
              <w:ind w:left="0"/>
              <w:rPr>
                <w:rFonts w:asciiTheme="majorHAnsi" w:hAnsiTheme="majorHAnsi" w:cstheme="majorHAnsi"/>
                <w:highlight w:val="yellow"/>
              </w:rPr>
            </w:pPr>
            <w:r w:rsidRPr="005143F6">
              <w:rPr>
                <w:rFonts w:asciiTheme="majorHAnsi" w:hAnsiTheme="majorHAnsi" w:cstheme="majorHAnsi"/>
              </w:rPr>
              <w:t>Observational analog of intention-to-treat and per-protocol effect</w:t>
            </w:r>
            <w:r w:rsidR="00A932E3">
              <w:rPr>
                <w:rFonts w:asciiTheme="majorHAnsi" w:hAnsiTheme="majorHAnsi" w:cstheme="majorHAnsi"/>
              </w:rPr>
              <w:t>.</w:t>
            </w:r>
          </w:p>
        </w:tc>
      </w:tr>
      <w:tr w:rsidR="002B25AD" w:rsidRPr="005143F6" w14:paraId="1DD27295" w14:textId="77777777" w:rsidTr="00283C19">
        <w:trPr>
          <w:trHeight w:val="924"/>
        </w:trPr>
        <w:tc>
          <w:tcPr>
            <w:tcW w:w="1298" w:type="dxa"/>
            <w:hideMark/>
          </w:tcPr>
          <w:p w14:paraId="71A0DFF2" w14:textId="77777777" w:rsidR="002B25AD" w:rsidRPr="005143F6" w:rsidRDefault="002B25AD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  <w:b/>
                <w:bCs/>
              </w:rPr>
              <w:t>Analysis plan</w:t>
            </w:r>
          </w:p>
        </w:tc>
        <w:tc>
          <w:tcPr>
            <w:tcW w:w="4089" w:type="dxa"/>
          </w:tcPr>
          <w:p w14:paraId="1019708C" w14:textId="3276FBD0" w:rsidR="00A932E3" w:rsidRDefault="00A932E3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A932E3">
              <w:rPr>
                <w:rFonts w:asciiTheme="majorHAnsi" w:hAnsiTheme="majorHAnsi" w:cstheme="majorHAnsi"/>
              </w:rPr>
              <w:t>Se</w:t>
            </w:r>
            <w:r>
              <w:rPr>
                <w:rFonts w:asciiTheme="majorHAnsi" w:hAnsiTheme="majorHAnsi" w:cstheme="majorHAnsi"/>
              </w:rPr>
              <w:t>parate analyses are run for each outcome type.</w:t>
            </w:r>
          </w:p>
          <w:p w14:paraId="19A73B73" w14:textId="77777777" w:rsidR="00A932E3" w:rsidRPr="00A932E3" w:rsidRDefault="00A932E3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33CE549D" w14:textId="61D05353" w:rsidR="002B25AD" w:rsidRPr="005143F6" w:rsidRDefault="002B25AD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143F6">
              <w:rPr>
                <w:rFonts w:asciiTheme="majorHAnsi" w:hAnsiTheme="majorHAnsi" w:cstheme="majorHAnsi"/>
                <w:b/>
              </w:rPr>
              <w:t>ITT:</w:t>
            </w:r>
            <w:r w:rsidRPr="005143F6">
              <w:rPr>
                <w:rFonts w:asciiTheme="majorHAnsi" w:hAnsiTheme="majorHAnsi" w:cstheme="majorHAnsi"/>
              </w:rPr>
              <w:t xml:space="preserve"> Individuals</w:t>
            </w:r>
            <w:r w:rsidR="00A932E3">
              <w:rPr>
                <w:rFonts w:asciiTheme="majorHAnsi" w:hAnsiTheme="majorHAnsi" w:cstheme="majorHAnsi"/>
              </w:rPr>
              <w:t xml:space="preserve"> are assumed to</w:t>
            </w:r>
            <w:r w:rsidRPr="005143F6">
              <w:rPr>
                <w:rFonts w:asciiTheme="majorHAnsi" w:hAnsiTheme="majorHAnsi" w:cstheme="majorHAnsi"/>
              </w:rPr>
              <w:t xml:space="preserve"> remain on </w:t>
            </w:r>
            <w:r w:rsidR="00A932E3">
              <w:rPr>
                <w:rFonts w:asciiTheme="majorHAnsi" w:hAnsiTheme="majorHAnsi" w:cstheme="majorHAnsi"/>
              </w:rPr>
              <w:t>the treatment they are assigned at baseline</w:t>
            </w:r>
            <w:r w:rsidRPr="005143F6">
              <w:rPr>
                <w:rFonts w:asciiTheme="majorHAnsi" w:hAnsiTheme="majorHAnsi" w:cstheme="majorHAnsi"/>
              </w:rPr>
              <w:t xml:space="preserve"> throughout follow-up</w:t>
            </w:r>
            <w:r w:rsidR="00A932E3">
              <w:rPr>
                <w:rFonts w:asciiTheme="majorHAnsi" w:hAnsiTheme="majorHAnsi" w:cstheme="majorHAnsi"/>
              </w:rPr>
              <w:t>.</w:t>
            </w:r>
          </w:p>
          <w:p w14:paraId="0D90E4E1" w14:textId="77777777" w:rsidR="002B25AD" w:rsidRPr="005143F6" w:rsidRDefault="002B25AD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0AA9370D" w14:textId="2D6E24AA" w:rsidR="002B25AD" w:rsidRPr="00E41D93" w:rsidRDefault="002B25AD" w:rsidP="002B25AD">
            <w:pPr>
              <w:pStyle w:val="ListParagraph"/>
              <w:ind w:left="0"/>
              <w:rPr>
                <w:rFonts w:asciiTheme="majorHAnsi" w:hAnsiTheme="majorHAnsi" w:cstheme="majorHAnsi"/>
                <w:highlight w:val="yellow"/>
              </w:rPr>
            </w:pPr>
            <w:r w:rsidRPr="005143F6">
              <w:rPr>
                <w:rFonts w:asciiTheme="majorHAnsi" w:hAnsiTheme="majorHAnsi" w:cstheme="majorHAnsi"/>
                <w:b/>
              </w:rPr>
              <w:t>Per-protocol:</w:t>
            </w:r>
            <w:r w:rsidRPr="005143F6">
              <w:rPr>
                <w:rFonts w:asciiTheme="majorHAnsi" w:hAnsiTheme="majorHAnsi" w:cstheme="majorHAnsi"/>
              </w:rPr>
              <w:t xml:space="preserve"> Individuals </w:t>
            </w:r>
            <w:r w:rsidR="0066390E">
              <w:rPr>
                <w:rFonts w:asciiTheme="majorHAnsi" w:hAnsiTheme="majorHAnsi" w:cstheme="majorHAnsi"/>
              </w:rPr>
              <w:t>are</w:t>
            </w:r>
            <w:r w:rsidRPr="005143F6">
              <w:rPr>
                <w:rFonts w:asciiTheme="majorHAnsi" w:hAnsiTheme="majorHAnsi" w:cstheme="majorHAnsi"/>
              </w:rPr>
              <w:t xml:space="preserve"> censored w</w:t>
            </w:r>
            <w:r w:rsidR="00C202C7">
              <w:rPr>
                <w:rFonts w:asciiTheme="majorHAnsi" w:hAnsiTheme="majorHAnsi" w:cstheme="majorHAnsi"/>
              </w:rPr>
              <w:t>hen they cease adhering to the treatment they are</w:t>
            </w:r>
            <w:r w:rsidRPr="005143F6">
              <w:rPr>
                <w:rFonts w:asciiTheme="majorHAnsi" w:hAnsiTheme="majorHAnsi" w:cstheme="majorHAnsi"/>
              </w:rPr>
              <w:t xml:space="preserve"> assigned </w:t>
            </w:r>
            <w:r w:rsidR="00C202C7">
              <w:rPr>
                <w:rFonts w:asciiTheme="majorHAnsi" w:hAnsiTheme="majorHAnsi" w:cstheme="majorHAnsi"/>
              </w:rPr>
              <w:t>at baseline</w:t>
            </w:r>
            <w:r w:rsidRPr="005143F6">
              <w:rPr>
                <w:rFonts w:asciiTheme="majorHAnsi" w:hAnsiTheme="majorHAnsi" w:cstheme="majorHAnsi"/>
              </w:rPr>
              <w:t xml:space="preserve">. </w:t>
            </w:r>
            <w:r w:rsidR="00C202C7">
              <w:rPr>
                <w:rFonts w:asciiTheme="majorHAnsi" w:hAnsiTheme="majorHAnsi" w:cstheme="majorHAnsi"/>
              </w:rPr>
              <w:t xml:space="preserve">To mitigate bias from this censoring, we apply </w:t>
            </w:r>
            <w:r w:rsidRPr="005143F6">
              <w:rPr>
                <w:rFonts w:asciiTheme="majorHAnsi" w:hAnsiTheme="majorHAnsi" w:cstheme="majorHAnsi"/>
              </w:rPr>
              <w:t xml:space="preserve">IPW weighting for adherence to treatment using baseline confounders and </w:t>
            </w:r>
            <w:r w:rsidR="0053579C" w:rsidRPr="005143F6">
              <w:rPr>
                <w:rFonts w:asciiTheme="majorHAnsi" w:hAnsiTheme="majorHAnsi" w:cstheme="majorHAnsi"/>
              </w:rPr>
              <w:t>any specialist outpatient or inpatient healthcare contact for</w:t>
            </w:r>
            <w:r w:rsidR="0012274F">
              <w:rPr>
                <w:rFonts w:asciiTheme="majorHAnsi" w:hAnsiTheme="majorHAnsi" w:cstheme="majorHAnsi"/>
              </w:rPr>
              <w:t xml:space="preserve"> any of the following over follow-up:</w:t>
            </w:r>
            <w:r w:rsidR="0053579C" w:rsidRPr="005143F6">
              <w:rPr>
                <w:rFonts w:asciiTheme="majorHAnsi" w:hAnsiTheme="majorHAnsi" w:cstheme="majorHAnsi"/>
              </w:rPr>
              <w:t xml:space="preserve"> anxiety</w:t>
            </w:r>
            <w:r w:rsidR="0050051F" w:rsidRPr="005143F6">
              <w:rPr>
                <w:rFonts w:asciiTheme="majorHAnsi" w:hAnsiTheme="majorHAnsi" w:cstheme="majorHAnsi"/>
              </w:rPr>
              <w:t xml:space="preserve"> </w:t>
            </w:r>
            <w:r w:rsidR="0053579C" w:rsidRPr="005143F6">
              <w:rPr>
                <w:rFonts w:asciiTheme="majorHAnsi" w:hAnsiTheme="majorHAnsi" w:cstheme="majorHAnsi"/>
              </w:rPr>
              <w:t>disorders, bipolar disorders, depressive disorders, schizoph</w:t>
            </w:r>
            <w:r w:rsidR="0012274F">
              <w:rPr>
                <w:rFonts w:asciiTheme="majorHAnsi" w:hAnsiTheme="majorHAnsi" w:cstheme="majorHAnsi"/>
              </w:rPr>
              <w:t>renia spectrum disorders, or</w:t>
            </w:r>
            <w:r w:rsidR="0053579C" w:rsidRPr="005143F6">
              <w:rPr>
                <w:rFonts w:asciiTheme="majorHAnsi" w:hAnsiTheme="majorHAnsi" w:cstheme="majorHAnsi"/>
              </w:rPr>
              <w:t xml:space="preserve"> </w:t>
            </w:r>
            <w:r w:rsidR="0024304A">
              <w:rPr>
                <w:rFonts w:asciiTheme="majorHAnsi" w:hAnsiTheme="majorHAnsi" w:cstheme="majorHAnsi"/>
              </w:rPr>
              <w:t>self-harm</w:t>
            </w:r>
            <w:r w:rsidR="0066390E">
              <w:rPr>
                <w:rFonts w:asciiTheme="majorHAnsi" w:hAnsiTheme="majorHAnsi" w:cstheme="majorHAnsi"/>
              </w:rPr>
              <w:t xml:space="preserve"> (see outcome ICD-10 codes)</w:t>
            </w:r>
            <w:r w:rsidR="0053579C" w:rsidRPr="005143F6">
              <w:rPr>
                <w:rFonts w:asciiTheme="majorHAnsi" w:hAnsiTheme="majorHAnsi" w:cstheme="majorHAnsi"/>
              </w:rPr>
              <w:t xml:space="preserve">. </w:t>
            </w:r>
            <w:r w:rsidR="00E41D93">
              <w:rPr>
                <w:rFonts w:asciiTheme="majorHAnsi" w:hAnsiTheme="majorHAnsi" w:cstheme="majorHAnsi"/>
              </w:rPr>
              <w:t xml:space="preserve">Analyses of a specific psychiatric outcome </w:t>
            </w:r>
            <w:r w:rsidR="0066390E">
              <w:rPr>
                <w:rFonts w:asciiTheme="majorHAnsi" w:hAnsiTheme="majorHAnsi" w:cstheme="majorHAnsi"/>
              </w:rPr>
              <w:t>do not</w:t>
            </w:r>
            <w:r w:rsidR="00E41D93">
              <w:rPr>
                <w:rFonts w:asciiTheme="majorHAnsi" w:hAnsiTheme="majorHAnsi" w:cstheme="majorHAnsi"/>
              </w:rPr>
              <w:t xml:space="preserve"> consider healthcare contacts for that outcome type over follow-up as a </w:t>
            </w:r>
            <w:r w:rsidR="00E41D93" w:rsidRPr="00E41D93">
              <w:rPr>
                <w:rFonts w:asciiTheme="majorHAnsi" w:hAnsiTheme="majorHAnsi" w:cstheme="majorHAnsi"/>
              </w:rPr>
              <w:t>confounder</w:t>
            </w:r>
            <w:r w:rsidR="00B20CA2">
              <w:rPr>
                <w:rFonts w:asciiTheme="majorHAnsi" w:hAnsiTheme="majorHAnsi" w:cstheme="majorHAnsi"/>
              </w:rPr>
              <w:t>.</w:t>
            </w:r>
          </w:p>
          <w:p w14:paraId="18B1A0C0" w14:textId="77777777" w:rsidR="002B25AD" w:rsidRPr="005143F6" w:rsidRDefault="002B25AD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29FBFACB" w14:textId="45F48ADB" w:rsidR="002B25AD" w:rsidRPr="005143F6" w:rsidRDefault="00B20CA2" w:rsidP="002A74B9">
            <w:pPr>
              <w:pStyle w:val="ListParagraph"/>
              <w:ind w:left="0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</w:rPr>
              <w:t xml:space="preserve">We </w:t>
            </w:r>
            <w:r w:rsidR="0066390E">
              <w:rPr>
                <w:rFonts w:asciiTheme="majorHAnsi" w:hAnsiTheme="majorHAnsi" w:cstheme="majorHAnsi"/>
              </w:rPr>
              <w:t>run</w:t>
            </w:r>
            <w:r>
              <w:rPr>
                <w:rFonts w:asciiTheme="majorHAnsi" w:hAnsiTheme="majorHAnsi" w:cstheme="majorHAnsi"/>
              </w:rPr>
              <w:t xml:space="preserve"> subgroup analyses by</w:t>
            </w:r>
            <w:r w:rsidR="002B25AD" w:rsidRPr="005143F6">
              <w:rPr>
                <w:rFonts w:asciiTheme="majorHAnsi" w:hAnsiTheme="majorHAnsi" w:cstheme="majorHAnsi"/>
              </w:rPr>
              <w:t xml:space="preserve"> baseline </w:t>
            </w:r>
            <w:r w:rsidR="0050051F" w:rsidRPr="005143F6">
              <w:rPr>
                <w:rFonts w:asciiTheme="majorHAnsi" w:hAnsiTheme="majorHAnsi" w:cstheme="majorHAnsi"/>
              </w:rPr>
              <w:t>history of any of the events considered as outcomes</w:t>
            </w:r>
            <w:r w:rsidR="0066390E">
              <w:rPr>
                <w:rFonts w:asciiTheme="majorHAnsi" w:hAnsiTheme="majorHAnsi" w:cstheme="majorHAnsi"/>
              </w:rPr>
              <w:t xml:space="preserve"> (past </w:t>
            </w:r>
            <w:r w:rsidR="002A74B9">
              <w:rPr>
                <w:rFonts w:asciiTheme="majorHAnsi" w:hAnsiTheme="majorHAnsi" w:cstheme="majorHAnsi"/>
              </w:rPr>
              <w:t>psychiatric diagnosis</w:t>
            </w:r>
            <w:r w:rsidR="0066390E">
              <w:rPr>
                <w:rFonts w:asciiTheme="majorHAnsi" w:hAnsiTheme="majorHAnsi" w:cstheme="majorHAnsi"/>
              </w:rPr>
              <w:t>)</w:t>
            </w:r>
            <w:r w:rsidR="00285C09">
              <w:rPr>
                <w:rFonts w:asciiTheme="majorHAnsi" w:hAnsiTheme="majorHAnsi" w:cstheme="majorHAnsi"/>
              </w:rPr>
              <w:t xml:space="preserve"> for the intention-to-treat analyses.</w:t>
            </w:r>
          </w:p>
        </w:tc>
        <w:tc>
          <w:tcPr>
            <w:tcW w:w="4678" w:type="dxa"/>
          </w:tcPr>
          <w:p w14:paraId="215241FE" w14:textId="3E9597E0" w:rsidR="002B25AD" w:rsidRPr="005143F6" w:rsidRDefault="0066390E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same </w:t>
            </w:r>
            <w:r w:rsidR="002B25AD" w:rsidRPr="005143F6">
              <w:rPr>
                <w:rFonts w:asciiTheme="majorHAnsi" w:hAnsiTheme="majorHAnsi" w:cstheme="majorHAnsi"/>
              </w:rPr>
              <w:t>analyses with sequential emulation and additional adjustment for baseline covariates.</w:t>
            </w:r>
          </w:p>
          <w:p w14:paraId="4980D059" w14:textId="77777777" w:rsidR="0050051F" w:rsidRPr="005143F6" w:rsidRDefault="0050051F" w:rsidP="002B25AD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69633418" w14:textId="6BBA7DAB" w:rsidR="002B25AD" w:rsidRPr="005143F6" w:rsidRDefault="002B25AD" w:rsidP="002B25AD">
            <w:pPr>
              <w:pStyle w:val="ListParagraph"/>
              <w:ind w:left="0"/>
              <w:rPr>
                <w:rFonts w:asciiTheme="majorHAnsi" w:hAnsiTheme="majorHAnsi" w:cstheme="majorHAnsi"/>
                <w:highlight w:val="yellow"/>
              </w:rPr>
            </w:pPr>
            <w:r w:rsidRPr="005143F6">
              <w:rPr>
                <w:rFonts w:asciiTheme="majorHAnsi" w:hAnsiTheme="majorHAnsi" w:cstheme="majorHAnsi"/>
              </w:rPr>
              <w:t>Same subgroup analyses.</w:t>
            </w:r>
          </w:p>
        </w:tc>
      </w:tr>
    </w:tbl>
    <w:p w14:paraId="5040FAC8" w14:textId="6B102DEC" w:rsidR="003F4720" w:rsidRDefault="003F4720" w:rsidP="009B0CEC">
      <w:pPr>
        <w:pStyle w:val="BodyText"/>
        <w:rPr>
          <w:rFonts w:ascii="Calibri" w:hAnsi="Calibri" w:cs="Calibri"/>
          <w:lang w:val="en-GB"/>
        </w:rPr>
      </w:pPr>
    </w:p>
    <w:p w14:paraId="50FD511F" w14:textId="0AF15656" w:rsidR="00DA0F8A" w:rsidRDefault="00DA0F8A" w:rsidP="0007083D">
      <w:pPr>
        <w:pStyle w:val="Heading2"/>
        <w:rPr>
          <w:rFonts w:ascii="Calibri" w:eastAsiaTheme="minorHAnsi" w:hAnsi="Calibri" w:cs="Calibri"/>
          <w:b w:val="0"/>
          <w:bCs w:val="0"/>
          <w:color w:val="auto"/>
          <w:sz w:val="24"/>
          <w:szCs w:val="24"/>
          <w:lang w:val="en-GB"/>
        </w:rPr>
      </w:pPr>
    </w:p>
    <w:p w14:paraId="6789E44D" w14:textId="77777777" w:rsidR="00FD71E0" w:rsidRPr="00FD71E0" w:rsidRDefault="00FD71E0" w:rsidP="00FD71E0">
      <w:pPr>
        <w:pStyle w:val="BodyText"/>
        <w:rPr>
          <w:lang w:val="en-GB"/>
        </w:rPr>
      </w:pPr>
    </w:p>
    <w:p w14:paraId="4C944E21" w14:textId="2FF47A1C" w:rsidR="00D860D3" w:rsidRPr="0007083D" w:rsidRDefault="003F4720" w:rsidP="0007083D">
      <w:pPr>
        <w:pStyle w:val="Heading2"/>
        <w:rPr>
          <w:color w:val="auto"/>
          <w:lang w:val="en-GB"/>
        </w:rPr>
      </w:pPr>
      <w:bookmarkStart w:id="1" w:name="_Toc193291661"/>
      <w:r w:rsidRPr="00704D52">
        <w:rPr>
          <w:color w:val="auto"/>
          <w:lang w:val="en-GB"/>
        </w:rPr>
        <w:t>Table S2</w:t>
      </w:r>
      <w:r w:rsidR="00D86B3A" w:rsidRPr="00704D52">
        <w:rPr>
          <w:color w:val="auto"/>
          <w:lang w:val="en-GB"/>
        </w:rPr>
        <w:t>. ICD-10 codes for autoimmune disorders</w:t>
      </w:r>
      <w:bookmarkEnd w:id="1"/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411"/>
        <w:gridCol w:w="7377"/>
      </w:tblGrid>
      <w:tr w:rsidR="00B060D6" w:rsidRPr="0007083D" w14:paraId="6486FEFD" w14:textId="77777777" w:rsidTr="00DA0F8A">
        <w:trPr>
          <w:trHeight w:val="259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723C3" w14:textId="4BCE95DC" w:rsidR="00B060D6" w:rsidRPr="0007083D" w:rsidRDefault="00B060D6" w:rsidP="00D860D3">
            <w:pPr>
              <w:spacing w:after="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07083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Diagnosis Group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1EB3C2" w14:textId="7F98B8D1" w:rsidR="00B060D6" w:rsidRPr="0007083D" w:rsidRDefault="00B060D6" w:rsidP="00D860D3">
            <w:pPr>
              <w:spacing w:after="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07083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ICD-10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E30D6E" w14:textId="507A97B2" w:rsidR="00B060D6" w:rsidRPr="0007083D" w:rsidRDefault="00B060D6" w:rsidP="00D860D3">
            <w:pPr>
              <w:spacing w:after="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07083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Name</w:t>
            </w:r>
          </w:p>
        </w:tc>
      </w:tr>
      <w:tr w:rsidR="00B060D6" w:rsidRPr="0007083D" w14:paraId="3FE5E756" w14:textId="77777777" w:rsidTr="00DA0F8A">
        <w:trPr>
          <w:trHeight w:val="259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218AE" w14:textId="37735E45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07083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Autoimmune disorders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BA93" w14:textId="1D5408CB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D68.61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70D8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Antiphospholipid syndrome</w:t>
            </w:r>
          </w:p>
        </w:tc>
      </w:tr>
      <w:tr w:rsidR="00B060D6" w:rsidRPr="0007083D" w14:paraId="35656A82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EAE28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920D" w14:textId="6BD9A93E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D69.0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E554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Allergic purpura</w:t>
            </w:r>
          </w:p>
        </w:tc>
      </w:tr>
      <w:tr w:rsidR="00B060D6" w:rsidRPr="0007083D" w14:paraId="1E769E40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DE7F3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D067" w14:textId="37ABE71C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D69.3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BB5D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Immune thrombocytopenic purpura</w:t>
            </w:r>
          </w:p>
        </w:tc>
      </w:tr>
      <w:tr w:rsidR="00B060D6" w:rsidRPr="0007083D" w14:paraId="51AD8F5A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C9134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D152" w14:textId="6E4839C1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E05.0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08FD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Thyrotoxicosis with diffuse goiter</w:t>
            </w:r>
          </w:p>
        </w:tc>
      </w:tr>
      <w:tr w:rsidR="00B060D6" w:rsidRPr="0007083D" w14:paraId="4A04D980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413FA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4771" w14:textId="1FBB6DE8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E06.3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6210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Autoimmune thyroiditis</w:t>
            </w:r>
          </w:p>
        </w:tc>
      </w:tr>
      <w:tr w:rsidR="00B060D6" w:rsidRPr="0007083D" w14:paraId="445C5375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6B891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ED99" w14:textId="242F4E9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E31.0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E836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Autoimmune polyglandular failure</w:t>
            </w:r>
          </w:p>
        </w:tc>
      </w:tr>
      <w:tr w:rsidR="00B060D6" w:rsidRPr="0007083D" w14:paraId="08BD7940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EA1D7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824D" w14:textId="3F4377FB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G04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92CC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Encephalitis, myelitis and encephalomyelitis</w:t>
            </w:r>
          </w:p>
        </w:tc>
      </w:tr>
      <w:tr w:rsidR="00B060D6" w:rsidRPr="0007083D" w14:paraId="326D2A45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D6933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3742" w14:textId="3B737DC9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G13.1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C2DB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systemic atrophy primarily affecting central nervous system in neoplastic disease</w:t>
            </w:r>
          </w:p>
        </w:tc>
      </w:tr>
      <w:tr w:rsidR="00B060D6" w:rsidRPr="0007083D" w14:paraId="08F903C7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E57E4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6353" w14:textId="0FA9B9EC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G35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1ADA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 sclerosis</w:t>
            </w:r>
          </w:p>
        </w:tc>
      </w:tr>
      <w:tr w:rsidR="00B060D6" w:rsidRPr="0007083D" w14:paraId="3D21593F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3299F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8FF4" w14:textId="418EB8C5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G61.0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795A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Guillain-Barre syndrome</w:t>
            </w:r>
          </w:p>
        </w:tc>
      </w:tr>
      <w:tr w:rsidR="00B060D6" w:rsidRPr="0007083D" w14:paraId="144F1263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EB9A6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A0C6" w14:textId="60707A3F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G70.0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B26E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Myasthenia gravis</w:t>
            </w:r>
          </w:p>
        </w:tc>
      </w:tr>
      <w:tr w:rsidR="00B060D6" w:rsidRPr="0007083D" w14:paraId="177514E5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496B6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0D13" w14:textId="0DF4EB53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I00-I02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52B7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Acute rheumatic fever</w:t>
            </w:r>
          </w:p>
        </w:tc>
      </w:tr>
      <w:tr w:rsidR="00B060D6" w:rsidRPr="0007083D" w14:paraId="07B19290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3215C" w14:textId="77777777" w:rsidR="00B060D6" w:rsidRPr="0007083D" w:rsidRDefault="00B060D6" w:rsidP="00B060D6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3BFBB" w14:textId="5143870C" w:rsidR="00B060D6" w:rsidRPr="0007083D" w:rsidRDefault="00B060D6" w:rsidP="00B060D6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A38.9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F45B3" w14:textId="26A0ABCE" w:rsidR="00B060D6" w:rsidRPr="0007083D" w:rsidRDefault="00B060D6" w:rsidP="00B060D6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Scarlet fever</w:t>
            </w:r>
          </w:p>
        </w:tc>
      </w:tr>
      <w:tr w:rsidR="00B060D6" w:rsidRPr="0007083D" w14:paraId="54FBB992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5D4FC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4393" w14:textId="4D468980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K50-K51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2296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Crohn's disease; Ulcerative colitis</w:t>
            </w:r>
          </w:p>
        </w:tc>
      </w:tr>
      <w:tr w:rsidR="00B060D6" w:rsidRPr="0007083D" w14:paraId="7881061B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833208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0827" w14:textId="2E988716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K74.3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B282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Primary biliary cirrhosis</w:t>
            </w:r>
          </w:p>
        </w:tc>
      </w:tr>
      <w:tr w:rsidR="00B060D6" w:rsidRPr="0007083D" w14:paraId="34FFF1FE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4C35D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34B2" w14:textId="40232AFB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K90.0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3FF1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Celiac disease</w:t>
            </w:r>
          </w:p>
        </w:tc>
      </w:tr>
      <w:tr w:rsidR="00B060D6" w:rsidRPr="0007083D" w14:paraId="011D4F6E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25580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7743" w14:textId="23379B02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L10.0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24F2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Pemphigus vulgaris</w:t>
            </w:r>
          </w:p>
        </w:tc>
      </w:tr>
      <w:tr w:rsidR="00B060D6" w:rsidRPr="0007083D" w14:paraId="41038205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4DF84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D7A5" w14:textId="36D6C4B3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L12.0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C6FC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Bullous pemphigoid</w:t>
            </w:r>
          </w:p>
        </w:tc>
      </w:tr>
      <w:tr w:rsidR="00B060D6" w:rsidRPr="0007083D" w14:paraId="4A7A2330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B8F25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D6CE" w14:textId="353FB8A6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L13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6046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Dermatitis herpetiformis</w:t>
            </w:r>
          </w:p>
        </w:tc>
      </w:tr>
      <w:tr w:rsidR="00B060D6" w:rsidRPr="0007083D" w14:paraId="1BB9419C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A114C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C666" w14:textId="32CF6C4A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L40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085A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Psoriasis</w:t>
            </w:r>
          </w:p>
        </w:tc>
      </w:tr>
      <w:tr w:rsidR="00B060D6" w:rsidRPr="0007083D" w14:paraId="17CA5498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1DB25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BA24" w14:textId="17F6763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L63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C0F5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Alopecia areata</w:t>
            </w:r>
          </w:p>
        </w:tc>
      </w:tr>
      <w:tr w:rsidR="00B060D6" w:rsidRPr="0007083D" w14:paraId="433939F5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D57AD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F9AD" w14:textId="5EE0F900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M06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2CFF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Rheumatoid arthritis</w:t>
            </w:r>
          </w:p>
        </w:tc>
      </w:tr>
      <w:tr w:rsidR="00B060D6" w:rsidRPr="0007083D" w14:paraId="6716C8D7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9FDC7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47A5" w14:textId="35D99085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M30.0-M30.1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3E09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Polyarteritis nodosa; Polyarteritis nodosa with lung involvement</w:t>
            </w:r>
          </w:p>
        </w:tc>
      </w:tr>
      <w:tr w:rsidR="00B060D6" w:rsidRPr="0007083D" w14:paraId="30EA83CE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D72EC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DDAF" w14:textId="26D9B5BA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M30.3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6CE6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Mucocutaneous lymph node syndrome</w:t>
            </w:r>
          </w:p>
        </w:tc>
      </w:tr>
      <w:tr w:rsidR="00B060D6" w:rsidRPr="0007083D" w14:paraId="294FCC9F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ED141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3DEB" w14:textId="49CE6CC0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M31.1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302C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Thrombotic microangiopathy</w:t>
            </w:r>
          </w:p>
        </w:tc>
      </w:tr>
      <w:tr w:rsidR="00B060D6" w:rsidRPr="0007083D" w14:paraId="6CB5D37C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15C86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B1EC" w14:textId="121E5361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M31.5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937B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Giant cell arteritis with polymyalgia rheumatica</w:t>
            </w:r>
          </w:p>
        </w:tc>
      </w:tr>
      <w:tr w:rsidR="00B060D6" w:rsidRPr="0007083D" w14:paraId="77AC044E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B3D0E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3B5A" w14:textId="07F74192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M31.7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B68D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Microscopic polyangiitis</w:t>
            </w:r>
          </w:p>
        </w:tc>
      </w:tr>
      <w:tr w:rsidR="00B060D6" w:rsidRPr="0007083D" w14:paraId="76BE509D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494AD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104F" w14:textId="658212B5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M32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76CD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Systemic lupus erythematosus</w:t>
            </w:r>
          </w:p>
        </w:tc>
      </w:tr>
      <w:tr w:rsidR="00B060D6" w:rsidRPr="0007083D" w14:paraId="4E7E4756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5664B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9570" w14:textId="12989268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M33.9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D403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Dermatopolymyositis</w:t>
            </w:r>
          </w:p>
        </w:tc>
      </w:tr>
      <w:tr w:rsidR="00B060D6" w:rsidRPr="0007083D" w14:paraId="43E0A64B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5B5ED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9CAF" w14:textId="55A1FBCC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M34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DBBD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Systemic sclerosis</w:t>
            </w:r>
          </w:p>
        </w:tc>
      </w:tr>
      <w:tr w:rsidR="00B060D6" w:rsidRPr="0007083D" w14:paraId="21303BB8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4FD9B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73C6" w14:textId="07611666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M35.0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3552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Sjogren syndrome</w:t>
            </w:r>
          </w:p>
        </w:tc>
      </w:tr>
      <w:tr w:rsidR="00B060D6" w:rsidRPr="0007083D" w14:paraId="3EACEC09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29F2D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CCC5" w14:textId="7EA1DFC6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M35.1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93FC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overlap syndromes</w:t>
            </w:r>
          </w:p>
        </w:tc>
      </w:tr>
      <w:tr w:rsidR="00B060D6" w:rsidRPr="0007083D" w14:paraId="4CB2D7A2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99CD9A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E5AC" w14:textId="1C7138B9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M35.2-M35.3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A723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Behcet's disease; Polymyalgia rheumatica</w:t>
            </w:r>
          </w:p>
        </w:tc>
      </w:tr>
      <w:tr w:rsidR="00B060D6" w:rsidRPr="0007083D" w14:paraId="36A65D9B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16643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4DAD" w14:textId="2D714FDC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N00-N01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A7F0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Acute nephritic syndrome; Rapidly progressive nephritic syndrome</w:t>
            </w:r>
          </w:p>
        </w:tc>
      </w:tr>
      <w:tr w:rsidR="00B060D6" w:rsidRPr="0007083D" w14:paraId="4B10ED6A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4678F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DEB9" w14:textId="098D132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N03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29C2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Chronic nephritic syndrome</w:t>
            </w:r>
          </w:p>
        </w:tc>
      </w:tr>
      <w:tr w:rsidR="00B060D6" w:rsidRPr="0007083D" w14:paraId="7421EA00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C299C" w14:textId="77777777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0D1C0" w14:textId="03A588C2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N05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B8F35" w14:textId="2CD9D1F3" w:rsidR="00B060D6" w:rsidRPr="0007083D" w:rsidRDefault="00B060D6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Unspecified nephritic syndrome</w:t>
            </w:r>
          </w:p>
        </w:tc>
      </w:tr>
      <w:tr w:rsidR="00B060D6" w:rsidRPr="0007083D" w14:paraId="2120F0AA" w14:textId="77777777" w:rsidTr="00DA0F8A">
        <w:trPr>
          <w:trHeight w:val="259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6D35D" w14:textId="3EDB477A" w:rsidR="00B060D6" w:rsidRPr="0007083D" w:rsidRDefault="00B060D6" w:rsidP="00B060D6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07083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Gastrointestinal autoimmune disorders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78D65" w14:textId="332F0E77" w:rsidR="00B060D6" w:rsidRPr="0007083D" w:rsidRDefault="00B060D6" w:rsidP="00B060D6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K50</w:t>
            </w: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7584A23" w14:textId="57EAE26E" w:rsidR="00B060D6" w:rsidRPr="0007083D" w:rsidRDefault="00B060D6" w:rsidP="00B060D6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Crohn’s disease </w:t>
            </w:r>
          </w:p>
        </w:tc>
      </w:tr>
      <w:tr w:rsidR="00B060D6" w:rsidRPr="0007083D" w14:paraId="45DA2DAA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1CBE1" w14:textId="77777777" w:rsidR="00B060D6" w:rsidRPr="0007083D" w:rsidRDefault="00B060D6" w:rsidP="00134A7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722F3" w14:textId="1122CE93" w:rsidR="00B060D6" w:rsidRPr="0007083D" w:rsidRDefault="00B060D6" w:rsidP="00134A7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K51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47E33" w14:textId="6BD12107" w:rsidR="00B060D6" w:rsidRPr="0007083D" w:rsidRDefault="00B060D6" w:rsidP="00134A7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ulcerative colitis</w:t>
            </w:r>
          </w:p>
        </w:tc>
      </w:tr>
      <w:tr w:rsidR="00B060D6" w:rsidRPr="0007083D" w14:paraId="2B6908A3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6A301" w14:textId="77777777" w:rsidR="00B060D6" w:rsidRPr="0007083D" w:rsidRDefault="00B060D6" w:rsidP="00134A7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84BCF" w14:textId="3A3A82CB" w:rsidR="00B060D6" w:rsidRPr="0007083D" w:rsidRDefault="00B060D6" w:rsidP="00134A7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K743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11400" w14:textId="023443B5" w:rsidR="00B060D6" w:rsidRPr="0007083D" w:rsidRDefault="00B060D6" w:rsidP="00134A7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primary biliary cirrhosis</w:t>
            </w:r>
          </w:p>
        </w:tc>
      </w:tr>
      <w:tr w:rsidR="00B060D6" w:rsidRPr="0007083D" w14:paraId="56BED68A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D1760" w14:textId="77777777" w:rsidR="00B060D6" w:rsidRPr="0007083D" w:rsidRDefault="00B060D6" w:rsidP="00134A7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6A6A1" w14:textId="5ABD6324" w:rsidR="00B060D6" w:rsidRPr="0007083D" w:rsidRDefault="00B060D6" w:rsidP="00134A7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K900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31F91" w14:textId="38D251D6" w:rsidR="00B060D6" w:rsidRPr="0007083D" w:rsidRDefault="00B060D6" w:rsidP="00134A7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coeliac disease</w:t>
            </w:r>
          </w:p>
        </w:tc>
      </w:tr>
      <w:tr w:rsidR="00B060D6" w:rsidRPr="0007083D" w14:paraId="772D6DAA" w14:textId="77777777" w:rsidTr="00DA0F8A">
        <w:trPr>
          <w:trHeight w:val="259"/>
        </w:trPr>
        <w:tc>
          <w:tcPr>
            <w:tcW w:w="17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9564E" w14:textId="77777777" w:rsidR="00B060D6" w:rsidRPr="0007083D" w:rsidRDefault="00B060D6" w:rsidP="00134A7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B0D6F0" w14:textId="48DBBF40" w:rsidR="00B060D6" w:rsidRPr="0007083D" w:rsidRDefault="00B060D6" w:rsidP="00134A7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327E8B" w14:textId="43DEDDAC" w:rsidR="00B060D6" w:rsidRPr="0007083D" w:rsidRDefault="00B060D6" w:rsidP="00134A7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0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dermatitis herpetiformis</w:t>
            </w:r>
          </w:p>
        </w:tc>
      </w:tr>
    </w:tbl>
    <w:p w14:paraId="57C69F14" w14:textId="79D1A338" w:rsidR="00826477" w:rsidRDefault="00826477" w:rsidP="009B0CEC">
      <w:pPr>
        <w:pStyle w:val="BodyText"/>
        <w:rPr>
          <w:rFonts w:ascii="Calibri" w:hAnsi="Calibri" w:cs="Calibri"/>
          <w:lang w:val="en-GB"/>
        </w:rPr>
      </w:pPr>
    </w:p>
    <w:p w14:paraId="7A6F9D31" w14:textId="26EE58C3" w:rsidR="00826477" w:rsidRDefault="00826477" w:rsidP="009B0CEC">
      <w:pPr>
        <w:pStyle w:val="BodyText"/>
        <w:rPr>
          <w:rFonts w:ascii="Calibri" w:hAnsi="Calibri" w:cs="Calibri"/>
          <w:lang w:val="en-GB"/>
        </w:rPr>
      </w:pPr>
    </w:p>
    <w:p w14:paraId="6EA4D35D" w14:textId="4AD7CC31" w:rsidR="003F4720" w:rsidRPr="0082018B" w:rsidRDefault="003F4720" w:rsidP="003F4720">
      <w:pPr>
        <w:pStyle w:val="Heading2"/>
        <w:rPr>
          <w:rFonts w:cstheme="majorHAnsi"/>
          <w:color w:val="auto"/>
          <w:lang w:val="en-GB"/>
        </w:rPr>
      </w:pPr>
      <w:bookmarkStart w:id="2" w:name="Xd27764ace7be02cd00ef05b6813cdd62e56edac"/>
      <w:bookmarkStart w:id="3" w:name="_Toc193291662"/>
      <w:r w:rsidRPr="0082018B">
        <w:rPr>
          <w:rFonts w:cstheme="majorHAnsi"/>
          <w:color w:val="auto"/>
          <w:lang w:val="en-GB"/>
        </w:rPr>
        <w:lastRenderedPageBreak/>
        <w:t>Table S</w:t>
      </w:r>
      <w:r>
        <w:rPr>
          <w:rFonts w:cstheme="majorHAnsi"/>
          <w:color w:val="auto"/>
          <w:lang w:val="en-GB"/>
        </w:rPr>
        <w:t>3</w:t>
      </w:r>
      <w:r w:rsidRPr="0082018B">
        <w:rPr>
          <w:rFonts w:cstheme="majorHAnsi"/>
          <w:color w:val="auto"/>
          <w:lang w:val="en-GB"/>
        </w:rPr>
        <w:t xml:space="preserve">. Characteristics of the individuals followed since </w:t>
      </w:r>
      <w:r>
        <w:rPr>
          <w:rFonts w:cstheme="majorHAnsi"/>
          <w:color w:val="auto"/>
          <w:lang w:val="en-GB"/>
        </w:rPr>
        <w:t>an</w:t>
      </w:r>
      <w:r w:rsidRPr="0082018B">
        <w:rPr>
          <w:rFonts w:cstheme="majorHAnsi"/>
          <w:color w:val="auto"/>
          <w:lang w:val="en-GB"/>
        </w:rPr>
        <w:t xml:space="preserve"> autoimmune disorder diagnosis (indication cohort)</w:t>
      </w:r>
      <w:bookmarkEnd w:id="3"/>
    </w:p>
    <w:tbl>
      <w:tblPr>
        <w:tblW w:w="9572" w:type="dxa"/>
        <w:tblLook w:val="04A0" w:firstRow="1" w:lastRow="0" w:firstColumn="1" w:lastColumn="0" w:noHBand="0" w:noVBand="1"/>
      </w:tblPr>
      <w:tblGrid>
        <w:gridCol w:w="2467"/>
        <w:gridCol w:w="1230"/>
        <w:gridCol w:w="1354"/>
        <w:gridCol w:w="761"/>
        <w:gridCol w:w="1391"/>
        <w:gridCol w:w="1517"/>
        <w:gridCol w:w="852"/>
      </w:tblGrid>
      <w:tr w:rsidR="003F4720" w:rsidRPr="009E2FDD" w14:paraId="59DEBEE2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</w:tcPr>
          <w:p w14:paraId="444D7EB6" w14:textId="77777777" w:rsidR="003F4720" w:rsidRPr="006D1537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02E38E" w14:textId="77777777" w:rsidR="003F4720" w:rsidRPr="009E2FDD" w:rsidRDefault="003F4720" w:rsidP="00D860D3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Before IP weighting</w:t>
            </w:r>
          </w:p>
        </w:tc>
        <w:tc>
          <w:tcPr>
            <w:tcW w:w="37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E0BDD0" w14:textId="77777777" w:rsidR="003F4720" w:rsidRPr="009E2FDD" w:rsidRDefault="003F4720" w:rsidP="00D860D3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After IP weighting</w:t>
            </w:r>
          </w:p>
        </w:tc>
      </w:tr>
      <w:bookmarkEnd w:id="2"/>
      <w:tr w:rsidR="003F4720" w:rsidRPr="009E2FDD" w14:paraId="52749C48" w14:textId="77777777" w:rsidTr="00AE52CB">
        <w:trPr>
          <w:trHeight w:val="234"/>
        </w:trPr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DAA3" w14:textId="77777777" w:rsidR="003F4720" w:rsidRPr="009E2FDD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86B1" w14:textId="77777777" w:rsidR="003F4720" w:rsidRPr="009E2FDD" w:rsidRDefault="003F4720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Initiator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0838" w14:textId="77777777" w:rsidR="003F4720" w:rsidRPr="009E2FDD" w:rsidRDefault="003F4720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Non-initiator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36F7" w14:textId="16E12498" w:rsidR="003F4720" w:rsidRPr="00DA0F8A" w:rsidRDefault="003F4720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vertAlign w:val="superscript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SMD</w:t>
            </w:r>
            <w:r w:rsidR="00DA0F8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8DDB" w14:textId="77777777" w:rsidR="003F4720" w:rsidRPr="009E2FDD" w:rsidRDefault="003F4720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Initiator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C23B" w14:textId="77777777" w:rsidR="003F4720" w:rsidRPr="009E2FDD" w:rsidRDefault="003F4720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Non-initiator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29B4" w14:textId="564586C0" w:rsidR="003F4720" w:rsidRPr="00DA0F8A" w:rsidRDefault="003F4720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vertAlign w:val="superscript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SMD</w:t>
            </w:r>
            <w:r w:rsidR="00DA0F8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C76AF2" w:rsidRPr="009E2FDD" w14:paraId="6BEBA162" w14:textId="77777777" w:rsidTr="00AE52CB">
        <w:trPr>
          <w:trHeight w:val="234"/>
        </w:trPr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5158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78FB" w14:textId="0E30E73B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22621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111E" w14:textId="3E0D2AB2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264745</w:t>
            </w: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A73A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5BAD" w14:textId="19F4AE5A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22122.4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BC35" w14:textId="30AADC3E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264743.3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3E95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228315D8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499B22D7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Sex (%)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5F945DDB" w14:textId="358D0572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12132 (53.6)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59E18CE6" w14:textId="4AD743E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159862 (60.4)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CE73470" w14:textId="36A61675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0.137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0CD38136" w14:textId="64894D5A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13051.7 (59.0)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2910A3E6" w14:textId="1ED1F8C9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158462.3 (59.9)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7E6C79A1" w14:textId="1799871A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0.017</w:t>
            </w:r>
          </w:p>
        </w:tc>
      </w:tr>
      <w:tr w:rsidR="00C76AF2" w:rsidRPr="009E2FDD" w14:paraId="321B3943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19E9B8CB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Age category (years) (%)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662F580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0D70FA5B" w14:textId="77777777" w:rsidR="00C76AF2" w:rsidRPr="00C76AF2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2413A25" w14:textId="028CC8ED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0.100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5B60630C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1BC4B9C0" w14:textId="77777777" w:rsidR="00C76AF2" w:rsidRPr="00C76AF2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6516ADED" w14:textId="4921FD2F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0.016</w:t>
            </w:r>
          </w:p>
        </w:tc>
      </w:tr>
      <w:tr w:rsidR="00C76AF2" w:rsidRPr="009E2FDD" w14:paraId="42A3A187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597082D9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15-24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4C58B1EC" w14:textId="2C3E95BB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5735 (25.4)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01AE8494" w14:textId="26867A80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58872 (22.2)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F20CD14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48682B4B" w14:textId="41363413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5080.1 (23.0)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5F51C179" w14:textId="4977FA78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59515.8 (22.5)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5E782801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25D70500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1A7898DA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25-34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F8CB0C0" w14:textId="52B1139D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5586 (24.7)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73656926" w14:textId="35C7CA9D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61036 (23.1)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47FC7E0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0523939A" w14:textId="4B157A88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5192.4 (23.5)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40E22967" w14:textId="3C9C9BBF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61377.2 (23.2)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3F5B1F92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1E8DD9DF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44E78620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35-44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1114B27" w14:textId="78FD47B5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5348 (23.6)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0F7CBC43" w14:textId="62F14763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70637 (26.7)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F4F0672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55B719EB" w14:textId="5C3AC98C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5742.4 (26.0)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C6A2E13" w14:textId="44EF08C2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70006.8 (26.4)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407689B6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0CEEA06E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42EBEFD1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45-54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05BFA6B" w14:textId="42755EA9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5952 (26.3)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13A2BE61" w14:textId="16ED30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74200 (28.0)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56E4B1B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534429AB" w14:textId="6D6FC303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6107.4 (27.6)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78FF5D4F" w14:textId="5B3F8B81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73843.4 (27.9)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77AB97E2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13DB9E0B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398D6205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Year of follow-up start (%)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FF62D48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223430B3" w14:textId="77777777" w:rsidR="00C76AF2" w:rsidRPr="00C76AF2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73CFB26" w14:textId="04687371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0.161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097BBC85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AFBFA61" w14:textId="77777777" w:rsidR="00C76AF2" w:rsidRPr="00C76AF2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5FC140B1" w14:textId="388A0C5B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0.057</w:t>
            </w:r>
          </w:p>
        </w:tc>
      </w:tr>
      <w:tr w:rsidR="00C76AF2" w:rsidRPr="009E2FDD" w14:paraId="4F5065AC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6B4ADA5E" w14:textId="77777777" w:rsidR="00C76AF2" w:rsidRPr="009E2FDD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1A84834" w14:textId="26223978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2938 (13.0)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1FE6B6B4" w14:textId="4241F442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49008 (18.5)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0FBD9A0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08D8BED9" w14:textId="16215853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3526.4 (15.9)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7E1E37B6" w14:textId="554B3966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47857.3 (18.1)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684C39C0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7B2B094A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5A59590A" w14:textId="77777777" w:rsidR="00C76AF2" w:rsidRPr="009E2FDD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0B9C181" w14:textId="2CB759EA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1925 (8.5)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614148C7" w14:textId="72F37370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23579 (8.9)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091EF1C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198EBF78" w14:textId="2B63A813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1998.3 (9.0)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14541E36" w14:textId="4036CC35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23497.2 (8.9)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7A17B942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2D9B6A2A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3D1066E0" w14:textId="77777777" w:rsidR="00C76AF2" w:rsidRPr="009E2FDD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947771E" w14:textId="19A91935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1687 (7.5)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05B18847" w14:textId="28733300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19847 (7.5)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06C5BF1F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6B41CBFF" w14:textId="3189FC6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1692.8 (7.7)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563BD744" w14:textId="6C76FA99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19839.4 (7.5)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50BE3F9E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668A90E1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3E4497F6" w14:textId="77777777" w:rsidR="00C76AF2" w:rsidRPr="009E2FDD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688695E0" w14:textId="5187DD98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1554 (6.9)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0E30A698" w14:textId="77A79D01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17283 (6.5)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B73BE20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2251D893" w14:textId="34E01891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1485.0 (6.7)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38EE3820" w14:textId="75F739C3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17353.8 (6.6)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25EBEA5C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7CE4439B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6CE4F030" w14:textId="77777777" w:rsidR="00C76AF2" w:rsidRPr="009E2FDD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5DF4339" w14:textId="65BED3C3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1515 (6.7)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012296D6" w14:textId="6E08C81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16031 (6.1)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7013AE7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753D7B5E" w14:textId="77756A36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1388.7 (6.3)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52B2CD7B" w14:textId="21B51601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16164.4 (6.1)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3081C160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67008A4F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5C02994D" w14:textId="77777777" w:rsidR="00C76AF2" w:rsidRPr="009E2FDD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6AC012E2" w14:textId="6B968C76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1525 (6.7)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65A1683A" w14:textId="148E50FF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16171 (6.1)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C286A22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357C9E3A" w14:textId="734C3759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1405.4 (6.4)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08CEE4ED" w14:textId="2D4E101B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16303.1 (6.2)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04310103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0171A46D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1AC6D7B6" w14:textId="77777777" w:rsidR="00C76AF2" w:rsidRPr="009E2FDD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594E20E1" w14:textId="156D1DF9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1540 (6.8)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255047AF" w14:textId="6D91D69B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17015 (6.4)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3DAC64A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4AF5C3D2" w14:textId="3125D0CA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1467.3 (6.6)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51663F4E" w14:textId="0E21B758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17094.8 (6.5)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5A978261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647BA86D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7FBD8D43" w14:textId="77777777" w:rsidR="00C76AF2" w:rsidRPr="009E2FDD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5E12EDD" w14:textId="51D6610F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1466 (6.5)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4ACFAC7A" w14:textId="133646B0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16412 (6.2)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C189625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7644CA67" w14:textId="26F86AD8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1401.4 (6.3)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4815BDC4" w14:textId="448DEC9B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16469.7 (6.2)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051DD4DC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7688A85F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76F959C0" w14:textId="77777777" w:rsidR="00C76AF2" w:rsidRPr="009E2FDD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56F51A21" w14:textId="01966A8F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1460 (6.5)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13F835BD" w14:textId="66549A55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15840 (6.0)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4324DA8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08D9F024" w14:textId="7747BDE9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1365.3 (6.2)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2BDE3AD8" w14:textId="35ACE5EE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15937.6 (6.0)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078438EE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2DC43A04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73B04144" w14:textId="77777777" w:rsidR="00C76AF2" w:rsidRPr="009E2FDD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4BC4B82D" w14:textId="525251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1358 (6.0)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54DA7488" w14:textId="5C3E7D75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15363 (5.8)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BB56B9B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59EE1038" w14:textId="4C67455A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1309.9 (5.9)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1CF1184D" w14:textId="14570F1B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15404.3 (5.8)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683E0149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34C52766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5BF285E4" w14:textId="77777777" w:rsidR="00C76AF2" w:rsidRPr="009E2FDD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2075EE3" w14:textId="5D78FABB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1500 (6.6)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6FCFE2E2" w14:textId="477A6A45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15236 (5.8)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53FEFB1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50DB1FF5" w14:textId="79DEB728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1342.3 (6.1)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0165DEDD" w14:textId="66EA47FE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15419.2 (5.8)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3C236421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269A8B71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0A853818" w14:textId="77777777" w:rsidR="00C76AF2" w:rsidRPr="009E2FDD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3C5A180" w14:textId="4BF6052F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1423 (6.3)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3FD1687E" w14:textId="687288C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14997 (5.7)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FA27E11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77CB3946" w14:textId="5B23C358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1294.9 (5.9)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4A61303C" w14:textId="471B932D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15126.2 (5.7)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0D8446BD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43D258EE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11E42C2B" w14:textId="77777777" w:rsidR="00C76AF2" w:rsidRPr="009E2FDD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97F3759" w14:textId="38E3CF9B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1396 (6.2)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207B4759" w14:textId="1F8B3AD2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14402 (5.4)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46CD81B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4EAB552E" w14:textId="6085EE29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1256.3 (5.7)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1DEFA998" w14:textId="028974F8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14554.1 (5.5)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0E49E491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5AA3D64A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77AA7C86" w14:textId="77777777" w:rsidR="00C76AF2" w:rsidRPr="009E2FDD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62780741" w14:textId="655969D6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1334 (5.9)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31BB3C14" w14:textId="13B862AA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13561 (5.1)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6FCA194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54CFB48F" w14:textId="5D455485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1188.3 (5.4)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3F4EAD4A" w14:textId="6A636919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13722.0 (5.2)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485AB378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173F983F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48413743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Family income category (%)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8F1D1D8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400C1067" w14:textId="77777777" w:rsidR="00C76AF2" w:rsidRPr="00C76AF2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9DE1D74" w14:textId="2CB57D40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491CC368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F814592" w14:textId="77777777" w:rsidR="00C76AF2" w:rsidRPr="00C76AF2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4D56D53E" w14:textId="1E7E32CC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0.010</w:t>
            </w:r>
          </w:p>
        </w:tc>
      </w:tr>
      <w:tr w:rsidR="00C76AF2" w:rsidRPr="009E2FDD" w14:paraId="09B7539E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7DC071DD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&lt;0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5ADD2857" w14:textId="50C7F746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 (0.9)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71617196" w14:textId="4358B5E6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2396 (0.9)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24F7B7B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7E40FE6A" w14:textId="6ACA5C2A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209.0 (0.9)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1E6D1575" w14:textId="2C3FD32C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2401.5 (0.9)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59DCE12D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2EE19E57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590F86D3" w14:textId="2FBDEACD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</w:t>
            </w: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43B42FDC" w14:textId="1AAA4D93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 (0.6)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729CD147" w14:textId="3B8A5553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1368 (0.5)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05158024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24E1958F" w14:textId="7FFD9F49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120.9 (0.5)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7D33566D" w14:textId="5EB1C9EF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1392.8 (0.5)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35879EBE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3559BAFB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208435BE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0-p20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B0E6E1A" w14:textId="49FA1CAD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2107 (9.3)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43A29823" w14:textId="59653ED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23416 (8.8)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FB35580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2DE3E0B9" w14:textId="6039A3F8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2011.3 (9.1)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1A30EF27" w14:textId="1FFB5949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23516.6 (8.9)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62536BC1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7E1D4A70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4E67104A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p20-p80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62E8D04E" w14:textId="08D282C5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13200 (58.4)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188C2FFB" w14:textId="13485CBB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153796 (58.1)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5197C62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4DC5B163" w14:textId="3A44C5DB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12871.0 (58.2)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3433117C" w14:textId="43FD75C9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153849.6 (58.1)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263298D1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4B307B06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44BD9396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&gt;p80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7D3C6B9" w14:textId="2683040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6960 (30.8)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527B69E4" w14:textId="6F3E5461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83769 (31.6)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39A42FE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3008EB15" w14:textId="0F775BAF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6910.1 (31.2)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12F522E" w14:textId="69151B92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83582.9 (31.6)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6F708879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3D2799F9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1DEC72C4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Education category (%)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2FB9E06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59EA1755" w14:textId="77777777" w:rsidR="00C76AF2" w:rsidRPr="00C76AF2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048DF8D7" w14:textId="5DE8A05E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5590053B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112579F5" w14:textId="77777777" w:rsidR="00C76AF2" w:rsidRPr="00C76AF2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65C47774" w14:textId="51853D2E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0.011</w:t>
            </w:r>
          </w:p>
        </w:tc>
      </w:tr>
      <w:tr w:rsidR="00C76AF2" w:rsidRPr="009E2FDD" w14:paraId="63FA93DD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334AB076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Primary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536071E3" w14:textId="41E2E100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1647 (7.3)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35FDF532" w14:textId="6ED5243A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18543 (7.0)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AB44FEF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226B7CB0" w14:textId="64FE3944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1585.5 (7.2)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109B1EE4" w14:textId="60BA7F86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18603.2 (7.0)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29FCD816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4F8A83D7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1F077741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Secondary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C76B6A7" w14:textId="3DD81EC3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10204 (45.1)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714A0DCA" w14:textId="37EDF181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116356 (44.0)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0FFF897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36F09C96" w14:textId="1DBF98D8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9781.9 (44.2)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47B3F744" w14:textId="64ECF5DB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116594.6 (44.0)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5E21BE33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0FFB0AF6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0FF0BCBB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Post-secondary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184FB72" w14:textId="3EC5B6EA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10294 (45.5)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05AF1005" w14:textId="20675B7A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124915 (47.2)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8064DDC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14E5B3B0" w14:textId="334EC26B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10318.3 (46.6)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4B2B1458" w14:textId="6B61F6DB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124563.2 (47.1)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4EB850A8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291494D1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2CE02F3F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NA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F816059" w14:textId="700D4F3F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 (2.1)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115A15B8" w14:textId="026D9E9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4931 (1.9)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7FFF016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40AA5754" w14:textId="6E96AF9C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436.6 (2.0)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1E51B76" w14:textId="7F5ECA31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4982.3 (1.9)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2D5B77ED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9E2FDD" w14:paraId="2484147C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159DE7FA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Depression (%)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65D91153" w14:textId="27F8B6BB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1398 (6.2)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537A7D22" w14:textId="5374F59A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17011 (6.4)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D1F7558" w14:textId="79B088F1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5AE56B56" w14:textId="1FEFFC3D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1418.3 (6.4)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2E53AF30" w14:textId="787F2775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16961.0 (6.4)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5B74A252" w14:textId="0EBFFE95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&lt;0.001</w:t>
            </w:r>
          </w:p>
        </w:tc>
      </w:tr>
      <w:tr w:rsidR="00C76AF2" w:rsidRPr="009E2FDD" w14:paraId="06806CD5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7A1293B6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Bipolar disorder diagnosis (%)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5B9B5F0" w14:textId="7D51BA51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 (0.8)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308585BD" w14:textId="2E52061E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2778 (1.0)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0D687D6D" w14:textId="69833C0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7CA0894C" w14:textId="04A4061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210.6 (1.0)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35C02C7C" w14:textId="09F8E3FF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2730.6 (1.0)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28775EE6" w14:textId="7F4CE4AC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0.008</w:t>
            </w:r>
          </w:p>
        </w:tc>
      </w:tr>
      <w:tr w:rsidR="00C76AF2" w:rsidRPr="009E2FDD" w14:paraId="3B858173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07DBE19A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Anxiety disorder diagnosis (%)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96A8998" w14:textId="0F176F4F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1888 (8.3)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272D4BFC" w14:textId="0F87F0E0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23454 (8.9)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0FC8CC21" w14:textId="78447240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254BCFB4" w14:textId="4FCA1AB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1945.7 (8.8)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86BEB54" w14:textId="35ED5D38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23348.2 (8.8)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0F2FE589" w14:textId="0E37C815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0.001</w:t>
            </w:r>
          </w:p>
        </w:tc>
      </w:tr>
      <w:tr w:rsidR="00C76AF2" w:rsidRPr="009E2FDD" w14:paraId="2882E034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0BC3F9F6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Schizophrenia diagnosis (%)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8591C65" w14:textId="5996C4D3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 (0.7)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0DA33A38" w14:textId="7983C8E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2848 (1.1)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9FD1CA2" w14:textId="77CF668F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0E4045BA" w14:textId="59F179D0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197.9 (0.9)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52BFA000" w14:textId="2F632BFA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2779.3 (1.0)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1C69F904" w14:textId="755ED2C3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0.016</w:t>
            </w:r>
          </w:p>
        </w:tc>
      </w:tr>
      <w:tr w:rsidR="00C76AF2" w:rsidRPr="009E2FDD" w14:paraId="6F8C81A0" w14:textId="77777777" w:rsidTr="00AE52CB">
        <w:trPr>
          <w:trHeight w:val="234"/>
        </w:trPr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3FDFE4E3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Substance abuse disorder (excl. alcohol) diagnosis (%)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B5CA293" w14:textId="11F3CA5E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595 (2.6)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7BD5872A" w14:textId="39977B68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6743 (2.5)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9AF4514" w14:textId="00DF5DDC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63F9DC9E" w14:textId="3A71F1FF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570.4 (2.6)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039176C3" w14:textId="641FBF7D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6760.6 (2.6)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7E85D6C0" w14:textId="37D0908E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</w:t>
            </w:r>
          </w:p>
        </w:tc>
      </w:tr>
      <w:tr w:rsidR="00C76AF2" w:rsidRPr="009E2FDD" w14:paraId="60CED034" w14:textId="77777777" w:rsidTr="00AE52CB">
        <w:trPr>
          <w:trHeight w:val="234"/>
        </w:trPr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DD51" w14:textId="77777777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Suicide history (%)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78EC" w14:textId="436640AF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770 (3.4)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9907" w14:textId="6F638743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8976 (3.4)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6A39" w14:textId="039BEBFA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EDE4" w14:textId="339DAF9F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751.0 (3.4)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0DDB" w14:textId="697F98A0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8978.6 (3.4)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7615" w14:textId="63C5C0CD" w:rsidR="00C76AF2" w:rsidRPr="009E2FDD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&lt;0.001</w:t>
            </w:r>
          </w:p>
        </w:tc>
      </w:tr>
      <w:tr w:rsidR="00DA0F8A" w:rsidRPr="009E2FDD" w14:paraId="70C42A10" w14:textId="77777777" w:rsidTr="00134A78">
        <w:trPr>
          <w:trHeight w:val="234"/>
        </w:trPr>
        <w:tc>
          <w:tcPr>
            <w:tcW w:w="9572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6EE7ED" w14:textId="7B625930" w:rsidR="00DA0F8A" w:rsidRPr="009E2FDD" w:rsidRDefault="00DA0F8A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SMD: Standardized Mean Difference</w:t>
            </w:r>
          </w:p>
        </w:tc>
      </w:tr>
    </w:tbl>
    <w:p w14:paraId="79164D27" w14:textId="53C13AA8" w:rsidR="003F4720" w:rsidRDefault="003F4720" w:rsidP="003F4720">
      <w:pPr>
        <w:pStyle w:val="BodyText"/>
        <w:rPr>
          <w:b/>
        </w:rPr>
      </w:pPr>
    </w:p>
    <w:p w14:paraId="36F416B3" w14:textId="3B4010B4" w:rsidR="002B25AD" w:rsidRDefault="002B25AD" w:rsidP="003F4720">
      <w:pPr>
        <w:pStyle w:val="BodyText"/>
        <w:rPr>
          <w:b/>
        </w:rPr>
      </w:pPr>
    </w:p>
    <w:p w14:paraId="23CDADB9" w14:textId="77777777" w:rsidR="00981A68" w:rsidRDefault="00981A68" w:rsidP="003F4720">
      <w:pPr>
        <w:pStyle w:val="BodyText"/>
        <w:rPr>
          <w:b/>
        </w:rPr>
      </w:pPr>
    </w:p>
    <w:p w14:paraId="679AD171" w14:textId="31995FFE" w:rsidR="003F4720" w:rsidRPr="00FD147E" w:rsidRDefault="003F4720" w:rsidP="003F4720">
      <w:pPr>
        <w:pStyle w:val="Heading2"/>
        <w:rPr>
          <w:rFonts w:cstheme="majorHAnsi"/>
          <w:color w:val="auto"/>
          <w:lang w:val="en-GB"/>
        </w:rPr>
      </w:pPr>
      <w:bookmarkStart w:id="4" w:name="_Toc193291663"/>
      <w:r w:rsidRPr="0082018B">
        <w:rPr>
          <w:rFonts w:cstheme="majorHAnsi"/>
          <w:color w:val="auto"/>
          <w:lang w:val="en-GB"/>
        </w:rPr>
        <w:lastRenderedPageBreak/>
        <w:t>Table S</w:t>
      </w:r>
      <w:r>
        <w:rPr>
          <w:rFonts w:cstheme="majorHAnsi"/>
          <w:color w:val="auto"/>
          <w:lang w:val="en-GB"/>
        </w:rPr>
        <w:t>4</w:t>
      </w:r>
      <w:r w:rsidRPr="0082018B">
        <w:rPr>
          <w:rFonts w:cstheme="majorHAnsi"/>
          <w:color w:val="auto"/>
          <w:lang w:val="en-GB"/>
        </w:rPr>
        <w:t xml:space="preserve">. Characteristics of the individuals followed since </w:t>
      </w:r>
      <w:r>
        <w:rPr>
          <w:rFonts w:cstheme="majorHAnsi"/>
          <w:color w:val="auto"/>
          <w:lang w:val="en-GB"/>
        </w:rPr>
        <w:t>a gastrointestinal</w:t>
      </w:r>
      <w:r w:rsidRPr="0082018B">
        <w:rPr>
          <w:rFonts w:cstheme="majorHAnsi"/>
          <w:color w:val="auto"/>
          <w:lang w:val="en-GB"/>
        </w:rPr>
        <w:t xml:space="preserve"> autoimmune disorder diagnosis (indication cohort)</w:t>
      </w:r>
      <w:bookmarkEnd w:id="4"/>
    </w:p>
    <w:tbl>
      <w:tblPr>
        <w:tblW w:w="10353" w:type="dxa"/>
        <w:tblInd w:w="-147" w:type="dxa"/>
        <w:tblLook w:val="04A0" w:firstRow="1" w:lastRow="0" w:firstColumn="1" w:lastColumn="0" w:noHBand="0" w:noVBand="1"/>
      </w:tblPr>
      <w:tblGrid>
        <w:gridCol w:w="2836"/>
        <w:gridCol w:w="1701"/>
        <w:gridCol w:w="1275"/>
        <w:gridCol w:w="709"/>
        <w:gridCol w:w="1418"/>
        <w:gridCol w:w="1505"/>
        <w:gridCol w:w="909"/>
      </w:tblGrid>
      <w:tr w:rsidR="003F4720" w:rsidRPr="008B06A2" w14:paraId="49F74DB3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</w:tcPr>
          <w:p w14:paraId="3961DB0E" w14:textId="77777777" w:rsidR="003F4720" w:rsidRPr="008B06A2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1D7D5A" w14:textId="77777777" w:rsidR="003F4720" w:rsidRPr="008B06A2" w:rsidRDefault="003F4720" w:rsidP="00A32FB2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Before IP weighting</w:t>
            </w: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5EDAA8" w14:textId="77777777" w:rsidR="003F4720" w:rsidRPr="008B06A2" w:rsidRDefault="003F4720" w:rsidP="00A32FB2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After IP weighting</w:t>
            </w:r>
          </w:p>
        </w:tc>
      </w:tr>
      <w:tr w:rsidR="00F20715" w:rsidRPr="008B06A2" w14:paraId="532BEB34" w14:textId="77777777" w:rsidTr="00A32FB2">
        <w:trPr>
          <w:trHeight w:val="194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B0BB" w14:textId="77777777" w:rsidR="00F20715" w:rsidRPr="00D46D04" w:rsidRDefault="00F20715" w:rsidP="00F2071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D491" w14:textId="282E70EC" w:rsidR="00F20715" w:rsidRPr="00D46D04" w:rsidRDefault="00F20715" w:rsidP="00F20715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Initiator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A853" w14:textId="05E8E741" w:rsidR="00F20715" w:rsidRPr="00D46D04" w:rsidRDefault="00F20715" w:rsidP="00F20715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Non-initiator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567D" w14:textId="37966252" w:rsidR="00F20715" w:rsidRPr="00D46D04" w:rsidRDefault="00F20715" w:rsidP="00F20715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SMD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C72F" w14:textId="759B358A" w:rsidR="00F20715" w:rsidRPr="00D46D04" w:rsidRDefault="00F20715" w:rsidP="00F20715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Initiator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44BF" w14:textId="6D97CE74" w:rsidR="00F20715" w:rsidRPr="00D46D04" w:rsidRDefault="00F20715" w:rsidP="00F20715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Non-initiator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11BA" w14:textId="4652D808" w:rsidR="00F20715" w:rsidRPr="00D46D04" w:rsidRDefault="00F20715" w:rsidP="00F20715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E2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SMD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C76AF2" w:rsidRPr="00C76AF2" w14:paraId="2FCC9764" w14:textId="77777777" w:rsidTr="00A32FB2">
        <w:trPr>
          <w:trHeight w:val="194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138A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7352" w14:textId="3297EB35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12360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D0A0" w14:textId="3C140896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83669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810A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1A39" w14:textId="1F9F81DE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12155.4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E263" w14:textId="26C2939F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83663.2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B62D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377C2CE8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56D8B643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Sex (%)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D51E80" w14:textId="28CAC824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5400 (43.7)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FFFF7F" w14:textId="171802C2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47526 (56.8)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F993A9" w14:textId="07A471A9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A2A325" w14:textId="5177FA2F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6639.9 (54.6)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6A5999E1" w14:textId="79EF53AC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46122.8 (55.1)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0A714BF8" w14:textId="118BBBBD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0.010</w:t>
            </w:r>
          </w:p>
        </w:tc>
      </w:tr>
      <w:tr w:rsidR="00C76AF2" w:rsidRPr="00C76AF2" w14:paraId="67119C52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31D38285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Age category (years) (%)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42F1AD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3E26A8" w14:textId="77777777" w:rsidR="00C76AF2" w:rsidRPr="00C76AF2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5DC656" w14:textId="073CF363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8E99C7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6DAE142C" w14:textId="77777777" w:rsidR="00C76AF2" w:rsidRPr="00C76AF2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4A48D49E" w14:textId="06180C54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0.012</w:t>
            </w:r>
          </w:p>
        </w:tc>
      </w:tr>
      <w:tr w:rsidR="00C76AF2" w:rsidRPr="00C76AF2" w14:paraId="7CE5C3C2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29A6D759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15-24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A037D8" w14:textId="33E43CB4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4148 (33.6)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8B0A06" w14:textId="618FCC6F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28786 (34.4)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0C56A1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644AA6" w14:textId="518E1D0F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4143.3 (34.1)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1090909C" w14:textId="47A05C04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28690.4 (34.3)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15085D08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76686A5F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1593F11A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25-34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951D3A" w14:textId="32BE9379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3464 (28.0)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8F2F68" w14:textId="41B52D60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18856 (22.5)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1A93DB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A701B1" w14:textId="68AB3EF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2880.5 (23.7)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05F8A192" w14:textId="42A90E4B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19439.3 (23.2)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2E5B0F58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1AC21858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1EC5C2B0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35-44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CA9D4D" w14:textId="1F88A871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2559 (20.7)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0151C4" w14:textId="5A41C355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18638 (22.3)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AA87EB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2D39A9" w14:textId="2A649A15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2690.0 (22.1)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2709C277" w14:textId="41E7F7C1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18472.8 (22.1)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3C76204E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0F76E923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232CB0CD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45-54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87713B" w14:textId="73210474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2189 (17.7)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0FA638" w14:textId="34D56AA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17389 (20.8)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689E9F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99D8F0" w14:textId="370091E4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2441.6 (20.1)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632411E1" w14:textId="4003F6C6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17060.7 (20.4)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79CED965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378BD129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5FDA977D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Year of follow-up start (%)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F283F4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BD16E8" w14:textId="77777777" w:rsidR="00C76AF2" w:rsidRPr="00C76AF2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24B85E" w14:textId="04F7B884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C1D22E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77A8F511" w14:textId="77777777" w:rsidR="00C76AF2" w:rsidRPr="00C76AF2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27CE7C85" w14:textId="5932F841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0.034</w:t>
            </w:r>
          </w:p>
        </w:tc>
      </w:tr>
      <w:tr w:rsidR="00C76AF2" w:rsidRPr="00C76AF2" w14:paraId="236109AB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09E3D961" w14:textId="77777777" w:rsidR="00C76AF2" w:rsidRPr="00D46D04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171CA8" w14:textId="7ED40711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1782 (14.4)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B31845" w14:textId="1658A88A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18380 (22.0)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B6F499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D249C8" w14:textId="424B7779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2390.4 (19.7)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126539FA" w14:textId="1C56DB72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17570.9 (21.0)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506DE7C3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01A2BE83" w14:textId="77777777" w:rsidTr="00A32FB2">
        <w:trPr>
          <w:trHeight w:val="208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5CBCB930" w14:textId="77777777" w:rsidR="00C76AF2" w:rsidRPr="00D46D04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195EFF" w14:textId="29BC0786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1130 (9.1)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5E4072" w14:textId="233E4E48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8832 (10.6)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DB06CC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A0681F" w14:textId="500CB95F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1296.5 (10.7)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4EC746F3" w14:textId="407F5995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8682.7 (10.4)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4DF9C260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7600F7B4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5B734EB3" w14:textId="77777777" w:rsidR="00C76AF2" w:rsidRPr="00D46D04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9F222F" w14:textId="3CC6F362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981 (7.9)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EF65BB" w14:textId="6EB4ABE1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6683 (8.0)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1E65C3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32D7D6" w14:textId="4AD1CB4D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993.0 (8.2)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318F04A2" w14:textId="28D87128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6678.5 (8.0)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56B1972A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59F6E319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1E2B9F3E" w14:textId="77777777" w:rsidR="00C76AF2" w:rsidRPr="00D46D04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88C1E7" w14:textId="690B0310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853 (6.9)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836D1F" w14:textId="0C1C8860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5367 (6.4)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FE0C90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34C309" w14:textId="063D3AC4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798.7 (6.6)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2F2AF821" w14:textId="16620B82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5417.6 (6.5)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1E7DC4E2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0B0C3FA6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6F731D7B" w14:textId="77777777" w:rsidR="00C76AF2" w:rsidRPr="00D46D04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3EEB00" w14:textId="696C858A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804 (6.5)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CA2775" w14:textId="1378AFF9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4714 (5.6)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587FC7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2AF20D" w14:textId="5C943991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709.3 (5.8)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7C94A0D4" w14:textId="40D2DF75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4807.2 (5.7)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6CEAE97D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6EB6DB42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6FF271AF" w14:textId="77777777" w:rsidR="00C76AF2" w:rsidRPr="00D46D04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00311F" w14:textId="6D764C0B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800 (6.5)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69577D" w14:textId="1539D09C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4820 (5.8)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4E3F75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E55ED2" w14:textId="5B4255AA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722.7 (5.9)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5F7366AB" w14:textId="3600832F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4895.8 (5.9)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693699CA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0CA44DE6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78065CFF" w14:textId="77777777" w:rsidR="00C76AF2" w:rsidRPr="00D46D04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2AA3BD" w14:textId="659F7CDF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758 (6.1)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D8624D" w14:textId="6AD4D372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4474 (5.3)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3FF93D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498E1F" w14:textId="560039F6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675.8 (5.6)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02DE29EF" w14:textId="14E3722E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4558.7 (5.4)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1FFB742B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11594802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164D247C" w14:textId="77777777" w:rsidR="00C76AF2" w:rsidRPr="00D46D04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7D57CE" w14:textId="3D29D2F3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790 (6.4)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9E3A7F" w14:textId="5FC0E8A3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4415 (5.3)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3710F9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92FD98" w14:textId="35F26EF1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659.8 (5.4)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61178197" w14:textId="29B3604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4531.3 (5.4)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5DD361BC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6B94DE4B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292C3EFB" w14:textId="77777777" w:rsidR="00C76AF2" w:rsidRPr="00D46D04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78FD40" w14:textId="37824919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806 (6.5)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984077" w14:textId="2228C1B8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4379 (5.2)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EDE242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0DCD53" w14:textId="5EC2A29C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676.5 (5.6)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698AD0B3" w14:textId="4FB5273A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4518.0 (5.4)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0D756448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373DBF4C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4920CFAB" w14:textId="77777777" w:rsidR="00C76AF2" w:rsidRPr="00D46D04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CBA6AB" w14:textId="0EA2930C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673 (5.4)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C5B5E7" w14:textId="47B0EED4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4230 (5.1)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E03935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FF7B60" w14:textId="148C31D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627.5 (5.2)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602CD289" w14:textId="556B0B40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4271.1 (5.1)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3295C89B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52538A92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56E08A0B" w14:textId="77777777" w:rsidR="00C76AF2" w:rsidRPr="00D46D04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1CB41D" w14:textId="1513A96D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768 (6.2)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36C0DD" w14:textId="6C2F14AD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4377 (5.2)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91895E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4FC5FF" w14:textId="58F70CB3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666.6 (5.5)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4F6BA239" w14:textId="101345E2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4483.0 (5.4)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6F3B55B2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03907ADD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69F7D515" w14:textId="77777777" w:rsidR="00C76AF2" w:rsidRPr="00D46D04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B682DC" w14:textId="36D70E43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737 (6.0)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C711E7" w14:textId="1A4D97D9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4313 (5.2)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06BEE8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D6AB03" w14:textId="4B9DF3F4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637.6 (5.2)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566B7F09" w14:textId="1B75BF22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4396.7 (5.3)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74F55A27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09A0E1C4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58C62AF4" w14:textId="77777777" w:rsidR="00C76AF2" w:rsidRPr="00D46D04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6AB519" w14:textId="1438414F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759 (6.1)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B24D7C" w14:textId="01B5579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4235 (5.1)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5359E0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ABB951" w14:textId="5473FF0A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634.1 (5.2)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06F15B8E" w14:textId="44575A54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4347.9 (5.2)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74520543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71705716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7C01CA95" w14:textId="77777777" w:rsidR="00C76AF2" w:rsidRPr="00D46D04" w:rsidRDefault="00C76AF2" w:rsidP="00C76AF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C5A0AD" w14:textId="039B95BF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719 (5.8)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B1F214" w14:textId="76918D75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4450 (5.3)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A0AC07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F45C50" w14:textId="3BF8BAA4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666.8 (5.5)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0F8645C1" w14:textId="7FDF0750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4503.9 (5.4)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2D2EA4AD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04FAD913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3960DFCC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Family income category (%)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76553F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B13E4F" w14:textId="77777777" w:rsidR="00C76AF2" w:rsidRPr="00C76AF2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B0302B" w14:textId="6E319F58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34C8CB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7A081884" w14:textId="77777777" w:rsidR="00C76AF2" w:rsidRPr="00C76AF2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23A17B10" w14:textId="1D07683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0.014</w:t>
            </w:r>
          </w:p>
        </w:tc>
      </w:tr>
      <w:tr w:rsidR="00C76AF2" w:rsidRPr="00C76AF2" w14:paraId="1536B5FA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26667396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&lt;0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6D187C" w14:textId="6CAA860A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 (0.7)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512277" w14:textId="4519B390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550 (0.7)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A40BC5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64448E" w14:textId="5B7C3C7C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88.0 (0.7)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23A6DA13" w14:textId="7123C3DE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557.2 (0.7)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5308D741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7B650FF2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6EEFF7BB" w14:textId="434315B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</w:t>
            </w: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FFBED1" w14:textId="0EEC10E1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 (0.5)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481166" w14:textId="4DCBA0DA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314 (0.4)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D035BF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AAA300" w14:textId="0545083B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48.2 (0.4)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6E3BFCD5" w14:textId="37B6B984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329.0 (0.4)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0E5F5C50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42E9F3C3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6F21C187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0-p20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0A59BE" w14:textId="76408639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1052 (8.5)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21B80D" w14:textId="177B3266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5860 (7.0)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9E7F19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7EBAA6" w14:textId="4DDF1B00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910.6 (7.5)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64CB409A" w14:textId="56D2D5A8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6026.2 (7.2)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647A4D07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41611A11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24396119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p20-p80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4ECD14" w14:textId="5BE330B8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7295 (59.0)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1E5FAB" w14:textId="298F2D29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50299 (60.1)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48F013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2ED149" w14:textId="2927B2D6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7288.0 (60.0)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261FA2D5" w14:textId="0EE8E9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50179.4 (60.0)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26B67988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4D60AC74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4531D8D7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&gt;p80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5881B4" w14:textId="7C1158E8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3861 (31.2)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74A8CF" w14:textId="7244717F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26646 (31.8)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7D05EA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588719" w14:textId="45A355F1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3820.5 (31.4)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7A43A08C" w14:textId="6CF8F83C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26571.4 (31.8)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0F7317B1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56BA9958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10C4BF1A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Education category (%)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E3FD91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839B8F" w14:textId="77777777" w:rsidR="00C76AF2" w:rsidRPr="00C76AF2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F3AEC3" w14:textId="175768F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846BAB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002370A4" w14:textId="77777777" w:rsidR="00C76AF2" w:rsidRPr="00C76AF2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6AA4FE3F" w14:textId="5406DFC6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0.013</w:t>
            </w:r>
          </w:p>
        </w:tc>
      </w:tr>
      <w:tr w:rsidR="00C76AF2" w:rsidRPr="00C76AF2" w14:paraId="7E3C45CA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4F99A0C1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Primary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B8F982" w14:textId="381A8B74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765 (6.2)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48D18E" w14:textId="49D3BE79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4589 (5.5)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9C32EA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5A1E70" w14:textId="18D91BF1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699.3 (5.8)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394E89F3" w14:textId="2E59DA01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4668.5 (5.6)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150F1243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6BBF7937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694E5216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Secondary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B011FF" w14:textId="3CC78C83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5612 (45.4)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AF5515" w14:textId="46CD6D4A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36489 (43.6)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5FBA68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7EEEF7" w14:textId="13699974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5345.2 (44.0)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3DA242A3" w14:textId="46B24535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36676.6 (43.8)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14E336F1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1112F497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2B9A1FA1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Post-secondary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BC25A6" w14:textId="241BFA33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5775 (46.7)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FD3A0F" w14:textId="0151944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41530 (49.6)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A90262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CD0E2A" w14:textId="169F50D5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5937.1 (48.8)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6EA553AC" w14:textId="2BB920C3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41210.6 (49.3)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5787D569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04A84FA9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1F3DF75C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47483C" w14:textId="15F0B319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208 (1.7)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AAE808" w14:textId="5C92AFF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1061 (1.3)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946A9F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CB4F5E" w14:textId="6F1E9AB1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173.8 (1.4)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7DB0C1C8" w14:textId="0F3C0208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1107.5 (1.3)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0107006F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76AF2" w:rsidRPr="00C76AF2" w14:paraId="6640AB30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4804B5C0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Depression (%)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BD644A" w14:textId="3F3194CD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711 (5.8)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BD6E28" w14:textId="16FD9EE6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4688 (5.6)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37D75C" w14:textId="2B33D0BB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4DD4A9" w14:textId="64A6E442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700.8 (5.8)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3AE45B7E" w14:textId="2DB13B64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4706.3 (5.6)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6596D39A" w14:textId="50127DAD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0.006</w:t>
            </w:r>
          </w:p>
        </w:tc>
      </w:tr>
      <w:tr w:rsidR="00C76AF2" w:rsidRPr="00C76AF2" w14:paraId="3F935463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59F42E06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Bipolar disorder diagnosis (%)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967101" w14:textId="03850390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 (0.6)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79D827" w14:textId="3F81CC0F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596 (0.7)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663120" w14:textId="0EA48E0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77741D" w14:textId="6933BCDD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86.4 (0.7)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5AAE4E0E" w14:textId="5FFBEEE5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588.2 (0.7)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6BF560E6" w14:textId="6B77F19F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0.001</w:t>
            </w:r>
          </w:p>
        </w:tc>
      </w:tr>
      <w:tr w:rsidR="00C76AF2" w:rsidRPr="00C76AF2" w14:paraId="09FD9A61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1219251F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Anxiety disorder diagnosis (%)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B1D0DA" w14:textId="2C06552A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950 (7.7)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A63D0B" w14:textId="716ABCAF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6472 (7.7)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80C6E2" w14:textId="6446E568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5A978E" w14:textId="1CAA8E8C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960.2 (7.9)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3674F90E" w14:textId="54C40A98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6469.3 (7.7)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40835917" w14:textId="026AAEA6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0.006</w:t>
            </w:r>
          </w:p>
        </w:tc>
      </w:tr>
      <w:tr w:rsidR="00C76AF2" w:rsidRPr="00C76AF2" w14:paraId="2C8C7CCA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6118389A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Schizophrenia diagnosis (%)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406314" w14:textId="04DEDAB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 (0.7)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25EF20" w14:textId="6D8652F5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679 (0.8)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537803" w14:textId="32C7B19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2FFFAD" w14:textId="1558F7F4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88.9 (0.7)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7D7081F6" w14:textId="06FECB2B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661.9 (0.8)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6036ACB5" w14:textId="5778045D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0.007</w:t>
            </w:r>
          </w:p>
        </w:tc>
      </w:tr>
      <w:tr w:rsidR="00C76AF2" w:rsidRPr="00C76AF2" w14:paraId="624A057A" w14:textId="77777777" w:rsidTr="00A32FB2">
        <w:trPr>
          <w:trHeight w:val="19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249C0D7A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Substance abuse disorder (excl. alcohol) diagnosis (%)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BDCEB9" w14:textId="35BC0891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298 (2.4)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B05B09" w14:textId="14A29513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1625 (1.9)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A13B37" w14:textId="268FE422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6989BD" w14:textId="38269F3C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254.7 (2.1)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04D612EC" w14:textId="67785621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1676.4 (2.0)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14:paraId="23A09392" w14:textId="59115E63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0.006</w:t>
            </w:r>
          </w:p>
        </w:tc>
      </w:tr>
      <w:tr w:rsidR="00C76AF2" w:rsidRPr="00C76AF2" w14:paraId="3FF0B58D" w14:textId="77777777" w:rsidTr="00F20715">
        <w:trPr>
          <w:trHeight w:val="194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176D" w14:textId="7777777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06A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Suicide history (%)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7EF9" w14:textId="73A48CD9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406 (3.3)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F025" w14:textId="78959FFF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2495 (3.0)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A58B" w14:textId="58D6FF3D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80C4" w14:textId="718771E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372.5 (3.1)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ACAE" w14:textId="7BB68B87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2527.3 (3.0)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6202" w14:textId="0075594B" w:rsidR="00C76AF2" w:rsidRPr="00D46D04" w:rsidRDefault="00C76AF2" w:rsidP="00C76AF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6A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0.003</w:t>
            </w:r>
          </w:p>
        </w:tc>
      </w:tr>
      <w:tr w:rsidR="00F20715" w:rsidRPr="008B06A2" w14:paraId="665C7D81" w14:textId="77777777" w:rsidTr="00134A78">
        <w:trPr>
          <w:trHeight w:val="194"/>
        </w:trPr>
        <w:tc>
          <w:tcPr>
            <w:tcW w:w="1035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FF25DD" w14:textId="442E4967" w:rsidR="00F20715" w:rsidRPr="00D46D04" w:rsidRDefault="00F20715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SMD: Standardized Mean Difference</w:t>
            </w:r>
          </w:p>
        </w:tc>
      </w:tr>
    </w:tbl>
    <w:p w14:paraId="1071BF5D" w14:textId="77777777" w:rsidR="003F4720" w:rsidRDefault="003F4720" w:rsidP="003F4720">
      <w:pPr>
        <w:pStyle w:val="BodyText"/>
        <w:rPr>
          <w:b/>
        </w:rPr>
      </w:pPr>
    </w:p>
    <w:p w14:paraId="25D880B9" w14:textId="7DCF004F" w:rsidR="00D86E32" w:rsidRDefault="00D86E32" w:rsidP="009B0CEC">
      <w:pPr>
        <w:pStyle w:val="BodyText"/>
        <w:rPr>
          <w:rFonts w:ascii="Calibri" w:hAnsi="Calibri" w:cs="Calibri"/>
          <w:lang w:val="en-GB"/>
        </w:rPr>
      </w:pPr>
    </w:p>
    <w:p w14:paraId="094BE55E" w14:textId="3FAAF4A1" w:rsidR="00D86E32" w:rsidRDefault="00D86E32" w:rsidP="009B0CEC">
      <w:pPr>
        <w:pStyle w:val="BodyText"/>
        <w:rPr>
          <w:rFonts w:ascii="Calibri" w:hAnsi="Calibri" w:cs="Calibri"/>
          <w:lang w:val="en-GB"/>
        </w:rPr>
      </w:pPr>
    </w:p>
    <w:p w14:paraId="1C77A825" w14:textId="357A5D3F" w:rsidR="00D86E32" w:rsidRDefault="00D86E32" w:rsidP="009B0CEC">
      <w:pPr>
        <w:pStyle w:val="BodyText"/>
        <w:rPr>
          <w:rFonts w:ascii="Calibri" w:hAnsi="Calibri" w:cs="Calibri"/>
          <w:lang w:val="en-GB"/>
        </w:rPr>
      </w:pPr>
    </w:p>
    <w:p w14:paraId="23CE4BEF" w14:textId="765555F6" w:rsidR="00D86E32" w:rsidRDefault="00D86E32" w:rsidP="009B0CEC">
      <w:pPr>
        <w:pStyle w:val="BodyText"/>
        <w:rPr>
          <w:rFonts w:ascii="Calibri" w:hAnsi="Calibri" w:cs="Calibri"/>
          <w:lang w:val="en-GB"/>
        </w:rPr>
      </w:pPr>
    </w:p>
    <w:p w14:paraId="1203ABFB" w14:textId="77777777" w:rsidR="00D86E32" w:rsidRPr="0082018B" w:rsidRDefault="00D86E32" w:rsidP="009B0CEC">
      <w:pPr>
        <w:pStyle w:val="BodyText"/>
        <w:rPr>
          <w:rFonts w:ascii="Calibri" w:hAnsi="Calibri" w:cs="Calibri"/>
          <w:lang w:val="en-GB"/>
        </w:rPr>
      </w:pPr>
    </w:p>
    <w:p w14:paraId="51AF6CB6" w14:textId="686561E1" w:rsidR="003F4720" w:rsidRPr="00CE66D4" w:rsidRDefault="003F4720" w:rsidP="003F4720">
      <w:pPr>
        <w:pStyle w:val="Heading2"/>
        <w:rPr>
          <w:rFonts w:cstheme="majorHAnsi"/>
          <w:color w:val="auto"/>
          <w:lang w:val="en-GB"/>
        </w:rPr>
      </w:pPr>
      <w:bookmarkStart w:id="5" w:name="supplement"/>
      <w:bookmarkStart w:id="6" w:name="_Toc193291664"/>
      <w:r w:rsidRPr="0082018B">
        <w:rPr>
          <w:rFonts w:cstheme="majorHAnsi"/>
          <w:color w:val="auto"/>
          <w:lang w:val="en-GB"/>
        </w:rPr>
        <w:t>T</w:t>
      </w:r>
      <w:r>
        <w:rPr>
          <w:rFonts w:cstheme="majorHAnsi"/>
          <w:color w:val="auto"/>
          <w:lang w:val="en-GB"/>
        </w:rPr>
        <w:t>able S5</w:t>
      </w:r>
      <w:r w:rsidRPr="0082018B">
        <w:rPr>
          <w:rFonts w:cstheme="majorHAnsi"/>
          <w:color w:val="auto"/>
          <w:lang w:val="en-GB"/>
        </w:rPr>
        <w:t>. Psychiatric and suicidal behaviour outcomes in individuals dispensed a glucocorticoid (medication-only cohort) using a within-individual analysis, stratified by sex</w:t>
      </w:r>
      <w:bookmarkEnd w:id="6"/>
    </w:p>
    <w:p w14:paraId="51EA6326" w14:textId="77777777" w:rsidR="003F4720" w:rsidRDefault="003F4720" w:rsidP="003F4720">
      <w:pPr>
        <w:rPr>
          <w:rFonts w:asciiTheme="majorHAnsi" w:hAnsiTheme="majorHAnsi" w:cstheme="majorHAnsi"/>
          <w:lang w:val="en-GB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908"/>
        <w:gridCol w:w="1551"/>
        <w:gridCol w:w="2384"/>
        <w:gridCol w:w="1523"/>
        <w:gridCol w:w="1985"/>
      </w:tblGrid>
      <w:tr w:rsidR="003F4720" w:rsidRPr="00CE66D4" w14:paraId="3919B824" w14:textId="77777777" w:rsidTr="00D860D3">
        <w:trPr>
          <w:trHeight w:val="275"/>
        </w:trPr>
        <w:tc>
          <w:tcPr>
            <w:tcW w:w="1908" w:type="dxa"/>
            <w:shd w:val="clear" w:color="auto" w:fill="auto"/>
            <w:noWrap/>
          </w:tcPr>
          <w:p w14:paraId="27EA8B43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6BED56BD" w14:textId="77777777" w:rsidR="003F4720" w:rsidRPr="00CE66D4" w:rsidRDefault="003F4720" w:rsidP="00D860D3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Males  (N=</w:t>
            </w:r>
            <w:r w:rsidRPr="00CE66D4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463</w:t>
            </w: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,</w:t>
            </w:r>
            <w:r w:rsidRPr="00CE66D4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397)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0B2582DB" w14:textId="77777777" w:rsidR="003F4720" w:rsidRPr="00CE66D4" w:rsidRDefault="003F4720" w:rsidP="00D860D3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Females (N=642</w:t>
            </w: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,</w:t>
            </w:r>
            <w:r w:rsidRPr="00CE66D4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567)</w:t>
            </w:r>
          </w:p>
        </w:tc>
      </w:tr>
      <w:tr w:rsidR="003F4720" w:rsidRPr="00CE66D4" w14:paraId="5AC5F210" w14:textId="77777777" w:rsidTr="00D860D3">
        <w:trPr>
          <w:trHeight w:val="275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ABA19D7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Outcome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07E2200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N events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1EB2C1F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HR (95% CI)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6087E18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N events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EDA60F2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HR (95% CI)</w:t>
            </w:r>
          </w:p>
        </w:tc>
      </w:tr>
      <w:tr w:rsidR="003F4720" w:rsidRPr="00CE66D4" w14:paraId="0B41D834" w14:textId="77777777" w:rsidTr="00D860D3">
        <w:trPr>
          <w:trHeight w:val="275"/>
        </w:trPr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6E43AF5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Anxiety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CB6BF78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</w:t>
            </w: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045</w:t>
            </w:r>
          </w:p>
        </w:tc>
        <w:tc>
          <w:tcPr>
            <w:tcW w:w="23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9DC18CF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1.26 (1.15, 1.38)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BB0C293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107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</w:t>
            </w: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725412B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1.25 (1.19, 1.32)</w:t>
            </w:r>
          </w:p>
        </w:tc>
      </w:tr>
      <w:tr w:rsidR="003F4720" w:rsidRPr="00CE66D4" w14:paraId="4AD9BA40" w14:textId="77777777" w:rsidTr="00D860D3">
        <w:trPr>
          <w:trHeight w:val="275"/>
        </w:trPr>
        <w:tc>
          <w:tcPr>
            <w:tcW w:w="1908" w:type="dxa"/>
            <w:shd w:val="clear" w:color="auto" w:fill="auto"/>
            <w:noWrap/>
            <w:hideMark/>
          </w:tcPr>
          <w:p w14:paraId="7810049A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Bipolar disorder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198D6D40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</w:t>
            </w: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2384" w:type="dxa"/>
            <w:shd w:val="clear" w:color="auto" w:fill="auto"/>
            <w:noWrap/>
            <w:hideMark/>
          </w:tcPr>
          <w:p w14:paraId="61A4F9E7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1.17 (0.94, 1.45)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111401F7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</w:t>
            </w: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79C1B8D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1.25 (1.12, 1.40)</w:t>
            </w:r>
          </w:p>
        </w:tc>
      </w:tr>
      <w:tr w:rsidR="003F4720" w:rsidRPr="00CE66D4" w14:paraId="377A6338" w14:textId="77777777" w:rsidTr="00D860D3">
        <w:trPr>
          <w:trHeight w:val="275"/>
        </w:trPr>
        <w:tc>
          <w:tcPr>
            <w:tcW w:w="1908" w:type="dxa"/>
            <w:shd w:val="clear" w:color="auto" w:fill="auto"/>
            <w:noWrap/>
            <w:hideMark/>
          </w:tcPr>
          <w:p w14:paraId="1DCB14C6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Depression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12E8BC82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</w:t>
            </w: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2384" w:type="dxa"/>
            <w:shd w:val="clear" w:color="auto" w:fill="auto"/>
            <w:noWrap/>
            <w:hideMark/>
          </w:tcPr>
          <w:p w14:paraId="05949322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1.00 (0.86, 1.15)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2FDD32E7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</w:t>
            </w: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3F6A08F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1.12 (1.02, 1.22)</w:t>
            </w:r>
          </w:p>
        </w:tc>
      </w:tr>
      <w:tr w:rsidR="003F4720" w:rsidRPr="00CE66D4" w14:paraId="1B1B818E" w14:textId="77777777" w:rsidTr="00D860D3">
        <w:trPr>
          <w:trHeight w:val="275"/>
        </w:trPr>
        <w:tc>
          <w:tcPr>
            <w:tcW w:w="1908" w:type="dxa"/>
            <w:shd w:val="clear" w:color="auto" w:fill="auto"/>
            <w:noWrap/>
            <w:hideMark/>
          </w:tcPr>
          <w:p w14:paraId="6D3D29F1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Psychotic disorder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5E7EF125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</w:t>
            </w: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2384" w:type="dxa"/>
            <w:shd w:val="clear" w:color="auto" w:fill="auto"/>
            <w:noWrap/>
            <w:hideMark/>
          </w:tcPr>
          <w:p w14:paraId="46F5F62D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1.19 (0.99, 1.42)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14:paraId="64F1FF1A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</w:t>
            </w: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2D471B8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1.16 (1.02, 1.33)</w:t>
            </w:r>
          </w:p>
        </w:tc>
      </w:tr>
      <w:tr w:rsidR="003F4720" w:rsidRPr="00CE66D4" w14:paraId="4BCDEAA1" w14:textId="77777777" w:rsidTr="00D860D3">
        <w:trPr>
          <w:trHeight w:val="275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945D2AC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Suicidal behaviour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6AFB8CB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</w:t>
            </w: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E51394F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0.97 (0.80, 1.18)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D10654F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</w:t>
            </w: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90B9131" w14:textId="77777777" w:rsidR="003F4720" w:rsidRPr="00CE66D4" w:rsidRDefault="003F4720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66D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1.09 (0.97, 1.23)</w:t>
            </w:r>
          </w:p>
        </w:tc>
      </w:tr>
    </w:tbl>
    <w:p w14:paraId="35AEF6A2" w14:textId="77777777" w:rsidR="003F4720" w:rsidRDefault="003F4720" w:rsidP="003F4720">
      <w:pPr>
        <w:rPr>
          <w:rFonts w:asciiTheme="majorHAnsi" w:hAnsiTheme="majorHAnsi" w:cstheme="majorHAnsi"/>
          <w:lang w:val="en-GB"/>
        </w:rPr>
      </w:pPr>
    </w:p>
    <w:p w14:paraId="14387E05" w14:textId="77777777" w:rsidR="003F4720" w:rsidRDefault="003F4720" w:rsidP="003F4720">
      <w:pPr>
        <w:rPr>
          <w:rFonts w:asciiTheme="majorHAnsi" w:hAnsiTheme="majorHAnsi" w:cstheme="majorHAnsi"/>
          <w:lang w:val="en-GB"/>
        </w:rPr>
      </w:pPr>
    </w:p>
    <w:p w14:paraId="56473F23" w14:textId="77777777" w:rsidR="003F4720" w:rsidRDefault="003F4720" w:rsidP="003F4720">
      <w:pPr>
        <w:rPr>
          <w:rFonts w:asciiTheme="majorHAnsi" w:hAnsiTheme="majorHAnsi" w:cstheme="majorHAnsi"/>
          <w:lang w:val="en-GB"/>
        </w:rPr>
      </w:pPr>
    </w:p>
    <w:p w14:paraId="6172C439" w14:textId="77777777" w:rsidR="00432DC7" w:rsidRDefault="00432DC7" w:rsidP="0086324C">
      <w:pPr>
        <w:pStyle w:val="BodyText"/>
        <w:rPr>
          <w:rFonts w:asciiTheme="majorHAnsi" w:hAnsiTheme="majorHAnsi" w:cstheme="majorHAnsi"/>
          <w:sz w:val="18"/>
          <w:szCs w:val="18"/>
          <w:lang w:val="en-GB"/>
        </w:rPr>
        <w:sectPr w:rsidR="00432DC7" w:rsidSect="00790DC3">
          <w:pgSz w:w="12240" w:h="15840"/>
          <w:pgMar w:top="1417" w:right="1417" w:bottom="1417" w:left="1417" w:header="720" w:footer="720" w:gutter="0"/>
          <w:cols w:space="720"/>
          <w:docGrid w:linePitch="326"/>
        </w:sectPr>
      </w:pPr>
    </w:p>
    <w:p w14:paraId="569A7C46" w14:textId="3F0B70A0" w:rsidR="00432DC7" w:rsidRDefault="00432DC7" w:rsidP="00432DC7">
      <w:pPr>
        <w:rPr>
          <w:lang w:val="en-GB"/>
        </w:rPr>
      </w:pPr>
    </w:p>
    <w:p w14:paraId="7005C417" w14:textId="434F39C5" w:rsidR="00432DC7" w:rsidRDefault="00432DC7" w:rsidP="00432DC7">
      <w:pPr>
        <w:tabs>
          <w:tab w:val="left" w:pos="3075"/>
        </w:tabs>
        <w:rPr>
          <w:lang w:val="en-GB"/>
        </w:rPr>
      </w:pPr>
      <w:r>
        <w:rPr>
          <w:lang w:val="en-GB"/>
        </w:rPr>
        <w:tab/>
      </w:r>
    </w:p>
    <w:p w14:paraId="1F963A75" w14:textId="0BEAB5EE" w:rsidR="00432DC7" w:rsidRPr="00274C7A" w:rsidRDefault="00432DC7" w:rsidP="00432DC7">
      <w:pPr>
        <w:pStyle w:val="Heading2"/>
        <w:rPr>
          <w:rFonts w:cstheme="majorHAnsi"/>
          <w:color w:val="auto"/>
          <w:vertAlign w:val="superscript"/>
          <w:lang w:val="en-GB"/>
        </w:rPr>
      </w:pPr>
      <w:bookmarkStart w:id="7" w:name="_Toc193291665"/>
      <w:r>
        <w:rPr>
          <w:rFonts w:cstheme="majorHAnsi"/>
          <w:color w:val="auto"/>
          <w:lang w:val="en-GB"/>
        </w:rPr>
        <w:t>Table S6</w:t>
      </w:r>
      <w:r w:rsidRPr="0082018B">
        <w:rPr>
          <w:rFonts w:cstheme="majorHAnsi"/>
          <w:color w:val="auto"/>
          <w:lang w:val="en-GB"/>
        </w:rPr>
        <w:t>. Psychiatric and suicidal behaviour outcomes in individuals dispensed a glucocorticoid (medication-only cohort) using a within-individual analysis, stratified by age category</w:t>
      </w:r>
      <w:r w:rsidR="00274C7A">
        <w:rPr>
          <w:rFonts w:cstheme="majorHAnsi"/>
          <w:color w:val="auto"/>
          <w:vertAlign w:val="superscript"/>
          <w:lang w:val="en-GB"/>
        </w:rPr>
        <w:t>a</w:t>
      </w:r>
      <w:bookmarkEnd w:id="7"/>
    </w:p>
    <w:p w14:paraId="614D5F36" w14:textId="77777777" w:rsidR="00432DC7" w:rsidRDefault="00432DC7" w:rsidP="00432DC7">
      <w:pPr>
        <w:rPr>
          <w:rFonts w:asciiTheme="majorHAnsi" w:hAnsiTheme="majorHAnsi" w:cstheme="majorHAnsi"/>
          <w:lang w:val="en-GB"/>
        </w:rPr>
      </w:pPr>
    </w:p>
    <w:tbl>
      <w:tblPr>
        <w:tblW w:w="13164" w:type="dxa"/>
        <w:tblInd w:w="-284" w:type="dxa"/>
        <w:tblLook w:val="04A0" w:firstRow="1" w:lastRow="0" w:firstColumn="1" w:lastColumn="0" w:noHBand="0" w:noVBand="1"/>
      </w:tblPr>
      <w:tblGrid>
        <w:gridCol w:w="1812"/>
        <w:gridCol w:w="987"/>
        <w:gridCol w:w="1851"/>
        <w:gridCol w:w="966"/>
        <w:gridCol w:w="1872"/>
        <w:gridCol w:w="946"/>
        <w:gridCol w:w="1892"/>
        <w:gridCol w:w="926"/>
        <w:gridCol w:w="1912"/>
      </w:tblGrid>
      <w:tr w:rsidR="00432DC7" w:rsidRPr="007B64E9" w14:paraId="0959F361" w14:textId="77777777" w:rsidTr="00D860D3">
        <w:trPr>
          <w:trHeight w:val="688"/>
        </w:trPr>
        <w:tc>
          <w:tcPr>
            <w:tcW w:w="1812" w:type="dxa"/>
            <w:shd w:val="clear" w:color="auto" w:fill="auto"/>
            <w:noWrap/>
            <w:vAlign w:val="bottom"/>
          </w:tcPr>
          <w:p w14:paraId="704A8A1C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A138CC" w14:textId="77777777" w:rsidR="00432DC7" w:rsidRPr="007B64E9" w:rsidRDefault="00432DC7" w:rsidP="00D860D3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15-24 (N=391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,</w:t>
            </w: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888)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0CE837" w14:textId="77777777" w:rsidR="00432DC7" w:rsidRPr="007B64E9" w:rsidRDefault="00432DC7" w:rsidP="00D860D3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25-34 (N=569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,</w:t>
            </w: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909)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35546E" w14:textId="77777777" w:rsidR="00432DC7" w:rsidRPr="007B64E9" w:rsidRDefault="00432DC7" w:rsidP="00D860D3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35-44 (N=658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,</w:t>
            </w: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122)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F4E09E" w14:textId="77777777" w:rsidR="00432DC7" w:rsidRPr="007B64E9" w:rsidRDefault="00432DC7" w:rsidP="00D860D3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45-54 (N=569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,</w:t>
            </w: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912)</w:t>
            </w:r>
          </w:p>
        </w:tc>
      </w:tr>
      <w:tr w:rsidR="00432DC7" w:rsidRPr="007B64E9" w14:paraId="62942953" w14:textId="77777777" w:rsidTr="00D860D3">
        <w:trPr>
          <w:trHeight w:val="317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8BF4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06EE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 events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9288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HR (95% CI)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3C7A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 events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02B1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HR (95% CI)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0922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 events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261C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HR (95% CI)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C1F6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 events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C046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HR (95% CI)</w:t>
            </w:r>
          </w:p>
        </w:tc>
      </w:tr>
      <w:tr w:rsidR="00432DC7" w:rsidRPr="007B64E9" w14:paraId="6F69D6DB" w14:textId="77777777" w:rsidTr="00D860D3">
        <w:trPr>
          <w:trHeight w:val="688"/>
        </w:trPr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4492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Anxiety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72B4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34231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18D0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1.23 (1.09, 1.39)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D0F5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44293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2856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1.22 (1.09, 1.35)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4349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41706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0B67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1.38 (1.25, 1.53)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5DFD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35678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7838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1.24 (1.13, 1.37)</w:t>
            </w:r>
          </w:p>
        </w:tc>
      </w:tr>
      <w:tr w:rsidR="00432DC7" w:rsidRPr="007B64E9" w14:paraId="436DC7F8" w14:textId="77777777" w:rsidTr="00D860D3">
        <w:trPr>
          <w:trHeight w:val="688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4A647995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Bipolar disorder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0B9923DF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3897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0D01D438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1.04 (0.77, 1.41)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1A371048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8086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4D786CE0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1.41 (1.13, 1.77)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1FF5BB99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8518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14:paraId="312A977A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1.03 (0.81, 1.32)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A01F451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8397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4806AED4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1.41 (1.19, 1.67)</w:t>
            </w:r>
          </w:p>
        </w:tc>
      </w:tr>
      <w:tr w:rsidR="00432DC7" w:rsidRPr="007B64E9" w14:paraId="2D4AC6E2" w14:textId="77777777" w:rsidTr="00D860D3">
        <w:trPr>
          <w:trHeight w:val="688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659D3D79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Depression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5C4C36A1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16261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72D89900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1.05 (0.85, 1.30)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7A727F05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20370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157FE3EC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1.26 (1.03, 1.53)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6578702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21124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14:paraId="46E3535C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1.05 (0.89, 1.24)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A01BF06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19305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500A1169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1.07 (0.92, 1.24)</w:t>
            </w:r>
          </w:p>
        </w:tc>
      </w:tr>
      <w:tr w:rsidR="00432DC7" w:rsidRPr="007B64E9" w14:paraId="3903469C" w14:textId="77777777" w:rsidTr="00D860D3">
        <w:trPr>
          <w:trHeight w:val="688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28BC887F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Psychotic disorder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63CD330C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14:paraId="522C3511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1.03 (0.59, 1.79)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14:paraId="04FCA1A0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5155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6AD11F6F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1.03 (0.74, 1.42)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3AFDAE2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6948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14:paraId="3C6D1028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1.18 (0.94, 1.47)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119257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8025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2027FC35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1.16 (0.98, 1.38)</w:t>
            </w:r>
          </w:p>
        </w:tc>
      </w:tr>
      <w:tr w:rsidR="00432DC7" w:rsidRPr="007B64E9" w14:paraId="5313B542" w14:textId="77777777" w:rsidTr="00D860D3">
        <w:trPr>
          <w:trHeight w:val="688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A1D7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Suicidal behaviour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A6C6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14456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C276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1.19 (0.96, 1.46)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FC1E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11458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B6CF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1.20 (0.94, 1.54)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E79D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10438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2ACA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0.91 (0.71, 1.16)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8B25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9532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E122" w14:textId="77777777" w:rsidR="00432DC7" w:rsidRPr="007B64E9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B64E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0.93 (0.72, 1.19)</w:t>
            </w:r>
          </w:p>
        </w:tc>
      </w:tr>
    </w:tbl>
    <w:p w14:paraId="361D9200" w14:textId="34588CAE" w:rsidR="00432DC7" w:rsidRPr="00274C7A" w:rsidRDefault="00274C7A" w:rsidP="00432DC7">
      <w:pPr>
        <w:pStyle w:val="BodyText"/>
        <w:rPr>
          <w:rFonts w:asciiTheme="majorHAnsi" w:hAnsiTheme="majorHAnsi" w:cstheme="majorHAnsi"/>
          <w:sz w:val="18"/>
          <w:szCs w:val="18"/>
          <w:lang w:val="en-GB"/>
        </w:rPr>
      </w:pPr>
      <w:r>
        <w:rPr>
          <w:rFonts w:asciiTheme="majorHAnsi" w:hAnsiTheme="majorHAnsi" w:cstheme="majorHAnsi"/>
          <w:sz w:val="18"/>
          <w:szCs w:val="18"/>
          <w:vertAlign w:val="superscript"/>
          <w:lang w:val="en-GB"/>
        </w:rPr>
        <w:t>a</w:t>
      </w:r>
      <w:r>
        <w:rPr>
          <w:rFonts w:asciiTheme="majorHAnsi" w:hAnsiTheme="majorHAnsi" w:cstheme="majorHAnsi"/>
          <w:sz w:val="18"/>
          <w:szCs w:val="18"/>
          <w:lang w:val="en-GB"/>
        </w:rPr>
        <w:t xml:space="preserve"> Individuals may contribute to more than one age category over follow-up</w:t>
      </w:r>
    </w:p>
    <w:p w14:paraId="2776C87E" w14:textId="77777777" w:rsidR="00432DC7" w:rsidRDefault="00432DC7" w:rsidP="00432DC7">
      <w:pPr>
        <w:pStyle w:val="BodyText"/>
        <w:rPr>
          <w:rFonts w:asciiTheme="majorHAnsi" w:hAnsiTheme="majorHAnsi" w:cstheme="majorHAnsi"/>
          <w:sz w:val="18"/>
          <w:szCs w:val="18"/>
          <w:lang w:val="en-GB"/>
        </w:rPr>
      </w:pPr>
    </w:p>
    <w:p w14:paraId="51680BB7" w14:textId="77777777" w:rsidR="00432DC7" w:rsidRDefault="00432DC7" w:rsidP="00432DC7">
      <w:pPr>
        <w:tabs>
          <w:tab w:val="left" w:pos="3075"/>
        </w:tabs>
        <w:rPr>
          <w:lang w:val="en-GB"/>
        </w:rPr>
      </w:pPr>
    </w:p>
    <w:p w14:paraId="52B5B41B" w14:textId="1FCB6141" w:rsidR="00790DC3" w:rsidRPr="00432DC7" w:rsidRDefault="00432DC7" w:rsidP="00432DC7">
      <w:pPr>
        <w:tabs>
          <w:tab w:val="left" w:pos="3075"/>
        </w:tabs>
        <w:rPr>
          <w:lang w:val="en-GB"/>
        </w:rPr>
        <w:sectPr w:rsidR="00790DC3" w:rsidRPr="00432DC7" w:rsidSect="00035430">
          <w:pgSz w:w="15840" w:h="12240" w:orient="landscape"/>
          <w:pgMar w:top="1417" w:right="1417" w:bottom="1417" w:left="1417" w:header="720" w:footer="720" w:gutter="0"/>
          <w:cols w:space="720"/>
          <w:docGrid w:linePitch="326"/>
        </w:sectPr>
      </w:pPr>
      <w:r>
        <w:rPr>
          <w:lang w:val="en-GB"/>
        </w:rPr>
        <w:tab/>
      </w:r>
    </w:p>
    <w:p w14:paraId="62628BAE" w14:textId="7995806D" w:rsidR="00432DC7" w:rsidRDefault="00432DC7" w:rsidP="0086324C">
      <w:pPr>
        <w:pStyle w:val="BodyText"/>
        <w:rPr>
          <w:rFonts w:asciiTheme="majorHAnsi" w:hAnsiTheme="majorHAnsi" w:cstheme="majorHAnsi"/>
          <w:sz w:val="18"/>
          <w:szCs w:val="18"/>
          <w:lang w:val="en-GB"/>
        </w:rPr>
      </w:pPr>
    </w:p>
    <w:p w14:paraId="0219F229" w14:textId="0200978B" w:rsidR="00432DC7" w:rsidRDefault="00432DC7" w:rsidP="00432DC7">
      <w:pPr>
        <w:pStyle w:val="Heading2"/>
        <w:rPr>
          <w:rFonts w:cstheme="majorHAnsi"/>
          <w:color w:val="auto"/>
          <w:lang w:val="en-GB"/>
        </w:rPr>
      </w:pPr>
      <w:bookmarkStart w:id="8" w:name="_Toc193291666"/>
      <w:r>
        <w:rPr>
          <w:rFonts w:cstheme="majorHAnsi"/>
          <w:color w:val="auto"/>
          <w:lang w:val="en-GB"/>
        </w:rPr>
        <w:t>Table S7</w:t>
      </w:r>
      <w:r w:rsidRPr="0082018B">
        <w:rPr>
          <w:rFonts w:cstheme="majorHAnsi"/>
          <w:color w:val="auto"/>
          <w:lang w:val="en-GB"/>
        </w:rPr>
        <w:t xml:space="preserve">. Psychiatric and suicidal behaviour outcomes in individuals dispensed a glucocorticoid (medication-only cohort) using a within-individual analysis, </w:t>
      </w:r>
      <w:r>
        <w:rPr>
          <w:rFonts w:cstheme="majorHAnsi"/>
          <w:color w:val="auto"/>
          <w:lang w:val="en-GB"/>
        </w:rPr>
        <w:t>excluding individuals ever dispensing an inhaled glucocorticoid during follow-up</w:t>
      </w:r>
      <w:bookmarkEnd w:id="8"/>
    </w:p>
    <w:p w14:paraId="47D6912A" w14:textId="77777777" w:rsidR="00432DC7" w:rsidRPr="00432DC7" w:rsidRDefault="00432DC7" w:rsidP="00432DC7">
      <w:pPr>
        <w:pStyle w:val="BodyText"/>
        <w:rPr>
          <w:lang w:val="en-GB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2268"/>
        <w:gridCol w:w="2552"/>
        <w:gridCol w:w="3827"/>
      </w:tblGrid>
      <w:tr w:rsidR="00432DC7" w:rsidRPr="0041651D" w14:paraId="5062D3D8" w14:textId="77777777" w:rsidTr="00C220AE">
        <w:trPr>
          <w:trHeight w:val="306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AE100" w14:textId="77777777" w:rsidR="00432DC7" w:rsidRPr="0041651D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41651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Outcome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6817C" w14:textId="09D9A8AB" w:rsidR="00432DC7" w:rsidRPr="0041651D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Overall cohort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24CA3" w14:textId="3ABF77B7" w:rsidR="00432DC7" w:rsidRPr="0041651D" w:rsidRDefault="00432DC7" w:rsidP="00432DC7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Excluding individuals dispensing an inhaled glucocorticoid</w:t>
            </w:r>
          </w:p>
        </w:tc>
      </w:tr>
      <w:tr w:rsidR="00432DC7" w:rsidRPr="0041651D" w14:paraId="01A546F8" w14:textId="77777777" w:rsidTr="00C220AE">
        <w:trPr>
          <w:trHeight w:val="306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5DC02" w14:textId="77777777" w:rsidR="00432DC7" w:rsidRPr="0041651D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B63110" w14:textId="77777777" w:rsidR="00432DC7" w:rsidRPr="0041651D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CEA">
              <w:rPr>
                <w:rFonts w:asciiTheme="majorHAnsi" w:eastAsia="Arial" w:hAnsiTheme="majorHAnsi" w:cstheme="majorHAnsi"/>
                <w:b/>
                <w:sz w:val="22"/>
                <w:szCs w:val="22"/>
                <w:lang w:val="en-GB"/>
              </w:rPr>
              <w:t>HR (95% CI)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8501DC" w14:textId="77777777" w:rsidR="00432DC7" w:rsidRPr="0041651D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A1CEA">
              <w:rPr>
                <w:rFonts w:asciiTheme="majorHAnsi" w:eastAsia="Arial" w:hAnsiTheme="majorHAnsi" w:cstheme="majorHAnsi"/>
                <w:b/>
                <w:sz w:val="22"/>
                <w:szCs w:val="22"/>
                <w:lang w:val="en-GB"/>
              </w:rPr>
              <w:t>HR (95% CI)</w:t>
            </w:r>
          </w:p>
        </w:tc>
      </w:tr>
      <w:tr w:rsidR="00432DC7" w:rsidRPr="0041651D" w14:paraId="4E87794C" w14:textId="77777777" w:rsidTr="00C220AE">
        <w:trPr>
          <w:trHeight w:val="3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36BD" w14:textId="77777777" w:rsidR="00432DC7" w:rsidRPr="0041651D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41651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Anxiety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D5AA" w14:textId="77777777" w:rsidR="00432DC7" w:rsidRPr="0041651D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165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1.25 (1.20, 1.31)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BA5E" w14:textId="77777777" w:rsidR="00432DC7" w:rsidRPr="0041651D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165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1.29 (1.21, 1.37)</w:t>
            </w:r>
          </w:p>
        </w:tc>
      </w:tr>
      <w:tr w:rsidR="00432DC7" w:rsidRPr="0041651D" w14:paraId="3780A272" w14:textId="77777777" w:rsidTr="00C220AE">
        <w:trPr>
          <w:trHeight w:val="3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2796" w14:textId="77777777" w:rsidR="00432DC7" w:rsidRPr="0041651D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41651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Bipolar disorder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6A33" w14:textId="77777777" w:rsidR="00432DC7" w:rsidRPr="0041651D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165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1.23 (1.12, 1.36)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1605" w14:textId="77777777" w:rsidR="00432DC7" w:rsidRPr="0041651D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165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1.20 (1.04, 1.38)</w:t>
            </w:r>
          </w:p>
        </w:tc>
      </w:tr>
      <w:tr w:rsidR="00432DC7" w:rsidRPr="0041651D" w14:paraId="70CDDBFD" w14:textId="77777777" w:rsidTr="00C220AE">
        <w:trPr>
          <w:trHeight w:val="3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C714" w14:textId="77777777" w:rsidR="00432DC7" w:rsidRPr="0041651D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41651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Depression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3809" w14:textId="77777777" w:rsidR="00432DC7" w:rsidRPr="0041651D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165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1.08 (1.00, 1.16)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8F15" w14:textId="77777777" w:rsidR="00432DC7" w:rsidRPr="0041651D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165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1.11 (1.01, 1.22)</w:t>
            </w:r>
          </w:p>
        </w:tc>
      </w:tr>
      <w:tr w:rsidR="00432DC7" w:rsidRPr="0041651D" w14:paraId="7815FBE5" w14:textId="77777777" w:rsidTr="00C220AE">
        <w:trPr>
          <w:trHeight w:val="306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5E11" w14:textId="77777777" w:rsidR="00432DC7" w:rsidRPr="0041651D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41651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Psychotic disorder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6E0A" w14:textId="77777777" w:rsidR="00432DC7" w:rsidRPr="0041651D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165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1.17 (1.05, 1.30)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7ADC" w14:textId="77777777" w:rsidR="00432DC7" w:rsidRPr="0041651D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165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1.14 (0.99, 1.32)</w:t>
            </w:r>
          </w:p>
        </w:tc>
      </w:tr>
      <w:tr w:rsidR="00432DC7" w:rsidRPr="0041651D" w14:paraId="4AFB193E" w14:textId="77777777" w:rsidTr="00C220AE">
        <w:trPr>
          <w:trHeight w:val="306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D864F" w14:textId="77777777" w:rsidR="00432DC7" w:rsidRPr="0041651D" w:rsidRDefault="00432DC7" w:rsidP="00D860D3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41651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Suicidal behaviour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68A4C" w14:textId="77777777" w:rsidR="00432DC7" w:rsidRPr="0041651D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165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1.06 (0.96, 1.17)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45A5B" w14:textId="77777777" w:rsidR="00432DC7" w:rsidRPr="0041651D" w:rsidRDefault="00432DC7" w:rsidP="00D860D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165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1.12 (0.97, 1.29)</w:t>
            </w:r>
          </w:p>
        </w:tc>
      </w:tr>
    </w:tbl>
    <w:p w14:paraId="1E04449B" w14:textId="77777777" w:rsidR="00432DC7" w:rsidRPr="0082018B" w:rsidRDefault="00432DC7" w:rsidP="00432DC7">
      <w:pPr>
        <w:rPr>
          <w:rFonts w:asciiTheme="majorHAnsi" w:hAnsiTheme="majorHAnsi" w:cstheme="majorHAnsi"/>
          <w:lang w:val="en-GB"/>
        </w:rPr>
        <w:sectPr w:rsidR="00432DC7" w:rsidRPr="0082018B" w:rsidSect="00BE4812">
          <w:pgSz w:w="12240" w:h="15840"/>
          <w:pgMar w:top="1417" w:right="1417" w:bottom="1417" w:left="1417" w:header="720" w:footer="720" w:gutter="0"/>
          <w:cols w:space="720"/>
          <w:docGrid w:linePitch="326"/>
        </w:sectPr>
      </w:pPr>
      <w:r w:rsidRPr="0082018B">
        <w:rPr>
          <w:rFonts w:asciiTheme="majorHAnsi" w:hAnsiTheme="majorHAnsi" w:cstheme="majorHAnsi"/>
          <w:lang w:val="en-GB"/>
        </w:rPr>
        <w:br w:type="page"/>
      </w:r>
    </w:p>
    <w:p w14:paraId="776CDD37" w14:textId="77777777" w:rsidR="00432DC7" w:rsidRDefault="00432DC7" w:rsidP="0086324C">
      <w:pPr>
        <w:pStyle w:val="BodyText"/>
        <w:rPr>
          <w:rFonts w:asciiTheme="majorHAnsi" w:hAnsiTheme="majorHAnsi" w:cstheme="majorHAnsi"/>
          <w:sz w:val="18"/>
          <w:szCs w:val="18"/>
          <w:lang w:val="en-GB"/>
        </w:rPr>
      </w:pPr>
    </w:p>
    <w:p w14:paraId="1125C7B5" w14:textId="716B239F" w:rsidR="00040A7E" w:rsidRDefault="00040A7E" w:rsidP="0086324C">
      <w:pPr>
        <w:pStyle w:val="BodyText"/>
        <w:rPr>
          <w:rFonts w:asciiTheme="majorHAnsi" w:hAnsiTheme="majorHAnsi" w:cstheme="majorHAnsi"/>
          <w:sz w:val="18"/>
          <w:szCs w:val="18"/>
          <w:lang w:val="en-GB"/>
        </w:rPr>
      </w:pPr>
    </w:p>
    <w:p w14:paraId="364285CB" w14:textId="77777777" w:rsidR="00040A7E" w:rsidRPr="0082018B" w:rsidRDefault="00040A7E" w:rsidP="0086324C">
      <w:pPr>
        <w:pStyle w:val="BodyText"/>
        <w:rPr>
          <w:rFonts w:asciiTheme="majorHAnsi" w:hAnsiTheme="majorHAnsi" w:cstheme="majorHAnsi"/>
          <w:sz w:val="18"/>
          <w:szCs w:val="18"/>
          <w:lang w:val="en-GB"/>
        </w:rPr>
      </w:pPr>
    </w:p>
    <w:p w14:paraId="7408AF7D" w14:textId="5CB8718E" w:rsidR="00790DC3" w:rsidRPr="0082018B" w:rsidRDefault="00432DC7" w:rsidP="00790DC3">
      <w:pPr>
        <w:pStyle w:val="Heading2"/>
        <w:rPr>
          <w:rFonts w:cstheme="majorHAnsi"/>
          <w:color w:val="auto"/>
          <w:lang w:val="en-GB"/>
        </w:rPr>
      </w:pPr>
      <w:bookmarkStart w:id="9" w:name="_Toc193291667"/>
      <w:r>
        <w:rPr>
          <w:rFonts w:cstheme="majorHAnsi"/>
          <w:color w:val="auto"/>
          <w:lang w:val="en-GB"/>
        </w:rPr>
        <w:t>Table S8</w:t>
      </w:r>
      <w:r w:rsidR="00790DC3" w:rsidRPr="0082018B">
        <w:rPr>
          <w:rFonts w:cstheme="majorHAnsi"/>
          <w:color w:val="auto"/>
          <w:lang w:val="en-GB"/>
        </w:rPr>
        <w:t xml:space="preserve">. </w:t>
      </w:r>
      <w:r w:rsidR="00D67F9D" w:rsidRPr="0082018B">
        <w:rPr>
          <w:rFonts w:cstheme="majorHAnsi"/>
          <w:color w:val="auto"/>
          <w:lang w:val="en-GB"/>
        </w:rPr>
        <w:t>Psychiatric and suicidal b</w:t>
      </w:r>
      <w:r w:rsidR="00F2560A" w:rsidRPr="0082018B">
        <w:rPr>
          <w:rFonts w:cstheme="majorHAnsi"/>
          <w:color w:val="auto"/>
          <w:lang w:val="en-GB"/>
        </w:rPr>
        <w:t>ehaviour</w:t>
      </w:r>
      <w:r w:rsidR="00D67F9D" w:rsidRPr="0082018B">
        <w:rPr>
          <w:rFonts w:cstheme="majorHAnsi"/>
          <w:color w:val="auto"/>
          <w:lang w:val="en-GB"/>
        </w:rPr>
        <w:t xml:space="preserve"> outcomes in </w:t>
      </w:r>
      <w:r w:rsidR="00C61538" w:rsidRPr="0082018B">
        <w:rPr>
          <w:rFonts w:cstheme="majorHAnsi"/>
          <w:color w:val="auto"/>
          <w:lang w:val="en-GB"/>
        </w:rPr>
        <w:t>individuals dispensed a glucocorticoid</w:t>
      </w:r>
      <w:r w:rsidR="000337BA" w:rsidRPr="0082018B">
        <w:rPr>
          <w:rFonts w:cstheme="majorHAnsi"/>
          <w:color w:val="auto"/>
          <w:lang w:val="en-GB"/>
        </w:rPr>
        <w:t xml:space="preserve"> (medication-only cohort)</w:t>
      </w:r>
      <w:r w:rsidR="00D67F9D" w:rsidRPr="0082018B">
        <w:rPr>
          <w:rFonts w:cstheme="majorHAnsi"/>
          <w:color w:val="auto"/>
          <w:lang w:val="en-GB"/>
        </w:rPr>
        <w:t xml:space="preserve"> using a within-individual or between-individual analysis, stratified by indication and past psychiatric diagnosis</w:t>
      </w:r>
      <w:bookmarkEnd w:id="9"/>
    </w:p>
    <w:tbl>
      <w:tblPr>
        <w:tblStyle w:val="Table"/>
        <w:tblW w:w="15309" w:type="dxa"/>
        <w:jc w:val="center"/>
        <w:tblLayout w:type="fixed"/>
        <w:tblLook w:val="0420" w:firstRow="1" w:lastRow="0" w:firstColumn="0" w:lastColumn="0" w:noHBand="0" w:noVBand="1"/>
      </w:tblPr>
      <w:tblGrid>
        <w:gridCol w:w="1838"/>
        <w:gridCol w:w="1985"/>
        <w:gridCol w:w="1559"/>
        <w:gridCol w:w="1843"/>
        <w:gridCol w:w="1559"/>
        <w:gridCol w:w="1843"/>
        <w:gridCol w:w="1417"/>
        <w:gridCol w:w="1843"/>
        <w:gridCol w:w="1422"/>
      </w:tblGrid>
      <w:tr w:rsidR="00790DC3" w:rsidRPr="0082018B" w14:paraId="0F260339" w14:textId="77777777" w:rsidTr="00834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  <w:tblHeader/>
          <w:jc w:val="center"/>
        </w:trPr>
        <w:tc>
          <w:tcPr>
            <w:tcW w:w="1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13E35" w14:textId="77777777" w:rsidR="00790DC3" w:rsidRPr="0082018B" w:rsidRDefault="00790DC3" w:rsidP="00834C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3DFC2B08" w14:textId="77777777" w:rsidR="00790DC3" w:rsidRPr="00C564B1" w:rsidRDefault="00790DC3" w:rsidP="00834C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</w:pPr>
            <w:r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>Overall cohort</w:t>
            </w:r>
          </w:p>
          <w:p w14:paraId="0E0B9917" w14:textId="3C366315" w:rsidR="00790DC3" w:rsidRPr="00C564B1" w:rsidRDefault="00811B40" w:rsidP="00811B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</w:pPr>
            <w:r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>(N=</w:t>
            </w:r>
            <w:r w:rsidR="0026172B"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>1</w:t>
            </w:r>
            <w:r w:rsidR="00C564B1"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>,</w:t>
            </w:r>
            <w:r w:rsidR="0026172B"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>105</w:t>
            </w:r>
            <w:r w:rsidR="00C564B1"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>,</w:t>
            </w:r>
            <w:r w:rsidR="0026172B"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>964</w:t>
            </w:r>
            <w:r w:rsidR="00790DC3"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3402" w:type="dxa"/>
            <w:gridSpan w:val="2"/>
            <w:shd w:val="clear" w:color="auto" w:fill="FFFFFF"/>
          </w:tcPr>
          <w:p w14:paraId="6DFCD042" w14:textId="344D8D6E" w:rsidR="00790DC3" w:rsidRPr="00C564B1" w:rsidRDefault="00790DC3" w:rsidP="00834C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</w:pPr>
            <w:r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 xml:space="preserve">Past </w:t>
            </w:r>
            <w:r w:rsidR="002A74B9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>psychiatric</w:t>
            </w:r>
            <w:r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 xml:space="preserve"> diagnosis</w:t>
            </w:r>
          </w:p>
          <w:p w14:paraId="16CE6A11" w14:textId="1F6C9E25" w:rsidR="00790DC3" w:rsidRPr="00C564B1" w:rsidRDefault="00790DC3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</w:pPr>
            <w:r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>(N=</w:t>
            </w:r>
            <w:r w:rsidR="00C564B1"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>80,952</w:t>
            </w:r>
            <w:r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07C7CBD8" w14:textId="0A11685A" w:rsidR="00790DC3" w:rsidRPr="00C564B1" w:rsidRDefault="00811B40" w:rsidP="00834C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</w:pPr>
            <w:r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>Autoimmune disorder cohort</w:t>
            </w:r>
          </w:p>
          <w:p w14:paraId="16E3E3C1" w14:textId="7EF5834B" w:rsidR="00790DC3" w:rsidRPr="00C564B1" w:rsidRDefault="00790DC3" w:rsidP="00811B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</w:pPr>
            <w:r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>(N=</w:t>
            </w:r>
            <w:r w:rsidR="00136953"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 xml:space="preserve"> 153,848</w:t>
            </w:r>
            <w:r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3265" w:type="dxa"/>
            <w:gridSpan w:val="2"/>
            <w:shd w:val="clear" w:color="auto" w:fill="FFFFFF"/>
          </w:tcPr>
          <w:p w14:paraId="3FA52520" w14:textId="77777777" w:rsidR="00790DC3" w:rsidRPr="00C564B1" w:rsidRDefault="00790DC3" w:rsidP="00834C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</w:pPr>
            <w:r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>Gastrointestinal autoimmune disorder cohort</w:t>
            </w:r>
          </w:p>
          <w:p w14:paraId="3D8E1770" w14:textId="24FBB900" w:rsidR="00790DC3" w:rsidRPr="00C564B1" w:rsidRDefault="00790DC3" w:rsidP="00811B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</w:pPr>
            <w:r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>(N=</w:t>
            </w:r>
            <w:r w:rsidR="0026172B"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 xml:space="preserve"> 58</w:t>
            </w:r>
            <w:r w:rsidR="00C564B1"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>,</w:t>
            </w:r>
            <w:r w:rsidR="0026172B"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>318</w:t>
            </w:r>
            <w:r w:rsidRPr="00C564B1">
              <w:rPr>
                <w:rFonts w:asciiTheme="majorHAnsi" w:eastAsia="Arial" w:hAnsiTheme="majorHAnsi" w:cstheme="majorHAnsi"/>
                <w:b/>
                <w:sz w:val="20"/>
                <w:szCs w:val="20"/>
                <w:lang w:val="en-GB"/>
              </w:rPr>
              <w:t>)</w:t>
            </w:r>
          </w:p>
        </w:tc>
      </w:tr>
      <w:tr w:rsidR="001F73F9" w:rsidRPr="0082018B" w14:paraId="5E893B48" w14:textId="77777777" w:rsidTr="00834C94">
        <w:trPr>
          <w:trHeight w:val="104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66BE3" w14:textId="77777777" w:rsidR="001F73F9" w:rsidRPr="0082018B" w:rsidRDefault="001F73F9" w:rsidP="001F73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E75B68F" w14:textId="3DC067F6" w:rsidR="001F73F9" w:rsidRPr="0082018B" w:rsidRDefault="001F73F9" w:rsidP="001F73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16"/>
                <w:szCs w:val="16"/>
                <w:vertAlign w:val="superscript"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Between-individual</w:t>
            </w: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vertAlign w:val="superscript"/>
                <w:lang w:val="en-GB"/>
              </w:rPr>
              <w:t>a</w:t>
            </w:r>
          </w:p>
          <w:p w14:paraId="14E976A6" w14:textId="77777777" w:rsidR="001F73F9" w:rsidRPr="0082018B" w:rsidRDefault="001F73F9" w:rsidP="001F73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HR (95% CI)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98AF4" w14:textId="196129B4" w:rsidR="001F73F9" w:rsidRPr="0082018B" w:rsidRDefault="001F73F9" w:rsidP="001F73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16"/>
                <w:szCs w:val="16"/>
                <w:vertAlign w:val="superscript"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Within-individual</w:t>
            </w: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vertAlign w:val="superscript"/>
                <w:lang w:val="en-GB"/>
              </w:rPr>
              <w:t>b</w:t>
            </w:r>
          </w:p>
          <w:p w14:paraId="60D4ABDF" w14:textId="77777777" w:rsidR="001F73F9" w:rsidRPr="0082018B" w:rsidRDefault="001F73F9" w:rsidP="001F73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HR (95% CI)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02A598" w14:textId="77777777" w:rsidR="001F73F9" w:rsidRPr="0082018B" w:rsidRDefault="001F73F9" w:rsidP="001F73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16"/>
                <w:szCs w:val="16"/>
                <w:vertAlign w:val="superscript"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Between-individual</w:t>
            </w: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vertAlign w:val="superscript"/>
                <w:lang w:val="en-GB"/>
              </w:rPr>
              <w:t>a</w:t>
            </w:r>
          </w:p>
          <w:p w14:paraId="7C71F8A2" w14:textId="089788FF" w:rsidR="001F73F9" w:rsidRPr="0082018B" w:rsidRDefault="001F73F9" w:rsidP="001F73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HR (95% CI)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440E2" w14:textId="77777777" w:rsidR="001F73F9" w:rsidRPr="0082018B" w:rsidRDefault="001F73F9" w:rsidP="001F73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16"/>
                <w:szCs w:val="16"/>
                <w:vertAlign w:val="superscript"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Within-individual</w:t>
            </w: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vertAlign w:val="superscript"/>
                <w:lang w:val="en-GB"/>
              </w:rPr>
              <w:t>b</w:t>
            </w:r>
          </w:p>
          <w:p w14:paraId="6080FBCC" w14:textId="7289E55B" w:rsidR="001F73F9" w:rsidRPr="0082018B" w:rsidRDefault="001F73F9" w:rsidP="001F73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HR (95% CI)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DCD915C" w14:textId="77777777" w:rsidR="001F73F9" w:rsidRPr="0082018B" w:rsidRDefault="001F73F9" w:rsidP="001F73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16"/>
                <w:szCs w:val="16"/>
                <w:vertAlign w:val="superscript"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Between-individual</w:t>
            </w: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vertAlign w:val="superscript"/>
                <w:lang w:val="en-GB"/>
              </w:rPr>
              <w:t>a</w:t>
            </w:r>
          </w:p>
          <w:p w14:paraId="33DC9ADE" w14:textId="524E68C3" w:rsidR="001F73F9" w:rsidRPr="0082018B" w:rsidRDefault="001F73F9" w:rsidP="001F73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HR (95% CI)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70A77" w14:textId="77777777" w:rsidR="001F73F9" w:rsidRPr="0082018B" w:rsidRDefault="001F73F9" w:rsidP="001F73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16"/>
                <w:szCs w:val="16"/>
                <w:vertAlign w:val="superscript"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Within-individual</w:t>
            </w: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vertAlign w:val="superscript"/>
                <w:lang w:val="en-GB"/>
              </w:rPr>
              <w:t>b</w:t>
            </w:r>
          </w:p>
          <w:p w14:paraId="4CAEDA70" w14:textId="7EA96AFE" w:rsidR="001F73F9" w:rsidRPr="0082018B" w:rsidRDefault="001F73F9" w:rsidP="001F73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HR (95% CI)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B389C2D" w14:textId="77777777" w:rsidR="001F73F9" w:rsidRPr="0082018B" w:rsidRDefault="001F73F9" w:rsidP="001F73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16"/>
                <w:szCs w:val="16"/>
                <w:vertAlign w:val="superscript"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Between-individual</w:t>
            </w: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vertAlign w:val="superscript"/>
                <w:lang w:val="en-GB"/>
              </w:rPr>
              <w:t>a</w:t>
            </w:r>
          </w:p>
          <w:p w14:paraId="4F511803" w14:textId="35CC471C" w:rsidR="001F73F9" w:rsidRPr="0082018B" w:rsidRDefault="001F73F9" w:rsidP="001F73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HR (95% CI)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7A84B" w14:textId="77777777" w:rsidR="001F73F9" w:rsidRPr="0082018B" w:rsidRDefault="001F73F9" w:rsidP="001F73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16"/>
                <w:szCs w:val="16"/>
                <w:vertAlign w:val="superscript"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Within-individual</w:t>
            </w: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vertAlign w:val="superscript"/>
                <w:lang w:val="en-GB"/>
              </w:rPr>
              <w:t>b</w:t>
            </w:r>
          </w:p>
          <w:p w14:paraId="786890D5" w14:textId="6CA04871" w:rsidR="001F73F9" w:rsidRPr="0082018B" w:rsidRDefault="001F73F9" w:rsidP="001F73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HR (95% CI)</w:t>
            </w:r>
          </w:p>
        </w:tc>
      </w:tr>
      <w:tr w:rsidR="00936919" w:rsidRPr="0082018B" w14:paraId="3F4ADC2A" w14:textId="77777777" w:rsidTr="00834C94">
        <w:trPr>
          <w:trHeight w:val="576"/>
          <w:jc w:val="center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41564" w14:textId="77777777" w:rsidR="00936919" w:rsidRPr="0082018B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hAnsiTheme="majorHAnsi" w:cstheme="majorHAnsi"/>
                <w:b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Anxiety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A58E2D" w14:textId="3C54B77E" w:rsidR="00936919" w:rsidRPr="00B91B84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1.70 (1.64, 1.77)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BF697" w14:textId="19102FF2" w:rsidR="00936919" w:rsidRPr="00936919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1.25 (1.20, 1.31)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3FD912" w14:textId="11239877" w:rsidR="00936919" w:rsidRPr="00936919" w:rsidRDefault="00936919" w:rsidP="00936919">
            <w:pPr>
              <w:spacing w:before="100" w:after="100"/>
              <w:ind w:left="100" w:right="10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6919">
              <w:rPr>
                <w:rFonts w:ascii="Calibri" w:hAnsi="Calibri" w:cs="Calibri"/>
                <w:color w:val="000000"/>
                <w:sz w:val="18"/>
                <w:szCs w:val="18"/>
              </w:rPr>
              <w:t>1.36 (1.28, 1.45)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755B0" w14:textId="2E0DFBDE" w:rsidR="00936919" w:rsidRPr="00936919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6919">
              <w:rPr>
                <w:rFonts w:ascii="Calibri" w:hAnsi="Calibri" w:cs="Calibri"/>
                <w:color w:val="000000"/>
                <w:sz w:val="18"/>
                <w:szCs w:val="18"/>
              </w:rPr>
              <w:t>1.15 (1.08, 1.23)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1F2C15" w14:textId="3808129F" w:rsidR="00936919" w:rsidRPr="00B91B84" w:rsidRDefault="00936919" w:rsidP="00936919">
            <w:pP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1.03 (0.95, 1.11)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B1817" w14:textId="28BF301C" w:rsidR="00936919" w:rsidRPr="00B91B84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1.09 (0.99, 1.21)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080AF0" w14:textId="49A56D8D" w:rsidR="00936919" w:rsidRPr="00B91B84" w:rsidRDefault="00936919" w:rsidP="00936919">
            <w:pP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1.12 (0.99, 1.27)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87845" w14:textId="6A6889B8" w:rsidR="00936919" w:rsidRPr="00B91B84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1.05 (0.89, 1.23)</w:t>
            </w:r>
          </w:p>
        </w:tc>
      </w:tr>
      <w:tr w:rsidR="00936919" w:rsidRPr="0082018B" w14:paraId="3996AE76" w14:textId="77777777" w:rsidTr="00834C94">
        <w:trPr>
          <w:trHeight w:val="576"/>
          <w:jc w:val="center"/>
        </w:trPr>
        <w:tc>
          <w:tcPr>
            <w:tcW w:w="1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CFCB8" w14:textId="77777777" w:rsidR="00936919" w:rsidRPr="0082018B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hAnsiTheme="majorHAnsi" w:cstheme="majorHAnsi"/>
                <w:b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Bipolar disorder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5FA7E0EE" w14:textId="47784D55" w:rsidR="00936919" w:rsidRPr="00B91B84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1.49 (1.34, 1.66)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CEC3E" w14:textId="6D3B8886" w:rsidR="00936919" w:rsidRPr="00936919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1.23 (1.12, 1.36)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AFE1EF" w14:textId="20074389" w:rsidR="00936919" w:rsidRPr="00936919" w:rsidRDefault="00936919" w:rsidP="00936919">
            <w:pPr>
              <w:spacing w:before="100" w:after="100"/>
              <w:ind w:left="100" w:right="10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6919">
              <w:rPr>
                <w:rFonts w:ascii="Calibri" w:hAnsi="Calibri" w:cs="Calibri"/>
                <w:color w:val="000000"/>
                <w:sz w:val="18"/>
                <w:szCs w:val="18"/>
              </w:rPr>
              <w:t>1.20 (1.04, 1.38)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B7EBF" w14:textId="10562BD9" w:rsidR="00936919" w:rsidRPr="00936919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6919">
              <w:rPr>
                <w:rFonts w:ascii="Calibri" w:hAnsi="Calibri" w:cs="Calibri"/>
                <w:color w:val="000000"/>
                <w:sz w:val="18"/>
                <w:szCs w:val="18"/>
              </w:rPr>
              <w:t>1.27 (1.12, 1.43)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6DBA0E98" w14:textId="58AE7678" w:rsidR="00936919" w:rsidRPr="00B91B84" w:rsidRDefault="00936919" w:rsidP="00936919">
            <w:pP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0.80 (0.65, 0.98)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ED9AD" w14:textId="3803BC46" w:rsidR="00936919" w:rsidRPr="00B91B84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1.30 (1.05, 1.60)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3B819073" w14:textId="025AABBD" w:rsidR="00936919" w:rsidRPr="00B91B84" w:rsidRDefault="00936919" w:rsidP="00936919">
            <w:pP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0.86 (0.59, 1.26)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F5401" w14:textId="6B7B311F" w:rsidR="00936919" w:rsidRPr="00B91B84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1.23 (0.81, 1.86)</w:t>
            </w:r>
          </w:p>
        </w:tc>
      </w:tr>
      <w:tr w:rsidR="00936919" w:rsidRPr="0082018B" w14:paraId="06B8C41C" w14:textId="77777777" w:rsidTr="00834C94">
        <w:trPr>
          <w:trHeight w:val="562"/>
          <w:jc w:val="center"/>
        </w:trPr>
        <w:tc>
          <w:tcPr>
            <w:tcW w:w="1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FC7B2" w14:textId="77777777" w:rsidR="00936919" w:rsidRPr="0082018B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hAnsiTheme="majorHAnsi" w:cstheme="majorHAnsi"/>
                <w:b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Depression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468CE7E8" w14:textId="70186CB2" w:rsidR="00936919" w:rsidRPr="00B91B84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1.32 (1.25, 1.39)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98CDE" w14:textId="740ED1EF" w:rsidR="00936919" w:rsidRPr="00936919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1.08 (1.00, 1.16)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8DF577" w14:textId="643D8ABF" w:rsidR="00936919" w:rsidRPr="00936919" w:rsidRDefault="00936919" w:rsidP="00936919">
            <w:pPr>
              <w:spacing w:before="100" w:after="100"/>
              <w:ind w:left="100" w:right="10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6919">
              <w:rPr>
                <w:rFonts w:ascii="Calibri" w:hAnsi="Calibri" w:cs="Calibri"/>
                <w:color w:val="000000"/>
                <w:sz w:val="18"/>
                <w:szCs w:val="18"/>
              </w:rPr>
              <w:t>1.08 (0.99, 1.17)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EC7BF" w14:textId="3947EBD6" w:rsidR="00936919" w:rsidRPr="00936919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6919">
              <w:rPr>
                <w:rFonts w:ascii="Calibri" w:hAnsi="Calibri" w:cs="Calibri"/>
                <w:color w:val="000000"/>
                <w:sz w:val="18"/>
                <w:szCs w:val="18"/>
              </w:rPr>
              <w:t>1.07 (0.95, 1.20)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2811CB59" w14:textId="1470A3BB" w:rsidR="00936919" w:rsidRPr="00B91B84" w:rsidRDefault="00936919" w:rsidP="00936919">
            <w:pP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0.88 (0.79, 0.98)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2CA75" w14:textId="4045E8FE" w:rsidR="00936919" w:rsidRPr="00B91B84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1.12 (0.96, 1.31)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5F0DBC06" w14:textId="55082A9E" w:rsidR="00936919" w:rsidRPr="00B91B84" w:rsidRDefault="00936919" w:rsidP="00936919">
            <w:pP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0.94 (0.79, 1.11)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323FF" w14:textId="3557E124" w:rsidR="00936919" w:rsidRPr="00B91B84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1.13 (0.87, 1.46)</w:t>
            </w:r>
          </w:p>
        </w:tc>
      </w:tr>
      <w:tr w:rsidR="00936919" w:rsidRPr="0082018B" w14:paraId="462F5B9A" w14:textId="77777777" w:rsidTr="00834C94">
        <w:trPr>
          <w:trHeight w:val="576"/>
          <w:jc w:val="center"/>
        </w:trPr>
        <w:tc>
          <w:tcPr>
            <w:tcW w:w="1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80ACF" w14:textId="77777777" w:rsidR="00936919" w:rsidRPr="0082018B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hAnsiTheme="majorHAnsi" w:cstheme="majorHAnsi"/>
                <w:b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Schizophrenia spectrum disorder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5BD3A095" w14:textId="0764F195" w:rsidR="00936919" w:rsidRPr="00B91B84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1.51 (1.32, 1.71)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457DB" w14:textId="469489E4" w:rsidR="00936919" w:rsidRPr="00936919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1.17 (1.05, 1.30)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6B63B1" w14:textId="3D18B1AB" w:rsidR="00936919" w:rsidRPr="00936919" w:rsidRDefault="00936919" w:rsidP="00936919">
            <w:pPr>
              <w:spacing w:before="100" w:after="100"/>
              <w:ind w:left="100" w:right="10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6919">
              <w:rPr>
                <w:rFonts w:ascii="Calibri" w:hAnsi="Calibri" w:cs="Calibri"/>
                <w:color w:val="000000"/>
                <w:sz w:val="18"/>
                <w:szCs w:val="18"/>
              </w:rPr>
              <w:t>1.11 (0.97, 1.27)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C762A" w14:textId="09112D0D" w:rsidR="00936919" w:rsidRPr="00936919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6919">
              <w:rPr>
                <w:rFonts w:ascii="Calibri" w:hAnsi="Calibri" w:cs="Calibri"/>
                <w:color w:val="000000"/>
                <w:sz w:val="18"/>
                <w:szCs w:val="18"/>
              </w:rPr>
              <w:t>1.17 (1.03, 1.32)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2DADDC36" w14:textId="334D6DA2" w:rsidR="00936919" w:rsidRPr="00B91B84" w:rsidRDefault="00936919" w:rsidP="00936919">
            <w:pP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1.19 (0.92, 1.54)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5CAE1" w14:textId="3C73B07A" w:rsidR="00936919" w:rsidRPr="00B91B84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1.06 (0.84, 1.35)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67A4C33F" w14:textId="3D45FCE1" w:rsidR="00936919" w:rsidRPr="00B91B84" w:rsidRDefault="00936919" w:rsidP="00936919">
            <w:pP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1.07 (0.72, 1.58)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339DB" w14:textId="4103254C" w:rsidR="00936919" w:rsidRPr="00B91B84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1.06 (0.69, 1.62)</w:t>
            </w:r>
          </w:p>
        </w:tc>
      </w:tr>
      <w:tr w:rsidR="00936919" w:rsidRPr="0082018B" w14:paraId="7B98B67B" w14:textId="77777777" w:rsidTr="00834C94">
        <w:trPr>
          <w:trHeight w:val="576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A0301" w14:textId="2B091472" w:rsidR="00936919" w:rsidRPr="0082018B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hAnsiTheme="majorHAnsi" w:cstheme="majorHAnsi"/>
                <w:b/>
                <w:lang w:val="en-GB"/>
              </w:rPr>
            </w:pPr>
            <w:r w:rsidRPr="0082018B">
              <w:rPr>
                <w:rFonts w:asciiTheme="majorHAnsi" w:eastAsia="Arial" w:hAnsiTheme="majorHAnsi" w:cstheme="majorHAnsi"/>
                <w:b/>
                <w:sz w:val="16"/>
                <w:szCs w:val="16"/>
                <w:lang w:val="en-GB"/>
              </w:rPr>
              <w:t>Suicidal behaviour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3B211F5" w14:textId="30BA9B1E" w:rsidR="00936919" w:rsidRPr="00B91B84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1.21 (1.13, 1.30)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7C09E" w14:textId="01DDA4D2" w:rsidR="00936919" w:rsidRPr="00936919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1.06 (0.96, 1.17)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55345C" w14:textId="72314604" w:rsidR="00936919" w:rsidRPr="00936919" w:rsidRDefault="00936919" w:rsidP="00936919">
            <w:pPr>
              <w:spacing w:before="100" w:after="100"/>
              <w:ind w:left="100" w:right="10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6919">
              <w:rPr>
                <w:rFonts w:ascii="Calibri" w:hAnsi="Calibri" w:cs="Calibri"/>
                <w:color w:val="000000"/>
                <w:sz w:val="18"/>
                <w:szCs w:val="18"/>
              </w:rPr>
              <w:t>0.92 (0.82, 1.03)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6616B" w14:textId="7B52DE1C" w:rsidR="00936919" w:rsidRPr="00936919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6919">
              <w:rPr>
                <w:rFonts w:ascii="Calibri" w:hAnsi="Calibri" w:cs="Calibri"/>
                <w:color w:val="000000"/>
                <w:sz w:val="18"/>
                <w:szCs w:val="18"/>
              </w:rPr>
              <w:t>0.89 (0.77, 1.04)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C944853" w14:textId="26B40963" w:rsidR="00936919" w:rsidRPr="00B91B84" w:rsidRDefault="00936919" w:rsidP="00936919">
            <w:pP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C672FA">
              <w:rPr>
                <w:rFonts w:ascii="Calibri" w:hAnsi="Calibri" w:cs="Calibri"/>
                <w:color w:val="000000"/>
                <w:sz w:val="18"/>
                <w:szCs w:val="18"/>
              </w:rPr>
              <w:t>0.77 (0.67, 0.89)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754C4" w14:textId="63D8F3E7" w:rsidR="00936919" w:rsidRPr="00B91B84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1.02 (0.80, 1.32)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16BE162" w14:textId="1511D610" w:rsidR="00936919" w:rsidRPr="00B91B84" w:rsidRDefault="00936919" w:rsidP="00936919">
            <w:pP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0.90 (0.70, 1.15)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241F2" w14:textId="684DE1ED" w:rsidR="00936919" w:rsidRPr="00B91B84" w:rsidRDefault="00936919" w:rsidP="009369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sz w:val="18"/>
                <w:szCs w:val="18"/>
                <w:lang w:val="en-GB"/>
              </w:rPr>
            </w:pPr>
            <w:r w:rsidRPr="00B91B84">
              <w:rPr>
                <w:rFonts w:ascii="Calibri" w:hAnsi="Calibri" w:cs="Calibri"/>
                <w:color w:val="000000"/>
                <w:sz w:val="18"/>
                <w:szCs w:val="18"/>
              </w:rPr>
              <w:t>1.01 (0.67, 1.53)</w:t>
            </w:r>
          </w:p>
        </w:tc>
      </w:tr>
    </w:tbl>
    <w:p w14:paraId="3F8F40B8" w14:textId="44CEF80C" w:rsidR="001F73F9" w:rsidRPr="0082018B" w:rsidRDefault="001F73F9" w:rsidP="001F73F9">
      <w:pPr>
        <w:spacing w:after="0"/>
        <w:rPr>
          <w:rFonts w:asciiTheme="majorHAnsi" w:hAnsiTheme="majorHAnsi" w:cstheme="majorHAnsi"/>
          <w:sz w:val="16"/>
          <w:szCs w:val="16"/>
          <w:lang w:val="en-GB"/>
        </w:rPr>
      </w:pPr>
      <w:r w:rsidRPr="0082018B">
        <w:rPr>
          <w:rFonts w:asciiTheme="majorHAnsi" w:hAnsiTheme="majorHAnsi" w:cstheme="majorHAnsi"/>
          <w:sz w:val="16"/>
          <w:szCs w:val="16"/>
          <w:vertAlign w:val="superscript"/>
          <w:lang w:val="en-GB"/>
        </w:rPr>
        <w:t xml:space="preserve">a </w:t>
      </w:r>
      <w:r w:rsidRPr="0082018B">
        <w:rPr>
          <w:rFonts w:asciiTheme="majorHAnsi" w:hAnsiTheme="majorHAnsi" w:cstheme="majorHAnsi"/>
          <w:sz w:val="16"/>
          <w:szCs w:val="16"/>
          <w:lang w:val="en-GB"/>
        </w:rPr>
        <w:t>Adjusted for age</w:t>
      </w:r>
      <w:r w:rsidR="004A55D6">
        <w:rPr>
          <w:rFonts w:asciiTheme="majorHAnsi" w:hAnsiTheme="majorHAnsi" w:cstheme="majorHAnsi"/>
          <w:sz w:val="16"/>
          <w:szCs w:val="16"/>
          <w:lang w:val="en-GB"/>
        </w:rPr>
        <w:t xml:space="preserve"> </w:t>
      </w:r>
      <w:r w:rsidR="004A55D6" w:rsidRPr="004A55D6">
        <w:rPr>
          <w:rFonts w:asciiTheme="majorHAnsi" w:hAnsiTheme="majorHAnsi" w:cstheme="majorHAnsi"/>
          <w:sz w:val="16"/>
          <w:szCs w:val="16"/>
          <w:lang w:val="en-GB"/>
        </w:rPr>
        <w:t>and sex</w:t>
      </w:r>
    </w:p>
    <w:p w14:paraId="2C9D7729" w14:textId="2FA0E5AE" w:rsidR="00790DC3" w:rsidRPr="0082018B" w:rsidRDefault="001F73F9" w:rsidP="001F73F9">
      <w:pPr>
        <w:spacing w:after="0"/>
        <w:rPr>
          <w:rFonts w:asciiTheme="majorHAnsi" w:hAnsiTheme="majorHAnsi" w:cstheme="majorHAnsi"/>
          <w:lang w:val="en-GB"/>
        </w:rPr>
        <w:sectPr w:rsidR="00790DC3" w:rsidRPr="0082018B" w:rsidSect="009C6BCC">
          <w:pgSz w:w="15840" w:h="12240" w:orient="landscape"/>
          <w:pgMar w:top="1417" w:right="1417" w:bottom="1417" w:left="1417" w:header="720" w:footer="720" w:gutter="0"/>
          <w:cols w:space="720"/>
          <w:docGrid w:linePitch="326"/>
        </w:sectPr>
      </w:pPr>
      <w:r w:rsidRPr="0082018B">
        <w:rPr>
          <w:rFonts w:asciiTheme="majorHAnsi" w:hAnsiTheme="majorHAnsi" w:cstheme="majorHAnsi"/>
          <w:sz w:val="16"/>
          <w:szCs w:val="16"/>
          <w:vertAlign w:val="superscript"/>
          <w:lang w:val="en-GB"/>
        </w:rPr>
        <w:t xml:space="preserve">b </w:t>
      </w:r>
      <w:r w:rsidRPr="0082018B">
        <w:rPr>
          <w:rFonts w:asciiTheme="majorHAnsi" w:hAnsiTheme="majorHAnsi" w:cstheme="majorHAnsi"/>
          <w:sz w:val="16"/>
          <w:szCs w:val="16"/>
          <w:lang w:val="en-GB"/>
        </w:rPr>
        <w:t>Adjusted for age</w:t>
      </w:r>
      <w:r w:rsidRPr="004A55D6">
        <w:rPr>
          <w:rFonts w:asciiTheme="majorHAnsi" w:hAnsiTheme="majorHAnsi" w:cstheme="majorHAnsi"/>
          <w:sz w:val="16"/>
          <w:szCs w:val="16"/>
          <w:lang w:val="en-GB"/>
        </w:rPr>
        <w:t xml:space="preserve"> </w:t>
      </w:r>
      <w:r w:rsidR="00790DC3" w:rsidRPr="0082018B">
        <w:rPr>
          <w:rFonts w:asciiTheme="majorHAnsi" w:hAnsiTheme="majorHAnsi" w:cstheme="majorHAnsi"/>
          <w:lang w:val="en-GB"/>
        </w:rPr>
        <w:br w:type="page"/>
      </w:r>
    </w:p>
    <w:p w14:paraId="759A29C5" w14:textId="3BB9A602" w:rsidR="00C23F7F" w:rsidRPr="0082018B" w:rsidRDefault="00C23F7F">
      <w:pPr>
        <w:rPr>
          <w:rFonts w:asciiTheme="majorHAnsi" w:hAnsiTheme="majorHAnsi" w:cstheme="majorHAnsi"/>
          <w:lang w:val="en-GB"/>
        </w:rPr>
      </w:pPr>
      <w:bookmarkStart w:id="10" w:name="X880f8afbdbd6e4d1070ff44f33083108862a40b"/>
    </w:p>
    <w:p w14:paraId="36415A49" w14:textId="7F6C5F0F" w:rsidR="00C23F7F" w:rsidRPr="0082018B" w:rsidRDefault="00432DC7">
      <w:pPr>
        <w:pStyle w:val="Heading2"/>
        <w:rPr>
          <w:rFonts w:cstheme="majorHAnsi"/>
          <w:color w:val="auto"/>
          <w:lang w:val="en-GB"/>
        </w:rPr>
      </w:pPr>
      <w:bookmarkStart w:id="11" w:name="Xcded32c8578302492a2a1eb9b52e057d74d1af1"/>
      <w:bookmarkStart w:id="12" w:name="_Toc193291668"/>
      <w:bookmarkEnd w:id="10"/>
      <w:r>
        <w:rPr>
          <w:rFonts w:cstheme="majorHAnsi"/>
          <w:color w:val="auto"/>
          <w:lang w:val="en-GB"/>
        </w:rPr>
        <w:t>Table S9</w:t>
      </w:r>
      <w:r w:rsidR="00084261" w:rsidRPr="0082018B">
        <w:rPr>
          <w:rFonts w:cstheme="majorHAnsi"/>
          <w:color w:val="auto"/>
          <w:lang w:val="en-GB"/>
        </w:rPr>
        <w:t xml:space="preserve">. </w:t>
      </w:r>
      <w:r w:rsidR="00D67F9D" w:rsidRPr="0082018B">
        <w:rPr>
          <w:rFonts w:cstheme="majorHAnsi"/>
          <w:color w:val="auto"/>
          <w:lang w:val="en-GB"/>
        </w:rPr>
        <w:t>Psychiatric and suicidal b</w:t>
      </w:r>
      <w:r w:rsidR="00F2560A" w:rsidRPr="0082018B">
        <w:rPr>
          <w:rFonts w:cstheme="majorHAnsi"/>
          <w:color w:val="auto"/>
          <w:lang w:val="en-GB"/>
        </w:rPr>
        <w:t>ehaviour</w:t>
      </w:r>
      <w:r w:rsidR="00D67F9D" w:rsidRPr="0082018B">
        <w:rPr>
          <w:rFonts w:cstheme="majorHAnsi"/>
          <w:color w:val="auto"/>
          <w:lang w:val="en-GB"/>
        </w:rPr>
        <w:t xml:space="preserve"> outcomes in </w:t>
      </w:r>
      <w:r w:rsidR="00C61538" w:rsidRPr="0082018B">
        <w:rPr>
          <w:rFonts w:cstheme="majorHAnsi"/>
          <w:color w:val="auto"/>
          <w:lang w:val="en-GB"/>
        </w:rPr>
        <w:t>individuals dispensed a glucocorticoid</w:t>
      </w:r>
      <w:r w:rsidR="00D67F9D" w:rsidRPr="0082018B">
        <w:rPr>
          <w:rFonts w:cstheme="majorHAnsi"/>
          <w:color w:val="auto"/>
          <w:lang w:val="en-GB"/>
        </w:rPr>
        <w:t xml:space="preserve"> </w:t>
      </w:r>
      <w:r w:rsidR="000337BA" w:rsidRPr="0082018B">
        <w:rPr>
          <w:rFonts w:cstheme="majorHAnsi"/>
          <w:color w:val="auto"/>
          <w:lang w:val="en-GB"/>
        </w:rPr>
        <w:t xml:space="preserve">(medication-only cohort) </w:t>
      </w:r>
      <w:r w:rsidR="00D67F9D" w:rsidRPr="0082018B">
        <w:rPr>
          <w:rFonts w:cstheme="majorHAnsi"/>
          <w:color w:val="auto"/>
          <w:lang w:val="en-GB"/>
        </w:rPr>
        <w:t>using a within-individual analysis, by treatment periods</w:t>
      </w:r>
      <w:bookmarkEnd w:id="12"/>
    </w:p>
    <w:tbl>
      <w:tblPr>
        <w:tblW w:w="9796" w:type="dxa"/>
        <w:tblLook w:val="04A0" w:firstRow="1" w:lastRow="0" w:firstColumn="1" w:lastColumn="0" w:noHBand="0" w:noVBand="1"/>
      </w:tblPr>
      <w:tblGrid>
        <w:gridCol w:w="1287"/>
        <w:gridCol w:w="1691"/>
        <w:gridCol w:w="1704"/>
        <w:gridCol w:w="1704"/>
        <w:gridCol w:w="1704"/>
        <w:gridCol w:w="1706"/>
      </w:tblGrid>
      <w:tr w:rsidR="006F2447" w:rsidRPr="0082018B" w14:paraId="13A1F5E5" w14:textId="77777777" w:rsidTr="009D7072">
        <w:trPr>
          <w:trHeight w:val="453"/>
        </w:trPr>
        <w:tc>
          <w:tcPr>
            <w:tcW w:w="1287" w:type="dxa"/>
            <w:tcBorders>
              <w:top w:val="single" w:sz="4" w:space="0" w:color="auto"/>
            </w:tcBorders>
            <w:shd w:val="clear" w:color="000000" w:fill="FFFFFF"/>
          </w:tcPr>
          <w:p w14:paraId="690C3297" w14:textId="77777777" w:rsidR="006F2447" w:rsidRPr="0082018B" w:rsidRDefault="006F2447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000000" w:fill="FFFFFF"/>
          </w:tcPr>
          <w:p w14:paraId="13FDCB10" w14:textId="77777777" w:rsidR="006F2447" w:rsidRPr="0082018B" w:rsidRDefault="006F2447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818" w:type="dxa"/>
            <w:gridSpan w:val="4"/>
            <w:tcBorders>
              <w:top w:val="single" w:sz="4" w:space="0" w:color="auto"/>
            </w:tcBorders>
            <w:shd w:val="clear" w:color="000000" w:fill="FFFFFF"/>
          </w:tcPr>
          <w:p w14:paraId="1D7AF21C" w14:textId="6AA6E2E8" w:rsidR="006F2447" w:rsidRPr="0082018B" w:rsidRDefault="006F2447" w:rsidP="009D707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82018B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  <w:t>Time since treatment start</w:t>
            </w:r>
          </w:p>
        </w:tc>
      </w:tr>
      <w:tr w:rsidR="006F2447" w:rsidRPr="0082018B" w14:paraId="585D7378" w14:textId="77777777" w:rsidTr="009D7072">
        <w:trPr>
          <w:trHeight w:val="336"/>
        </w:trPr>
        <w:tc>
          <w:tcPr>
            <w:tcW w:w="1287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2B863314" w14:textId="06F85999" w:rsidR="006F2447" w:rsidRPr="0082018B" w:rsidRDefault="006F2447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56625FBB" w14:textId="77777777" w:rsidR="006F2447" w:rsidRPr="0082018B" w:rsidRDefault="006F2447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 w:rsidRPr="008201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16FF5E21" w14:textId="77777777" w:rsidR="006F2447" w:rsidRPr="0082018B" w:rsidRDefault="006F2447" w:rsidP="009D707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82018B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  <w:t>&lt;14 days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5DCADF9E" w14:textId="0E24EDB5" w:rsidR="006F2447" w:rsidRPr="0082018B" w:rsidRDefault="00676288" w:rsidP="009D707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  <w:t>14-119</w:t>
            </w:r>
            <w:r w:rsidR="006F2447" w:rsidRPr="0082018B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  <w:t xml:space="preserve"> days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4AF1A31D" w14:textId="138D02E1" w:rsidR="006F2447" w:rsidRPr="0082018B" w:rsidRDefault="00676288" w:rsidP="009D707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  <w:t>120-364</w:t>
            </w:r>
            <w:r w:rsidR="006F2447" w:rsidRPr="0082018B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  <w:t xml:space="preserve"> days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330B6CE6" w14:textId="46AA0C5A" w:rsidR="006F2447" w:rsidRPr="0082018B" w:rsidRDefault="00676288" w:rsidP="009D707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  <w:t>&gt;364</w:t>
            </w:r>
            <w:r w:rsidR="006F2447" w:rsidRPr="0082018B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  <w:t xml:space="preserve"> days</w:t>
            </w:r>
          </w:p>
        </w:tc>
      </w:tr>
      <w:tr w:rsidR="009D7072" w:rsidRPr="0082018B" w14:paraId="7BEFEDDA" w14:textId="77777777" w:rsidTr="009D7072">
        <w:trPr>
          <w:trHeight w:val="336"/>
        </w:trPr>
        <w:tc>
          <w:tcPr>
            <w:tcW w:w="1287" w:type="dxa"/>
            <w:tcBorders>
              <w:bottom w:val="single" w:sz="4" w:space="0" w:color="auto"/>
            </w:tcBorders>
            <w:shd w:val="clear" w:color="000000" w:fill="FFFFFF"/>
          </w:tcPr>
          <w:p w14:paraId="547BEBF7" w14:textId="77777777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000000" w:fill="FFFFFF"/>
          </w:tcPr>
          <w:p w14:paraId="311854D9" w14:textId="77777777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000000" w:fill="FFFFFF"/>
          </w:tcPr>
          <w:p w14:paraId="0D7BD4D0" w14:textId="06F80088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  <w:t>HR (95% CI)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000000" w:fill="FFFFFF"/>
          </w:tcPr>
          <w:p w14:paraId="629FEA14" w14:textId="7D9A8431" w:rsidR="009D7072" w:rsidRDefault="009D7072" w:rsidP="009D707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1D4775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  <w:t>HR (95% CI)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000000" w:fill="FFFFFF"/>
          </w:tcPr>
          <w:p w14:paraId="2BE3FC26" w14:textId="2BCE3441" w:rsidR="009D7072" w:rsidRDefault="009D7072" w:rsidP="009D707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1D4775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  <w:t>HR (95% CI)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000000" w:fill="FFFFFF"/>
          </w:tcPr>
          <w:p w14:paraId="644D1372" w14:textId="20B75D2F" w:rsidR="009D7072" w:rsidRDefault="009D7072" w:rsidP="009D707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1D4775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  <w:t>HR (95% CI)</w:t>
            </w:r>
          </w:p>
        </w:tc>
      </w:tr>
      <w:tr w:rsidR="009D7072" w:rsidRPr="0082018B" w14:paraId="52D5A430" w14:textId="77777777" w:rsidTr="009D7072">
        <w:trPr>
          <w:trHeight w:val="575"/>
        </w:trPr>
        <w:tc>
          <w:tcPr>
            <w:tcW w:w="2978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14:paraId="34DC0402" w14:textId="1CB4CA6D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82018B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  <w:t>Anxiety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000000" w:fill="FFFFFF"/>
          </w:tcPr>
          <w:p w14:paraId="7792806A" w14:textId="575DA6B3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1.37 (1.27, 1.47)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000000" w:fill="FFFFFF"/>
          </w:tcPr>
          <w:p w14:paraId="4A554B7B" w14:textId="3ED1123F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1.23 (1.15, 1.31)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000000" w:fill="FFFFFF"/>
          </w:tcPr>
          <w:p w14:paraId="453D99F4" w14:textId="75B5BFF8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1.14 (1.04, 1.25)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000000" w:fill="FFFFFF"/>
          </w:tcPr>
          <w:p w14:paraId="67481189" w14:textId="58927910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1.19 (1.05, 1.35)</w:t>
            </w:r>
          </w:p>
        </w:tc>
      </w:tr>
      <w:tr w:rsidR="009D7072" w:rsidRPr="0082018B" w14:paraId="48198E0E" w14:textId="77777777" w:rsidTr="009D7072">
        <w:trPr>
          <w:trHeight w:val="766"/>
        </w:trPr>
        <w:tc>
          <w:tcPr>
            <w:tcW w:w="2978" w:type="dxa"/>
            <w:gridSpan w:val="2"/>
            <w:shd w:val="clear" w:color="000000" w:fill="FFFFFF"/>
            <w:hideMark/>
          </w:tcPr>
          <w:p w14:paraId="0B65D1DF" w14:textId="65126CBE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82018B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  <w:t>Bipolar disorder</w:t>
            </w:r>
          </w:p>
        </w:tc>
        <w:tc>
          <w:tcPr>
            <w:tcW w:w="1704" w:type="dxa"/>
            <w:shd w:val="clear" w:color="000000" w:fill="FFFFFF"/>
          </w:tcPr>
          <w:p w14:paraId="5C311F0B" w14:textId="063B5147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1.58 (1.35, 1.85)</w:t>
            </w:r>
          </w:p>
        </w:tc>
        <w:tc>
          <w:tcPr>
            <w:tcW w:w="1704" w:type="dxa"/>
            <w:shd w:val="clear" w:color="000000" w:fill="FFFFFF"/>
          </w:tcPr>
          <w:p w14:paraId="6380CA53" w14:textId="2CA9CAF0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 (0.91, 1.24)</w:t>
            </w:r>
          </w:p>
        </w:tc>
        <w:tc>
          <w:tcPr>
            <w:tcW w:w="1704" w:type="dxa"/>
            <w:shd w:val="clear" w:color="000000" w:fill="FFFFFF"/>
          </w:tcPr>
          <w:p w14:paraId="5EDED07B" w14:textId="08DB313B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 (0.82, 1.23)</w:t>
            </w:r>
          </w:p>
        </w:tc>
        <w:tc>
          <w:tcPr>
            <w:tcW w:w="1706" w:type="dxa"/>
            <w:shd w:val="clear" w:color="000000" w:fill="FFFFFF"/>
          </w:tcPr>
          <w:p w14:paraId="24F0E1F7" w14:textId="5BFC6851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1.32 (1.02, 1.70)</w:t>
            </w:r>
          </w:p>
        </w:tc>
      </w:tr>
      <w:tr w:rsidR="009D7072" w:rsidRPr="0082018B" w14:paraId="5E831B39" w14:textId="77777777" w:rsidTr="009D7072">
        <w:trPr>
          <w:trHeight w:val="766"/>
        </w:trPr>
        <w:tc>
          <w:tcPr>
            <w:tcW w:w="2978" w:type="dxa"/>
            <w:gridSpan w:val="2"/>
            <w:shd w:val="clear" w:color="000000" w:fill="FFFFFF"/>
            <w:hideMark/>
          </w:tcPr>
          <w:p w14:paraId="160B9FC5" w14:textId="69169791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82018B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  <w:t>Depression</w:t>
            </w:r>
          </w:p>
        </w:tc>
        <w:tc>
          <w:tcPr>
            <w:tcW w:w="1704" w:type="dxa"/>
            <w:shd w:val="clear" w:color="000000" w:fill="FFFFFF"/>
          </w:tcPr>
          <w:p w14:paraId="56FCFE97" w14:textId="7D3ADAFE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 (1.03, 1.32)</w:t>
            </w:r>
          </w:p>
        </w:tc>
        <w:tc>
          <w:tcPr>
            <w:tcW w:w="1704" w:type="dxa"/>
            <w:shd w:val="clear" w:color="000000" w:fill="FFFFFF"/>
          </w:tcPr>
          <w:p w14:paraId="42BFBF45" w14:textId="55F02DDF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0.98 (0.87, 1.09)</w:t>
            </w:r>
          </w:p>
        </w:tc>
        <w:tc>
          <w:tcPr>
            <w:tcW w:w="1704" w:type="dxa"/>
            <w:shd w:val="clear" w:color="000000" w:fill="FFFFFF"/>
          </w:tcPr>
          <w:p w14:paraId="5119A0CB" w14:textId="7A1C978E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 (1.04, 1.38)</w:t>
            </w:r>
          </w:p>
        </w:tc>
        <w:tc>
          <w:tcPr>
            <w:tcW w:w="1706" w:type="dxa"/>
            <w:shd w:val="clear" w:color="000000" w:fill="FFFFFF"/>
          </w:tcPr>
          <w:p w14:paraId="5F3A66B5" w14:textId="35EF10BB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 (0.85, 1.25)</w:t>
            </w:r>
          </w:p>
        </w:tc>
      </w:tr>
      <w:tr w:rsidR="009D7072" w:rsidRPr="0082018B" w14:paraId="0012AECF" w14:textId="77777777" w:rsidTr="009D7072">
        <w:trPr>
          <w:trHeight w:val="862"/>
        </w:trPr>
        <w:tc>
          <w:tcPr>
            <w:tcW w:w="2978" w:type="dxa"/>
            <w:gridSpan w:val="2"/>
            <w:shd w:val="clear" w:color="000000" w:fill="FFFFFF"/>
            <w:hideMark/>
          </w:tcPr>
          <w:p w14:paraId="45C91A92" w14:textId="41810D88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82018B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  <w:t>Schizophrenia spectrum disorder</w:t>
            </w:r>
          </w:p>
        </w:tc>
        <w:tc>
          <w:tcPr>
            <w:tcW w:w="1704" w:type="dxa"/>
            <w:shd w:val="clear" w:color="000000" w:fill="FFFFFF"/>
          </w:tcPr>
          <w:p w14:paraId="4F0D36B1" w14:textId="2F61B060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1.18 (0.97, 1.42)</w:t>
            </w:r>
          </w:p>
        </w:tc>
        <w:tc>
          <w:tcPr>
            <w:tcW w:w="1704" w:type="dxa"/>
            <w:shd w:val="clear" w:color="000000" w:fill="FFFFFF"/>
          </w:tcPr>
          <w:p w14:paraId="48F81478" w14:textId="51B80F91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 (0.94, 1.31)</w:t>
            </w:r>
          </w:p>
        </w:tc>
        <w:tc>
          <w:tcPr>
            <w:tcW w:w="1704" w:type="dxa"/>
            <w:shd w:val="clear" w:color="000000" w:fill="FFFFFF"/>
          </w:tcPr>
          <w:p w14:paraId="70361635" w14:textId="1D3A0C76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1.25 (1.02, 1.54)</w:t>
            </w:r>
          </w:p>
        </w:tc>
        <w:tc>
          <w:tcPr>
            <w:tcW w:w="1706" w:type="dxa"/>
            <w:shd w:val="clear" w:color="000000" w:fill="FFFFFF"/>
          </w:tcPr>
          <w:p w14:paraId="65FEEE8E" w14:textId="56FCDC17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1.19 (0.94, 1.51)</w:t>
            </w:r>
          </w:p>
        </w:tc>
      </w:tr>
      <w:tr w:rsidR="009D7072" w:rsidRPr="0082018B" w14:paraId="75251983" w14:textId="77777777" w:rsidTr="009D7072">
        <w:trPr>
          <w:trHeight w:val="575"/>
        </w:trPr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14:paraId="1F5CF859" w14:textId="352C12E0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82018B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GB"/>
              </w:rPr>
              <w:t>Suicidal behaviour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000000" w:fill="FFFFFF"/>
          </w:tcPr>
          <w:p w14:paraId="4CB025A1" w14:textId="3D94344C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 (0.90, 1.27)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000000" w:fill="FFFFFF"/>
          </w:tcPr>
          <w:p w14:paraId="1CA06D47" w14:textId="79A72E8F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 (0.88, 1.19)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000000" w:fill="FFFFFF"/>
          </w:tcPr>
          <w:p w14:paraId="518D03D3" w14:textId="1DB213D2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1.14 (0.93, 1.40)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000000" w:fill="FFFFFF"/>
          </w:tcPr>
          <w:p w14:paraId="29D896FC" w14:textId="53AF1A1B" w:rsidR="009D7072" w:rsidRPr="0082018B" w:rsidRDefault="009D7072" w:rsidP="009D707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0.98 (0.72, 1.34)</w:t>
            </w:r>
          </w:p>
        </w:tc>
      </w:tr>
    </w:tbl>
    <w:p w14:paraId="7EDE4E86" w14:textId="44E8E5B4" w:rsidR="00C23F7F" w:rsidRDefault="00084261">
      <w:pPr>
        <w:rPr>
          <w:rFonts w:asciiTheme="majorHAnsi" w:hAnsiTheme="majorHAnsi" w:cstheme="majorHAnsi"/>
          <w:lang w:val="en-GB"/>
        </w:rPr>
      </w:pPr>
      <w:r w:rsidRPr="0082018B">
        <w:rPr>
          <w:rFonts w:asciiTheme="majorHAnsi" w:hAnsiTheme="majorHAnsi" w:cstheme="majorHAnsi"/>
          <w:lang w:val="en-GB"/>
        </w:rPr>
        <w:br w:type="page"/>
      </w:r>
    </w:p>
    <w:p w14:paraId="35C101C2" w14:textId="4C855EBF" w:rsidR="000406E4" w:rsidRDefault="000406E4">
      <w:pPr>
        <w:rPr>
          <w:rFonts w:asciiTheme="majorHAnsi" w:hAnsiTheme="majorHAnsi" w:cstheme="majorHAnsi"/>
          <w:lang w:val="en-GB"/>
        </w:rPr>
      </w:pPr>
    </w:p>
    <w:p w14:paraId="33909C9B" w14:textId="74656617" w:rsidR="00130058" w:rsidRPr="00130058" w:rsidRDefault="00130058" w:rsidP="00130058">
      <w:pPr>
        <w:pStyle w:val="Heading2"/>
        <w:rPr>
          <w:color w:val="auto"/>
          <w:lang w:val="en-GB"/>
        </w:rPr>
      </w:pPr>
      <w:bookmarkStart w:id="13" w:name="_Toc193291669"/>
      <w:r w:rsidRPr="00130058">
        <w:rPr>
          <w:color w:val="auto"/>
          <w:lang w:val="en-GB"/>
        </w:rPr>
        <w:t>Table S10. Associations of glucocorticoid treatment with the risk of psychiatric and suicidal behaviour outcomes at low, medium, and high average dosage</w:t>
      </w:r>
      <w:bookmarkEnd w:id="13"/>
    </w:p>
    <w:tbl>
      <w:tblPr>
        <w:tblW w:w="9820" w:type="dxa"/>
        <w:tblLook w:val="04A0" w:firstRow="1" w:lastRow="0" w:firstColumn="1" w:lastColumn="0" w:noHBand="0" w:noVBand="1"/>
      </w:tblPr>
      <w:tblGrid>
        <w:gridCol w:w="1738"/>
        <w:gridCol w:w="2694"/>
        <w:gridCol w:w="2694"/>
        <w:gridCol w:w="2694"/>
      </w:tblGrid>
      <w:tr w:rsidR="000406E4" w:rsidRPr="004963BF" w14:paraId="2598A2D9" w14:textId="77777777" w:rsidTr="00863629">
        <w:trPr>
          <w:trHeight w:val="590"/>
        </w:trPr>
        <w:tc>
          <w:tcPr>
            <w:tcW w:w="17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1DD51E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85A1AF" w14:textId="77777777" w:rsidR="000406E4" w:rsidRDefault="000406E4" w:rsidP="00863629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Dosage</w:t>
            </w:r>
          </w:p>
        </w:tc>
      </w:tr>
      <w:tr w:rsidR="000406E4" w:rsidRPr="004963BF" w14:paraId="483E342A" w14:textId="77777777" w:rsidTr="00863629">
        <w:trPr>
          <w:trHeight w:val="443"/>
        </w:trPr>
        <w:tc>
          <w:tcPr>
            <w:tcW w:w="17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AC245D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4485F6" w14:textId="77777777" w:rsidR="000406E4" w:rsidRDefault="000406E4" w:rsidP="0086362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Low</w:t>
            </w:r>
          </w:p>
          <w:p w14:paraId="45FBF334" w14:textId="305142C8" w:rsidR="00410555" w:rsidRPr="004963BF" w:rsidRDefault="00410555" w:rsidP="0086362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1055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&lt;0.5 DDDs/day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D0941C" w14:textId="77777777" w:rsidR="000406E4" w:rsidRDefault="000406E4" w:rsidP="0086362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Medium</w:t>
            </w:r>
          </w:p>
          <w:p w14:paraId="6DADEFA0" w14:textId="2AE12238" w:rsidR="00410555" w:rsidRPr="004963BF" w:rsidRDefault="00410555" w:rsidP="0086362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1055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0.5-1.5 DDDs</w:t>
            </w:r>
            <w:r w:rsidRPr="0041055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/day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ECC8D4" w14:textId="77777777" w:rsidR="000406E4" w:rsidRDefault="000406E4" w:rsidP="0086362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High</w:t>
            </w:r>
          </w:p>
          <w:p w14:paraId="44CEAFE1" w14:textId="564E6F79" w:rsidR="00410555" w:rsidRPr="004963BF" w:rsidRDefault="00410555" w:rsidP="0086362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1055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&gt;1.5 DDDs</w:t>
            </w:r>
            <w:r w:rsidRPr="0041055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/day</w:t>
            </w:r>
          </w:p>
        </w:tc>
      </w:tr>
      <w:tr w:rsidR="000406E4" w:rsidRPr="004963BF" w14:paraId="256EDE90" w14:textId="77777777" w:rsidTr="00863629">
        <w:trPr>
          <w:trHeight w:val="443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3F88A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963B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29256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778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/>
              </w:rPr>
              <w:t>HR (95% CI)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4BCAB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778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/>
              </w:rPr>
              <w:t>HR (95% CI)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6B447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778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/>
              </w:rPr>
              <w:t>HR (95% CI)</w:t>
            </w:r>
          </w:p>
        </w:tc>
      </w:tr>
      <w:tr w:rsidR="000406E4" w:rsidRPr="004963BF" w14:paraId="5873F8B0" w14:textId="77777777" w:rsidTr="00863629">
        <w:trPr>
          <w:trHeight w:val="443"/>
        </w:trPr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FAD4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86E3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Anxie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</w:t>
            </w:r>
            <w:r w:rsidRPr="00D86E3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598D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63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1.19 (1.12, 1.26)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5B74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63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1.38 (1.26, 1.51)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33E6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63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1.40 (1.22, 1.61)</w:t>
            </w:r>
          </w:p>
        </w:tc>
      </w:tr>
      <w:tr w:rsidR="000406E4" w:rsidRPr="004963BF" w14:paraId="5B249DB4" w14:textId="77777777" w:rsidTr="00863629">
        <w:trPr>
          <w:trHeight w:val="443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54C5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86E3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/>
              </w:rPr>
              <w:t>Bipolar disorder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0BCA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63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1.13 (1.01, 1.27)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38E6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63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 (1.17, 1.71)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9456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63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1.59 (1.18, 2.15)</w:t>
            </w:r>
          </w:p>
        </w:tc>
      </w:tr>
      <w:tr w:rsidR="000406E4" w:rsidRPr="004963BF" w14:paraId="26D0B7C8" w14:textId="77777777" w:rsidTr="00863629">
        <w:trPr>
          <w:trHeight w:val="443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E2E6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86E3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/>
              </w:rPr>
              <w:t>Depression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6999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63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1.06 (0.97, 1.15)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D677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63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1.13 (0.97, 1.32)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82CD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63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1.15 (0.92, 1.44)</w:t>
            </w:r>
          </w:p>
        </w:tc>
      </w:tr>
      <w:tr w:rsidR="000406E4" w:rsidRPr="004963BF" w14:paraId="53A5FE71" w14:textId="77777777" w:rsidTr="00863629">
        <w:trPr>
          <w:trHeight w:val="443"/>
        </w:trPr>
        <w:tc>
          <w:tcPr>
            <w:tcW w:w="17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4E2C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86E3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/>
              </w:rPr>
              <w:t>Psychotic disorder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B1A4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63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1.16 (1.02, 1.31)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E19B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63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1.25 (1.01, 1.54)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C90E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63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1.06 (0.73, 1.56)</w:t>
            </w:r>
          </w:p>
        </w:tc>
      </w:tr>
      <w:tr w:rsidR="000406E4" w:rsidRPr="004963BF" w14:paraId="082CF304" w14:textId="77777777" w:rsidTr="00410555">
        <w:trPr>
          <w:trHeight w:val="443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F25AC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86E3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/>
              </w:rPr>
              <w:t>Suicidal behaviour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4EB30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63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1.03 (0.91, 1.17)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F50A7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63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1.12 (0.92, 1.38)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5E3B2" w14:textId="77777777" w:rsidR="000406E4" w:rsidRPr="004963BF" w:rsidRDefault="000406E4" w:rsidP="00863629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963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 (0.78, 1.51)</w:t>
            </w:r>
          </w:p>
        </w:tc>
      </w:tr>
      <w:tr w:rsidR="00410555" w:rsidRPr="004963BF" w14:paraId="72E61C62" w14:textId="77777777" w:rsidTr="00410555">
        <w:trPr>
          <w:trHeight w:val="480"/>
        </w:trPr>
        <w:tc>
          <w:tcPr>
            <w:tcW w:w="982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8B3111" w14:textId="3646DCCA" w:rsidR="00410555" w:rsidRPr="004963BF" w:rsidRDefault="00410555" w:rsidP="00863629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1816B3EA" w14:textId="3A00E915" w:rsidR="000406E4" w:rsidRPr="0082018B" w:rsidRDefault="000406E4">
      <w:pPr>
        <w:rPr>
          <w:rFonts w:asciiTheme="majorHAnsi" w:hAnsiTheme="majorHAnsi" w:cstheme="majorHAnsi"/>
          <w:lang w:val="en-GB"/>
        </w:rPr>
      </w:pPr>
    </w:p>
    <w:p w14:paraId="29B11676" w14:textId="2A494CAC" w:rsidR="008A6626" w:rsidRDefault="008A6626">
      <w:pPr>
        <w:rPr>
          <w:rFonts w:asciiTheme="majorHAnsi" w:hAnsiTheme="majorHAnsi" w:cstheme="majorHAnsi"/>
          <w:lang w:val="en-GB"/>
        </w:rPr>
      </w:pPr>
    </w:p>
    <w:p w14:paraId="590F22C6" w14:textId="47CE67AE" w:rsidR="00F51BE6" w:rsidRDefault="00F51BE6">
      <w:pPr>
        <w:rPr>
          <w:rFonts w:asciiTheme="majorHAnsi" w:hAnsiTheme="majorHAnsi" w:cstheme="majorHAnsi"/>
          <w:lang w:val="en-GB"/>
        </w:rPr>
      </w:pPr>
    </w:p>
    <w:p w14:paraId="546C666F" w14:textId="5C434F2B" w:rsidR="00F51BE6" w:rsidRDefault="00F51BE6">
      <w:pPr>
        <w:rPr>
          <w:rFonts w:asciiTheme="majorHAnsi" w:hAnsiTheme="majorHAnsi" w:cstheme="majorHAnsi"/>
          <w:lang w:val="en-GB"/>
        </w:rPr>
      </w:pPr>
    </w:p>
    <w:p w14:paraId="1D411AB6" w14:textId="52C8BC00" w:rsidR="00F51BE6" w:rsidRDefault="00F51BE6">
      <w:pPr>
        <w:rPr>
          <w:rFonts w:asciiTheme="majorHAnsi" w:hAnsiTheme="majorHAnsi" w:cstheme="majorHAnsi"/>
          <w:lang w:val="en-GB"/>
        </w:rPr>
      </w:pPr>
    </w:p>
    <w:p w14:paraId="79E11F18" w14:textId="38F5DC57" w:rsidR="00F51BE6" w:rsidRDefault="00F51BE6">
      <w:pPr>
        <w:rPr>
          <w:rFonts w:asciiTheme="majorHAnsi" w:hAnsiTheme="majorHAnsi" w:cstheme="majorHAnsi"/>
          <w:lang w:val="en-GB"/>
        </w:rPr>
      </w:pPr>
    </w:p>
    <w:p w14:paraId="4B12D5F7" w14:textId="3B82F78F" w:rsidR="00F51BE6" w:rsidRDefault="00F51BE6">
      <w:pPr>
        <w:rPr>
          <w:rFonts w:asciiTheme="majorHAnsi" w:hAnsiTheme="majorHAnsi" w:cstheme="majorHAnsi"/>
          <w:lang w:val="en-GB"/>
        </w:rPr>
      </w:pPr>
    </w:p>
    <w:p w14:paraId="2A5FF7DA" w14:textId="77777777" w:rsidR="00F51BE6" w:rsidRDefault="00F51BE6">
      <w:pPr>
        <w:rPr>
          <w:rFonts w:asciiTheme="majorHAnsi" w:hAnsiTheme="majorHAnsi" w:cstheme="majorHAnsi"/>
          <w:lang w:val="en-GB"/>
        </w:rPr>
      </w:pPr>
    </w:p>
    <w:p w14:paraId="3E6A028D" w14:textId="207889AA" w:rsidR="00254BC8" w:rsidRDefault="00254BC8">
      <w:pPr>
        <w:rPr>
          <w:rFonts w:asciiTheme="majorHAnsi" w:hAnsiTheme="majorHAnsi" w:cstheme="majorHAnsi"/>
          <w:lang w:val="en-GB"/>
        </w:rPr>
      </w:pPr>
    </w:p>
    <w:p w14:paraId="36FF777A" w14:textId="5B73A23D" w:rsidR="008A6626" w:rsidRPr="000F5133" w:rsidRDefault="000435DC" w:rsidP="000F5133">
      <w:pPr>
        <w:pStyle w:val="Heading2"/>
        <w:rPr>
          <w:color w:val="auto"/>
          <w:lang w:val="en-GB"/>
        </w:rPr>
      </w:pPr>
      <w:bookmarkStart w:id="14" w:name="_Toc193291670"/>
      <w:r>
        <w:rPr>
          <w:color w:val="auto"/>
          <w:lang w:val="en-GB"/>
        </w:rPr>
        <w:lastRenderedPageBreak/>
        <w:t>Table S11</w:t>
      </w:r>
      <w:r w:rsidR="008A6626" w:rsidRPr="000F5133">
        <w:rPr>
          <w:color w:val="auto"/>
          <w:lang w:val="en-GB"/>
        </w:rPr>
        <w:t xml:space="preserve">. </w:t>
      </w:r>
      <w:r w:rsidR="000337BA" w:rsidRPr="000F5133">
        <w:rPr>
          <w:color w:val="auto"/>
          <w:lang w:val="en-GB"/>
        </w:rPr>
        <w:t>Psychiatric and suicidal b</w:t>
      </w:r>
      <w:r w:rsidR="00F2560A" w:rsidRPr="000F5133">
        <w:rPr>
          <w:color w:val="auto"/>
          <w:lang w:val="en-GB"/>
        </w:rPr>
        <w:t>ehaviour</w:t>
      </w:r>
      <w:r w:rsidR="000337BA" w:rsidRPr="000F5133">
        <w:rPr>
          <w:color w:val="auto"/>
          <w:lang w:val="en-GB"/>
        </w:rPr>
        <w:t xml:space="preserve"> outcomes in </w:t>
      </w:r>
      <w:r w:rsidR="00C61538" w:rsidRPr="000F5133">
        <w:rPr>
          <w:color w:val="auto"/>
          <w:lang w:val="en-GB"/>
        </w:rPr>
        <w:t>individuals dispensed a glucocorticoid</w:t>
      </w:r>
      <w:r w:rsidR="000337BA" w:rsidRPr="000F5133">
        <w:rPr>
          <w:color w:val="auto"/>
          <w:lang w:val="en-GB"/>
        </w:rPr>
        <w:t xml:space="preserve"> (medication-only cohort) using a within-individual analysis </w:t>
      </w:r>
      <w:r w:rsidR="008A6626" w:rsidRPr="000F5133">
        <w:rPr>
          <w:color w:val="auto"/>
          <w:lang w:val="en-GB"/>
        </w:rPr>
        <w:t>in the data linkage covering 2006-2020, compared to the data linkage covering 2006-2013 only</w:t>
      </w:r>
      <w:bookmarkEnd w:id="14"/>
    </w:p>
    <w:tbl>
      <w:tblPr>
        <w:tblW w:w="11409" w:type="dxa"/>
        <w:tblLook w:val="04A0" w:firstRow="1" w:lastRow="0" w:firstColumn="1" w:lastColumn="0" w:noHBand="0" w:noVBand="1"/>
      </w:tblPr>
      <w:tblGrid>
        <w:gridCol w:w="4142"/>
        <w:gridCol w:w="3645"/>
        <w:gridCol w:w="3622"/>
      </w:tblGrid>
      <w:tr w:rsidR="00A65941" w:rsidRPr="00A02A75" w14:paraId="63F60513" w14:textId="1C75FD8D" w:rsidTr="00461AA2">
        <w:trPr>
          <w:trHeight w:val="588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F79A" w14:textId="77777777" w:rsidR="002B2C6B" w:rsidRPr="00A02A75" w:rsidRDefault="002B2C6B" w:rsidP="00461AA2">
            <w:pPr>
              <w:spacing w:after="0"/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E3F29" w14:textId="5B98AAFF" w:rsidR="002B2C6B" w:rsidRPr="00A02A75" w:rsidRDefault="002B2C6B" w:rsidP="00461AA2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02A7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  <w:t>Data linkage 2006-2</w:t>
            </w:r>
            <w:r w:rsidR="00E322FF" w:rsidRPr="00A02A7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  <w:t>0</w:t>
            </w:r>
            <w:r w:rsidRPr="00A02A7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  <w:t>20</w:t>
            </w:r>
          </w:p>
          <w:p w14:paraId="4B5A5830" w14:textId="777C4BF3" w:rsidR="002B2C6B" w:rsidRPr="00A02A75" w:rsidRDefault="001E5195" w:rsidP="00A02A75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02A7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  <w:t>(N=</w:t>
            </w:r>
            <w:r w:rsidR="00A02A75" w:rsidRPr="00A02A7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A02A75" w:rsidRPr="00A02A7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  <w:t>1,105,964</w:t>
            </w:r>
            <w:r w:rsidR="002B2C6B" w:rsidRPr="00A02A7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F6FF9" w14:textId="77777777" w:rsidR="002B2C6B" w:rsidRPr="00A02A75" w:rsidRDefault="002B2C6B" w:rsidP="00461AA2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02A7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  <w:t>Data linkage 2006-2013</w:t>
            </w:r>
          </w:p>
          <w:p w14:paraId="758CBDFF" w14:textId="59FE4E6D" w:rsidR="002B2C6B" w:rsidRPr="00A02A75" w:rsidRDefault="002B2C6B" w:rsidP="00461AA2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02A7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  <w:t>(N=</w:t>
            </w:r>
            <w:r w:rsidR="00A02A75" w:rsidRPr="00A02A7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  <w:t>680,215</w:t>
            </w:r>
            <w:r w:rsidRPr="00A02A7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  <w:t>)</w:t>
            </w:r>
          </w:p>
        </w:tc>
      </w:tr>
      <w:tr w:rsidR="00A65941" w:rsidRPr="00A02A75" w14:paraId="0BA3D162" w14:textId="3361CD2F" w:rsidTr="00461AA2">
        <w:trPr>
          <w:trHeight w:val="616"/>
        </w:trPr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D895C" w14:textId="77777777" w:rsidR="002B2C6B" w:rsidRPr="00A02A75" w:rsidRDefault="002B2C6B" w:rsidP="00461AA2">
            <w:pPr>
              <w:spacing w:after="0"/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59D65" w14:textId="3341FB8B" w:rsidR="002B2C6B" w:rsidRPr="00A02A75" w:rsidRDefault="002B2C6B" w:rsidP="00461AA2">
            <w:pPr>
              <w:spacing w:after="0"/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</w:pPr>
            <w:r w:rsidRPr="00A02A75"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  <w:t> </w:t>
            </w:r>
            <w:r w:rsidRPr="00A02A7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  <w:t>HR (95% CI)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94D21" w14:textId="26A3BA63" w:rsidR="002B2C6B" w:rsidRPr="00A02A75" w:rsidRDefault="002B2C6B" w:rsidP="00461AA2">
            <w:pPr>
              <w:spacing w:after="0"/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</w:pPr>
            <w:r w:rsidRPr="00A02A75"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  <w:t> </w:t>
            </w:r>
            <w:r w:rsidRPr="00A02A7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  <w:t>HR (95% CI)</w:t>
            </w:r>
          </w:p>
        </w:tc>
      </w:tr>
      <w:tr w:rsidR="00A02A75" w:rsidRPr="00A02A75" w14:paraId="0CAF0D08" w14:textId="61E0C8A6" w:rsidTr="00A02A75">
        <w:trPr>
          <w:trHeight w:val="246"/>
        </w:trPr>
        <w:tc>
          <w:tcPr>
            <w:tcW w:w="414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6A45E17" w14:textId="77777777" w:rsidR="00A02A75" w:rsidRPr="00A02A75" w:rsidRDefault="00A02A75" w:rsidP="00A02A75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02A7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  <w:t>Anxiety disorders</w:t>
            </w:r>
          </w:p>
        </w:tc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</w:tcPr>
          <w:p w14:paraId="4F2D01E8" w14:textId="01CDA04C" w:rsidR="00A02A75" w:rsidRPr="00A02A75" w:rsidRDefault="00A02A75" w:rsidP="00A02A7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A75">
              <w:rPr>
                <w:rFonts w:ascii="Calibri" w:hAnsi="Calibri" w:cs="Calibri"/>
                <w:color w:val="000000"/>
                <w:sz w:val="22"/>
                <w:szCs w:val="22"/>
              </w:rPr>
              <w:t>1.25 (1.20, 1.31)</w:t>
            </w:r>
          </w:p>
        </w:tc>
        <w:tc>
          <w:tcPr>
            <w:tcW w:w="3622" w:type="dxa"/>
            <w:tcBorders>
              <w:top w:val="single" w:sz="4" w:space="0" w:color="auto"/>
            </w:tcBorders>
            <w:shd w:val="clear" w:color="auto" w:fill="auto"/>
          </w:tcPr>
          <w:p w14:paraId="077E6418" w14:textId="4413520B" w:rsidR="00A02A75" w:rsidRPr="00A02A75" w:rsidRDefault="00A02A75" w:rsidP="00A02A7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A75">
              <w:rPr>
                <w:rFonts w:ascii="Calibri" w:hAnsi="Calibri" w:cs="Calibri"/>
                <w:color w:val="000000"/>
                <w:sz w:val="22"/>
                <w:szCs w:val="22"/>
              </w:rPr>
              <w:t>1.36 (1.25, 1.49)</w:t>
            </w:r>
          </w:p>
        </w:tc>
      </w:tr>
      <w:tr w:rsidR="00A02A75" w:rsidRPr="00A02A75" w14:paraId="414FAB58" w14:textId="16D2B3C1" w:rsidTr="00A02A75">
        <w:trPr>
          <w:trHeight w:val="260"/>
        </w:trPr>
        <w:tc>
          <w:tcPr>
            <w:tcW w:w="4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293A707" w14:textId="77777777" w:rsidR="00A02A75" w:rsidRPr="00A02A75" w:rsidRDefault="00A02A75" w:rsidP="00A02A75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02A7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  <w:t>Bipolar disorders</w:t>
            </w:r>
          </w:p>
        </w:tc>
        <w:tc>
          <w:tcPr>
            <w:tcW w:w="3645" w:type="dxa"/>
            <w:shd w:val="clear" w:color="auto" w:fill="auto"/>
          </w:tcPr>
          <w:p w14:paraId="6DC1DD32" w14:textId="1CBF3BD8" w:rsidR="00A02A75" w:rsidRPr="00A02A75" w:rsidRDefault="00A02A75" w:rsidP="00A02A7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A75">
              <w:rPr>
                <w:rFonts w:ascii="Calibri" w:hAnsi="Calibri" w:cs="Calibri"/>
                <w:color w:val="000000"/>
                <w:sz w:val="22"/>
                <w:szCs w:val="22"/>
              </w:rPr>
              <w:t>1.23 (1.12, 1.36)</w:t>
            </w:r>
          </w:p>
        </w:tc>
        <w:tc>
          <w:tcPr>
            <w:tcW w:w="3622" w:type="dxa"/>
            <w:shd w:val="clear" w:color="auto" w:fill="auto"/>
          </w:tcPr>
          <w:p w14:paraId="2C46AE15" w14:textId="42C4D2C8" w:rsidR="00A02A75" w:rsidRPr="00A02A75" w:rsidRDefault="00A02A75" w:rsidP="00A02A7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A75">
              <w:rPr>
                <w:rFonts w:ascii="Calibri" w:hAnsi="Calibri" w:cs="Calibri"/>
                <w:color w:val="000000"/>
                <w:sz w:val="22"/>
                <w:szCs w:val="22"/>
              </w:rPr>
              <w:t>1.37 (1.11, 1.71)</w:t>
            </w:r>
          </w:p>
        </w:tc>
      </w:tr>
      <w:tr w:rsidR="00A02A75" w:rsidRPr="00A02A75" w14:paraId="0BC28743" w14:textId="2E913399" w:rsidTr="00A02A75">
        <w:trPr>
          <w:trHeight w:val="152"/>
        </w:trPr>
        <w:tc>
          <w:tcPr>
            <w:tcW w:w="4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86D2344" w14:textId="77777777" w:rsidR="00A02A75" w:rsidRPr="00A02A75" w:rsidRDefault="00A02A75" w:rsidP="00A02A75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02A7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  <w:t>Depressive disorders</w:t>
            </w:r>
          </w:p>
        </w:tc>
        <w:tc>
          <w:tcPr>
            <w:tcW w:w="3645" w:type="dxa"/>
            <w:shd w:val="clear" w:color="auto" w:fill="auto"/>
          </w:tcPr>
          <w:p w14:paraId="4ABE90B7" w14:textId="756DC02C" w:rsidR="00A02A75" w:rsidRPr="00A02A75" w:rsidRDefault="00A02A75" w:rsidP="00A02A7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A75">
              <w:rPr>
                <w:rFonts w:ascii="Calibri" w:hAnsi="Calibri" w:cs="Calibri"/>
                <w:color w:val="000000"/>
                <w:sz w:val="22"/>
                <w:szCs w:val="22"/>
              </w:rPr>
              <w:t>1.08 (1.00, 1.16)</w:t>
            </w:r>
          </w:p>
        </w:tc>
        <w:tc>
          <w:tcPr>
            <w:tcW w:w="3622" w:type="dxa"/>
            <w:shd w:val="clear" w:color="auto" w:fill="auto"/>
          </w:tcPr>
          <w:p w14:paraId="13753180" w14:textId="6A58D0F7" w:rsidR="00A02A75" w:rsidRPr="00A02A75" w:rsidRDefault="00A02A75" w:rsidP="00A02A7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A75">
              <w:rPr>
                <w:rFonts w:ascii="Calibri" w:hAnsi="Calibri" w:cs="Calibri"/>
                <w:color w:val="000000"/>
                <w:sz w:val="22"/>
                <w:szCs w:val="22"/>
              </w:rPr>
              <w:t>1.06 (0.92, 1.23)</w:t>
            </w:r>
          </w:p>
        </w:tc>
      </w:tr>
      <w:tr w:rsidR="00A02A75" w:rsidRPr="00A02A75" w14:paraId="4C56CEB9" w14:textId="11F8C8D4" w:rsidTr="00A02A75">
        <w:trPr>
          <w:trHeight w:val="80"/>
        </w:trPr>
        <w:tc>
          <w:tcPr>
            <w:tcW w:w="4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CBD375" w14:textId="77777777" w:rsidR="00A02A75" w:rsidRPr="00A02A75" w:rsidRDefault="00A02A75" w:rsidP="00A02A75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02A7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  <w:t>Schizophrenia-spectrum disorders</w:t>
            </w:r>
          </w:p>
        </w:tc>
        <w:tc>
          <w:tcPr>
            <w:tcW w:w="3645" w:type="dxa"/>
            <w:shd w:val="clear" w:color="auto" w:fill="auto"/>
          </w:tcPr>
          <w:p w14:paraId="73A2EC79" w14:textId="51861404" w:rsidR="00A02A75" w:rsidRPr="00A02A75" w:rsidRDefault="00A02A75" w:rsidP="00A02A7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A75">
              <w:rPr>
                <w:rFonts w:ascii="Calibri" w:hAnsi="Calibri" w:cs="Calibri"/>
                <w:color w:val="000000"/>
                <w:sz w:val="22"/>
                <w:szCs w:val="22"/>
              </w:rPr>
              <w:t>1.17 (1.05, 1.30)</w:t>
            </w:r>
          </w:p>
        </w:tc>
        <w:tc>
          <w:tcPr>
            <w:tcW w:w="3622" w:type="dxa"/>
            <w:shd w:val="clear" w:color="auto" w:fill="auto"/>
          </w:tcPr>
          <w:p w14:paraId="103D31E1" w14:textId="7618555F" w:rsidR="00A02A75" w:rsidRPr="00A02A75" w:rsidRDefault="00A02A75" w:rsidP="00A02A7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A75">
              <w:rPr>
                <w:rFonts w:ascii="Calibri" w:hAnsi="Calibri" w:cs="Calibri"/>
                <w:color w:val="000000"/>
                <w:sz w:val="22"/>
                <w:szCs w:val="22"/>
              </w:rPr>
              <w:t>0.93 (0.73, 1.20)</w:t>
            </w:r>
          </w:p>
        </w:tc>
      </w:tr>
      <w:tr w:rsidR="00A02A75" w:rsidRPr="00A02A75" w14:paraId="0222BD9C" w14:textId="16AF3572" w:rsidTr="00A02A75">
        <w:trPr>
          <w:trHeight w:val="252"/>
        </w:trPr>
        <w:tc>
          <w:tcPr>
            <w:tcW w:w="414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9457748" w14:textId="124D479E" w:rsidR="00A02A75" w:rsidRPr="00A02A75" w:rsidRDefault="00A02A75" w:rsidP="00A02A75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A02A75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/>
              </w:rPr>
              <w:t>Suicidal behaviour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46212F5C" w14:textId="57E8B77F" w:rsidR="00A02A75" w:rsidRPr="00A02A75" w:rsidRDefault="00A02A75" w:rsidP="00A02A7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A75">
              <w:rPr>
                <w:rFonts w:ascii="Calibri" w:hAnsi="Calibri" w:cs="Calibri"/>
                <w:color w:val="000000"/>
                <w:sz w:val="22"/>
                <w:szCs w:val="22"/>
              </w:rPr>
              <w:t>1.06 (0.96, 1.17)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shd w:val="clear" w:color="auto" w:fill="auto"/>
          </w:tcPr>
          <w:p w14:paraId="5AA20C70" w14:textId="6037F800" w:rsidR="00A02A75" w:rsidRPr="00A02A75" w:rsidRDefault="00A02A75" w:rsidP="00A02A7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A75">
              <w:rPr>
                <w:rFonts w:ascii="Calibri" w:hAnsi="Calibri" w:cs="Calibri"/>
                <w:color w:val="000000"/>
                <w:sz w:val="22"/>
                <w:szCs w:val="22"/>
              </w:rPr>
              <w:t>1.11 (0.94, 1.31)</w:t>
            </w:r>
          </w:p>
        </w:tc>
      </w:tr>
    </w:tbl>
    <w:p w14:paraId="745A6D1B" w14:textId="3854087F" w:rsidR="008A6626" w:rsidRPr="0082018B" w:rsidRDefault="008A6626">
      <w:pPr>
        <w:rPr>
          <w:rFonts w:asciiTheme="majorHAnsi" w:eastAsiaTheme="majorEastAsia" w:hAnsiTheme="majorHAnsi" w:cstheme="majorHAnsi"/>
          <w:b/>
          <w:bCs/>
          <w:sz w:val="28"/>
          <w:szCs w:val="28"/>
          <w:lang w:val="en-GB"/>
        </w:rPr>
      </w:pPr>
    </w:p>
    <w:p w14:paraId="0AD6B85F" w14:textId="5B367FB6" w:rsidR="008A6626" w:rsidRPr="0082018B" w:rsidRDefault="008A6626">
      <w:pPr>
        <w:rPr>
          <w:rFonts w:asciiTheme="majorHAnsi" w:eastAsiaTheme="majorEastAsia" w:hAnsiTheme="majorHAnsi" w:cstheme="majorHAnsi"/>
          <w:b/>
          <w:bCs/>
          <w:sz w:val="28"/>
          <w:szCs w:val="28"/>
          <w:lang w:val="en-GB"/>
        </w:rPr>
      </w:pPr>
    </w:p>
    <w:p w14:paraId="54CE57DC" w14:textId="641443AA" w:rsidR="002F7E7B" w:rsidRPr="0082018B" w:rsidRDefault="002F7E7B">
      <w:pPr>
        <w:rPr>
          <w:rFonts w:asciiTheme="majorHAnsi" w:eastAsiaTheme="majorEastAsia" w:hAnsiTheme="majorHAnsi" w:cstheme="majorHAnsi"/>
          <w:b/>
          <w:bCs/>
          <w:sz w:val="28"/>
          <w:szCs w:val="28"/>
          <w:lang w:val="en-GB"/>
        </w:rPr>
      </w:pPr>
    </w:p>
    <w:p w14:paraId="17A68F40" w14:textId="77777777" w:rsidR="006D1537" w:rsidRDefault="006D1537">
      <w:pPr>
        <w:rPr>
          <w:rFonts w:asciiTheme="majorHAnsi" w:eastAsiaTheme="majorEastAsia" w:hAnsiTheme="majorHAnsi" w:cstheme="majorHAnsi"/>
          <w:b/>
          <w:bCs/>
          <w:sz w:val="28"/>
          <w:szCs w:val="28"/>
          <w:lang w:val="en-GB"/>
        </w:rPr>
        <w:sectPr w:rsidR="006D1537" w:rsidSect="00035430"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1E487A4" w14:textId="0E9FC448" w:rsidR="000F5133" w:rsidRPr="000F5133" w:rsidRDefault="000F5133" w:rsidP="000F5133">
      <w:pPr>
        <w:pStyle w:val="Heading2"/>
        <w:rPr>
          <w:color w:val="auto"/>
        </w:rPr>
      </w:pPr>
      <w:bookmarkStart w:id="15" w:name="_Toc193291671"/>
      <w:bookmarkEnd w:id="5"/>
      <w:bookmarkEnd w:id="11"/>
      <w:r w:rsidRPr="000F5133">
        <w:rPr>
          <w:color w:val="auto"/>
        </w:rPr>
        <w:lastRenderedPageBreak/>
        <w:t xml:space="preserve">Table </w:t>
      </w:r>
      <w:r w:rsidR="000435DC">
        <w:rPr>
          <w:color w:val="auto"/>
        </w:rPr>
        <w:t>S12</w:t>
      </w:r>
      <w:r w:rsidRPr="000F5133">
        <w:rPr>
          <w:color w:val="auto"/>
        </w:rPr>
        <w:t xml:space="preserve">. Per-protocol analysis of psychiatric and suicidal behaviour outcomes in individual with </w:t>
      </w:r>
      <w:r w:rsidR="00410555">
        <w:rPr>
          <w:color w:val="auto"/>
        </w:rPr>
        <w:t xml:space="preserve">an </w:t>
      </w:r>
      <w:r w:rsidRPr="000F5133">
        <w:rPr>
          <w:color w:val="auto"/>
        </w:rPr>
        <w:t>autoimmune disorder</w:t>
      </w:r>
      <w:r>
        <w:rPr>
          <w:color w:val="auto"/>
        </w:rPr>
        <w:t>s</w:t>
      </w:r>
      <w:r w:rsidRPr="000F5133">
        <w:rPr>
          <w:color w:val="auto"/>
        </w:rPr>
        <w:t xml:space="preserve"> diagnosis initiating a glucocorticoid versus those who do not (indication cohort)</w:t>
      </w:r>
      <w:bookmarkEnd w:id="15"/>
    </w:p>
    <w:p w14:paraId="373444DE" w14:textId="77777777" w:rsidR="000F5133" w:rsidRDefault="000F5133" w:rsidP="000F5133">
      <w:pPr>
        <w:jc w:val="both"/>
        <w:rPr>
          <w:rFonts w:cstheme="minorHAnsi"/>
        </w:rPr>
      </w:pPr>
    </w:p>
    <w:tbl>
      <w:tblPr>
        <w:tblW w:w="13608" w:type="dxa"/>
        <w:tblInd w:w="-567" w:type="dxa"/>
        <w:tblLook w:val="04A0" w:firstRow="1" w:lastRow="0" w:firstColumn="1" w:lastColumn="0" w:noHBand="0" w:noVBand="1"/>
      </w:tblPr>
      <w:tblGrid>
        <w:gridCol w:w="1418"/>
        <w:gridCol w:w="1132"/>
        <w:gridCol w:w="1561"/>
        <w:gridCol w:w="1418"/>
        <w:gridCol w:w="509"/>
        <w:gridCol w:w="1759"/>
        <w:gridCol w:w="1701"/>
        <w:gridCol w:w="1877"/>
        <w:gridCol w:w="2233"/>
      </w:tblGrid>
      <w:tr w:rsidR="000F5133" w:rsidRPr="00296AB2" w14:paraId="66CB428D" w14:textId="77777777" w:rsidTr="00D860D3">
        <w:trPr>
          <w:trHeight w:val="195"/>
        </w:trPr>
        <w:tc>
          <w:tcPr>
            <w:tcW w:w="1418" w:type="dxa"/>
          </w:tcPr>
          <w:p w14:paraId="6B42CB85" w14:textId="77777777" w:rsidR="000F5133" w:rsidRPr="00296AB2" w:rsidRDefault="000F5133" w:rsidP="00D860D3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C869A1C" w14:textId="77777777" w:rsidR="000F5133" w:rsidRPr="00296AB2" w:rsidRDefault="000F5133" w:rsidP="00D860D3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247" w:type="dxa"/>
            <w:gridSpan w:val="4"/>
            <w:tcBorders>
              <w:bottom w:val="single" w:sz="4" w:space="0" w:color="auto"/>
            </w:tcBorders>
          </w:tcPr>
          <w:p w14:paraId="52D31A7C" w14:textId="77777777" w:rsidR="000F5133" w:rsidRPr="00296AB2" w:rsidRDefault="000F5133" w:rsidP="00D860D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96AB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Autoimmune disorder cohort (N = 287,366)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</w:tcPr>
          <w:p w14:paraId="07ABD9B2" w14:textId="77777777" w:rsidR="000F5133" w:rsidRPr="00296AB2" w:rsidRDefault="000F5133" w:rsidP="00D860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Gastrointestinal disorder cohort (N=96,029)</w:t>
            </w:r>
          </w:p>
        </w:tc>
      </w:tr>
      <w:tr w:rsidR="000F5133" w:rsidRPr="00296AB2" w14:paraId="67263DE0" w14:textId="77777777" w:rsidTr="00D860D3">
        <w:trPr>
          <w:trHeight w:val="195"/>
        </w:trPr>
        <w:tc>
          <w:tcPr>
            <w:tcW w:w="1418" w:type="dxa"/>
          </w:tcPr>
          <w:p w14:paraId="1EC5009A" w14:textId="77777777" w:rsidR="000F5133" w:rsidRPr="00296AB2" w:rsidRDefault="000F5133" w:rsidP="00D860D3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6B4E492" w14:textId="77777777" w:rsidR="000F5133" w:rsidRPr="00296AB2" w:rsidRDefault="000F5133" w:rsidP="00D860D3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17999" w14:textId="77777777" w:rsidR="000F5133" w:rsidRPr="00296AB2" w:rsidRDefault="000F5133" w:rsidP="00D860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Cumulative Incidence (%)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14:paraId="0792C424" w14:textId="77777777" w:rsidR="000F5133" w:rsidRPr="00296AB2" w:rsidRDefault="000F5133" w:rsidP="00D860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14:paraId="247B5F96" w14:textId="77777777" w:rsidR="000F5133" w:rsidRPr="00296AB2" w:rsidRDefault="000F5133" w:rsidP="00D860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0ED469" w14:textId="77777777" w:rsidR="000F5133" w:rsidRPr="00296AB2" w:rsidRDefault="000F5133" w:rsidP="00D860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Cumulative Incidence (%)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4FF78E98" w14:textId="77777777" w:rsidR="000F5133" w:rsidRPr="00296AB2" w:rsidRDefault="000F5133" w:rsidP="00D860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F5133" w:rsidRPr="00296AB2" w14:paraId="08C07D01" w14:textId="77777777" w:rsidTr="00D860D3">
        <w:trPr>
          <w:trHeight w:val="195"/>
        </w:trPr>
        <w:tc>
          <w:tcPr>
            <w:tcW w:w="1418" w:type="dxa"/>
            <w:tcBorders>
              <w:bottom w:val="single" w:sz="4" w:space="0" w:color="auto"/>
            </w:tcBorders>
          </w:tcPr>
          <w:p w14:paraId="4120A05A" w14:textId="77777777" w:rsidR="000F5133" w:rsidRPr="00296AB2" w:rsidRDefault="000F5133" w:rsidP="00D860D3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BB47EB4" w14:textId="77777777" w:rsidR="000F5133" w:rsidRPr="00296AB2" w:rsidRDefault="000F5133" w:rsidP="00D860D3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66D8958" w14:textId="77777777" w:rsidR="000F5133" w:rsidRPr="00296AB2" w:rsidRDefault="000F5133" w:rsidP="00D860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AB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Initiators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3AD985" w14:textId="77777777" w:rsidR="000F5133" w:rsidRPr="00296AB2" w:rsidRDefault="000F5133" w:rsidP="00D860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AB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Controls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7BA87" w14:textId="77777777" w:rsidR="000F5133" w:rsidRPr="00296AB2" w:rsidRDefault="000F5133" w:rsidP="00D860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Hazard Ratio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7BA683" w14:textId="77777777" w:rsidR="000F5133" w:rsidRPr="00296AB2" w:rsidRDefault="000F5133" w:rsidP="00D860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Initiators 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14:paraId="14AF9E6C" w14:textId="77777777" w:rsidR="000F5133" w:rsidRPr="00296AB2" w:rsidRDefault="000F5133" w:rsidP="00D860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Controls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305D5CDE" w14:textId="77777777" w:rsidR="000F5133" w:rsidRPr="00296AB2" w:rsidRDefault="000F5133" w:rsidP="00D860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Hazard Ratio (95% CI)</w:t>
            </w:r>
          </w:p>
        </w:tc>
      </w:tr>
      <w:tr w:rsidR="00296AB2" w:rsidRPr="00296AB2" w14:paraId="35EF6637" w14:textId="77777777" w:rsidTr="00134A78">
        <w:trPr>
          <w:trHeight w:val="195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88465C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Anxiety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001DB4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 days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80338C" w14:textId="0185185A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0.10 (0.05,0.15)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463B54" w14:textId="32BDD3DB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0.06 (0.05,0.07)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5EEB91" w14:textId="2B8D9D3A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1.64 (0.94,2.86)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8002A6" w14:textId="0FC6E1DE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0.09 (0.01,0.16)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F2867F" w14:textId="671CD8A9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0.06 (0.04,0.07)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1EC16F" w14:textId="0FEFF03C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1.46 (0.61,3.51)</w:t>
            </w:r>
          </w:p>
        </w:tc>
      </w:tr>
      <w:tr w:rsidR="00296AB2" w:rsidRPr="00296AB2" w14:paraId="5583EAE7" w14:textId="77777777" w:rsidTr="00134A78">
        <w:trPr>
          <w:trHeight w:val="195"/>
        </w:trPr>
        <w:tc>
          <w:tcPr>
            <w:tcW w:w="1418" w:type="dxa"/>
            <w:shd w:val="clear" w:color="auto" w:fill="F2F2F2" w:themeFill="background1" w:themeFillShade="F2"/>
          </w:tcPr>
          <w:p w14:paraId="3C3109DF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40548B33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120 days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bottom"/>
          </w:tcPr>
          <w:p w14:paraId="066CFF8B" w14:textId="0533B35B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0.53 (0.36,0.71)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1E942D12" w14:textId="2C010DC0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0.40 (0.36,0.43)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bottom"/>
          </w:tcPr>
          <w:p w14:paraId="3591E082" w14:textId="2C2337B8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1.47 (1.00,2.16)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385EB451" w14:textId="615C316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0.43 (0.21,0.66)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bottom"/>
          </w:tcPr>
          <w:p w14:paraId="24386025" w14:textId="3A0490A8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0.38 (0.32,0.45)</w:t>
            </w:r>
          </w:p>
        </w:tc>
        <w:tc>
          <w:tcPr>
            <w:tcW w:w="2233" w:type="dxa"/>
            <w:shd w:val="clear" w:color="auto" w:fill="F2F2F2" w:themeFill="background1" w:themeFillShade="F2"/>
            <w:vAlign w:val="bottom"/>
          </w:tcPr>
          <w:p w14:paraId="21CD2151" w14:textId="79B33013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1.26 (0.69,2.32)</w:t>
            </w:r>
          </w:p>
        </w:tc>
      </w:tr>
      <w:tr w:rsidR="00296AB2" w:rsidRPr="00296AB2" w14:paraId="3A52D929" w14:textId="77777777" w:rsidTr="00134A78">
        <w:trPr>
          <w:trHeight w:val="195"/>
        </w:trPr>
        <w:tc>
          <w:tcPr>
            <w:tcW w:w="1418" w:type="dxa"/>
            <w:shd w:val="clear" w:color="auto" w:fill="F2F2F2" w:themeFill="background1" w:themeFillShade="F2"/>
          </w:tcPr>
          <w:p w14:paraId="40D78EE3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289174AE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365 days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bottom"/>
          </w:tcPr>
          <w:p w14:paraId="6F36055C" w14:textId="28CEF9DE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1.05 (0.57,1.54)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06788593" w14:textId="72A53456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0.97 (0.91,1.03)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bottom"/>
          </w:tcPr>
          <w:p w14:paraId="58A90249" w14:textId="137C24B7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1.25 (0.90,1.76)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66C998F6" w14:textId="7331D6A8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1.07 (0.17,1.96)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bottom"/>
          </w:tcPr>
          <w:p w14:paraId="5EFE0B87" w14:textId="05A7FDD4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0.90 (0.79,1.01)</w:t>
            </w:r>
          </w:p>
        </w:tc>
        <w:tc>
          <w:tcPr>
            <w:tcW w:w="2233" w:type="dxa"/>
            <w:shd w:val="clear" w:color="auto" w:fill="F2F2F2" w:themeFill="background1" w:themeFillShade="F2"/>
            <w:vAlign w:val="bottom"/>
          </w:tcPr>
          <w:p w14:paraId="530D250A" w14:textId="4B3F2D8B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1.11 (0.64,1.95)</w:t>
            </w:r>
          </w:p>
        </w:tc>
      </w:tr>
      <w:tr w:rsidR="00296AB2" w:rsidRPr="00296AB2" w14:paraId="3247E0B3" w14:textId="77777777" w:rsidTr="00134A78">
        <w:trPr>
          <w:trHeight w:val="195"/>
        </w:trPr>
        <w:tc>
          <w:tcPr>
            <w:tcW w:w="1418" w:type="dxa"/>
            <w:vMerge w:val="restart"/>
          </w:tcPr>
          <w:p w14:paraId="1761BC49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Bipolar disorder</w:t>
            </w:r>
          </w:p>
        </w:tc>
        <w:tc>
          <w:tcPr>
            <w:tcW w:w="1132" w:type="dxa"/>
          </w:tcPr>
          <w:p w14:paraId="1B80ED73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 days</w:t>
            </w:r>
          </w:p>
        </w:tc>
        <w:tc>
          <w:tcPr>
            <w:tcW w:w="1561" w:type="dxa"/>
            <w:vAlign w:val="bottom"/>
          </w:tcPr>
          <w:p w14:paraId="3C221FB5" w14:textId="045F4354" w:rsidR="00296AB2" w:rsidRPr="00296AB2" w:rsidRDefault="000435DC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0.01 (</w:t>
            </w:r>
            <w:r w:rsidR="00296AB2"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0.00,0.03)</w:t>
            </w:r>
          </w:p>
        </w:tc>
        <w:tc>
          <w:tcPr>
            <w:tcW w:w="1418" w:type="dxa"/>
            <w:vAlign w:val="bottom"/>
          </w:tcPr>
          <w:p w14:paraId="04272ECF" w14:textId="6165572E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0.01 (0.01,0.02)</w:t>
            </w:r>
          </w:p>
        </w:tc>
        <w:tc>
          <w:tcPr>
            <w:tcW w:w="2268" w:type="dxa"/>
            <w:gridSpan w:val="2"/>
            <w:vAlign w:val="bottom"/>
          </w:tcPr>
          <w:p w14:paraId="6E3B7CAF" w14:textId="1678B7EB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1.01 (0.27,3.76)</w:t>
            </w:r>
          </w:p>
        </w:tc>
        <w:tc>
          <w:tcPr>
            <w:tcW w:w="1701" w:type="dxa"/>
            <w:vAlign w:val="bottom"/>
          </w:tcPr>
          <w:p w14:paraId="7B2B3C55" w14:textId="245A3792" w:rsidR="00296AB2" w:rsidRPr="00296AB2" w:rsidRDefault="000435DC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0.01 (0.00</w:t>
            </w:r>
            <w:r w:rsidR="00296AB2"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,0.04)</w:t>
            </w:r>
          </w:p>
        </w:tc>
        <w:tc>
          <w:tcPr>
            <w:tcW w:w="1877" w:type="dxa"/>
            <w:vAlign w:val="bottom"/>
          </w:tcPr>
          <w:p w14:paraId="44B68556" w14:textId="6BBEF0B4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0.01 (0.00,0.02)</w:t>
            </w:r>
          </w:p>
        </w:tc>
        <w:tc>
          <w:tcPr>
            <w:tcW w:w="2233" w:type="dxa"/>
            <w:vAlign w:val="bottom"/>
          </w:tcPr>
          <w:p w14:paraId="292602D8" w14:textId="031C130C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1.20 (0.07,19.95)</w:t>
            </w:r>
          </w:p>
        </w:tc>
      </w:tr>
      <w:tr w:rsidR="00296AB2" w:rsidRPr="00296AB2" w14:paraId="43FED987" w14:textId="77777777" w:rsidTr="00134A78">
        <w:trPr>
          <w:trHeight w:val="195"/>
        </w:trPr>
        <w:tc>
          <w:tcPr>
            <w:tcW w:w="1418" w:type="dxa"/>
            <w:vMerge/>
          </w:tcPr>
          <w:p w14:paraId="0A8410C4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783EB99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120 days</w:t>
            </w:r>
          </w:p>
        </w:tc>
        <w:tc>
          <w:tcPr>
            <w:tcW w:w="1561" w:type="dxa"/>
            <w:vAlign w:val="bottom"/>
          </w:tcPr>
          <w:p w14:paraId="6AF20F7E" w14:textId="65FA5E94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0.12 (0.03,0.22)</w:t>
            </w:r>
          </w:p>
        </w:tc>
        <w:tc>
          <w:tcPr>
            <w:tcW w:w="1418" w:type="dxa"/>
            <w:vAlign w:val="bottom"/>
          </w:tcPr>
          <w:p w14:paraId="6349367A" w14:textId="38315ED5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0.09 (0.07,0.10)</w:t>
            </w:r>
          </w:p>
        </w:tc>
        <w:tc>
          <w:tcPr>
            <w:tcW w:w="2268" w:type="dxa"/>
            <w:gridSpan w:val="2"/>
            <w:vAlign w:val="bottom"/>
          </w:tcPr>
          <w:p w14:paraId="0ABBE122" w14:textId="4EB7A371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1.24 (0.49,3.13)</w:t>
            </w:r>
          </w:p>
        </w:tc>
        <w:tc>
          <w:tcPr>
            <w:tcW w:w="1701" w:type="dxa"/>
            <w:vAlign w:val="bottom"/>
          </w:tcPr>
          <w:p w14:paraId="64B87DA9" w14:textId="38D4687A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0.11 (</w:t>
            </w:r>
            <w:r w:rsidR="000435DC"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,0.25)</w:t>
            </w:r>
          </w:p>
        </w:tc>
        <w:tc>
          <w:tcPr>
            <w:tcW w:w="1877" w:type="dxa"/>
            <w:vAlign w:val="bottom"/>
          </w:tcPr>
          <w:p w14:paraId="14B9B1F6" w14:textId="39E4248C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0.06 (0.03,0.09)</w:t>
            </w:r>
          </w:p>
        </w:tc>
        <w:tc>
          <w:tcPr>
            <w:tcW w:w="2233" w:type="dxa"/>
            <w:vAlign w:val="bottom"/>
          </w:tcPr>
          <w:p w14:paraId="32ECDD9F" w14:textId="3C72779F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1.62 (0.38,6.88)</w:t>
            </w:r>
          </w:p>
        </w:tc>
      </w:tr>
      <w:tr w:rsidR="00296AB2" w:rsidRPr="00296AB2" w14:paraId="4104456A" w14:textId="77777777" w:rsidTr="00134A78">
        <w:trPr>
          <w:trHeight w:val="195"/>
        </w:trPr>
        <w:tc>
          <w:tcPr>
            <w:tcW w:w="1418" w:type="dxa"/>
            <w:vMerge/>
          </w:tcPr>
          <w:p w14:paraId="22EBF5CC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1416036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365 days</w:t>
            </w:r>
          </w:p>
        </w:tc>
        <w:tc>
          <w:tcPr>
            <w:tcW w:w="1561" w:type="dxa"/>
            <w:vAlign w:val="bottom"/>
          </w:tcPr>
          <w:p w14:paraId="5414CDEF" w14:textId="62641AE6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0.25 (0.01,0.49)</w:t>
            </w:r>
          </w:p>
        </w:tc>
        <w:tc>
          <w:tcPr>
            <w:tcW w:w="1418" w:type="dxa"/>
            <w:vAlign w:val="bottom"/>
          </w:tcPr>
          <w:p w14:paraId="3D2D2D41" w14:textId="1280E44F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0.18 (0.15,0.21)</w:t>
            </w:r>
          </w:p>
        </w:tc>
        <w:tc>
          <w:tcPr>
            <w:tcW w:w="2268" w:type="dxa"/>
            <w:gridSpan w:val="2"/>
            <w:vAlign w:val="bottom"/>
          </w:tcPr>
          <w:p w14:paraId="092DF1E1" w14:textId="662591CE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1.44 (0.68,3.05)</w:t>
            </w:r>
          </w:p>
        </w:tc>
        <w:tc>
          <w:tcPr>
            <w:tcW w:w="1701" w:type="dxa"/>
            <w:vAlign w:val="bottom"/>
          </w:tcPr>
          <w:p w14:paraId="42A5015B" w14:textId="2F622F82" w:rsidR="00296AB2" w:rsidRPr="00296AB2" w:rsidRDefault="000435DC" w:rsidP="000435DC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0.15 (0.00</w:t>
            </w:r>
            <w:r w:rsidR="00296AB2"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,0.33)</w:t>
            </w:r>
          </w:p>
        </w:tc>
        <w:tc>
          <w:tcPr>
            <w:tcW w:w="1877" w:type="dxa"/>
            <w:vAlign w:val="bottom"/>
          </w:tcPr>
          <w:p w14:paraId="4F31D7E0" w14:textId="5EFEDB7A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0.12 (0.07,0.16)</w:t>
            </w:r>
          </w:p>
        </w:tc>
        <w:tc>
          <w:tcPr>
            <w:tcW w:w="2233" w:type="dxa"/>
            <w:vAlign w:val="bottom"/>
          </w:tcPr>
          <w:p w14:paraId="463381B8" w14:textId="37540246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1.66 (0.52,5.34)</w:t>
            </w:r>
          </w:p>
        </w:tc>
      </w:tr>
      <w:tr w:rsidR="00296AB2" w:rsidRPr="00296AB2" w14:paraId="61CAB006" w14:textId="77777777" w:rsidTr="00134A78">
        <w:trPr>
          <w:trHeight w:val="195"/>
        </w:trPr>
        <w:tc>
          <w:tcPr>
            <w:tcW w:w="1418" w:type="dxa"/>
            <w:shd w:val="clear" w:color="auto" w:fill="F2F2F2" w:themeFill="background1" w:themeFillShade="F2"/>
          </w:tcPr>
          <w:p w14:paraId="5BE7B79E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Depression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637C0682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 days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bottom"/>
          </w:tcPr>
          <w:p w14:paraId="28128876" w14:textId="1B25B2FF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0.03 (0.00,0.06)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6A09EB89" w14:textId="026AFEE1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0.04 (0.03,0.04)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bottom"/>
          </w:tcPr>
          <w:p w14:paraId="199DCA5A" w14:textId="42787262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0.84 (0.33,2.14)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5568A188" w14:textId="2EB76AE1" w:rsidR="00296AB2" w:rsidRPr="00296AB2" w:rsidRDefault="000435DC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0.02 (0.00</w:t>
            </w:r>
            <w:r w:rsidR="00296AB2"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,0.05)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bottom"/>
          </w:tcPr>
          <w:p w14:paraId="2A09B925" w14:textId="6AF4B106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0.03 (0.02,0.05)</w:t>
            </w:r>
          </w:p>
        </w:tc>
        <w:tc>
          <w:tcPr>
            <w:tcW w:w="2233" w:type="dxa"/>
            <w:shd w:val="clear" w:color="auto" w:fill="F2F2F2" w:themeFill="background1" w:themeFillShade="F2"/>
            <w:vAlign w:val="bottom"/>
          </w:tcPr>
          <w:p w14:paraId="52109902" w14:textId="2D351E14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0.51 (0.09,3.06)</w:t>
            </w:r>
          </w:p>
        </w:tc>
      </w:tr>
      <w:tr w:rsidR="00296AB2" w:rsidRPr="00296AB2" w14:paraId="403C0144" w14:textId="77777777" w:rsidTr="00134A78">
        <w:trPr>
          <w:trHeight w:val="195"/>
        </w:trPr>
        <w:tc>
          <w:tcPr>
            <w:tcW w:w="1418" w:type="dxa"/>
            <w:shd w:val="clear" w:color="auto" w:fill="F2F2F2" w:themeFill="background1" w:themeFillShade="F2"/>
          </w:tcPr>
          <w:p w14:paraId="37CFCF44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3A4F2B8F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120 days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bottom"/>
          </w:tcPr>
          <w:p w14:paraId="0A46EE36" w14:textId="33167FE8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0.23 (0.11,0.34)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5E2D3840" w14:textId="06AEAEE5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0.24 (0.21,0.26)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bottom"/>
          </w:tcPr>
          <w:p w14:paraId="07D3D6A8" w14:textId="7C477C9D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0.90 (0.47,1.73)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64DE919E" w14:textId="5D62945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0.22 (0.04,0.39)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bottom"/>
          </w:tcPr>
          <w:p w14:paraId="49854924" w14:textId="51406DD1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0.23 (0.18,0.29)</w:t>
            </w:r>
          </w:p>
        </w:tc>
        <w:tc>
          <w:tcPr>
            <w:tcW w:w="2233" w:type="dxa"/>
            <w:shd w:val="clear" w:color="auto" w:fill="F2F2F2" w:themeFill="background1" w:themeFillShade="F2"/>
            <w:vAlign w:val="bottom"/>
          </w:tcPr>
          <w:p w14:paraId="1953D5C1" w14:textId="3A32E785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0.71 (0.27,1.88)</w:t>
            </w:r>
          </w:p>
        </w:tc>
      </w:tr>
      <w:tr w:rsidR="00296AB2" w:rsidRPr="00296AB2" w14:paraId="0887C6E4" w14:textId="77777777" w:rsidTr="00134A78">
        <w:trPr>
          <w:trHeight w:val="195"/>
        </w:trPr>
        <w:tc>
          <w:tcPr>
            <w:tcW w:w="1418" w:type="dxa"/>
            <w:shd w:val="clear" w:color="auto" w:fill="F2F2F2" w:themeFill="background1" w:themeFillShade="F2"/>
          </w:tcPr>
          <w:p w14:paraId="5909515D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55833773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365 days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bottom"/>
          </w:tcPr>
          <w:p w14:paraId="25F30860" w14:textId="3ED58227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0.73 (0.27,1.20)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77951D4B" w14:textId="2C7EF349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0.59 (0.54,0.64)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bottom"/>
          </w:tcPr>
          <w:p w14:paraId="2E91BEF5" w14:textId="7144A2CA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1.04 (0.63,1.72)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28578875" w14:textId="337E994C" w:rsidR="00296AB2" w:rsidRPr="00296AB2" w:rsidRDefault="000435DC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0.49 (0.00</w:t>
            </w:r>
            <w:r w:rsidR="00296AB2"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,1.07)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bottom"/>
          </w:tcPr>
          <w:p w14:paraId="411AC6F9" w14:textId="1424625F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0.60 (0.51,0.70)</w:t>
            </w:r>
          </w:p>
        </w:tc>
        <w:tc>
          <w:tcPr>
            <w:tcW w:w="2233" w:type="dxa"/>
            <w:shd w:val="clear" w:color="auto" w:fill="F2F2F2" w:themeFill="background1" w:themeFillShade="F2"/>
            <w:vAlign w:val="bottom"/>
          </w:tcPr>
          <w:p w14:paraId="3B500976" w14:textId="4200F6CF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0.88 (0.41,1.92)</w:t>
            </w:r>
          </w:p>
        </w:tc>
      </w:tr>
      <w:tr w:rsidR="00296AB2" w:rsidRPr="00296AB2" w14:paraId="26F68ECB" w14:textId="77777777" w:rsidTr="00134A78">
        <w:trPr>
          <w:trHeight w:val="195"/>
        </w:trPr>
        <w:tc>
          <w:tcPr>
            <w:tcW w:w="1418" w:type="dxa"/>
            <w:vMerge w:val="restart"/>
          </w:tcPr>
          <w:p w14:paraId="5BE5D631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Schizophrenia spectrum disorders</w:t>
            </w:r>
          </w:p>
        </w:tc>
        <w:tc>
          <w:tcPr>
            <w:tcW w:w="1132" w:type="dxa"/>
          </w:tcPr>
          <w:p w14:paraId="1B570CF0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 days</w:t>
            </w:r>
          </w:p>
        </w:tc>
        <w:tc>
          <w:tcPr>
            <w:tcW w:w="1561" w:type="dxa"/>
            <w:vAlign w:val="bottom"/>
          </w:tcPr>
          <w:p w14:paraId="759825AE" w14:textId="4C1DF48C" w:rsidR="00296AB2" w:rsidRPr="00296AB2" w:rsidRDefault="000435DC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0.02 (0.00</w:t>
            </w:r>
            <w:r w:rsidR="00296AB2"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,0.04)</w:t>
            </w:r>
          </w:p>
        </w:tc>
        <w:tc>
          <w:tcPr>
            <w:tcW w:w="1418" w:type="dxa"/>
            <w:vAlign w:val="bottom"/>
          </w:tcPr>
          <w:p w14:paraId="68EA83E3" w14:textId="034C01FF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0.02 (0.01,0.02)</w:t>
            </w:r>
          </w:p>
        </w:tc>
        <w:tc>
          <w:tcPr>
            <w:tcW w:w="2268" w:type="dxa"/>
            <w:gridSpan w:val="2"/>
            <w:vAlign w:val="bottom"/>
          </w:tcPr>
          <w:p w14:paraId="07D28917" w14:textId="7E45AEBD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0.99 (0.21,4.60)</w:t>
            </w:r>
          </w:p>
        </w:tc>
        <w:tc>
          <w:tcPr>
            <w:tcW w:w="1701" w:type="dxa"/>
            <w:vAlign w:val="bottom"/>
          </w:tcPr>
          <w:p w14:paraId="32E1E0DE" w14:textId="75C51483" w:rsidR="00296AB2" w:rsidRPr="00296AB2" w:rsidRDefault="000435DC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0.01 (0.00</w:t>
            </w:r>
            <w:r w:rsidR="00296AB2"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,0.04)</w:t>
            </w:r>
          </w:p>
        </w:tc>
        <w:tc>
          <w:tcPr>
            <w:tcW w:w="1877" w:type="dxa"/>
            <w:vAlign w:val="bottom"/>
          </w:tcPr>
          <w:p w14:paraId="1E7C7041" w14:textId="62B3EB01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0.02 (0.00,0.03)</w:t>
            </w:r>
          </w:p>
        </w:tc>
        <w:tc>
          <w:tcPr>
            <w:tcW w:w="2233" w:type="dxa"/>
            <w:vAlign w:val="bottom"/>
          </w:tcPr>
          <w:p w14:paraId="26EB2BA8" w14:textId="0B0DC053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0.62 (0.00,4934.89)</w:t>
            </w:r>
          </w:p>
        </w:tc>
      </w:tr>
      <w:tr w:rsidR="00296AB2" w:rsidRPr="00296AB2" w14:paraId="380D8F82" w14:textId="77777777" w:rsidTr="00134A78">
        <w:trPr>
          <w:trHeight w:val="195"/>
        </w:trPr>
        <w:tc>
          <w:tcPr>
            <w:tcW w:w="1418" w:type="dxa"/>
            <w:vMerge/>
          </w:tcPr>
          <w:p w14:paraId="5BD0D584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59C05A3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120 days</w:t>
            </w:r>
          </w:p>
        </w:tc>
        <w:tc>
          <w:tcPr>
            <w:tcW w:w="1561" w:type="dxa"/>
            <w:vAlign w:val="bottom"/>
          </w:tcPr>
          <w:p w14:paraId="7D913280" w14:textId="04C769C1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0.12 (0.03,0.20)</w:t>
            </w:r>
          </w:p>
        </w:tc>
        <w:tc>
          <w:tcPr>
            <w:tcW w:w="1418" w:type="dxa"/>
            <w:vAlign w:val="bottom"/>
          </w:tcPr>
          <w:p w14:paraId="464B551B" w14:textId="79682A34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0.09 (0.07,0.11)</w:t>
            </w:r>
          </w:p>
        </w:tc>
        <w:tc>
          <w:tcPr>
            <w:tcW w:w="2268" w:type="dxa"/>
            <w:gridSpan w:val="2"/>
            <w:vAlign w:val="bottom"/>
          </w:tcPr>
          <w:p w14:paraId="530CC958" w14:textId="147786E7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1.17 (0.46,2.98)</w:t>
            </w:r>
          </w:p>
        </w:tc>
        <w:tc>
          <w:tcPr>
            <w:tcW w:w="1701" w:type="dxa"/>
            <w:vAlign w:val="bottom"/>
          </w:tcPr>
          <w:p w14:paraId="2C951B53" w14:textId="38157964" w:rsidR="00296AB2" w:rsidRPr="00296AB2" w:rsidRDefault="000435DC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0.06 (0.00</w:t>
            </w:r>
            <w:r w:rsidR="00296AB2"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,0.14)</w:t>
            </w:r>
          </w:p>
        </w:tc>
        <w:tc>
          <w:tcPr>
            <w:tcW w:w="1877" w:type="dxa"/>
            <w:vAlign w:val="bottom"/>
          </w:tcPr>
          <w:p w14:paraId="6F45F745" w14:textId="00BB1566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0.08 (0.05,0.11)</w:t>
            </w:r>
          </w:p>
        </w:tc>
        <w:tc>
          <w:tcPr>
            <w:tcW w:w="2233" w:type="dxa"/>
            <w:vAlign w:val="bottom"/>
          </w:tcPr>
          <w:p w14:paraId="6A2C1424" w14:textId="78715811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0.70 (0.00,422.08)</w:t>
            </w:r>
          </w:p>
        </w:tc>
      </w:tr>
      <w:tr w:rsidR="00296AB2" w:rsidRPr="00296AB2" w14:paraId="0184FC5C" w14:textId="77777777" w:rsidTr="00134A78">
        <w:trPr>
          <w:trHeight w:val="195"/>
        </w:trPr>
        <w:tc>
          <w:tcPr>
            <w:tcW w:w="1418" w:type="dxa"/>
            <w:vMerge/>
          </w:tcPr>
          <w:p w14:paraId="7B472D50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4A25404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365 days</w:t>
            </w:r>
          </w:p>
        </w:tc>
        <w:tc>
          <w:tcPr>
            <w:tcW w:w="1561" w:type="dxa"/>
            <w:vAlign w:val="bottom"/>
          </w:tcPr>
          <w:p w14:paraId="127E0455" w14:textId="4E90CF67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0.19 (0.03,0.35)</w:t>
            </w:r>
          </w:p>
        </w:tc>
        <w:tc>
          <w:tcPr>
            <w:tcW w:w="1418" w:type="dxa"/>
            <w:vAlign w:val="bottom"/>
          </w:tcPr>
          <w:p w14:paraId="0778F37E" w14:textId="2F8AEF3B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0.19 (0.16,0.21)</w:t>
            </w:r>
          </w:p>
        </w:tc>
        <w:tc>
          <w:tcPr>
            <w:tcW w:w="2268" w:type="dxa"/>
            <w:gridSpan w:val="2"/>
            <w:vAlign w:val="bottom"/>
          </w:tcPr>
          <w:p w14:paraId="4621EE9B" w14:textId="5D915399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1.20 (0.58,2.50)</w:t>
            </w:r>
          </w:p>
        </w:tc>
        <w:tc>
          <w:tcPr>
            <w:tcW w:w="1701" w:type="dxa"/>
            <w:vAlign w:val="bottom"/>
          </w:tcPr>
          <w:p w14:paraId="1ECB953D" w14:textId="3FFFF2F2" w:rsidR="00296AB2" w:rsidRPr="00296AB2" w:rsidRDefault="000435DC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0.10 (0.00</w:t>
            </w:r>
            <w:r w:rsidR="00296AB2"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,0.25)</w:t>
            </w:r>
          </w:p>
        </w:tc>
        <w:tc>
          <w:tcPr>
            <w:tcW w:w="1877" w:type="dxa"/>
            <w:vAlign w:val="bottom"/>
          </w:tcPr>
          <w:p w14:paraId="03291257" w14:textId="62451214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0.16 (0.11,0.20)</w:t>
            </w:r>
          </w:p>
        </w:tc>
        <w:tc>
          <w:tcPr>
            <w:tcW w:w="2233" w:type="dxa"/>
            <w:vAlign w:val="bottom"/>
          </w:tcPr>
          <w:p w14:paraId="59B14A87" w14:textId="62118C00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0.72 (0.04,13.27)</w:t>
            </w:r>
          </w:p>
        </w:tc>
      </w:tr>
      <w:tr w:rsidR="00296AB2" w:rsidRPr="00296AB2" w14:paraId="6AD6F98B" w14:textId="77777777" w:rsidTr="00134A78">
        <w:trPr>
          <w:trHeight w:val="195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65D1FB55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Suicidal behaviour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43A3E8A3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 days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bottom"/>
          </w:tcPr>
          <w:p w14:paraId="022084B8" w14:textId="02F06293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0.01 (0.00,0.03)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34902F9B" w14:textId="2C391825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0.02 (0.01,0.02)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bottom"/>
          </w:tcPr>
          <w:p w14:paraId="1A7F1FF6" w14:textId="736443EC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0.74 (0.17,3.33)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19F9D1E6" w14:textId="29E0568B" w:rsidR="00296AB2" w:rsidRPr="00296AB2" w:rsidRDefault="000435DC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0.01 (0.00</w:t>
            </w:r>
            <w:r w:rsidR="00296AB2"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,0.03)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bottom"/>
          </w:tcPr>
          <w:p w14:paraId="1FF61A81" w14:textId="103856B8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0.02 (0.01,0.03)</w:t>
            </w:r>
          </w:p>
        </w:tc>
        <w:tc>
          <w:tcPr>
            <w:tcW w:w="2233" w:type="dxa"/>
            <w:shd w:val="clear" w:color="auto" w:fill="F2F2F2" w:themeFill="background1" w:themeFillShade="F2"/>
            <w:vAlign w:val="bottom"/>
          </w:tcPr>
          <w:p w14:paraId="3F639850" w14:textId="7387108D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0.61 (0.06,6.74)</w:t>
            </w:r>
          </w:p>
        </w:tc>
      </w:tr>
      <w:tr w:rsidR="00296AB2" w:rsidRPr="00296AB2" w14:paraId="2983CCE7" w14:textId="77777777" w:rsidTr="00134A78">
        <w:trPr>
          <w:trHeight w:val="195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54304A72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</w:tcPr>
          <w:p w14:paraId="5BA4E87B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120 days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bottom"/>
          </w:tcPr>
          <w:p w14:paraId="60779431" w14:textId="415C3F6D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0.07 (0.01,0.14)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667D1003" w14:textId="3693C502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0.12 (0.10,0.14)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bottom"/>
          </w:tcPr>
          <w:p w14:paraId="66DC38BA" w14:textId="4D4986C6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0.67 (0.21,2.10)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29791828" w14:textId="2E3A4E9E" w:rsidR="00296AB2" w:rsidRPr="00296AB2" w:rsidRDefault="000435DC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0.09 (0.00</w:t>
            </w:r>
            <w:r w:rsidR="00296AB2"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,0.19)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bottom"/>
          </w:tcPr>
          <w:p w14:paraId="25A06F2E" w14:textId="53DE238F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0.12 (0.09,0.16)</w:t>
            </w:r>
          </w:p>
        </w:tc>
        <w:tc>
          <w:tcPr>
            <w:tcW w:w="2233" w:type="dxa"/>
            <w:shd w:val="clear" w:color="auto" w:fill="F2F2F2" w:themeFill="background1" w:themeFillShade="F2"/>
            <w:vAlign w:val="bottom"/>
          </w:tcPr>
          <w:p w14:paraId="16D5F77A" w14:textId="0291C6C2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0.68 (0.17,2.60)</w:t>
            </w:r>
          </w:p>
        </w:tc>
      </w:tr>
      <w:tr w:rsidR="00296AB2" w:rsidRPr="00296AB2" w14:paraId="5A0456AE" w14:textId="77777777" w:rsidTr="00134A78">
        <w:trPr>
          <w:trHeight w:val="195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587BA1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8BB4CB" w14:textId="77777777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6A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365 days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A39967" w14:textId="3A89F829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0.37 (0.00,0.74)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40CD1A" w14:textId="1CD5DFFB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0.32 (0.28,0.36)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091943" w14:textId="60B0D6FC" w:rsidR="00296AB2" w:rsidRPr="00296AB2" w:rsidRDefault="00296AB2" w:rsidP="00296AB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0.71 (0.32,1.57)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1B0FBC" w14:textId="28FA4F31" w:rsidR="00296AB2" w:rsidRPr="00296AB2" w:rsidRDefault="000435DC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0.23 (0.00</w:t>
            </w:r>
            <w:r w:rsidR="00296AB2"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,0.59)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376474" w14:textId="67BB0C53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0.33 (0.26,0.40)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15A916" w14:textId="3515AEBC" w:rsidR="00296AB2" w:rsidRPr="00296AB2" w:rsidRDefault="00296AB2" w:rsidP="00296AB2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296AB2">
              <w:rPr>
                <w:rFonts w:ascii="Calibri" w:hAnsi="Calibri" w:cs="Calibri"/>
                <w:color w:val="000000"/>
                <w:sz w:val="18"/>
                <w:szCs w:val="18"/>
              </w:rPr>
              <w:t>0.72 (0.24,2.15)</w:t>
            </w:r>
          </w:p>
        </w:tc>
      </w:tr>
    </w:tbl>
    <w:p w14:paraId="227459DD" w14:textId="556E2378" w:rsidR="00D10C9D" w:rsidRPr="000F5133" w:rsidRDefault="000F5133" w:rsidP="000F5133">
      <w:pPr>
        <w:pStyle w:val="Heading2"/>
        <w:rPr>
          <w:color w:val="auto"/>
        </w:rPr>
      </w:pPr>
      <w:bookmarkStart w:id="16" w:name="_Toc193291672"/>
      <w:r>
        <w:rPr>
          <w:color w:val="auto"/>
        </w:rPr>
        <w:t xml:space="preserve">Table </w:t>
      </w:r>
      <w:r w:rsidR="000435DC">
        <w:rPr>
          <w:color w:val="auto"/>
        </w:rPr>
        <w:t>S13</w:t>
      </w:r>
      <w:r w:rsidR="00D10C9D" w:rsidRPr="000F5133">
        <w:rPr>
          <w:color w:val="auto"/>
        </w:rPr>
        <w:t>. Intention-to-treat analysis of psychiatric and suicidal behaviour outcomes in individual with a gastrointestinal autoimmune disorder diagnosis initiating a glucocorticoid versus those who do not (indication cohort)</w:t>
      </w:r>
      <w:bookmarkEnd w:id="16"/>
    </w:p>
    <w:tbl>
      <w:tblPr>
        <w:tblW w:w="13467" w:type="dxa"/>
        <w:tblLook w:val="04A0" w:firstRow="1" w:lastRow="0" w:firstColumn="1" w:lastColumn="0" w:noHBand="0" w:noVBand="1"/>
      </w:tblPr>
      <w:tblGrid>
        <w:gridCol w:w="1364"/>
        <w:gridCol w:w="1046"/>
        <w:gridCol w:w="2171"/>
        <w:gridCol w:w="1656"/>
        <w:gridCol w:w="1985"/>
        <w:gridCol w:w="1701"/>
        <w:gridCol w:w="1701"/>
        <w:gridCol w:w="1843"/>
      </w:tblGrid>
      <w:tr w:rsidR="006317C5" w:rsidRPr="00D10C9D" w14:paraId="78E50BD9" w14:textId="77777777" w:rsidTr="005235F1">
        <w:trPr>
          <w:trHeight w:val="320"/>
        </w:trPr>
        <w:tc>
          <w:tcPr>
            <w:tcW w:w="1364" w:type="dxa"/>
            <w:shd w:val="clear" w:color="auto" w:fill="auto"/>
            <w:noWrap/>
            <w:vAlign w:val="bottom"/>
          </w:tcPr>
          <w:p w14:paraId="642B9414" w14:textId="77777777" w:rsidR="006317C5" w:rsidRPr="00C11D7B" w:rsidRDefault="006317C5" w:rsidP="005235F1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6DC9CF4" w14:textId="77777777" w:rsidR="006317C5" w:rsidRPr="00C11D7B" w:rsidRDefault="006317C5" w:rsidP="005235F1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E1C4B9" w14:textId="5D89886D" w:rsidR="006317C5" w:rsidRPr="00C11D7B" w:rsidRDefault="006317C5" w:rsidP="005235F1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A625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Overall cohort (N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6A625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6317C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96,029</w:t>
            </w:r>
            <w:r w:rsidRPr="006A625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bottom"/>
          </w:tcPr>
          <w:p w14:paraId="33E1CF93" w14:textId="673EE6E6" w:rsidR="006317C5" w:rsidRPr="00C11D7B" w:rsidRDefault="006317C5" w:rsidP="002A74B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317C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Past </w:t>
            </w:r>
            <w:r w:rsidR="002A74B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psychiatric diagnosis</w:t>
            </w:r>
            <w:bookmarkStart w:id="17" w:name="_GoBack"/>
            <w:bookmarkEnd w:id="17"/>
            <w:r w:rsidRPr="006317C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(N= 11,334)</w:t>
            </w:r>
          </w:p>
        </w:tc>
      </w:tr>
      <w:tr w:rsidR="006317C5" w:rsidRPr="00D10C9D" w14:paraId="0A678398" w14:textId="77777777" w:rsidTr="005235F1">
        <w:trPr>
          <w:trHeight w:val="320"/>
        </w:trPr>
        <w:tc>
          <w:tcPr>
            <w:tcW w:w="1364" w:type="dxa"/>
            <w:shd w:val="clear" w:color="auto" w:fill="auto"/>
            <w:noWrap/>
            <w:vAlign w:val="bottom"/>
          </w:tcPr>
          <w:p w14:paraId="7A24B908" w14:textId="77777777" w:rsidR="006317C5" w:rsidRPr="00D10C9D" w:rsidRDefault="006317C5" w:rsidP="005235F1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6DDB5FB7" w14:textId="77777777" w:rsidR="006317C5" w:rsidRPr="00D10C9D" w:rsidRDefault="006317C5" w:rsidP="005235F1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0E830E" w14:textId="5D6731A7" w:rsidR="006317C5" w:rsidRPr="00D10C9D" w:rsidRDefault="000B3972" w:rsidP="005235F1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Cumulative incidence</w:t>
            </w:r>
            <w:r w:rsidR="006317C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C65734" w14:textId="77777777" w:rsidR="006317C5" w:rsidRPr="006A625E" w:rsidRDefault="006317C5" w:rsidP="005235F1">
            <w:pPr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27C8FA" w14:textId="51FF94B9" w:rsidR="006317C5" w:rsidRPr="00C11D7B" w:rsidRDefault="005235F1" w:rsidP="005235F1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Cumulative incidence (%)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0756076D" w14:textId="77777777" w:rsidR="006317C5" w:rsidRPr="006A625E" w:rsidRDefault="006317C5" w:rsidP="005235F1">
            <w:pPr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235F1" w:rsidRPr="00D10C9D" w14:paraId="75060E10" w14:textId="01CD34CF" w:rsidTr="005235F1">
        <w:trPr>
          <w:trHeight w:val="320"/>
        </w:trPr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CB9A" w14:textId="77777777" w:rsidR="005235F1" w:rsidRPr="00D10C9D" w:rsidRDefault="005235F1" w:rsidP="005235F1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AC09" w14:textId="77777777" w:rsidR="005235F1" w:rsidRPr="00D10C9D" w:rsidRDefault="005235F1" w:rsidP="005235F1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EA06" w14:textId="330B0D18" w:rsidR="005235F1" w:rsidRPr="00D10C9D" w:rsidRDefault="005235F1" w:rsidP="005235F1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Initiators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B655" w14:textId="4D2BE2B4" w:rsidR="005235F1" w:rsidRPr="00D10C9D" w:rsidRDefault="005235F1" w:rsidP="005235F1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Controls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0CDC" w14:textId="7AEF4385" w:rsidR="005235F1" w:rsidRPr="00D10C9D" w:rsidRDefault="005235F1" w:rsidP="005235F1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A625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Hazard Ratio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(95% CI)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86F958F" w14:textId="3A8D9C76" w:rsidR="005235F1" w:rsidRPr="00C11D7B" w:rsidRDefault="005235F1" w:rsidP="005235F1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Initiators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BC956CF" w14:textId="6D278E8E" w:rsidR="005235F1" w:rsidRPr="00C11D7B" w:rsidRDefault="005235F1" w:rsidP="005235F1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Controls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B7A2804" w14:textId="027E3CE4" w:rsidR="005235F1" w:rsidRPr="00C11D7B" w:rsidRDefault="005235F1" w:rsidP="005235F1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A625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Hazard Ratio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(95% CI)</w:t>
            </w:r>
          </w:p>
        </w:tc>
      </w:tr>
      <w:tr w:rsidR="008C6228" w:rsidRPr="00D10C9D" w14:paraId="276E0DC1" w14:textId="12FC6DDA" w:rsidTr="005235F1">
        <w:trPr>
          <w:trHeight w:val="320"/>
        </w:trPr>
        <w:tc>
          <w:tcPr>
            <w:tcW w:w="136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567A38" w14:textId="6AC1D855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C11D7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Anxiety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9B7A4F" w14:textId="7777777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 days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90BAD7" w14:textId="4BEE0791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0.08 (0.04,0.11)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5C981C" w14:textId="2D8B3C09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0.06 (0.05,0.07)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B39528" w14:textId="5BF0EC46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1.31 (0.82,2.09)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0F0B73" w14:textId="191DA352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0.49 (0.23,0.75)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373103" w14:textId="210F2F06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0.34 (0.26,0.41)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72E73A" w14:textId="2FD5D5EB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1.47 (0.86,2.51)</w:t>
            </w:r>
          </w:p>
        </w:tc>
      </w:tr>
      <w:tr w:rsidR="008C6228" w:rsidRPr="00D10C9D" w14:paraId="0CF7BA63" w14:textId="397C72BC" w:rsidTr="005235F1">
        <w:trPr>
          <w:trHeight w:val="320"/>
        </w:trPr>
        <w:tc>
          <w:tcPr>
            <w:tcW w:w="1364" w:type="dxa"/>
            <w:shd w:val="clear" w:color="auto" w:fill="F2F2F2" w:themeFill="background1" w:themeFillShade="F2"/>
            <w:noWrap/>
            <w:vAlign w:val="bottom"/>
          </w:tcPr>
          <w:p w14:paraId="44126015" w14:textId="197B733B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FCDD99" w14:textId="7777777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 days</w:t>
            </w:r>
          </w:p>
        </w:tc>
        <w:tc>
          <w:tcPr>
            <w:tcW w:w="2171" w:type="dxa"/>
            <w:shd w:val="clear" w:color="auto" w:fill="F2F2F2" w:themeFill="background1" w:themeFillShade="F2"/>
            <w:noWrap/>
            <w:vAlign w:val="bottom"/>
            <w:hideMark/>
          </w:tcPr>
          <w:p w14:paraId="28266E70" w14:textId="0EC0EEA2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0.47 (0.34,0.60)</w:t>
            </w:r>
          </w:p>
        </w:tc>
        <w:tc>
          <w:tcPr>
            <w:tcW w:w="1656" w:type="dxa"/>
            <w:shd w:val="clear" w:color="auto" w:fill="F2F2F2" w:themeFill="background1" w:themeFillShade="F2"/>
            <w:noWrap/>
            <w:vAlign w:val="bottom"/>
            <w:hideMark/>
          </w:tcPr>
          <w:p w14:paraId="6567971A" w14:textId="0EA3B7DC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0.39 (0.35,0.43)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14:paraId="30461DF3" w14:textId="287E5FEF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1.26 (0.88,1.81)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764A7261" w14:textId="4AF12D7E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3.06 (2.16,3.97)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2112FC82" w14:textId="216B1058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2.16 (1.89,2.44)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41072A5E" w14:textId="05951161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1.45 (0.97,2.16)</w:t>
            </w:r>
          </w:p>
        </w:tc>
      </w:tr>
      <w:tr w:rsidR="008C6228" w:rsidRPr="00D10C9D" w14:paraId="6CA9EC81" w14:textId="42C86F1C" w:rsidTr="005235F1">
        <w:trPr>
          <w:trHeight w:val="320"/>
        </w:trPr>
        <w:tc>
          <w:tcPr>
            <w:tcW w:w="1364" w:type="dxa"/>
            <w:shd w:val="clear" w:color="auto" w:fill="F2F2F2" w:themeFill="background1" w:themeFillShade="F2"/>
            <w:noWrap/>
            <w:vAlign w:val="bottom"/>
          </w:tcPr>
          <w:p w14:paraId="16B629E8" w14:textId="30005090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7256C3" w14:textId="7777777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365 days</w:t>
            </w:r>
          </w:p>
        </w:tc>
        <w:tc>
          <w:tcPr>
            <w:tcW w:w="2171" w:type="dxa"/>
            <w:shd w:val="clear" w:color="auto" w:fill="F2F2F2" w:themeFill="background1" w:themeFillShade="F2"/>
            <w:noWrap/>
            <w:vAlign w:val="bottom"/>
            <w:hideMark/>
          </w:tcPr>
          <w:p w14:paraId="608AADDA" w14:textId="2B99F962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1.06 (0.87,1.25)</w:t>
            </w:r>
          </w:p>
        </w:tc>
        <w:tc>
          <w:tcPr>
            <w:tcW w:w="1656" w:type="dxa"/>
            <w:shd w:val="clear" w:color="auto" w:fill="F2F2F2" w:themeFill="background1" w:themeFillShade="F2"/>
            <w:noWrap/>
            <w:vAlign w:val="bottom"/>
            <w:hideMark/>
          </w:tcPr>
          <w:p w14:paraId="433C64EE" w14:textId="36AD2F13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 (0.88,1.01)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14:paraId="28AC14E2" w14:textId="1C1BBC8C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1.18 (0.92,1.51)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1E5B59D8" w14:textId="0CAD08B1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5.81 (4.59,7.03)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319270B0" w14:textId="6533163C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4.86 (4.42,5.30)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6017D0AB" w14:textId="4B0749F5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1.35 (1.03,1.76)</w:t>
            </w:r>
          </w:p>
        </w:tc>
      </w:tr>
      <w:tr w:rsidR="008C6228" w:rsidRPr="00D10C9D" w14:paraId="31E7F832" w14:textId="71AD1D55" w:rsidTr="005235F1">
        <w:trPr>
          <w:trHeight w:val="320"/>
        </w:trPr>
        <w:tc>
          <w:tcPr>
            <w:tcW w:w="1364" w:type="dxa"/>
            <w:vMerge w:val="restart"/>
            <w:shd w:val="clear" w:color="auto" w:fill="auto"/>
            <w:noWrap/>
            <w:vAlign w:val="bottom"/>
            <w:hideMark/>
          </w:tcPr>
          <w:p w14:paraId="4DE2F8DD" w14:textId="564EE8E1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C11D7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Bipolar disorder</w:t>
            </w:r>
          </w:p>
        </w:tc>
        <w:tc>
          <w:tcPr>
            <w:tcW w:w="104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772149F" w14:textId="7777777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 days</w:t>
            </w:r>
          </w:p>
        </w:tc>
        <w:tc>
          <w:tcPr>
            <w:tcW w:w="2171" w:type="dxa"/>
            <w:shd w:val="clear" w:color="auto" w:fill="auto"/>
            <w:noWrap/>
            <w:vAlign w:val="bottom"/>
            <w:hideMark/>
          </w:tcPr>
          <w:p w14:paraId="63841117" w14:textId="3B95F604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 (</w:t>
            </w: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0.00,0.03)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5C908482" w14:textId="4FF4EB68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 (0.01,0.02)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9414A0" w14:textId="1E0015EE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1.11 (0.28,4.39)</w:t>
            </w:r>
          </w:p>
        </w:tc>
        <w:tc>
          <w:tcPr>
            <w:tcW w:w="1701" w:type="dxa"/>
            <w:vAlign w:val="bottom"/>
          </w:tcPr>
          <w:p w14:paraId="194B4436" w14:textId="306BB796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0.08 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,0.18)</w:t>
            </w:r>
          </w:p>
        </w:tc>
        <w:tc>
          <w:tcPr>
            <w:tcW w:w="1701" w:type="dxa"/>
            <w:vAlign w:val="bottom"/>
          </w:tcPr>
          <w:p w14:paraId="778488AE" w14:textId="5E9B3C74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0.09 (0.05,0.13)</w:t>
            </w:r>
          </w:p>
        </w:tc>
        <w:tc>
          <w:tcPr>
            <w:tcW w:w="1843" w:type="dxa"/>
            <w:vAlign w:val="bottom"/>
          </w:tcPr>
          <w:p w14:paraId="6CCE00DF" w14:textId="1AAD87E2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0.83 (0.14,5.04)</w:t>
            </w:r>
          </w:p>
        </w:tc>
      </w:tr>
      <w:tr w:rsidR="008C6228" w:rsidRPr="00D10C9D" w14:paraId="78345D28" w14:textId="0E429EC1" w:rsidTr="005235F1">
        <w:trPr>
          <w:trHeight w:val="320"/>
        </w:trPr>
        <w:tc>
          <w:tcPr>
            <w:tcW w:w="1364" w:type="dxa"/>
            <w:vMerge/>
            <w:shd w:val="clear" w:color="auto" w:fill="auto"/>
            <w:noWrap/>
            <w:vAlign w:val="bottom"/>
          </w:tcPr>
          <w:p w14:paraId="2B29673D" w14:textId="3C7677A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E6A572A" w14:textId="7777777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 days</w:t>
            </w:r>
          </w:p>
        </w:tc>
        <w:tc>
          <w:tcPr>
            <w:tcW w:w="2171" w:type="dxa"/>
            <w:shd w:val="clear" w:color="auto" w:fill="auto"/>
            <w:noWrap/>
            <w:vAlign w:val="bottom"/>
            <w:hideMark/>
          </w:tcPr>
          <w:p w14:paraId="4BA0C27C" w14:textId="76F06E82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0.07 (0.02,0.12)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7151EDC1" w14:textId="3CDDC981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0.06 (0.04,0.07)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51E112" w14:textId="3D2B66E5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1.18 (0.41,3.42)</w:t>
            </w:r>
          </w:p>
        </w:tc>
        <w:tc>
          <w:tcPr>
            <w:tcW w:w="1701" w:type="dxa"/>
            <w:vAlign w:val="bottom"/>
          </w:tcPr>
          <w:p w14:paraId="2CD107B0" w14:textId="30312E4F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0.46 (0.08,0.83)</w:t>
            </w:r>
          </w:p>
        </w:tc>
        <w:tc>
          <w:tcPr>
            <w:tcW w:w="1701" w:type="dxa"/>
            <w:vAlign w:val="bottom"/>
          </w:tcPr>
          <w:p w14:paraId="6A20BFE7" w14:textId="69CA572D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0.48 (0.35,0.61)</w:t>
            </w:r>
          </w:p>
        </w:tc>
        <w:tc>
          <w:tcPr>
            <w:tcW w:w="1843" w:type="dxa"/>
            <w:vAlign w:val="bottom"/>
          </w:tcPr>
          <w:p w14:paraId="0E6E153B" w14:textId="380625A4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0.89 (0.23,3.51)</w:t>
            </w:r>
          </w:p>
        </w:tc>
      </w:tr>
      <w:tr w:rsidR="008C6228" w:rsidRPr="00D10C9D" w14:paraId="36E4929D" w14:textId="5EDED2BA" w:rsidTr="005235F1">
        <w:trPr>
          <w:trHeight w:val="320"/>
        </w:trPr>
        <w:tc>
          <w:tcPr>
            <w:tcW w:w="1364" w:type="dxa"/>
            <w:shd w:val="clear" w:color="auto" w:fill="auto"/>
            <w:noWrap/>
            <w:vAlign w:val="bottom"/>
          </w:tcPr>
          <w:p w14:paraId="0BE6BDD9" w14:textId="27D9232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E0DDA1E" w14:textId="7777777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365 days</w:t>
            </w:r>
          </w:p>
        </w:tc>
        <w:tc>
          <w:tcPr>
            <w:tcW w:w="2171" w:type="dxa"/>
            <w:shd w:val="clear" w:color="auto" w:fill="auto"/>
            <w:noWrap/>
            <w:vAlign w:val="bottom"/>
            <w:hideMark/>
          </w:tcPr>
          <w:p w14:paraId="3E047820" w14:textId="26D6FAE0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0.17 (0.09,0.25)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4C812A22" w14:textId="14CC76BB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0.12 (0.10,0.15)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80F284" w14:textId="592F0458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1.29 (0.65,2.53)</w:t>
            </w:r>
          </w:p>
        </w:tc>
        <w:tc>
          <w:tcPr>
            <w:tcW w:w="1701" w:type="dxa"/>
            <w:vAlign w:val="bottom"/>
          </w:tcPr>
          <w:p w14:paraId="254714B8" w14:textId="166FACA9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1.15 (0.53,1.76)</w:t>
            </w:r>
          </w:p>
        </w:tc>
        <w:tc>
          <w:tcPr>
            <w:tcW w:w="1701" w:type="dxa"/>
            <w:vAlign w:val="bottom"/>
          </w:tcPr>
          <w:p w14:paraId="32F2A6F1" w14:textId="553F9899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 (0.81,1.19)</w:t>
            </w:r>
          </w:p>
        </w:tc>
        <w:tc>
          <w:tcPr>
            <w:tcW w:w="1843" w:type="dxa"/>
            <w:vAlign w:val="bottom"/>
          </w:tcPr>
          <w:p w14:paraId="40A1B37E" w14:textId="1375E542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 (0.45,2.23)</w:t>
            </w:r>
          </w:p>
        </w:tc>
      </w:tr>
      <w:tr w:rsidR="008C6228" w:rsidRPr="00D10C9D" w14:paraId="109BE47F" w14:textId="2CE8DCC2" w:rsidTr="005235F1">
        <w:trPr>
          <w:trHeight w:val="320"/>
        </w:trPr>
        <w:tc>
          <w:tcPr>
            <w:tcW w:w="1364" w:type="dxa"/>
            <w:shd w:val="clear" w:color="auto" w:fill="F2F2F2" w:themeFill="background1" w:themeFillShade="F2"/>
            <w:noWrap/>
            <w:vAlign w:val="bottom"/>
            <w:hideMark/>
          </w:tcPr>
          <w:p w14:paraId="79D950A5" w14:textId="50BCB25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C11D7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Depression</w:t>
            </w:r>
          </w:p>
        </w:tc>
        <w:tc>
          <w:tcPr>
            <w:tcW w:w="1046" w:type="dxa"/>
            <w:tcBorders>
              <w:lef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F7D250" w14:textId="7777777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 days</w:t>
            </w:r>
          </w:p>
        </w:tc>
        <w:tc>
          <w:tcPr>
            <w:tcW w:w="2171" w:type="dxa"/>
            <w:shd w:val="clear" w:color="auto" w:fill="F2F2F2" w:themeFill="background1" w:themeFillShade="F2"/>
            <w:noWrap/>
            <w:vAlign w:val="bottom"/>
            <w:hideMark/>
          </w:tcPr>
          <w:p w14:paraId="78E5C20F" w14:textId="0CD4A8D6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0.02 (0.01,0.03)</w:t>
            </w:r>
          </w:p>
        </w:tc>
        <w:tc>
          <w:tcPr>
            <w:tcW w:w="1656" w:type="dxa"/>
            <w:shd w:val="clear" w:color="auto" w:fill="F2F2F2" w:themeFill="background1" w:themeFillShade="F2"/>
            <w:noWrap/>
            <w:vAlign w:val="bottom"/>
            <w:hideMark/>
          </w:tcPr>
          <w:p w14:paraId="2152A6B2" w14:textId="0D87CD23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0.03 (0.03,0.04)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14:paraId="5DE0B566" w14:textId="6E9812D1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0.58 (0.29,1.19)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7C69D8C3" w14:textId="3B2B8C0B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0.11 (0.02,0.21)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03ADAC53" w14:textId="10A8456F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0.19 (0.14,0.24)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1FCA9E67" w14:textId="1C3DF89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0.61 (0.24,1.52)</w:t>
            </w:r>
          </w:p>
        </w:tc>
      </w:tr>
      <w:tr w:rsidR="008C6228" w:rsidRPr="00D10C9D" w14:paraId="53D4FCFC" w14:textId="10768A28" w:rsidTr="005235F1">
        <w:trPr>
          <w:trHeight w:val="320"/>
        </w:trPr>
        <w:tc>
          <w:tcPr>
            <w:tcW w:w="1364" w:type="dxa"/>
            <w:shd w:val="clear" w:color="auto" w:fill="F2F2F2" w:themeFill="background1" w:themeFillShade="F2"/>
            <w:noWrap/>
            <w:vAlign w:val="bottom"/>
          </w:tcPr>
          <w:p w14:paraId="479998D4" w14:textId="55DFBE9F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88DBCC" w14:textId="7777777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 days</w:t>
            </w:r>
          </w:p>
        </w:tc>
        <w:tc>
          <w:tcPr>
            <w:tcW w:w="2171" w:type="dxa"/>
            <w:shd w:val="clear" w:color="auto" w:fill="F2F2F2" w:themeFill="background1" w:themeFillShade="F2"/>
            <w:noWrap/>
            <w:vAlign w:val="bottom"/>
            <w:hideMark/>
          </w:tcPr>
          <w:p w14:paraId="4A0AF193" w14:textId="14A08B6A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0.21 (0.13,0.28)</w:t>
            </w:r>
          </w:p>
        </w:tc>
        <w:tc>
          <w:tcPr>
            <w:tcW w:w="1656" w:type="dxa"/>
            <w:shd w:val="clear" w:color="auto" w:fill="F2F2F2" w:themeFill="background1" w:themeFillShade="F2"/>
            <w:noWrap/>
            <w:vAlign w:val="bottom"/>
            <w:hideMark/>
          </w:tcPr>
          <w:p w14:paraId="20E27DD4" w14:textId="2147AEBF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0.24 (0.21,0.27)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14:paraId="6278EACF" w14:textId="7BC3C4D0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0.72 (0.42,1.24)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2E9ED715" w14:textId="584EB075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 (0.59,1.59)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1EADFD19" w14:textId="5DD46A05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1.33 (1.12,1.54)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31C7C7F4" w14:textId="08E6E16C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0.71 (0.36,1.43)</w:t>
            </w:r>
          </w:p>
        </w:tc>
      </w:tr>
      <w:tr w:rsidR="008C6228" w:rsidRPr="00D10C9D" w14:paraId="2811761F" w14:textId="1C629765" w:rsidTr="005235F1">
        <w:trPr>
          <w:trHeight w:val="320"/>
        </w:trPr>
        <w:tc>
          <w:tcPr>
            <w:tcW w:w="1364" w:type="dxa"/>
            <w:shd w:val="clear" w:color="auto" w:fill="F2F2F2" w:themeFill="background1" w:themeFillShade="F2"/>
            <w:noWrap/>
            <w:vAlign w:val="bottom"/>
          </w:tcPr>
          <w:p w14:paraId="2CFA3E11" w14:textId="03A0B10F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2BE8F2" w14:textId="7777777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365 days</w:t>
            </w:r>
          </w:p>
        </w:tc>
        <w:tc>
          <w:tcPr>
            <w:tcW w:w="2171" w:type="dxa"/>
            <w:shd w:val="clear" w:color="auto" w:fill="F2F2F2" w:themeFill="background1" w:themeFillShade="F2"/>
            <w:noWrap/>
            <w:vAlign w:val="bottom"/>
            <w:hideMark/>
          </w:tcPr>
          <w:p w14:paraId="68B28D6A" w14:textId="7984EDFF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0.73 (0.56,0.89)</w:t>
            </w:r>
          </w:p>
        </w:tc>
        <w:tc>
          <w:tcPr>
            <w:tcW w:w="1656" w:type="dxa"/>
            <w:shd w:val="clear" w:color="auto" w:fill="F2F2F2" w:themeFill="background1" w:themeFillShade="F2"/>
            <w:noWrap/>
            <w:vAlign w:val="bottom"/>
            <w:hideMark/>
          </w:tcPr>
          <w:p w14:paraId="24E7F832" w14:textId="77730DA5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0.63 (0.58,0.69)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14:paraId="38F19C99" w14:textId="7AFE4A7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0.96 (0.69,1.33)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0D56C926" w14:textId="715075E1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3.30 (2.29,4.32)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556F66E8" w14:textId="36C72FF3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3.33 (2.96,3.69)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7D1D8A52" w14:textId="6D1A6C16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0.88 (0.58,1.33)</w:t>
            </w:r>
          </w:p>
        </w:tc>
      </w:tr>
      <w:tr w:rsidR="008C6228" w:rsidRPr="00D10C9D" w14:paraId="56A0F51F" w14:textId="29B171DE" w:rsidTr="005235F1">
        <w:trPr>
          <w:trHeight w:val="320"/>
        </w:trPr>
        <w:tc>
          <w:tcPr>
            <w:tcW w:w="1364" w:type="dxa"/>
            <w:vMerge w:val="restart"/>
            <w:shd w:val="clear" w:color="auto" w:fill="auto"/>
            <w:noWrap/>
            <w:vAlign w:val="bottom"/>
            <w:hideMark/>
          </w:tcPr>
          <w:p w14:paraId="40ED4340" w14:textId="1B442A1B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C11D7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Schizophrenia spectrum disorders</w:t>
            </w:r>
          </w:p>
        </w:tc>
        <w:tc>
          <w:tcPr>
            <w:tcW w:w="104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939CCBB" w14:textId="7777777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 days</w:t>
            </w:r>
          </w:p>
        </w:tc>
        <w:tc>
          <w:tcPr>
            <w:tcW w:w="2171" w:type="dxa"/>
            <w:shd w:val="clear" w:color="auto" w:fill="auto"/>
            <w:noWrap/>
            <w:vAlign w:val="bottom"/>
            <w:hideMark/>
          </w:tcPr>
          <w:p w14:paraId="16314A80" w14:textId="26B904AF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 (</w:t>
            </w: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0.00,0.02)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7C03CC11" w14:textId="30DF091B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0.02 (0.01,0.02)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B3AA82" w14:textId="2D838819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0.66 (0.18,2.51)</w:t>
            </w:r>
          </w:p>
        </w:tc>
        <w:tc>
          <w:tcPr>
            <w:tcW w:w="1701" w:type="dxa"/>
            <w:vAlign w:val="bottom"/>
          </w:tcPr>
          <w:p w14:paraId="176A1E74" w14:textId="69B4A4C6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0.06 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,0.15)</w:t>
            </w:r>
          </w:p>
        </w:tc>
        <w:tc>
          <w:tcPr>
            <w:tcW w:w="1701" w:type="dxa"/>
            <w:vAlign w:val="bottom"/>
          </w:tcPr>
          <w:p w14:paraId="5D1F0295" w14:textId="190A8A02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0.12 (0.07,0.16)</w:t>
            </w:r>
          </w:p>
        </w:tc>
        <w:tc>
          <w:tcPr>
            <w:tcW w:w="1843" w:type="dxa"/>
            <w:vAlign w:val="bottom"/>
          </w:tcPr>
          <w:p w14:paraId="336239C3" w14:textId="47E9C90A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0.53 (0.09,3.16)</w:t>
            </w:r>
          </w:p>
        </w:tc>
      </w:tr>
      <w:tr w:rsidR="008C6228" w:rsidRPr="00D10C9D" w14:paraId="2C2E79FE" w14:textId="6ED26536" w:rsidTr="005235F1">
        <w:trPr>
          <w:trHeight w:val="320"/>
        </w:trPr>
        <w:tc>
          <w:tcPr>
            <w:tcW w:w="1364" w:type="dxa"/>
            <w:vMerge/>
            <w:shd w:val="clear" w:color="auto" w:fill="auto"/>
            <w:noWrap/>
            <w:vAlign w:val="bottom"/>
          </w:tcPr>
          <w:p w14:paraId="77E8936E" w14:textId="595B2F91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06CD5C1" w14:textId="7777777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 days</w:t>
            </w:r>
          </w:p>
        </w:tc>
        <w:tc>
          <w:tcPr>
            <w:tcW w:w="2171" w:type="dxa"/>
            <w:shd w:val="clear" w:color="auto" w:fill="auto"/>
            <w:noWrap/>
            <w:vAlign w:val="bottom"/>
            <w:hideMark/>
          </w:tcPr>
          <w:p w14:paraId="1A0B3282" w14:textId="32535F00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0.07 (0.03,0.12)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3A9D6597" w14:textId="45E3559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0.08 (0.06,0.10)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773B65" w14:textId="5DC6F1EB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0.79 (0.29,2.16)</w:t>
            </w:r>
          </w:p>
        </w:tc>
        <w:tc>
          <w:tcPr>
            <w:tcW w:w="1701" w:type="dxa"/>
            <w:vAlign w:val="bottom"/>
          </w:tcPr>
          <w:p w14:paraId="1881CDFE" w14:textId="56AFCC9A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0.47 (0.12,0.83)</w:t>
            </w:r>
          </w:p>
        </w:tc>
        <w:tc>
          <w:tcPr>
            <w:tcW w:w="1701" w:type="dxa"/>
            <w:vAlign w:val="bottom"/>
          </w:tcPr>
          <w:p w14:paraId="46C8490A" w14:textId="31491FF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0.63 (0.47,0.78)</w:t>
            </w:r>
          </w:p>
        </w:tc>
        <w:tc>
          <w:tcPr>
            <w:tcW w:w="1843" w:type="dxa"/>
            <w:vAlign w:val="bottom"/>
          </w:tcPr>
          <w:p w14:paraId="7641D5B1" w14:textId="2FC81054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0.64 (0.17,2.39)</w:t>
            </w:r>
          </w:p>
        </w:tc>
      </w:tr>
      <w:tr w:rsidR="008C6228" w:rsidRPr="00D10C9D" w14:paraId="650D843D" w14:textId="2927308C" w:rsidTr="005235F1">
        <w:trPr>
          <w:trHeight w:val="320"/>
        </w:trPr>
        <w:tc>
          <w:tcPr>
            <w:tcW w:w="1364" w:type="dxa"/>
            <w:shd w:val="clear" w:color="auto" w:fill="auto"/>
            <w:noWrap/>
            <w:vAlign w:val="bottom"/>
          </w:tcPr>
          <w:p w14:paraId="0E0AD91F" w14:textId="1A3CADF6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138378D" w14:textId="7777777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365 days</w:t>
            </w:r>
          </w:p>
        </w:tc>
        <w:tc>
          <w:tcPr>
            <w:tcW w:w="2171" w:type="dxa"/>
            <w:shd w:val="clear" w:color="auto" w:fill="auto"/>
            <w:noWrap/>
            <w:vAlign w:val="bottom"/>
            <w:hideMark/>
          </w:tcPr>
          <w:p w14:paraId="6FBF55B8" w14:textId="6F6D8110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0.15 (0.09,0.22)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1A4863F0" w14:textId="483DF909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0.16 (0.14,0.19)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3597CE" w14:textId="49A83E98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0.93 (0.49,1.77)</w:t>
            </w:r>
          </w:p>
        </w:tc>
        <w:tc>
          <w:tcPr>
            <w:tcW w:w="1701" w:type="dxa"/>
            <w:vAlign w:val="bottom"/>
          </w:tcPr>
          <w:p w14:paraId="5F7E3004" w14:textId="768637FD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 (0.55,1.65)</w:t>
            </w:r>
          </w:p>
        </w:tc>
        <w:tc>
          <w:tcPr>
            <w:tcW w:w="1701" w:type="dxa"/>
            <w:vAlign w:val="bottom"/>
          </w:tcPr>
          <w:p w14:paraId="0704FC66" w14:textId="161EE08B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1.21 (0.99,1.42)</w:t>
            </w:r>
          </w:p>
        </w:tc>
        <w:tc>
          <w:tcPr>
            <w:tcW w:w="1843" w:type="dxa"/>
            <w:vAlign w:val="bottom"/>
          </w:tcPr>
          <w:p w14:paraId="4E92F322" w14:textId="3E1E5E0E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0.81 (0.37,1.75)</w:t>
            </w:r>
          </w:p>
        </w:tc>
      </w:tr>
      <w:tr w:rsidR="008C6228" w:rsidRPr="00D10C9D" w14:paraId="0858EE27" w14:textId="2E0B1495" w:rsidTr="005235F1">
        <w:trPr>
          <w:trHeight w:val="320"/>
        </w:trPr>
        <w:tc>
          <w:tcPr>
            <w:tcW w:w="1364" w:type="dxa"/>
            <w:vMerge w:val="restart"/>
            <w:shd w:val="clear" w:color="auto" w:fill="F2F2F2" w:themeFill="background1" w:themeFillShade="F2"/>
            <w:noWrap/>
            <w:vAlign w:val="bottom"/>
            <w:hideMark/>
          </w:tcPr>
          <w:p w14:paraId="52970029" w14:textId="79FC24F0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C11D7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Suicidal behaviour</w:t>
            </w:r>
          </w:p>
        </w:tc>
        <w:tc>
          <w:tcPr>
            <w:tcW w:w="1046" w:type="dxa"/>
            <w:tcBorders>
              <w:lef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EE033C" w14:textId="7777777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 days</w:t>
            </w:r>
          </w:p>
        </w:tc>
        <w:tc>
          <w:tcPr>
            <w:tcW w:w="2171" w:type="dxa"/>
            <w:shd w:val="clear" w:color="auto" w:fill="F2F2F2" w:themeFill="background1" w:themeFillShade="F2"/>
            <w:noWrap/>
            <w:vAlign w:val="bottom"/>
            <w:hideMark/>
          </w:tcPr>
          <w:p w14:paraId="79828782" w14:textId="1103F6C0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 (0.00,0.03)</w:t>
            </w:r>
          </w:p>
        </w:tc>
        <w:tc>
          <w:tcPr>
            <w:tcW w:w="1656" w:type="dxa"/>
            <w:shd w:val="clear" w:color="auto" w:fill="F2F2F2" w:themeFill="background1" w:themeFillShade="F2"/>
            <w:noWrap/>
            <w:vAlign w:val="bottom"/>
            <w:hideMark/>
          </w:tcPr>
          <w:p w14:paraId="1F9591BF" w14:textId="7383417D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0.02 (0.01,0.02)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14:paraId="041A847A" w14:textId="4410A9DA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0.82 (0.33,2.04)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7A215544" w14:textId="4924359A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0.13 (0.03,0.23)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6BD11A4C" w14:textId="0D2938AE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0.10 (0.06,0.15)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7A1D17BA" w14:textId="43FA4742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1.22 (0.49,3.06)</w:t>
            </w:r>
          </w:p>
        </w:tc>
      </w:tr>
      <w:tr w:rsidR="008C6228" w:rsidRPr="00D10C9D" w14:paraId="64B29412" w14:textId="738C884A" w:rsidTr="005235F1">
        <w:trPr>
          <w:trHeight w:val="320"/>
        </w:trPr>
        <w:tc>
          <w:tcPr>
            <w:tcW w:w="1364" w:type="dxa"/>
            <w:vMerge/>
            <w:shd w:val="clear" w:color="auto" w:fill="F2F2F2" w:themeFill="background1" w:themeFillShade="F2"/>
            <w:noWrap/>
            <w:vAlign w:val="bottom"/>
          </w:tcPr>
          <w:p w14:paraId="56B4F9A0" w14:textId="758D6DB0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D95673" w14:textId="7777777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 days</w:t>
            </w:r>
          </w:p>
        </w:tc>
        <w:tc>
          <w:tcPr>
            <w:tcW w:w="2171" w:type="dxa"/>
            <w:shd w:val="clear" w:color="auto" w:fill="F2F2F2" w:themeFill="background1" w:themeFillShade="F2"/>
            <w:noWrap/>
            <w:vAlign w:val="bottom"/>
            <w:hideMark/>
          </w:tcPr>
          <w:p w14:paraId="207B9151" w14:textId="12E1396B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0.11 (0.06,0.16)</w:t>
            </w:r>
          </w:p>
        </w:tc>
        <w:tc>
          <w:tcPr>
            <w:tcW w:w="1656" w:type="dxa"/>
            <w:shd w:val="clear" w:color="auto" w:fill="F2F2F2" w:themeFill="background1" w:themeFillShade="F2"/>
            <w:noWrap/>
            <w:vAlign w:val="bottom"/>
            <w:hideMark/>
          </w:tcPr>
          <w:p w14:paraId="3F8282C7" w14:textId="58072464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0.12 (0.10,0.14)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14:paraId="04E873E4" w14:textId="5992B235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0.87 (0.43,1.75)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715577F7" w14:textId="039C475F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0.77 (0.38,1.16)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76E82CF2" w14:textId="1D6AAA5B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0.68 (0.52,0.84)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65F503B6" w14:textId="0D6152CB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1.17 (0.58,2.37)</w:t>
            </w:r>
          </w:p>
        </w:tc>
      </w:tr>
      <w:tr w:rsidR="008C6228" w:rsidRPr="00D10C9D" w14:paraId="28AE7C8B" w14:textId="69B1FD86" w:rsidTr="005235F1">
        <w:trPr>
          <w:trHeight w:val="320"/>
        </w:trPr>
        <w:tc>
          <w:tcPr>
            <w:tcW w:w="136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E750C1" w14:textId="4DB5E762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11CA44" w14:textId="7777777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365 days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85727D" w14:textId="7A8B2688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0.36 (0.25,0.47)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8614FB" w14:textId="33616ECE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0.34 (0.30,0.38)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030A49" w14:textId="4C7032A7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62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0.95 (0.61,1.46)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57FE54" w14:textId="00558E6C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1.65 (0.96,2.34)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C4D800" w14:textId="6D4588AB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1.67 (1.41,1.93)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4DA23C" w14:textId="49DEDAF2" w:rsidR="008C6228" w:rsidRPr="00D10C9D" w:rsidRDefault="008C6228" w:rsidP="008C622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0C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1.08 (0.66,1.76)</w:t>
            </w:r>
          </w:p>
        </w:tc>
      </w:tr>
    </w:tbl>
    <w:p w14:paraId="20A16F7E" w14:textId="0486A730" w:rsidR="00D10C9D" w:rsidRDefault="00D10C9D" w:rsidP="00AE09C5">
      <w:pPr>
        <w:pStyle w:val="BodyText"/>
        <w:rPr>
          <w:b/>
        </w:rPr>
      </w:pPr>
    </w:p>
    <w:p w14:paraId="3CC88007" w14:textId="0772D547" w:rsidR="00D4364D" w:rsidRDefault="00D4364D" w:rsidP="00AE09C5">
      <w:pPr>
        <w:pStyle w:val="BodyText"/>
        <w:rPr>
          <w:b/>
        </w:rPr>
      </w:pPr>
    </w:p>
    <w:p w14:paraId="5B6CAC5B" w14:textId="02FBB73F" w:rsidR="00D4364D" w:rsidRDefault="00D4364D" w:rsidP="00AE09C5">
      <w:pPr>
        <w:pStyle w:val="BodyText"/>
        <w:rPr>
          <w:b/>
        </w:rPr>
      </w:pPr>
    </w:p>
    <w:p w14:paraId="0DB1934D" w14:textId="77777777" w:rsidR="00D4364D" w:rsidRDefault="00D4364D" w:rsidP="00AE09C5">
      <w:pPr>
        <w:pStyle w:val="BodyText"/>
        <w:rPr>
          <w:b/>
        </w:rPr>
      </w:pPr>
    </w:p>
    <w:p w14:paraId="45C86B38" w14:textId="77777777" w:rsidR="00D10C9D" w:rsidRDefault="00D10C9D" w:rsidP="00AE09C5">
      <w:pPr>
        <w:pStyle w:val="BodyText"/>
        <w:rPr>
          <w:b/>
        </w:rPr>
      </w:pPr>
    </w:p>
    <w:p w14:paraId="246B485B" w14:textId="77777777" w:rsidR="00AE09C5" w:rsidRDefault="00AE09C5" w:rsidP="00AE09C5">
      <w:pPr>
        <w:jc w:val="both"/>
        <w:rPr>
          <w:rFonts w:cstheme="minorHAnsi"/>
        </w:rPr>
        <w:sectPr w:rsidR="00AE09C5" w:rsidSect="00035430"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83A1E7E" w14:textId="77777777" w:rsidR="00AE09C5" w:rsidRPr="0082018B" w:rsidRDefault="00AE09C5" w:rsidP="001816A6">
      <w:pPr>
        <w:pStyle w:val="BodyText"/>
        <w:rPr>
          <w:rFonts w:asciiTheme="majorHAnsi" w:hAnsiTheme="majorHAnsi" w:cstheme="majorHAnsi"/>
          <w:lang w:val="en-GB"/>
        </w:rPr>
      </w:pPr>
    </w:p>
    <w:sectPr w:rsidR="00AE09C5" w:rsidRPr="0082018B" w:rsidSect="00BE4812">
      <w:pgSz w:w="12240" w:h="15840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DCB7A" w14:textId="77777777" w:rsidR="00134A78" w:rsidRDefault="00134A78">
      <w:pPr>
        <w:spacing w:after="0"/>
      </w:pPr>
      <w:r>
        <w:separator/>
      </w:r>
    </w:p>
  </w:endnote>
  <w:endnote w:type="continuationSeparator" w:id="0">
    <w:p w14:paraId="138DCEA4" w14:textId="77777777" w:rsidR="00134A78" w:rsidRDefault="00134A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9E14" w14:textId="77777777" w:rsidR="00134A78" w:rsidRDefault="00134A78">
      <w:r>
        <w:separator/>
      </w:r>
    </w:p>
  </w:footnote>
  <w:footnote w:type="continuationSeparator" w:id="0">
    <w:p w14:paraId="0764BC8D" w14:textId="77777777" w:rsidR="00134A78" w:rsidRDefault="0013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A990"/>
    <w:multiLevelType w:val="multilevel"/>
    <w:tmpl w:val="DAA20760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12087A5D"/>
    <w:multiLevelType w:val="hybridMultilevel"/>
    <w:tmpl w:val="2084CCA8"/>
    <w:lvl w:ilvl="0" w:tplc="F6FCE5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4DCBB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D1259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6463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4E1F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EE2B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B02FC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6404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A829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03E22BA"/>
    <w:multiLevelType w:val="hybridMultilevel"/>
    <w:tmpl w:val="FA0A0AD6"/>
    <w:lvl w:ilvl="0" w:tplc="9A703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16F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F23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549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CA69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9CF2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61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BE3F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2C2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1F53D19"/>
    <w:multiLevelType w:val="hybridMultilevel"/>
    <w:tmpl w:val="3E023728"/>
    <w:lvl w:ilvl="0" w:tplc="5D341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9AF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B84C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CC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40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C67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30B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FC6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1AC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25E7B"/>
    <w:multiLevelType w:val="hybridMultilevel"/>
    <w:tmpl w:val="AA483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77909"/>
    <w:multiLevelType w:val="hybridMultilevel"/>
    <w:tmpl w:val="211E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7F"/>
    <w:rsid w:val="000038F9"/>
    <w:rsid w:val="00006B6A"/>
    <w:rsid w:val="000173BB"/>
    <w:rsid w:val="000337BA"/>
    <w:rsid w:val="00035430"/>
    <w:rsid w:val="000406E4"/>
    <w:rsid w:val="00040A7E"/>
    <w:rsid w:val="000435DC"/>
    <w:rsid w:val="00045415"/>
    <w:rsid w:val="0007083D"/>
    <w:rsid w:val="00084261"/>
    <w:rsid w:val="00090D75"/>
    <w:rsid w:val="000914EC"/>
    <w:rsid w:val="000B3972"/>
    <w:rsid w:val="000D38CA"/>
    <w:rsid w:val="000D7753"/>
    <w:rsid w:val="000F5133"/>
    <w:rsid w:val="00104ACF"/>
    <w:rsid w:val="0012274F"/>
    <w:rsid w:val="00130058"/>
    <w:rsid w:val="0013417B"/>
    <w:rsid w:val="00134A78"/>
    <w:rsid w:val="00136953"/>
    <w:rsid w:val="00142225"/>
    <w:rsid w:val="001816A6"/>
    <w:rsid w:val="001B243D"/>
    <w:rsid w:val="001E5195"/>
    <w:rsid w:val="001E7C07"/>
    <w:rsid w:val="001F0BD9"/>
    <w:rsid w:val="001F73F9"/>
    <w:rsid w:val="002038CB"/>
    <w:rsid w:val="00207FD5"/>
    <w:rsid w:val="0024304A"/>
    <w:rsid w:val="00254BC8"/>
    <w:rsid w:val="00256C54"/>
    <w:rsid w:val="0026172B"/>
    <w:rsid w:val="002656D7"/>
    <w:rsid w:val="00274C7A"/>
    <w:rsid w:val="00283C19"/>
    <w:rsid w:val="00285C09"/>
    <w:rsid w:val="00296AB2"/>
    <w:rsid w:val="002A0ADA"/>
    <w:rsid w:val="002A74B9"/>
    <w:rsid w:val="002B25AD"/>
    <w:rsid w:val="002B2C6B"/>
    <w:rsid w:val="002E3D1C"/>
    <w:rsid w:val="002F153C"/>
    <w:rsid w:val="002F2227"/>
    <w:rsid w:val="002F7E7B"/>
    <w:rsid w:val="00311AE2"/>
    <w:rsid w:val="0031340F"/>
    <w:rsid w:val="00323764"/>
    <w:rsid w:val="0032572F"/>
    <w:rsid w:val="003310B8"/>
    <w:rsid w:val="00370FA1"/>
    <w:rsid w:val="003745AA"/>
    <w:rsid w:val="003B50E2"/>
    <w:rsid w:val="003D5161"/>
    <w:rsid w:val="003E03AD"/>
    <w:rsid w:val="003F4720"/>
    <w:rsid w:val="00410555"/>
    <w:rsid w:val="0041651D"/>
    <w:rsid w:val="00422A64"/>
    <w:rsid w:val="00424E2E"/>
    <w:rsid w:val="00432DC7"/>
    <w:rsid w:val="00452DF2"/>
    <w:rsid w:val="004562FD"/>
    <w:rsid w:val="00461AA2"/>
    <w:rsid w:val="00475EFE"/>
    <w:rsid w:val="004837FA"/>
    <w:rsid w:val="004963BF"/>
    <w:rsid w:val="00497646"/>
    <w:rsid w:val="004A55D6"/>
    <w:rsid w:val="004C1138"/>
    <w:rsid w:val="004D6675"/>
    <w:rsid w:val="004E2694"/>
    <w:rsid w:val="0050051F"/>
    <w:rsid w:val="005143F6"/>
    <w:rsid w:val="005235F1"/>
    <w:rsid w:val="0052397A"/>
    <w:rsid w:val="0053579C"/>
    <w:rsid w:val="00542010"/>
    <w:rsid w:val="0054785D"/>
    <w:rsid w:val="00555418"/>
    <w:rsid w:val="005733BC"/>
    <w:rsid w:val="00590B6A"/>
    <w:rsid w:val="00596D97"/>
    <w:rsid w:val="00596E98"/>
    <w:rsid w:val="005B5D0F"/>
    <w:rsid w:val="005E75D2"/>
    <w:rsid w:val="00600207"/>
    <w:rsid w:val="00614C15"/>
    <w:rsid w:val="006209CA"/>
    <w:rsid w:val="006317C5"/>
    <w:rsid w:val="00644C44"/>
    <w:rsid w:val="00651585"/>
    <w:rsid w:val="00662C31"/>
    <w:rsid w:val="0066390E"/>
    <w:rsid w:val="00676288"/>
    <w:rsid w:val="006B0119"/>
    <w:rsid w:val="006B7B7E"/>
    <w:rsid w:val="006C77AC"/>
    <w:rsid w:val="006D1537"/>
    <w:rsid w:val="006F05CB"/>
    <w:rsid w:val="006F2447"/>
    <w:rsid w:val="00703808"/>
    <w:rsid w:val="0070470D"/>
    <w:rsid w:val="00704D52"/>
    <w:rsid w:val="00746B5C"/>
    <w:rsid w:val="00790DC3"/>
    <w:rsid w:val="007B64E9"/>
    <w:rsid w:val="007C1155"/>
    <w:rsid w:val="007C6BF3"/>
    <w:rsid w:val="00811B40"/>
    <w:rsid w:val="0082018B"/>
    <w:rsid w:val="00826477"/>
    <w:rsid w:val="00834C94"/>
    <w:rsid w:val="008351DA"/>
    <w:rsid w:val="00862BB2"/>
    <w:rsid w:val="0086324C"/>
    <w:rsid w:val="00863629"/>
    <w:rsid w:val="008847DA"/>
    <w:rsid w:val="008A6626"/>
    <w:rsid w:val="008B06A2"/>
    <w:rsid w:val="008C6228"/>
    <w:rsid w:val="008D05EE"/>
    <w:rsid w:val="008D3227"/>
    <w:rsid w:val="008E4768"/>
    <w:rsid w:val="008F5157"/>
    <w:rsid w:val="00902178"/>
    <w:rsid w:val="009156C9"/>
    <w:rsid w:val="0092285D"/>
    <w:rsid w:val="0092297E"/>
    <w:rsid w:val="00936919"/>
    <w:rsid w:val="00946327"/>
    <w:rsid w:val="00970A99"/>
    <w:rsid w:val="00981A68"/>
    <w:rsid w:val="009A131D"/>
    <w:rsid w:val="009A32CA"/>
    <w:rsid w:val="009B0CEC"/>
    <w:rsid w:val="009B6811"/>
    <w:rsid w:val="009B6F1C"/>
    <w:rsid w:val="009C6BCC"/>
    <w:rsid w:val="009D0AC0"/>
    <w:rsid w:val="009D7072"/>
    <w:rsid w:val="009E2D63"/>
    <w:rsid w:val="009E2FDD"/>
    <w:rsid w:val="009E32C1"/>
    <w:rsid w:val="009E55A4"/>
    <w:rsid w:val="00A02A75"/>
    <w:rsid w:val="00A10A20"/>
    <w:rsid w:val="00A32FB2"/>
    <w:rsid w:val="00A41908"/>
    <w:rsid w:val="00A62081"/>
    <w:rsid w:val="00A65941"/>
    <w:rsid w:val="00A932E3"/>
    <w:rsid w:val="00A955BA"/>
    <w:rsid w:val="00AC7C91"/>
    <w:rsid w:val="00AE09C5"/>
    <w:rsid w:val="00AE52CB"/>
    <w:rsid w:val="00AF42F6"/>
    <w:rsid w:val="00AF579C"/>
    <w:rsid w:val="00B060D6"/>
    <w:rsid w:val="00B20CA2"/>
    <w:rsid w:val="00B246E0"/>
    <w:rsid w:val="00B452C5"/>
    <w:rsid w:val="00B8300A"/>
    <w:rsid w:val="00B91B84"/>
    <w:rsid w:val="00BB67FA"/>
    <w:rsid w:val="00BE4812"/>
    <w:rsid w:val="00C11D7B"/>
    <w:rsid w:val="00C202C7"/>
    <w:rsid w:val="00C220AE"/>
    <w:rsid w:val="00C23F7F"/>
    <w:rsid w:val="00C4587A"/>
    <w:rsid w:val="00C564B1"/>
    <w:rsid w:val="00C5755E"/>
    <w:rsid w:val="00C61538"/>
    <w:rsid w:val="00C672FA"/>
    <w:rsid w:val="00C74144"/>
    <w:rsid w:val="00C76AF2"/>
    <w:rsid w:val="00C85020"/>
    <w:rsid w:val="00C8527D"/>
    <w:rsid w:val="00CA0BB3"/>
    <w:rsid w:val="00CE66D4"/>
    <w:rsid w:val="00CF6AD6"/>
    <w:rsid w:val="00D10C9D"/>
    <w:rsid w:val="00D145D0"/>
    <w:rsid w:val="00D3022F"/>
    <w:rsid w:val="00D345A2"/>
    <w:rsid w:val="00D4364D"/>
    <w:rsid w:val="00D45520"/>
    <w:rsid w:val="00D46D04"/>
    <w:rsid w:val="00D67F9D"/>
    <w:rsid w:val="00D775A7"/>
    <w:rsid w:val="00D860D3"/>
    <w:rsid w:val="00D86B3A"/>
    <w:rsid w:val="00D86E32"/>
    <w:rsid w:val="00DA0F8A"/>
    <w:rsid w:val="00DA6703"/>
    <w:rsid w:val="00DA79C1"/>
    <w:rsid w:val="00DC5A13"/>
    <w:rsid w:val="00DE4934"/>
    <w:rsid w:val="00E322FF"/>
    <w:rsid w:val="00E3294A"/>
    <w:rsid w:val="00E41D93"/>
    <w:rsid w:val="00E43A8B"/>
    <w:rsid w:val="00E472A7"/>
    <w:rsid w:val="00E664AA"/>
    <w:rsid w:val="00E865E5"/>
    <w:rsid w:val="00EB4D6C"/>
    <w:rsid w:val="00EC280E"/>
    <w:rsid w:val="00ED44BA"/>
    <w:rsid w:val="00EE2F3D"/>
    <w:rsid w:val="00EE72B5"/>
    <w:rsid w:val="00F013B4"/>
    <w:rsid w:val="00F027FD"/>
    <w:rsid w:val="00F12F0D"/>
    <w:rsid w:val="00F20715"/>
    <w:rsid w:val="00F2560A"/>
    <w:rsid w:val="00F51BE6"/>
    <w:rsid w:val="00F72BAE"/>
    <w:rsid w:val="00F874BD"/>
    <w:rsid w:val="00FC03E8"/>
    <w:rsid w:val="00FD147E"/>
    <w:rsid w:val="00FD71E0"/>
    <w:rsid w:val="00FE4F93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58F5"/>
  <w15:docId w15:val="{A8BC4B42-206D-4CC9-A728-DD4F3038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uiPriority w:val="99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NormalWeb">
    <w:name w:val="Normal (Web)"/>
    <w:basedOn w:val="Normal"/>
    <w:uiPriority w:val="99"/>
    <w:semiHidden/>
    <w:unhideWhenUsed/>
    <w:rsid w:val="00F72B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D5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51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51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5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51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D51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5161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9B0CE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B0CEC"/>
    <w:pPr>
      <w:spacing w:after="100"/>
      <w:ind w:left="240"/>
    </w:pPr>
  </w:style>
  <w:style w:type="paragraph" w:styleId="ListParagraph">
    <w:name w:val="List Paragraph"/>
    <w:basedOn w:val="Normal"/>
    <w:uiPriority w:val="34"/>
    <w:qFormat/>
    <w:rsid w:val="00596E98"/>
    <w:pPr>
      <w:ind w:left="720"/>
      <w:contextualSpacing/>
    </w:pPr>
  </w:style>
  <w:style w:type="character" w:styleId="LineNumber">
    <w:name w:val="line number"/>
    <w:basedOn w:val="DefaultParagraphFont"/>
    <w:semiHidden/>
    <w:unhideWhenUsed/>
    <w:rsid w:val="00040A7E"/>
  </w:style>
  <w:style w:type="table" w:styleId="TableGrid">
    <w:name w:val="Table Grid"/>
    <w:basedOn w:val="TableNormal"/>
    <w:rsid w:val="00BB67F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26477"/>
    <w:pPr>
      <w:spacing w:after="0"/>
    </w:pPr>
    <w:rPr>
      <w:rFonts w:eastAsia="SimSun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D860D3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Results: Corticosteroids and psychiatric outcomes</vt:lpstr>
    </vt:vector>
  </TitlesOfParts>
  <Company>MEB</Company>
  <LinksUpToDate>false</LinksUpToDate>
  <CharactersWithSpaces>23980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Results: Corticosteroids and psychiatric outcomes</dc:title>
  <dc:creator>Tyra Lagerberg</dc:creator>
  <cp:keywords/>
  <cp:lastModifiedBy>Tyra Lagerberg</cp:lastModifiedBy>
  <cp:revision>3</cp:revision>
  <cp:lastPrinted>2024-10-08T15:42:00Z</cp:lastPrinted>
  <dcterms:created xsi:type="dcterms:W3CDTF">2025-03-19T15:48:00Z</dcterms:created>
  <dcterms:modified xsi:type="dcterms:W3CDTF">2025-03-19T16:33:00Z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2024-07-26</vt:lpwstr>
  </property>
  <property fmtid="{D5CDD505-2E9C-101B-9397-08002B2CF9AE}" pid="3" name="output">
    <vt:lpwstr>word_document</vt:lpwstr>
  </property>
</Properties>
</file>