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700E3" w14:textId="044361CA" w:rsidR="000F4CD0" w:rsidRPr="006C02B0" w:rsidRDefault="001A6F84" w:rsidP="006C02B0">
      <w:pPr>
        <w:rPr>
          <w:rFonts w:ascii="Times New Roman" w:hAnsi="Times New Roman" w:cs="Times New Roman"/>
          <w:color w:val="FF0000"/>
          <w:sz w:val="20"/>
          <w:szCs w:val="20"/>
        </w:rPr>
      </w:pPr>
      <w:r w:rsidRPr="00A96C49">
        <w:rPr>
          <w:rFonts w:ascii="Times New Roman" w:hAnsi="Times New Roman" w:cs="Times New Roman"/>
          <w:b/>
          <w:sz w:val="20"/>
          <w:szCs w:val="20"/>
        </w:rPr>
        <w:t xml:space="preserve">Supplemental methods: </w:t>
      </w:r>
      <w:r w:rsidR="002F288C" w:rsidRPr="002F288C">
        <w:rPr>
          <w:rFonts w:ascii="Times New Roman" w:hAnsi="Times New Roman" w:cs="Times New Roman"/>
          <w:b/>
          <w:sz w:val="20"/>
          <w:szCs w:val="20"/>
        </w:rPr>
        <w:t xml:space="preserve">Life expectancy and years of life lost for </w:t>
      </w:r>
      <w:r w:rsidR="00AF2668">
        <w:rPr>
          <w:rFonts w:ascii="Times New Roman" w:hAnsi="Times New Roman" w:cs="Times New Roman"/>
          <w:b/>
          <w:sz w:val="20"/>
          <w:szCs w:val="20"/>
        </w:rPr>
        <w:t>adults</w:t>
      </w:r>
      <w:r w:rsidR="00A66EFF">
        <w:rPr>
          <w:rFonts w:ascii="Times New Roman" w:hAnsi="Times New Roman" w:cs="Times New Roman"/>
          <w:b/>
          <w:sz w:val="20"/>
          <w:szCs w:val="20"/>
        </w:rPr>
        <w:t xml:space="preserve"> with diagnosed ADHD</w:t>
      </w:r>
      <w:r w:rsidR="002F288C" w:rsidRPr="002F288C">
        <w:rPr>
          <w:rFonts w:ascii="Times New Roman" w:hAnsi="Times New Roman" w:cs="Times New Roman"/>
          <w:b/>
          <w:sz w:val="20"/>
          <w:szCs w:val="20"/>
        </w:rPr>
        <w:t xml:space="preserve"> in the UK: a matched cohort study</w:t>
      </w:r>
      <w:bookmarkStart w:id="0" w:name="_GoBack"/>
      <w:bookmarkEnd w:id="0"/>
    </w:p>
    <w:p w14:paraId="210B3173" w14:textId="2111C552" w:rsidR="00F1187E" w:rsidRPr="00F1187E" w:rsidRDefault="00F1187E" w:rsidP="00F1187E">
      <w:pPr>
        <w:spacing w:line="480" w:lineRule="auto"/>
        <w:rPr>
          <w:rFonts w:ascii="Times New Roman" w:hAnsi="Times New Roman" w:cs="Times New Roman"/>
          <w:b/>
          <w:i/>
          <w:sz w:val="20"/>
          <w:szCs w:val="20"/>
        </w:rPr>
      </w:pPr>
      <w:r w:rsidRPr="00F1187E">
        <w:rPr>
          <w:rFonts w:ascii="Times New Roman" w:hAnsi="Times New Roman" w:cs="Times New Roman"/>
          <w:b/>
          <w:i/>
          <w:sz w:val="20"/>
          <w:szCs w:val="20"/>
        </w:rPr>
        <w:t>Exposure density sampling</w:t>
      </w:r>
      <w:r w:rsidR="00C65141">
        <w:rPr>
          <w:rFonts w:ascii="Times New Roman" w:hAnsi="Times New Roman" w:cs="Times New Roman"/>
          <w:b/>
          <w:i/>
          <w:sz w:val="20"/>
          <w:szCs w:val="20"/>
        </w:rPr>
        <w:fldChar w:fldCharType="begin" w:fldLock="1"/>
      </w:r>
      <w:r w:rsidR="004761B0">
        <w:rPr>
          <w:rFonts w:ascii="Times New Roman" w:hAnsi="Times New Roman" w:cs="Times New Roman"/>
          <w:b/>
          <w:i/>
          <w:sz w:val="20"/>
          <w:szCs w:val="20"/>
        </w:rPr>
        <w:instrText>ADDIN CSL_CITATION {"citationItems":[{"id":"ITEM-1","itemData":{"DOI":"10.1002/sim.8305","ISSN":"0277-6715","author":[{"dropping-particle":"","family":"Ohneberg","given":"Kristin","non-dropping-particle":"","parse-names":false,"suffix":""},{"dropping-particle":"","family":"Beyersmann","given":"Jan","non-dropping-particle":"","parse-names":false,"suffix":""},{"dropping-particle":"","family":"Schumacher","given":"Martin","non-dropping-particle":"","parse-names":false,"suffix":""}],"container-title":"Statistics in Medicine","id":"ITEM-1","issue":"22","issued":{"date-parts":[["2019","9","30"]]},"page":"4390-4403","title":"Exposure density sampling: Dynamic matching with respect to a time‐dependent exposure","type":"article-journal","volume":"38"},"uris":["http://www.mendeley.com/documents/?uuid=7bb83125-564c-4920-9bd3-d6ad68a3186d"]}],"mendeley":{"formattedCitation":"&lt;sup&gt;1&lt;/sup&gt;","plainTextFormattedCitation":"1","previouslyFormattedCitation":"&lt;sup&gt;1&lt;/sup&gt;"},"properties":{"noteIndex":0},"schema":"https://github.com/citation-style-language/schema/raw/master/csl-citation.json"}</w:instrText>
      </w:r>
      <w:r w:rsidR="00C65141">
        <w:rPr>
          <w:rFonts w:ascii="Times New Roman" w:hAnsi="Times New Roman" w:cs="Times New Roman"/>
          <w:b/>
          <w:i/>
          <w:sz w:val="20"/>
          <w:szCs w:val="20"/>
        </w:rPr>
        <w:fldChar w:fldCharType="separate"/>
      </w:r>
      <w:r w:rsidR="00C65141" w:rsidRPr="00C65141">
        <w:rPr>
          <w:rFonts w:ascii="Times New Roman" w:hAnsi="Times New Roman" w:cs="Times New Roman"/>
          <w:noProof/>
          <w:sz w:val="20"/>
          <w:szCs w:val="20"/>
          <w:vertAlign w:val="superscript"/>
        </w:rPr>
        <w:t>1</w:t>
      </w:r>
      <w:r w:rsidR="00C65141">
        <w:rPr>
          <w:rFonts w:ascii="Times New Roman" w:hAnsi="Times New Roman" w:cs="Times New Roman"/>
          <w:b/>
          <w:i/>
          <w:sz w:val="20"/>
          <w:szCs w:val="20"/>
        </w:rPr>
        <w:fldChar w:fldCharType="end"/>
      </w:r>
    </w:p>
    <w:p w14:paraId="0A7888FD" w14:textId="1C6329C8" w:rsidR="00DD160D" w:rsidRPr="00FF73EB" w:rsidRDefault="00C65141" w:rsidP="00DD160D">
      <w:pPr>
        <w:spacing w:line="480" w:lineRule="auto"/>
        <w:rPr>
          <w:rFonts w:ascii="Times New Roman" w:hAnsi="Times New Roman" w:cs="Times New Roman"/>
          <w:sz w:val="20"/>
          <w:szCs w:val="20"/>
        </w:rPr>
      </w:pPr>
      <w:r>
        <w:rPr>
          <w:rFonts w:ascii="Times New Roman" w:hAnsi="Times New Roman" w:cs="Times New Roman"/>
          <w:sz w:val="20"/>
          <w:szCs w:val="20"/>
        </w:rPr>
        <w:t xml:space="preserve">A diagram of the sampling process is provided in </w:t>
      </w:r>
      <w:proofErr w:type="spellStart"/>
      <w:r>
        <w:rPr>
          <w:rFonts w:ascii="Times New Roman" w:hAnsi="Times New Roman" w:cs="Times New Roman"/>
          <w:sz w:val="20"/>
          <w:szCs w:val="20"/>
        </w:rPr>
        <w:t>eFigure</w:t>
      </w:r>
      <w:proofErr w:type="spellEnd"/>
      <w:r>
        <w:rPr>
          <w:rFonts w:ascii="Times New Roman" w:hAnsi="Times New Roman" w:cs="Times New Roman"/>
          <w:sz w:val="20"/>
          <w:szCs w:val="20"/>
        </w:rPr>
        <w:t xml:space="preserve"> 2. </w:t>
      </w:r>
      <w:r w:rsidR="00862B41" w:rsidRPr="00FF73EB">
        <w:rPr>
          <w:rFonts w:ascii="Times New Roman" w:hAnsi="Times New Roman" w:cs="Times New Roman"/>
          <w:sz w:val="20"/>
          <w:szCs w:val="20"/>
        </w:rPr>
        <w:t xml:space="preserve">For </w:t>
      </w:r>
      <w:r w:rsidR="00283D71">
        <w:rPr>
          <w:rFonts w:ascii="Times New Roman" w:hAnsi="Times New Roman" w:cs="Times New Roman"/>
          <w:sz w:val="20"/>
          <w:szCs w:val="20"/>
        </w:rPr>
        <w:t>people with diagnosed ADHD</w:t>
      </w:r>
      <w:r w:rsidR="00862B41">
        <w:rPr>
          <w:rFonts w:ascii="Times New Roman" w:hAnsi="Times New Roman" w:cs="Times New Roman"/>
          <w:sz w:val="20"/>
          <w:szCs w:val="20"/>
        </w:rPr>
        <w:t xml:space="preserve">, </w:t>
      </w:r>
      <w:r w:rsidR="00862B41" w:rsidRPr="00FF73EB">
        <w:rPr>
          <w:rFonts w:ascii="Times New Roman" w:hAnsi="Times New Roman" w:cs="Times New Roman"/>
          <w:sz w:val="20"/>
          <w:szCs w:val="20"/>
        </w:rPr>
        <w:t>their index date (</w:t>
      </w:r>
      <w:r w:rsidR="00862B41">
        <w:rPr>
          <w:rFonts w:ascii="Times New Roman" w:hAnsi="Times New Roman" w:cs="Times New Roman"/>
          <w:sz w:val="20"/>
          <w:szCs w:val="20"/>
        </w:rPr>
        <w:t xml:space="preserve">i.e. </w:t>
      </w:r>
      <w:r>
        <w:rPr>
          <w:rFonts w:ascii="Times New Roman" w:hAnsi="Times New Roman" w:cs="Times New Roman"/>
          <w:sz w:val="20"/>
          <w:szCs w:val="20"/>
        </w:rPr>
        <w:t xml:space="preserve">the </w:t>
      </w:r>
      <w:r w:rsidR="00862B41" w:rsidRPr="00FF73EB">
        <w:rPr>
          <w:rFonts w:ascii="Times New Roman" w:hAnsi="Times New Roman" w:cs="Times New Roman"/>
          <w:sz w:val="20"/>
          <w:szCs w:val="20"/>
        </w:rPr>
        <w:t>beginning of follow-up</w:t>
      </w:r>
      <w:r w:rsidR="00862B41">
        <w:rPr>
          <w:rFonts w:ascii="Times New Roman" w:hAnsi="Times New Roman" w:cs="Times New Roman"/>
          <w:sz w:val="20"/>
          <w:szCs w:val="20"/>
        </w:rPr>
        <w:t xml:space="preserve"> time</w:t>
      </w:r>
      <w:r w:rsidR="00862B41" w:rsidRPr="00FF73EB">
        <w:rPr>
          <w:rFonts w:ascii="Times New Roman" w:hAnsi="Times New Roman" w:cs="Times New Roman"/>
          <w:sz w:val="20"/>
          <w:szCs w:val="20"/>
        </w:rPr>
        <w:t xml:space="preserve">) was the latest of their date of diagnosis, their date of registration at the practice, and the date that their practice met </w:t>
      </w:r>
      <w:r w:rsidR="00862B41">
        <w:rPr>
          <w:rFonts w:ascii="Times New Roman" w:hAnsi="Times New Roman" w:cs="Times New Roman"/>
          <w:sz w:val="20"/>
          <w:szCs w:val="20"/>
        </w:rPr>
        <w:t>record-keeping quality</w:t>
      </w:r>
      <w:r w:rsidR="00862B41" w:rsidRPr="00FF73EB">
        <w:rPr>
          <w:rFonts w:ascii="Times New Roman" w:hAnsi="Times New Roman" w:cs="Times New Roman"/>
          <w:sz w:val="20"/>
          <w:szCs w:val="20"/>
        </w:rPr>
        <w:t xml:space="preserve"> criteria.</w:t>
      </w:r>
      <w:r w:rsidR="00862B41">
        <w:rPr>
          <w:rFonts w:ascii="Times New Roman" w:hAnsi="Times New Roman" w:cs="Times New Roman"/>
          <w:sz w:val="20"/>
          <w:szCs w:val="20"/>
        </w:rPr>
        <w:t xml:space="preserve"> </w:t>
      </w:r>
      <w:r w:rsidR="00DD160D" w:rsidRPr="00FF73EB">
        <w:rPr>
          <w:rFonts w:ascii="Times New Roman" w:hAnsi="Times New Roman" w:cs="Times New Roman"/>
          <w:sz w:val="20"/>
          <w:szCs w:val="20"/>
        </w:rPr>
        <w:t>Age, sex, and general practice-matched comparison individuals were sampled from those regist</w:t>
      </w:r>
      <w:r w:rsidR="00DD160D">
        <w:rPr>
          <w:rFonts w:ascii="Times New Roman" w:hAnsi="Times New Roman" w:cs="Times New Roman"/>
          <w:sz w:val="20"/>
          <w:szCs w:val="20"/>
        </w:rPr>
        <w:t>e</w:t>
      </w:r>
      <w:r w:rsidR="00DD160D" w:rsidRPr="00FF73EB">
        <w:rPr>
          <w:rFonts w:ascii="Times New Roman" w:hAnsi="Times New Roman" w:cs="Times New Roman"/>
          <w:sz w:val="20"/>
          <w:szCs w:val="20"/>
        </w:rPr>
        <w:t>red at the practice prior to, or on the date of, the person</w:t>
      </w:r>
      <w:r w:rsidR="00283D71">
        <w:rPr>
          <w:rFonts w:ascii="Times New Roman" w:hAnsi="Times New Roman" w:cs="Times New Roman"/>
          <w:sz w:val="20"/>
          <w:szCs w:val="20"/>
        </w:rPr>
        <w:t xml:space="preserve"> with diagnosed ADHD’s</w:t>
      </w:r>
      <w:r w:rsidR="00DD160D" w:rsidRPr="00FF73EB">
        <w:rPr>
          <w:rFonts w:ascii="Times New Roman" w:hAnsi="Times New Roman" w:cs="Times New Roman"/>
          <w:sz w:val="20"/>
          <w:szCs w:val="20"/>
        </w:rPr>
        <w:t xml:space="preserve"> index date. Matched comparison individuals were assigned the same index date as their matched </w:t>
      </w:r>
      <w:r w:rsidR="00283D71">
        <w:rPr>
          <w:rFonts w:ascii="Times New Roman" w:hAnsi="Times New Roman" w:cs="Times New Roman"/>
          <w:sz w:val="20"/>
          <w:szCs w:val="20"/>
        </w:rPr>
        <w:t xml:space="preserve">ADHD </w:t>
      </w:r>
      <w:r w:rsidR="00DD160D" w:rsidRPr="00FF73EB">
        <w:rPr>
          <w:rFonts w:ascii="Times New Roman" w:hAnsi="Times New Roman" w:cs="Times New Roman"/>
          <w:sz w:val="20"/>
          <w:szCs w:val="20"/>
        </w:rPr>
        <w:t xml:space="preserve">counterparts. If a person was sampled as a comparison individual and was then diagnosed </w:t>
      </w:r>
      <w:r w:rsidR="00283D71">
        <w:rPr>
          <w:rFonts w:ascii="Times New Roman" w:hAnsi="Times New Roman" w:cs="Times New Roman"/>
          <w:sz w:val="20"/>
          <w:szCs w:val="20"/>
        </w:rPr>
        <w:t>with ADHD</w:t>
      </w:r>
      <w:r w:rsidR="00DD160D" w:rsidRPr="00FF73EB">
        <w:rPr>
          <w:rFonts w:ascii="Times New Roman" w:hAnsi="Times New Roman" w:cs="Times New Roman"/>
          <w:sz w:val="20"/>
          <w:szCs w:val="20"/>
        </w:rPr>
        <w:t xml:space="preserve"> during follow-up, they were censored from the comparison group the day before their diagnosis.</w:t>
      </w:r>
    </w:p>
    <w:p w14:paraId="4D2BFE58" w14:textId="784C8A46" w:rsidR="00DD160D" w:rsidRPr="00FF73EB" w:rsidRDefault="00283D71" w:rsidP="00DD160D">
      <w:pPr>
        <w:spacing w:line="480" w:lineRule="auto"/>
        <w:rPr>
          <w:rFonts w:ascii="Times New Roman" w:hAnsi="Times New Roman" w:cs="Times New Roman"/>
          <w:sz w:val="20"/>
          <w:szCs w:val="20"/>
        </w:rPr>
      </w:pPr>
      <w:r>
        <w:rPr>
          <w:rFonts w:ascii="Times New Roman" w:hAnsi="Times New Roman" w:cs="Times New Roman"/>
          <w:sz w:val="20"/>
          <w:szCs w:val="20"/>
        </w:rPr>
        <w:t>F</w:t>
      </w:r>
      <w:r w:rsidR="00DD160D" w:rsidRPr="00FF73EB">
        <w:rPr>
          <w:rFonts w:ascii="Times New Roman" w:hAnsi="Times New Roman" w:cs="Times New Roman"/>
          <w:sz w:val="20"/>
          <w:szCs w:val="20"/>
        </w:rPr>
        <w:t xml:space="preserve">ollow-up ended on the earliest of each person's recorded date of death, the date that they were transferred out of the practice, or the last date that their practice contributed data to IMRD. </w:t>
      </w:r>
    </w:p>
    <w:p w14:paraId="602C841A" w14:textId="77777777" w:rsidR="00DD160D" w:rsidRPr="00B06AAF" w:rsidRDefault="00DD160D" w:rsidP="00DD160D">
      <w:pPr>
        <w:rPr>
          <w:rFonts w:ascii="Times New Roman" w:hAnsi="Times New Roman" w:cs="Times New Roman"/>
          <w:b/>
          <w:i/>
          <w:sz w:val="20"/>
          <w:szCs w:val="20"/>
        </w:rPr>
      </w:pPr>
      <w:r w:rsidRPr="00B06AAF">
        <w:rPr>
          <w:rFonts w:ascii="Times New Roman" w:hAnsi="Times New Roman" w:cs="Times New Roman"/>
          <w:b/>
          <w:i/>
          <w:sz w:val="20"/>
          <w:szCs w:val="20"/>
        </w:rPr>
        <w:t>Acceptable mortality recording</w:t>
      </w:r>
    </w:p>
    <w:p w14:paraId="26D4CA97" w14:textId="4EBB1F11" w:rsidR="00DD160D" w:rsidRDefault="00DD160D" w:rsidP="007565D9">
      <w:pPr>
        <w:spacing w:line="480" w:lineRule="auto"/>
        <w:rPr>
          <w:rFonts w:ascii="Times New Roman" w:hAnsi="Times New Roman" w:cs="Times New Roman"/>
          <w:sz w:val="20"/>
          <w:szCs w:val="20"/>
        </w:rPr>
      </w:pPr>
      <w:r w:rsidRPr="00E0541A">
        <w:rPr>
          <w:rFonts w:ascii="Times New Roman" w:hAnsi="Times New Roman" w:cs="Times New Roman"/>
          <w:sz w:val="20"/>
          <w:szCs w:val="20"/>
        </w:rPr>
        <w:t xml:space="preserve">We included person-time subsequent to each practice reaching the threshold for </w:t>
      </w:r>
      <w:r w:rsidR="004761B0">
        <w:rPr>
          <w:rFonts w:ascii="Times New Roman" w:hAnsi="Times New Roman" w:cs="Times New Roman"/>
          <w:sz w:val="20"/>
          <w:szCs w:val="20"/>
        </w:rPr>
        <w:t>both Acceptable Computer Usage (ACU)</w:t>
      </w:r>
      <w:r w:rsidR="004761B0">
        <w:rPr>
          <w:rFonts w:ascii="Times New Roman" w:hAnsi="Times New Roman" w:cs="Times New Roman"/>
          <w:sz w:val="20"/>
          <w:szCs w:val="20"/>
        </w:rPr>
        <w:fldChar w:fldCharType="begin" w:fldLock="1"/>
      </w:r>
      <w:r w:rsidR="004761B0">
        <w:rPr>
          <w:rFonts w:ascii="Times New Roman" w:hAnsi="Times New Roman" w:cs="Times New Roman"/>
          <w:sz w:val="20"/>
          <w:szCs w:val="20"/>
        </w:rPr>
        <w:instrText>ADDIN CSL_CITATION {"citationItems":[{"id":"ITEM-1","itemData":{"DOI":"10.1002/pds.3368","ISSN":"10538569","author":[{"dropping-particle":"","family":"Horsfall","given":"Laura","non-dropping-particle":"","parse-names":false,"suffix":""},{"dropping-particle":"","family":"Walters","given":"Kate","non-dropping-particle":"","parse-names":false,"suffix":""},{"dropping-particle":"","family":"Petersen","given":"Irene","non-dropping-particle":"","parse-names":false,"suffix":""}],"container-title":"Pharmacoepidemiology and Drug Safety","id":"ITEM-1","issue":"1","issued":{"date-parts":[["2013","1"]]},"title":"Identifying periods of acceptable computer usage in primary care research databases","type":"article-journal","volume":"22"},"uris":["http://www.mendeley.com/documents/?uuid=ccaee2c3-09f7-3b37-93c2-0c0f9dc4a63d"]}],"mendeley":{"formattedCitation":"&lt;sup&gt;2&lt;/sup&gt;","plainTextFormattedCitation":"2","previouslyFormattedCitation":"&lt;sup&gt;2&lt;/sup&gt;"},"properties":{"noteIndex":0},"schema":"https://github.com/citation-style-language/schema/raw/master/csl-citation.json"}</w:instrText>
      </w:r>
      <w:r w:rsidR="004761B0">
        <w:rPr>
          <w:rFonts w:ascii="Times New Roman" w:hAnsi="Times New Roman" w:cs="Times New Roman"/>
          <w:sz w:val="20"/>
          <w:szCs w:val="20"/>
        </w:rPr>
        <w:fldChar w:fldCharType="separate"/>
      </w:r>
      <w:r w:rsidR="004761B0" w:rsidRPr="004761B0">
        <w:rPr>
          <w:rFonts w:ascii="Times New Roman" w:hAnsi="Times New Roman" w:cs="Times New Roman"/>
          <w:noProof/>
          <w:sz w:val="20"/>
          <w:szCs w:val="20"/>
          <w:vertAlign w:val="superscript"/>
        </w:rPr>
        <w:t>2</w:t>
      </w:r>
      <w:r w:rsidR="004761B0">
        <w:rPr>
          <w:rFonts w:ascii="Times New Roman" w:hAnsi="Times New Roman" w:cs="Times New Roman"/>
          <w:sz w:val="20"/>
          <w:szCs w:val="20"/>
        </w:rPr>
        <w:fldChar w:fldCharType="end"/>
      </w:r>
      <w:r w:rsidR="004761B0">
        <w:rPr>
          <w:rFonts w:ascii="Times New Roman" w:hAnsi="Times New Roman" w:cs="Times New Roman"/>
          <w:sz w:val="20"/>
          <w:szCs w:val="20"/>
        </w:rPr>
        <w:t xml:space="preserve"> and </w:t>
      </w:r>
      <w:r w:rsidRPr="00E0541A">
        <w:rPr>
          <w:rFonts w:ascii="Times New Roman" w:hAnsi="Times New Roman" w:cs="Times New Roman"/>
          <w:sz w:val="20"/>
          <w:szCs w:val="20"/>
        </w:rPr>
        <w:t>Acceptable Mortality Recording (AMR).</w:t>
      </w:r>
      <w:r w:rsidR="007565D9">
        <w:rPr>
          <w:rFonts w:ascii="Times New Roman" w:hAnsi="Times New Roman" w:cs="Times New Roman"/>
          <w:sz w:val="20"/>
          <w:szCs w:val="20"/>
        </w:rPr>
        <w:fldChar w:fldCharType="begin" w:fldLock="1"/>
      </w:r>
      <w:r w:rsidR="004761B0">
        <w:rPr>
          <w:rFonts w:ascii="Times New Roman" w:hAnsi="Times New Roman" w:cs="Times New Roman"/>
          <w:sz w:val="20"/>
          <w:szCs w:val="20"/>
        </w:rPr>
        <w:instrText>ADDIN CSL_CITATION {"citationItems":[{"id":"ITEM-1","itemData":{"DOI":"10.1002/pds.1688","ISSN":"10538569","author":[{"dropping-particle":"","family":"Maguire","given":"Andrew","non-dropping-particle":"","parse-names":false,"suffix":""},{"dropping-particle":"","family":"Blak","given":"Betina T.","non-dropping-particle":"","parse-names":false,"suffix":""},{"dropping-particle":"","family":"Thompson","given":"Mary","non-dropping-particle":"","parse-names":false,"suffix":""}],"container-title":"Pharmacoepidemiology and Drug Safety","id":"ITEM-1","issue":"1","issued":{"date-parts":[["2009","1"]]},"title":"The importance of defining periods of complete mortality reporting for research using automated data from primary care","type":"article-journal","volume":"18"},"uris":["http://www.mendeley.com/documents/?uuid=a81b4072-2987-3915-8bed-ab959f7c8dc7"]}],"mendeley":{"formattedCitation":"&lt;sup&gt;3&lt;/sup&gt;","plainTextFormattedCitation":"3","previouslyFormattedCitation":"&lt;sup&gt;3&lt;/sup&gt;"},"properties":{"noteIndex":0},"schema":"https://github.com/citation-style-language/schema/raw/master/csl-citation.json"}</w:instrText>
      </w:r>
      <w:r w:rsidR="007565D9">
        <w:rPr>
          <w:rFonts w:ascii="Times New Roman" w:hAnsi="Times New Roman" w:cs="Times New Roman"/>
          <w:sz w:val="20"/>
          <w:szCs w:val="20"/>
        </w:rPr>
        <w:fldChar w:fldCharType="separate"/>
      </w:r>
      <w:r w:rsidR="004761B0" w:rsidRPr="004761B0">
        <w:rPr>
          <w:rFonts w:ascii="Times New Roman" w:hAnsi="Times New Roman" w:cs="Times New Roman"/>
          <w:noProof/>
          <w:sz w:val="20"/>
          <w:szCs w:val="20"/>
          <w:vertAlign w:val="superscript"/>
        </w:rPr>
        <w:t>3</w:t>
      </w:r>
      <w:r w:rsidR="007565D9">
        <w:rPr>
          <w:rFonts w:ascii="Times New Roman" w:hAnsi="Times New Roman" w:cs="Times New Roman"/>
          <w:sz w:val="20"/>
          <w:szCs w:val="20"/>
        </w:rPr>
        <w:fldChar w:fldCharType="end"/>
      </w:r>
      <w:r w:rsidRPr="00E0541A">
        <w:rPr>
          <w:rFonts w:ascii="Times New Roman" w:hAnsi="Times New Roman" w:cs="Times New Roman"/>
          <w:sz w:val="20"/>
          <w:szCs w:val="20"/>
        </w:rPr>
        <w:t xml:space="preserve"> </w:t>
      </w:r>
      <w:r w:rsidR="004761B0">
        <w:rPr>
          <w:rFonts w:ascii="Times New Roman" w:hAnsi="Times New Roman" w:cs="Times New Roman"/>
          <w:sz w:val="20"/>
          <w:szCs w:val="20"/>
        </w:rPr>
        <w:t xml:space="preserve">The date at which the practice achieves ACU is the date at which </w:t>
      </w:r>
      <w:r w:rsidR="004761B0" w:rsidRPr="004761B0">
        <w:rPr>
          <w:rFonts w:ascii="Times New Roman" w:hAnsi="Times New Roman" w:cs="Times New Roman"/>
          <w:sz w:val="20"/>
          <w:szCs w:val="20"/>
        </w:rPr>
        <w:t xml:space="preserve">the average annual rates of recording included least one medical record, one </w:t>
      </w:r>
      <w:r w:rsidR="004761B0">
        <w:rPr>
          <w:rFonts w:ascii="Times New Roman" w:hAnsi="Times New Roman" w:cs="Times New Roman"/>
          <w:sz w:val="20"/>
          <w:szCs w:val="20"/>
        </w:rPr>
        <w:t>alternative health data</w:t>
      </w:r>
      <w:r w:rsidR="004761B0" w:rsidRPr="004761B0">
        <w:rPr>
          <w:rFonts w:ascii="Times New Roman" w:hAnsi="Times New Roman" w:cs="Times New Roman"/>
          <w:sz w:val="20"/>
          <w:szCs w:val="20"/>
        </w:rPr>
        <w:t xml:space="preserve"> record</w:t>
      </w:r>
      <w:r w:rsidR="004761B0">
        <w:rPr>
          <w:rFonts w:ascii="Times New Roman" w:hAnsi="Times New Roman" w:cs="Times New Roman"/>
          <w:sz w:val="20"/>
          <w:szCs w:val="20"/>
        </w:rPr>
        <w:t>,</w:t>
      </w:r>
      <w:r w:rsidR="004761B0" w:rsidRPr="004761B0">
        <w:rPr>
          <w:rFonts w:ascii="Times New Roman" w:hAnsi="Times New Roman" w:cs="Times New Roman"/>
          <w:sz w:val="20"/>
          <w:szCs w:val="20"/>
        </w:rPr>
        <w:t xml:space="preserve"> and two </w:t>
      </w:r>
      <w:r w:rsidR="004761B0">
        <w:rPr>
          <w:rFonts w:ascii="Times New Roman" w:hAnsi="Times New Roman" w:cs="Times New Roman"/>
          <w:sz w:val="20"/>
          <w:szCs w:val="20"/>
        </w:rPr>
        <w:t xml:space="preserve">prescription </w:t>
      </w:r>
      <w:r w:rsidR="004761B0" w:rsidRPr="004761B0">
        <w:rPr>
          <w:rFonts w:ascii="Times New Roman" w:hAnsi="Times New Roman" w:cs="Times New Roman"/>
          <w:sz w:val="20"/>
          <w:szCs w:val="20"/>
        </w:rPr>
        <w:t>records per patient</w:t>
      </w:r>
      <w:r w:rsidR="004761B0">
        <w:rPr>
          <w:rFonts w:ascii="Times New Roman" w:hAnsi="Times New Roman" w:cs="Times New Roman"/>
          <w:sz w:val="20"/>
          <w:szCs w:val="20"/>
        </w:rPr>
        <w:t>.</w:t>
      </w:r>
      <w:r w:rsidR="004761B0">
        <w:rPr>
          <w:rFonts w:ascii="Times New Roman" w:hAnsi="Times New Roman" w:cs="Times New Roman"/>
          <w:sz w:val="20"/>
          <w:szCs w:val="20"/>
        </w:rPr>
        <w:fldChar w:fldCharType="begin" w:fldLock="1"/>
      </w:r>
      <w:r w:rsidR="004761B0">
        <w:rPr>
          <w:rFonts w:ascii="Times New Roman" w:hAnsi="Times New Roman" w:cs="Times New Roman"/>
          <w:sz w:val="20"/>
          <w:szCs w:val="20"/>
        </w:rPr>
        <w:instrText>ADDIN CSL_CITATION {"citationItems":[{"id":"ITEM-1","itemData":{"DOI":"10.1002/pds.3368","ISSN":"10538569","author":[{"dropping-particle":"","family":"Horsfall","given":"Laura","non-dropping-particle":"","parse-names":false,"suffix":""},{"dropping-particle":"","family":"Walters","given":"Kate","non-dropping-particle":"","parse-names":false,"suffix":""},{"dropping-particle":"","family":"Petersen","given":"Irene","non-dropping-particle":"","parse-names":false,"suffix":""}],"container-title":"Pharmacoepidemiology and Drug Safety","id":"ITEM-1","issue":"1","issued":{"date-parts":[["2013","1"]]},"title":"Identifying periods of acceptable computer usage in primary care research databases","type":"article-journal","volume":"22"},"uris":["http://www.mendeley.com/documents/?uuid=ccaee2c3-09f7-3b37-93c2-0c0f9dc4a63d"]}],"mendeley":{"formattedCitation":"&lt;sup&gt;2&lt;/sup&gt;","plainTextFormattedCitation":"2","previouslyFormattedCitation":"&lt;sup&gt;2&lt;/sup&gt;"},"properties":{"noteIndex":0},"schema":"https://github.com/citation-style-language/schema/raw/master/csl-citation.json"}</w:instrText>
      </w:r>
      <w:r w:rsidR="004761B0">
        <w:rPr>
          <w:rFonts w:ascii="Times New Roman" w:hAnsi="Times New Roman" w:cs="Times New Roman"/>
          <w:sz w:val="20"/>
          <w:szCs w:val="20"/>
        </w:rPr>
        <w:fldChar w:fldCharType="separate"/>
      </w:r>
      <w:r w:rsidR="004761B0" w:rsidRPr="004761B0">
        <w:rPr>
          <w:rFonts w:ascii="Times New Roman" w:hAnsi="Times New Roman" w:cs="Times New Roman"/>
          <w:noProof/>
          <w:sz w:val="20"/>
          <w:szCs w:val="20"/>
          <w:vertAlign w:val="superscript"/>
        </w:rPr>
        <w:t>2</w:t>
      </w:r>
      <w:r w:rsidR="004761B0">
        <w:rPr>
          <w:rFonts w:ascii="Times New Roman" w:hAnsi="Times New Roman" w:cs="Times New Roman"/>
          <w:sz w:val="20"/>
          <w:szCs w:val="20"/>
        </w:rPr>
        <w:fldChar w:fldCharType="end"/>
      </w:r>
      <w:r w:rsidR="004761B0">
        <w:rPr>
          <w:rFonts w:ascii="Times New Roman" w:hAnsi="Times New Roman" w:cs="Times New Roman"/>
          <w:sz w:val="20"/>
          <w:szCs w:val="20"/>
        </w:rPr>
        <w:t xml:space="preserve"> </w:t>
      </w:r>
      <w:r w:rsidRPr="00E0541A">
        <w:rPr>
          <w:rFonts w:ascii="Times New Roman" w:hAnsi="Times New Roman" w:cs="Times New Roman"/>
          <w:sz w:val="20"/>
          <w:szCs w:val="20"/>
        </w:rPr>
        <w:t>The date at which the practice achieves AMR is determined based on a review of trends in death reporting for each practice against the predicted number of deaths given the practice’s demographics based on national statistics.</w:t>
      </w:r>
      <w:r w:rsidR="004761B0">
        <w:rPr>
          <w:rFonts w:ascii="Times New Roman" w:hAnsi="Times New Roman" w:cs="Times New Roman"/>
          <w:sz w:val="20"/>
          <w:szCs w:val="20"/>
        </w:rPr>
        <w:fldChar w:fldCharType="begin" w:fldLock="1"/>
      </w:r>
      <w:r w:rsidR="007E1FA5">
        <w:rPr>
          <w:rFonts w:ascii="Times New Roman" w:hAnsi="Times New Roman" w:cs="Times New Roman"/>
          <w:sz w:val="20"/>
          <w:szCs w:val="20"/>
        </w:rPr>
        <w:instrText>ADDIN CSL_CITATION {"citationItems":[{"id":"ITEM-1","itemData":{"DOI":"10.1002/pds.1688","ISSN":"10538569","author":[{"dropping-particle":"","family":"Maguire","given":"Andrew","non-dropping-particle":"","parse-names":false,"suffix":""},{"dropping-particle":"","family":"Blak","given":"Betina T.","non-dropping-particle":"","parse-names":false,"suffix":""},{"dropping-particle":"","family":"Thompson","given":"Mary","non-dropping-particle":"","parse-names":false,"suffix":""}],"container-title":"Pharmacoepidemiology and Drug Safety","id":"ITEM-1","issue":"1","issued":{"date-parts":[["2009","1"]]},"title":"The importance of defining periods of complete mortality reporting for research using automated data from primary care","type":"article-journal","volume":"18"},"uris":["http://www.mendeley.com/documents/?uuid=a81b4072-2987-3915-8bed-ab959f7c8dc7"]}],"mendeley":{"formattedCitation":"&lt;sup&gt;3&lt;/sup&gt;","plainTextFormattedCitation":"3","previouslyFormattedCitation":"&lt;sup&gt;3&lt;/sup&gt;"},"properties":{"noteIndex":0},"schema":"https://github.com/citation-style-language/schema/raw/master/csl-citation.json"}</w:instrText>
      </w:r>
      <w:r w:rsidR="004761B0">
        <w:rPr>
          <w:rFonts w:ascii="Times New Roman" w:hAnsi="Times New Roman" w:cs="Times New Roman"/>
          <w:sz w:val="20"/>
          <w:szCs w:val="20"/>
        </w:rPr>
        <w:fldChar w:fldCharType="separate"/>
      </w:r>
      <w:r w:rsidR="004761B0" w:rsidRPr="004761B0">
        <w:rPr>
          <w:rFonts w:ascii="Times New Roman" w:hAnsi="Times New Roman" w:cs="Times New Roman"/>
          <w:noProof/>
          <w:sz w:val="20"/>
          <w:szCs w:val="20"/>
          <w:vertAlign w:val="superscript"/>
        </w:rPr>
        <w:t>3</w:t>
      </w:r>
      <w:r w:rsidR="004761B0">
        <w:rPr>
          <w:rFonts w:ascii="Times New Roman" w:hAnsi="Times New Roman" w:cs="Times New Roman"/>
          <w:sz w:val="20"/>
          <w:szCs w:val="20"/>
        </w:rPr>
        <w:fldChar w:fldCharType="end"/>
      </w:r>
      <w:r w:rsidRPr="00E0541A">
        <w:rPr>
          <w:rFonts w:ascii="Times New Roman" w:hAnsi="Times New Roman" w:cs="Times New Roman"/>
          <w:sz w:val="20"/>
          <w:szCs w:val="20"/>
        </w:rPr>
        <w:t xml:space="preserve"> </w:t>
      </w:r>
      <w:r w:rsidR="00A60F6B">
        <w:rPr>
          <w:rFonts w:ascii="Times New Roman" w:hAnsi="Times New Roman" w:cs="Times New Roman"/>
          <w:sz w:val="20"/>
          <w:szCs w:val="20"/>
        </w:rPr>
        <w:t>IMRD</w:t>
      </w:r>
      <w:r w:rsidRPr="00E0541A">
        <w:rPr>
          <w:rFonts w:ascii="Times New Roman" w:hAnsi="Times New Roman" w:cs="Times New Roman"/>
          <w:sz w:val="20"/>
          <w:szCs w:val="20"/>
        </w:rPr>
        <w:t xml:space="preserve"> provides a date from which the practice is reporting mortality in line with these statistics. </w:t>
      </w:r>
    </w:p>
    <w:p w14:paraId="34E4F22A" w14:textId="3C8BEE52" w:rsidR="00E0541A" w:rsidRPr="007565D9" w:rsidRDefault="00A60F6B">
      <w:pPr>
        <w:rPr>
          <w:rFonts w:ascii="Times New Roman" w:hAnsi="Times New Roman" w:cs="Times New Roman"/>
          <w:b/>
          <w:i/>
          <w:sz w:val="20"/>
          <w:szCs w:val="20"/>
        </w:rPr>
      </w:pPr>
      <w:r>
        <w:rPr>
          <w:rFonts w:ascii="Times New Roman" w:hAnsi="Times New Roman" w:cs="Times New Roman"/>
          <w:b/>
          <w:i/>
          <w:sz w:val="20"/>
          <w:szCs w:val="20"/>
        </w:rPr>
        <w:t>Identifying deaths</w:t>
      </w:r>
    </w:p>
    <w:p w14:paraId="066136D0" w14:textId="540BD305" w:rsidR="00283D71" w:rsidRDefault="00D30F1F" w:rsidP="00A60F6B">
      <w:pPr>
        <w:spacing w:line="480" w:lineRule="auto"/>
        <w:rPr>
          <w:rFonts w:ascii="Times New Roman" w:hAnsi="Times New Roman" w:cs="Times New Roman"/>
          <w:sz w:val="20"/>
          <w:szCs w:val="20"/>
        </w:rPr>
      </w:pPr>
      <w:r>
        <w:rPr>
          <w:rFonts w:ascii="Times New Roman" w:hAnsi="Times New Roman" w:cs="Times New Roman"/>
          <w:sz w:val="20"/>
          <w:szCs w:val="20"/>
        </w:rPr>
        <w:t xml:space="preserve">A flow diagram describing identification of deaths is provided as </w:t>
      </w:r>
      <w:proofErr w:type="spellStart"/>
      <w:r>
        <w:rPr>
          <w:rFonts w:ascii="Times New Roman" w:hAnsi="Times New Roman" w:cs="Times New Roman"/>
          <w:sz w:val="20"/>
          <w:szCs w:val="20"/>
        </w:rPr>
        <w:t>eFigure</w:t>
      </w:r>
      <w:proofErr w:type="spellEnd"/>
      <w:r>
        <w:rPr>
          <w:rFonts w:ascii="Times New Roman" w:hAnsi="Times New Roman" w:cs="Times New Roman"/>
          <w:sz w:val="20"/>
          <w:szCs w:val="20"/>
        </w:rPr>
        <w:t xml:space="preserve"> 3. </w:t>
      </w:r>
      <w:r w:rsidR="007565D9">
        <w:rPr>
          <w:rFonts w:ascii="Times New Roman" w:hAnsi="Times New Roman" w:cs="Times New Roman"/>
          <w:sz w:val="20"/>
          <w:szCs w:val="20"/>
        </w:rPr>
        <w:t xml:space="preserve">We used information about deaths provided by </w:t>
      </w:r>
      <w:r w:rsidR="009E1ED1">
        <w:rPr>
          <w:rFonts w:ascii="Times New Roman" w:hAnsi="Times New Roman" w:cs="Times New Roman"/>
          <w:sz w:val="20"/>
          <w:szCs w:val="20"/>
        </w:rPr>
        <w:t>IMRD</w:t>
      </w:r>
      <w:r w:rsidR="007565D9">
        <w:rPr>
          <w:rFonts w:ascii="Times New Roman" w:hAnsi="Times New Roman" w:cs="Times New Roman"/>
          <w:sz w:val="20"/>
          <w:szCs w:val="20"/>
        </w:rPr>
        <w:t>, which takes into account information about the person’s registration status at the practice, and codes or text entries providing information about a death. We</w:t>
      </w:r>
      <w:r w:rsidR="00283D71">
        <w:rPr>
          <w:rFonts w:ascii="Times New Roman" w:hAnsi="Times New Roman" w:cs="Times New Roman"/>
          <w:sz w:val="20"/>
          <w:szCs w:val="20"/>
        </w:rPr>
        <w:t xml:space="preserve"> also</w:t>
      </w:r>
      <w:r w:rsidR="007565D9">
        <w:rPr>
          <w:rFonts w:ascii="Times New Roman" w:hAnsi="Times New Roman" w:cs="Times New Roman"/>
          <w:sz w:val="20"/>
          <w:szCs w:val="20"/>
        </w:rPr>
        <w:t xml:space="preserve"> performed an additional search for </w:t>
      </w:r>
      <w:r w:rsidR="009E1ED1">
        <w:rPr>
          <w:rFonts w:ascii="Times New Roman" w:hAnsi="Times New Roman" w:cs="Times New Roman"/>
          <w:sz w:val="20"/>
          <w:szCs w:val="20"/>
        </w:rPr>
        <w:t>codes indicating death</w:t>
      </w:r>
      <w:r w:rsidR="009E1ED1" w:rsidRPr="00FF73EB">
        <w:rPr>
          <w:rFonts w:ascii="Times New Roman" w:hAnsi="Times New Roman" w:cs="Times New Roman"/>
          <w:sz w:val="20"/>
          <w:szCs w:val="20"/>
        </w:rPr>
        <w:t xml:space="preserve"> (</w:t>
      </w:r>
      <w:r w:rsidR="009E1ED1">
        <w:rPr>
          <w:rFonts w:ascii="Times New Roman" w:hAnsi="Times New Roman" w:cs="Times New Roman"/>
          <w:sz w:val="20"/>
          <w:szCs w:val="20"/>
        </w:rPr>
        <w:t>Supplemental file</w:t>
      </w:r>
      <w:r w:rsidR="000F69CF">
        <w:rPr>
          <w:rStyle w:val="FootnoteReference"/>
          <w:rFonts w:ascii="Times New Roman" w:hAnsi="Times New Roman" w:cs="Times New Roman"/>
          <w:sz w:val="20"/>
          <w:szCs w:val="20"/>
        </w:rPr>
        <w:footnoteReference w:id="1"/>
      </w:r>
      <w:r w:rsidR="009E1ED1" w:rsidRPr="00FF73EB">
        <w:rPr>
          <w:rFonts w:ascii="Times New Roman" w:hAnsi="Times New Roman" w:cs="Times New Roman"/>
          <w:sz w:val="20"/>
          <w:szCs w:val="20"/>
        </w:rPr>
        <w:t>)</w:t>
      </w:r>
      <w:r w:rsidR="007565D9">
        <w:rPr>
          <w:rFonts w:ascii="Times New Roman" w:hAnsi="Times New Roman" w:cs="Times New Roman"/>
          <w:sz w:val="20"/>
          <w:szCs w:val="20"/>
        </w:rPr>
        <w:t xml:space="preserve">, which </w:t>
      </w:r>
      <w:r w:rsidR="009E1ED1" w:rsidRPr="00FF73EB">
        <w:rPr>
          <w:rFonts w:ascii="Times New Roman" w:hAnsi="Times New Roman" w:cs="Times New Roman"/>
          <w:sz w:val="20"/>
          <w:szCs w:val="20"/>
        </w:rPr>
        <w:t>identified</w:t>
      </w:r>
      <w:r w:rsidR="009E1ED1">
        <w:rPr>
          <w:rFonts w:ascii="Times New Roman" w:hAnsi="Times New Roman" w:cs="Times New Roman"/>
          <w:sz w:val="20"/>
          <w:szCs w:val="20"/>
        </w:rPr>
        <w:t xml:space="preserve"> additional</w:t>
      </w:r>
      <w:r w:rsidR="009E1ED1" w:rsidRPr="00FF73EB">
        <w:rPr>
          <w:rFonts w:ascii="Times New Roman" w:hAnsi="Times New Roman" w:cs="Times New Roman"/>
          <w:sz w:val="20"/>
          <w:szCs w:val="20"/>
        </w:rPr>
        <w:t xml:space="preserve"> death</w:t>
      </w:r>
      <w:r w:rsidR="007565D9">
        <w:rPr>
          <w:rFonts w:ascii="Times New Roman" w:hAnsi="Times New Roman" w:cs="Times New Roman"/>
          <w:sz w:val="20"/>
          <w:szCs w:val="20"/>
        </w:rPr>
        <w:t xml:space="preserve">s omitted by IMRD because </w:t>
      </w:r>
      <w:r w:rsidR="009E1ED1">
        <w:rPr>
          <w:rFonts w:ascii="Times New Roman" w:hAnsi="Times New Roman" w:cs="Times New Roman"/>
          <w:sz w:val="20"/>
          <w:szCs w:val="20"/>
        </w:rPr>
        <w:t xml:space="preserve">the patient’s registration status did not indicate </w:t>
      </w:r>
      <w:r w:rsidR="007565D9">
        <w:rPr>
          <w:rFonts w:ascii="Times New Roman" w:hAnsi="Times New Roman" w:cs="Times New Roman"/>
          <w:sz w:val="20"/>
          <w:szCs w:val="20"/>
        </w:rPr>
        <w:t xml:space="preserve">that </w:t>
      </w:r>
      <w:r w:rsidR="009E1ED1">
        <w:rPr>
          <w:rFonts w:ascii="Times New Roman" w:hAnsi="Times New Roman" w:cs="Times New Roman"/>
          <w:sz w:val="20"/>
          <w:szCs w:val="20"/>
        </w:rPr>
        <w:t xml:space="preserve">they </w:t>
      </w:r>
      <w:r w:rsidR="007565D9">
        <w:rPr>
          <w:rFonts w:ascii="Times New Roman" w:hAnsi="Times New Roman" w:cs="Times New Roman"/>
          <w:sz w:val="20"/>
          <w:szCs w:val="20"/>
        </w:rPr>
        <w:t>had been transferred out of the practice due to their death</w:t>
      </w:r>
      <w:r w:rsidR="009E1ED1">
        <w:rPr>
          <w:rFonts w:ascii="Times New Roman" w:hAnsi="Times New Roman" w:cs="Times New Roman"/>
          <w:sz w:val="20"/>
          <w:szCs w:val="20"/>
        </w:rPr>
        <w:t>.</w:t>
      </w:r>
      <w:r w:rsidR="009E1ED1" w:rsidRPr="00FF73EB">
        <w:rPr>
          <w:rFonts w:ascii="Times New Roman" w:hAnsi="Times New Roman" w:cs="Times New Roman"/>
          <w:sz w:val="20"/>
          <w:szCs w:val="20"/>
        </w:rPr>
        <w:t xml:space="preserve"> For these </w:t>
      </w:r>
      <w:r w:rsidR="009E1ED1" w:rsidRPr="00FF73EB">
        <w:rPr>
          <w:rFonts w:ascii="Times New Roman" w:hAnsi="Times New Roman" w:cs="Times New Roman"/>
          <w:sz w:val="20"/>
          <w:szCs w:val="20"/>
        </w:rPr>
        <w:lastRenderedPageBreak/>
        <w:t>individuals, we used the</w:t>
      </w:r>
      <w:r w:rsidR="009E1ED1">
        <w:rPr>
          <w:rFonts w:ascii="Times New Roman" w:hAnsi="Times New Roman" w:cs="Times New Roman"/>
          <w:sz w:val="20"/>
          <w:szCs w:val="20"/>
        </w:rPr>
        <w:t xml:space="preserve"> earliest of the</w:t>
      </w:r>
      <w:r w:rsidR="009E1ED1" w:rsidRPr="00FF73EB">
        <w:rPr>
          <w:rFonts w:ascii="Times New Roman" w:hAnsi="Times New Roman" w:cs="Times New Roman"/>
          <w:sz w:val="20"/>
          <w:szCs w:val="20"/>
        </w:rPr>
        <w:t xml:space="preserve"> first instance of a Read code pertaining to </w:t>
      </w:r>
      <w:r w:rsidR="00C159B2">
        <w:rPr>
          <w:rFonts w:ascii="Times New Roman" w:hAnsi="Times New Roman" w:cs="Times New Roman"/>
          <w:sz w:val="20"/>
          <w:szCs w:val="20"/>
        </w:rPr>
        <w:t xml:space="preserve">the </w:t>
      </w:r>
      <w:r w:rsidR="009E1ED1" w:rsidRPr="00FF73EB">
        <w:rPr>
          <w:rFonts w:ascii="Times New Roman" w:hAnsi="Times New Roman" w:cs="Times New Roman"/>
          <w:sz w:val="20"/>
          <w:szCs w:val="20"/>
        </w:rPr>
        <w:t>death</w:t>
      </w:r>
      <w:r w:rsidR="009E1ED1">
        <w:rPr>
          <w:rFonts w:ascii="Times New Roman" w:hAnsi="Times New Roman" w:cs="Times New Roman"/>
          <w:sz w:val="20"/>
          <w:szCs w:val="20"/>
        </w:rPr>
        <w:t>, or the person’s transfer out date, as the date of death</w:t>
      </w:r>
      <w:r w:rsidR="009E1ED1" w:rsidRPr="00FF73EB">
        <w:rPr>
          <w:rFonts w:ascii="Times New Roman" w:hAnsi="Times New Roman" w:cs="Times New Roman"/>
          <w:sz w:val="20"/>
          <w:szCs w:val="20"/>
        </w:rPr>
        <w:t>.</w:t>
      </w:r>
      <w:r w:rsidR="009E1ED1">
        <w:rPr>
          <w:rFonts w:ascii="Times New Roman" w:hAnsi="Times New Roman" w:cs="Times New Roman"/>
          <w:sz w:val="20"/>
          <w:szCs w:val="20"/>
        </w:rPr>
        <w:t xml:space="preserve"> </w:t>
      </w:r>
    </w:p>
    <w:p w14:paraId="0E076CAD" w14:textId="5A807E63" w:rsidR="009E1ED1" w:rsidRDefault="009E1ED1" w:rsidP="00A60F6B">
      <w:pPr>
        <w:spacing w:line="480" w:lineRule="auto"/>
        <w:rPr>
          <w:rFonts w:ascii="Times New Roman" w:hAnsi="Times New Roman" w:cs="Times New Roman"/>
          <w:sz w:val="20"/>
          <w:szCs w:val="20"/>
        </w:rPr>
      </w:pPr>
      <w:r>
        <w:rPr>
          <w:rFonts w:ascii="Times New Roman" w:hAnsi="Times New Roman" w:cs="Times New Roman"/>
          <w:sz w:val="20"/>
          <w:szCs w:val="20"/>
        </w:rPr>
        <w:t xml:space="preserve">We counted records as deaths </w:t>
      </w:r>
      <w:r w:rsidR="00C159B2">
        <w:rPr>
          <w:rFonts w:ascii="Times New Roman" w:hAnsi="Times New Roman" w:cs="Times New Roman"/>
          <w:sz w:val="20"/>
          <w:szCs w:val="20"/>
        </w:rPr>
        <w:t xml:space="preserve">that </w:t>
      </w:r>
      <w:r>
        <w:rPr>
          <w:rFonts w:ascii="Times New Roman" w:hAnsi="Times New Roman" w:cs="Times New Roman"/>
          <w:sz w:val="20"/>
          <w:szCs w:val="20"/>
        </w:rPr>
        <w:t xml:space="preserve">occurred up to six months after </w:t>
      </w:r>
      <w:r w:rsidR="007565D9">
        <w:rPr>
          <w:rFonts w:ascii="Times New Roman" w:hAnsi="Times New Roman" w:cs="Times New Roman"/>
          <w:sz w:val="20"/>
          <w:szCs w:val="20"/>
        </w:rPr>
        <w:t xml:space="preserve">the date that the person’s records were </w:t>
      </w:r>
      <w:r>
        <w:rPr>
          <w:rFonts w:ascii="Times New Roman" w:hAnsi="Times New Roman" w:cs="Times New Roman"/>
          <w:sz w:val="20"/>
          <w:szCs w:val="20"/>
        </w:rPr>
        <w:t>transfer</w:t>
      </w:r>
      <w:r w:rsidR="007565D9">
        <w:rPr>
          <w:rFonts w:ascii="Times New Roman" w:hAnsi="Times New Roman" w:cs="Times New Roman"/>
          <w:sz w:val="20"/>
          <w:szCs w:val="20"/>
        </w:rPr>
        <w:t>red</w:t>
      </w:r>
      <w:r>
        <w:rPr>
          <w:rFonts w:ascii="Times New Roman" w:hAnsi="Times New Roman" w:cs="Times New Roman"/>
          <w:sz w:val="20"/>
          <w:szCs w:val="20"/>
        </w:rPr>
        <w:t xml:space="preserve"> out of the practice, to allow for</w:t>
      </w:r>
      <w:r w:rsidR="00A60F6B">
        <w:rPr>
          <w:rFonts w:ascii="Times New Roman" w:hAnsi="Times New Roman" w:cs="Times New Roman"/>
          <w:sz w:val="20"/>
          <w:szCs w:val="20"/>
        </w:rPr>
        <w:t xml:space="preserve"> administrative</w:t>
      </w:r>
      <w:r>
        <w:rPr>
          <w:rFonts w:ascii="Times New Roman" w:hAnsi="Times New Roman" w:cs="Times New Roman"/>
          <w:sz w:val="20"/>
          <w:szCs w:val="20"/>
        </w:rPr>
        <w:t xml:space="preserve"> delays in recording. </w:t>
      </w:r>
      <w:r w:rsidRPr="00FF73EB">
        <w:rPr>
          <w:rFonts w:ascii="Times New Roman" w:hAnsi="Times New Roman" w:cs="Times New Roman"/>
          <w:sz w:val="20"/>
          <w:szCs w:val="20"/>
        </w:rPr>
        <w:t xml:space="preserve">We further validated </w:t>
      </w:r>
      <w:r w:rsidR="007565D9">
        <w:rPr>
          <w:rFonts w:ascii="Times New Roman" w:hAnsi="Times New Roman" w:cs="Times New Roman"/>
          <w:sz w:val="20"/>
          <w:szCs w:val="20"/>
        </w:rPr>
        <w:t xml:space="preserve">the recording of all deaths </w:t>
      </w:r>
      <w:r w:rsidRPr="00FF73EB">
        <w:rPr>
          <w:rFonts w:ascii="Times New Roman" w:hAnsi="Times New Roman" w:cs="Times New Roman"/>
          <w:sz w:val="20"/>
          <w:szCs w:val="20"/>
        </w:rPr>
        <w:t xml:space="preserve">by checking </w:t>
      </w:r>
      <w:r w:rsidR="00C159B2">
        <w:rPr>
          <w:rFonts w:ascii="Times New Roman" w:hAnsi="Times New Roman" w:cs="Times New Roman"/>
          <w:sz w:val="20"/>
          <w:szCs w:val="20"/>
        </w:rPr>
        <w:t>for</w:t>
      </w:r>
      <w:r w:rsidRPr="00FF73EB">
        <w:rPr>
          <w:rFonts w:ascii="Times New Roman" w:hAnsi="Times New Roman" w:cs="Times New Roman"/>
          <w:sz w:val="20"/>
          <w:szCs w:val="20"/>
        </w:rPr>
        <w:t xml:space="preserve"> non-administrat</w:t>
      </w:r>
      <w:r>
        <w:rPr>
          <w:rFonts w:ascii="Times New Roman" w:hAnsi="Times New Roman" w:cs="Times New Roman"/>
          <w:sz w:val="20"/>
          <w:szCs w:val="20"/>
        </w:rPr>
        <w:t>i</w:t>
      </w:r>
      <w:r w:rsidRPr="00FF73EB">
        <w:rPr>
          <w:rFonts w:ascii="Times New Roman" w:hAnsi="Times New Roman" w:cs="Times New Roman"/>
          <w:sz w:val="20"/>
          <w:szCs w:val="20"/>
        </w:rPr>
        <w:t>ve medical or prescribing records more than six months after the supposed</w:t>
      </w:r>
      <w:r w:rsidR="007565D9">
        <w:rPr>
          <w:rFonts w:ascii="Times New Roman" w:hAnsi="Times New Roman" w:cs="Times New Roman"/>
          <w:sz w:val="20"/>
          <w:szCs w:val="20"/>
        </w:rPr>
        <w:t xml:space="preserve"> date of</w:t>
      </w:r>
      <w:r w:rsidRPr="00FF73EB">
        <w:rPr>
          <w:rFonts w:ascii="Times New Roman" w:hAnsi="Times New Roman" w:cs="Times New Roman"/>
          <w:sz w:val="20"/>
          <w:szCs w:val="20"/>
        </w:rPr>
        <w:t xml:space="preserve"> death. </w:t>
      </w:r>
    </w:p>
    <w:p w14:paraId="37547EDF" w14:textId="66022934" w:rsidR="00C47B73" w:rsidRDefault="007565D9" w:rsidP="00A60F6B">
      <w:pPr>
        <w:spacing w:line="480" w:lineRule="auto"/>
        <w:rPr>
          <w:rFonts w:ascii="Times New Roman" w:hAnsi="Times New Roman" w:cs="Times New Roman"/>
          <w:sz w:val="20"/>
          <w:szCs w:val="20"/>
        </w:rPr>
      </w:pPr>
      <w:r w:rsidRPr="00FF73EB">
        <w:rPr>
          <w:rFonts w:ascii="Times New Roman" w:hAnsi="Times New Roman" w:cs="Times New Roman"/>
          <w:sz w:val="20"/>
          <w:szCs w:val="20"/>
        </w:rPr>
        <w:t>As a sensitivity analysis, we used a list of codes to identify possible deaths.</w:t>
      </w:r>
      <w:r w:rsidR="00312FCC">
        <w:rPr>
          <w:rStyle w:val="FootnoteReference"/>
          <w:rFonts w:ascii="Times New Roman" w:hAnsi="Times New Roman" w:cs="Times New Roman"/>
          <w:sz w:val="20"/>
          <w:szCs w:val="20"/>
        </w:rPr>
        <w:footnoteReference w:id="2"/>
      </w:r>
      <w:r w:rsidRPr="00FF73EB">
        <w:rPr>
          <w:rFonts w:ascii="Times New Roman" w:hAnsi="Times New Roman" w:cs="Times New Roman"/>
          <w:sz w:val="20"/>
          <w:szCs w:val="20"/>
        </w:rPr>
        <w:t xml:space="preserve"> </w:t>
      </w:r>
      <w:r>
        <w:rPr>
          <w:rFonts w:ascii="Times New Roman" w:hAnsi="Times New Roman" w:cs="Times New Roman"/>
          <w:sz w:val="20"/>
          <w:szCs w:val="20"/>
        </w:rPr>
        <w:t xml:space="preserve">We identified possible deaths by finding </w:t>
      </w:r>
      <w:r w:rsidR="00A60F6B">
        <w:rPr>
          <w:rFonts w:ascii="Times New Roman" w:hAnsi="Times New Roman" w:cs="Times New Roman"/>
          <w:sz w:val="20"/>
          <w:szCs w:val="20"/>
        </w:rPr>
        <w:t xml:space="preserve">occurrences of these </w:t>
      </w:r>
      <w:r>
        <w:rPr>
          <w:rFonts w:ascii="Times New Roman" w:hAnsi="Times New Roman" w:cs="Times New Roman"/>
          <w:sz w:val="20"/>
          <w:szCs w:val="20"/>
        </w:rPr>
        <w:t xml:space="preserve">codes that were up to 30 days before the </w:t>
      </w:r>
      <w:r w:rsidR="00A60F6B">
        <w:rPr>
          <w:rFonts w:ascii="Times New Roman" w:hAnsi="Times New Roman" w:cs="Times New Roman"/>
          <w:sz w:val="20"/>
          <w:szCs w:val="20"/>
        </w:rPr>
        <w:t xml:space="preserve">date that the </w:t>
      </w:r>
      <w:r>
        <w:rPr>
          <w:rFonts w:ascii="Times New Roman" w:hAnsi="Times New Roman" w:cs="Times New Roman"/>
          <w:sz w:val="20"/>
          <w:szCs w:val="20"/>
        </w:rPr>
        <w:t>person</w:t>
      </w:r>
      <w:r w:rsidR="00A60F6B">
        <w:rPr>
          <w:rFonts w:ascii="Times New Roman" w:hAnsi="Times New Roman" w:cs="Times New Roman"/>
          <w:sz w:val="20"/>
          <w:szCs w:val="20"/>
        </w:rPr>
        <w:t xml:space="preserve"> was</w:t>
      </w:r>
      <w:r>
        <w:rPr>
          <w:rFonts w:ascii="Times New Roman" w:hAnsi="Times New Roman" w:cs="Times New Roman"/>
          <w:sz w:val="20"/>
          <w:szCs w:val="20"/>
        </w:rPr>
        <w:t xml:space="preserve"> transfer</w:t>
      </w:r>
      <w:r w:rsidR="00A60F6B">
        <w:rPr>
          <w:rFonts w:ascii="Times New Roman" w:hAnsi="Times New Roman" w:cs="Times New Roman"/>
          <w:sz w:val="20"/>
          <w:szCs w:val="20"/>
        </w:rPr>
        <w:t xml:space="preserve">red </w:t>
      </w:r>
      <w:r>
        <w:rPr>
          <w:rFonts w:ascii="Times New Roman" w:hAnsi="Times New Roman" w:cs="Times New Roman"/>
          <w:sz w:val="20"/>
          <w:szCs w:val="20"/>
        </w:rPr>
        <w:t>out of the practice (</w:t>
      </w:r>
      <w:r w:rsidR="00A60F6B">
        <w:rPr>
          <w:rFonts w:ascii="Times New Roman" w:hAnsi="Times New Roman" w:cs="Times New Roman"/>
          <w:sz w:val="20"/>
          <w:szCs w:val="20"/>
        </w:rPr>
        <w:t>s</w:t>
      </w:r>
      <w:r>
        <w:rPr>
          <w:rFonts w:ascii="Times New Roman" w:hAnsi="Times New Roman" w:cs="Times New Roman"/>
          <w:sz w:val="20"/>
          <w:szCs w:val="20"/>
        </w:rPr>
        <w:t>uggest</w:t>
      </w:r>
      <w:r w:rsidR="00A60F6B">
        <w:rPr>
          <w:rFonts w:ascii="Times New Roman" w:hAnsi="Times New Roman" w:cs="Times New Roman"/>
          <w:sz w:val="20"/>
          <w:szCs w:val="20"/>
        </w:rPr>
        <w:t>ing</w:t>
      </w:r>
      <w:r>
        <w:rPr>
          <w:rFonts w:ascii="Times New Roman" w:hAnsi="Times New Roman" w:cs="Times New Roman"/>
          <w:sz w:val="20"/>
          <w:szCs w:val="20"/>
        </w:rPr>
        <w:t xml:space="preserve"> that the </w:t>
      </w:r>
      <w:r w:rsidR="00A60F6B">
        <w:rPr>
          <w:rFonts w:ascii="Times New Roman" w:hAnsi="Times New Roman" w:cs="Times New Roman"/>
          <w:sz w:val="20"/>
          <w:szCs w:val="20"/>
        </w:rPr>
        <w:t xml:space="preserve">potentially fatal </w:t>
      </w:r>
      <w:r>
        <w:rPr>
          <w:rFonts w:ascii="Times New Roman" w:hAnsi="Times New Roman" w:cs="Times New Roman"/>
          <w:sz w:val="20"/>
          <w:szCs w:val="20"/>
        </w:rPr>
        <w:t xml:space="preserve">event may have resulted in death), or up to six months after </w:t>
      </w:r>
      <w:r w:rsidR="00A60F6B">
        <w:rPr>
          <w:rFonts w:ascii="Times New Roman" w:hAnsi="Times New Roman" w:cs="Times New Roman"/>
          <w:sz w:val="20"/>
          <w:szCs w:val="20"/>
        </w:rPr>
        <w:t>the date that the</w:t>
      </w:r>
      <w:r w:rsidR="00C159B2">
        <w:rPr>
          <w:rFonts w:ascii="Times New Roman" w:hAnsi="Times New Roman" w:cs="Times New Roman"/>
          <w:sz w:val="20"/>
          <w:szCs w:val="20"/>
        </w:rPr>
        <w:t xml:space="preserve"> person was</w:t>
      </w:r>
      <w:r w:rsidR="00A60F6B">
        <w:rPr>
          <w:rFonts w:ascii="Times New Roman" w:hAnsi="Times New Roman" w:cs="Times New Roman"/>
          <w:sz w:val="20"/>
          <w:szCs w:val="20"/>
        </w:rPr>
        <w:t xml:space="preserve"> were transferred out</w:t>
      </w:r>
      <w:r>
        <w:rPr>
          <w:rFonts w:ascii="Times New Roman" w:hAnsi="Times New Roman" w:cs="Times New Roman"/>
          <w:sz w:val="20"/>
          <w:szCs w:val="20"/>
        </w:rPr>
        <w:t xml:space="preserve">. </w:t>
      </w:r>
    </w:p>
    <w:p w14:paraId="535C66E7" w14:textId="39B9294E" w:rsidR="00312FCC" w:rsidRPr="00283D71" w:rsidRDefault="00EE3D74" w:rsidP="00283D71">
      <w:pPr>
        <w:spacing w:line="480" w:lineRule="auto"/>
        <w:rPr>
          <w:rFonts w:ascii="Times New Roman" w:hAnsi="Times New Roman" w:cs="Times New Roman"/>
          <w:sz w:val="20"/>
          <w:szCs w:val="20"/>
        </w:rPr>
      </w:pPr>
      <w:r>
        <w:rPr>
          <w:rFonts w:ascii="Times New Roman" w:hAnsi="Times New Roman" w:cs="Times New Roman"/>
          <w:sz w:val="20"/>
          <w:szCs w:val="20"/>
        </w:rPr>
        <w:t xml:space="preserve">We repeated these </w:t>
      </w:r>
      <w:r w:rsidR="00C47B73">
        <w:rPr>
          <w:rFonts w:ascii="Times New Roman" w:hAnsi="Times New Roman" w:cs="Times New Roman"/>
          <w:sz w:val="20"/>
          <w:szCs w:val="20"/>
        </w:rPr>
        <w:t xml:space="preserve">the main </w:t>
      </w:r>
      <w:r>
        <w:rPr>
          <w:rFonts w:ascii="Times New Roman" w:hAnsi="Times New Roman" w:cs="Times New Roman"/>
          <w:sz w:val="20"/>
          <w:szCs w:val="20"/>
        </w:rPr>
        <w:t>analyses additionally including additional possible deaths. Demographics and information about co-occurring conditions in</w:t>
      </w:r>
      <w:r w:rsidR="00601765">
        <w:rPr>
          <w:rFonts w:ascii="Times New Roman" w:hAnsi="Times New Roman" w:cs="Times New Roman"/>
          <w:sz w:val="20"/>
          <w:szCs w:val="20"/>
        </w:rPr>
        <w:t xml:space="preserve"> deceased people</w:t>
      </w:r>
      <w:r>
        <w:rPr>
          <w:rFonts w:ascii="Times New Roman" w:hAnsi="Times New Roman" w:cs="Times New Roman"/>
          <w:sz w:val="20"/>
          <w:szCs w:val="20"/>
        </w:rPr>
        <w:t xml:space="preserve"> </w:t>
      </w:r>
      <w:r w:rsidR="00601765">
        <w:rPr>
          <w:rFonts w:ascii="Times New Roman" w:hAnsi="Times New Roman" w:cs="Times New Roman"/>
          <w:sz w:val="20"/>
          <w:szCs w:val="20"/>
        </w:rPr>
        <w:t xml:space="preserve">with </w:t>
      </w:r>
      <w:r w:rsidR="00283D71">
        <w:rPr>
          <w:rFonts w:ascii="Times New Roman" w:hAnsi="Times New Roman" w:cs="Times New Roman"/>
          <w:sz w:val="20"/>
          <w:szCs w:val="20"/>
        </w:rPr>
        <w:t>diagnosed ADHD</w:t>
      </w:r>
      <w:r>
        <w:rPr>
          <w:rFonts w:ascii="Times New Roman" w:hAnsi="Times New Roman" w:cs="Times New Roman"/>
          <w:sz w:val="20"/>
          <w:szCs w:val="20"/>
        </w:rPr>
        <w:t xml:space="preserve"> plus their</w:t>
      </w:r>
      <w:r w:rsidR="00C47B73">
        <w:rPr>
          <w:rFonts w:ascii="Times New Roman" w:hAnsi="Times New Roman" w:cs="Times New Roman"/>
          <w:sz w:val="20"/>
          <w:szCs w:val="20"/>
        </w:rPr>
        <w:t xml:space="preserve"> respective</w:t>
      </w:r>
      <w:r>
        <w:rPr>
          <w:rFonts w:ascii="Times New Roman" w:hAnsi="Times New Roman" w:cs="Times New Roman"/>
          <w:sz w:val="20"/>
          <w:szCs w:val="20"/>
        </w:rPr>
        <w:t xml:space="preserve"> comparison group</w:t>
      </w:r>
      <w:r w:rsidR="00C47B73">
        <w:rPr>
          <w:rFonts w:ascii="Times New Roman" w:hAnsi="Times New Roman" w:cs="Times New Roman"/>
          <w:sz w:val="20"/>
          <w:szCs w:val="20"/>
        </w:rPr>
        <w:t>s</w:t>
      </w:r>
      <w:r>
        <w:rPr>
          <w:rFonts w:ascii="Times New Roman" w:hAnsi="Times New Roman" w:cs="Times New Roman"/>
          <w:sz w:val="20"/>
          <w:szCs w:val="20"/>
        </w:rPr>
        <w:t xml:space="preserve"> can be found in </w:t>
      </w:r>
      <w:proofErr w:type="spellStart"/>
      <w:r>
        <w:rPr>
          <w:rFonts w:ascii="Times New Roman" w:hAnsi="Times New Roman" w:cs="Times New Roman"/>
          <w:sz w:val="20"/>
          <w:szCs w:val="20"/>
        </w:rPr>
        <w:t>eTables</w:t>
      </w:r>
      <w:proofErr w:type="spellEnd"/>
      <w:r>
        <w:rPr>
          <w:rFonts w:ascii="Times New Roman" w:hAnsi="Times New Roman" w:cs="Times New Roman"/>
          <w:sz w:val="20"/>
          <w:szCs w:val="20"/>
        </w:rPr>
        <w:t xml:space="preserve"> </w:t>
      </w:r>
      <w:r w:rsidR="00283D71">
        <w:rPr>
          <w:rFonts w:ascii="Times New Roman" w:hAnsi="Times New Roman" w:cs="Times New Roman"/>
          <w:sz w:val="20"/>
          <w:szCs w:val="20"/>
        </w:rPr>
        <w:t>1</w:t>
      </w:r>
      <w:r>
        <w:rPr>
          <w:rFonts w:ascii="Times New Roman" w:hAnsi="Times New Roman" w:cs="Times New Roman"/>
          <w:sz w:val="20"/>
          <w:szCs w:val="20"/>
        </w:rPr>
        <w:t xml:space="preserve"> </w:t>
      </w:r>
      <w:r w:rsidR="00283D71">
        <w:rPr>
          <w:rFonts w:ascii="Times New Roman" w:hAnsi="Times New Roman" w:cs="Times New Roman"/>
          <w:sz w:val="20"/>
          <w:szCs w:val="20"/>
        </w:rPr>
        <w:t>- 4</w:t>
      </w:r>
      <w:r>
        <w:rPr>
          <w:rFonts w:ascii="Times New Roman" w:hAnsi="Times New Roman" w:cs="Times New Roman"/>
          <w:sz w:val="20"/>
          <w:szCs w:val="20"/>
        </w:rPr>
        <w:t xml:space="preserve">. Adding additional possible deaths had a </w:t>
      </w:r>
      <w:r w:rsidRPr="002E13E4">
        <w:rPr>
          <w:rFonts w:ascii="Times New Roman" w:hAnsi="Times New Roman" w:cs="Times New Roman"/>
          <w:sz w:val="20"/>
          <w:szCs w:val="20"/>
        </w:rPr>
        <w:t xml:space="preserve">negligible </w:t>
      </w:r>
      <w:r>
        <w:rPr>
          <w:rFonts w:ascii="Times New Roman" w:hAnsi="Times New Roman" w:cs="Times New Roman"/>
          <w:sz w:val="20"/>
          <w:szCs w:val="20"/>
        </w:rPr>
        <w:t xml:space="preserve">impact </w:t>
      </w:r>
      <w:r w:rsidRPr="002E13E4">
        <w:rPr>
          <w:rFonts w:ascii="Times New Roman" w:hAnsi="Times New Roman" w:cs="Times New Roman"/>
          <w:sz w:val="20"/>
          <w:szCs w:val="20"/>
        </w:rPr>
        <w:t xml:space="preserve">on </w:t>
      </w:r>
      <w:r w:rsidR="000D62E7">
        <w:rPr>
          <w:rFonts w:ascii="Times New Roman" w:hAnsi="Times New Roman" w:cs="Times New Roman"/>
          <w:sz w:val="20"/>
          <w:szCs w:val="20"/>
        </w:rPr>
        <w:t xml:space="preserve">mortality rates and life expectancy (see </w:t>
      </w:r>
      <w:proofErr w:type="spellStart"/>
      <w:r w:rsidR="000D62E7">
        <w:rPr>
          <w:rFonts w:ascii="Times New Roman" w:hAnsi="Times New Roman" w:cs="Times New Roman"/>
          <w:sz w:val="20"/>
          <w:szCs w:val="20"/>
        </w:rPr>
        <w:t>eTable</w:t>
      </w:r>
      <w:r w:rsidR="00283D71">
        <w:rPr>
          <w:rFonts w:ascii="Times New Roman" w:hAnsi="Times New Roman" w:cs="Times New Roman"/>
          <w:sz w:val="20"/>
          <w:szCs w:val="20"/>
        </w:rPr>
        <w:t>s</w:t>
      </w:r>
      <w:proofErr w:type="spellEnd"/>
      <w:r w:rsidR="00283D71">
        <w:rPr>
          <w:rFonts w:ascii="Times New Roman" w:hAnsi="Times New Roman" w:cs="Times New Roman"/>
          <w:sz w:val="20"/>
          <w:szCs w:val="20"/>
        </w:rPr>
        <w:t xml:space="preserve"> 5 &amp;</w:t>
      </w:r>
      <w:r w:rsidR="000D62E7">
        <w:rPr>
          <w:rFonts w:ascii="Times New Roman" w:hAnsi="Times New Roman" w:cs="Times New Roman"/>
          <w:sz w:val="20"/>
          <w:szCs w:val="20"/>
        </w:rPr>
        <w:t xml:space="preserve"> 6)</w:t>
      </w:r>
      <w:r w:rsidRPr="002E13E4">
        <w:rPr>
          <w:rFonts w:ascii="Times New Roman" w:hAnsi="Times New Roman" w:cs="Times New Roman"/>
          <w:sz w:val="20"/>
          <w:szCs w:val="20"/>
        </w:rPr>
        <w:t>.</w:t>
      </w:r>
    </w:p>
    <w:p w14:paraId="4CF13AD9" w14:textId="77777777" w:rsidR="001A6F84" w:rsidRPr="00A96C49" w:rsidRDefault="001A6F84">
      <w:pPr>
        <w:rPr>
          <w:rFonts w:ascii="Times New Roman" w:hAnsi="Times New Roman" w:cs="Times New Roman"/>
          <w:sz w:val="20"/>
          <w:szCs w:val="20"/>
        </w:rPr>
      </w:pPr>
    </w:p>
    <w:p w14:paraId="7E5841F2" w14:textId="51983B3F" w:rsidR="001A6F84" w:rsidRPr="00C47B73" w:rsidRDefault="001A6F84">
      <w:pPr>
        <w:rPr>
          <w:rFonts w:ascii="Times New Roman" w:hAnsi="Times New Roman" w:cs="Times New Roman"/>
          <w:b/>
          <w:sz w:val="20"/>
          <w:szCs w:val="20"/>
        </w:rPr>
      </w:pPr>
      <w:r w:rsidRPr="00EA3468">
        <w:rPr>
          <w:rFonts w:ascii="Times New Roman" w:hAnsi="Times New Roman" w:cs="Times New Roman"/>
          <w:b/>
          <w:sz w:val="20"/>
          <w:szCs w:val="20"/>
        </w:rPr>
        <w:t>References</w:t>
      </w:r>
    </w:p>
    <w:p w14:paraId="0403CBCF" w14:textId="62014649" w:rsidR="007E1FA5" w:rsidRPr="007E1FA5" w:rsidRDefault="00A96C49" w:rsidP="007E1FA5">
      <w:pPr>
        <w:widowControl w:val="0"/>
        <w:autoSpaceDE w:val="0"/>
        <w:autoSpaceDN w:val="0"/>
        <w:adjustRightInd w:val="0"/>
        <w:spacing w:line="240" w:lineRule="auto"/>
        <w:ind w:left="640" w:hanging="640"/>
        <w:rPr>
          <w:rFonts w:ascii="Times New Roman" w:hAnsi="Times New Roman" w:cs="Times New Roman"/>
          <w:noProof/>
          <w:sz w:val="20"/>
          <w:szCs w:val="24"/>
        </w:rPr>
      </w:pPr>
      <w:r w:rsidRPr="00A96C49">
        <w:rPr>
          <w:rFonts w:ascii="Times New Roman" w:hAnsi="Times New Roman" w:cs="Times New Roman"/>
          <w:sz w:val="20"/>
          <w:szCs w:val="20"/>
        </w:rPr>
        <w:fldChar w:fldCharType="begin" w:fldLock="1"/>
      </w:r>
      <w:r w:rsidRPr="00A96C49">
        <w:rPr>
          <w:rFonts w:ascii="Times New Roman" w:hAnsi="Times New Roman" w:cs="Times New Roman"/>
          <w:sz w:val="20"/>
          <w:szCs w:val="20"/>
        </w:rPr>
        <w:instrText xml:space="preserve">ADDIN Mendeley Bibliography CSL_BIBLIOGRAPHY </w:instrText>
      </w:r>
      <w:r w:rsidRPr="00A96C49">
        <w:rPr>
          <w:rFonts w:ascii="Times New Roman" w:hAnsi="Times New Roman" w:cs="Times New Roman"/>
          <w:sz w:val="20"/>
          <w:szCs w:val="20"/>
        </w:rPr>
        <w:fldChar w:fldCharType="separate"/>
      </w:r>
      <w:r w:rsidR="007E1FA5" w:rsidRPr="007E1FA5">
        <w:rPr>
          <w:rFonts w:ascii="Times New Roman" w:hAnsi="Times New Roman" w:cs="Times New Roman"/>
          <w:noProof/>
          <w:sz w:val="20"/>
          <w:szCs w:val="24"/>
        </w:rPr>
        <w:t>1</w:t>
      </w:r>
      <w:r w:rsidR="007E1FA5" w:rsidRPr="007E1FA5">
        <w:rPr>
          <w:rFonts w:ascii="Times New Roman" w:hAnsi="Times New Roman" w:cs="Times New Roman"/>
          <w:noProof/>
          <w:sz w:val="20"/>
          <w:szCs w:val="24"/>
        </w:rPr>
        <w:tab/>
        <w:t xml:space="preserve">Ohneberg K, Beyersmann J, Schumacher M. Exposure density sampling: Dynamic matching with respect to a time‐dependent exposure. </w:t>
      </w:r>
      <w:r w:rsidR="007E1FA5" w:rsidRPr="007E1FA5">
        <w:rPr>
          <w:rFonts w:ascii="Times New Roman" w:hAnsi="Times New Roman" w:cs="Times New Roman"/>
          <w:i/>
          <w:iCs/>
          <w:noProof/>
          <w:sz w:val="20"/>
          <w:szCs w:val="24"/>
        </w:rPr>
        <w:t>Stat Med</w:t>
      </w:r>
      <w:r w:rsidR="007E1FA5" w:rsidRPr="007E1FA5">
        <w:rPr>
          <w:rFonts w:ascii="Times New Roman" w:hAnsi="Times New Roman" w:cs="Times New Roman"/>
          <w:noProof/>
          <w:sz w:val="20"/>
          <w:szCs w:val="24"/>
        </w:rPr>
        <w:t xml:space="preserve"> 2019; </w:t>
      </w:r>
      <w:r w:rsidR="007E1FA5" w:rsidRPr="007E1FA5">
        <w:rPr>
          <w:rFonts w:ascii="Times New Roman" w:hAnsi="Times New Roman" w:cs="Times New Roman"/>
          <w:b/>
          <w:bCs/>
          <w:noProof/>
          <w:sz w:val="20"/>
          <w:szCs w:val="24"/>
        </w:rPr>
        <w:t>38</w:t>
      </w:r>
      <w:r w:rsidR="007E1FA5" w:rsidRPr="007E1FA5">
        <w:rPr>
          <w:rFonts w:ascii="Times New Roman" w:hAnsi="Times New Roman" w:cs="Times New Roman"/>
          <w:noProof/>
          <w:sz w:val="20"/>
          <w:szCs w:val="24"/>
        </w:rPr>
        <w:t>: 4390–403.</w:t>
      </w:r>
    </w:p>
    <w:p w14:paraId="20AE76C7" w14:textId="77777777" w:rsidR="007E1FA5" w:rsidRPr="007E1FA5" w:rsidRDefault="007E1FA5" w:rsidP="007E1FA5">
      <w:pPr>
        <w:widowControl w:val="0"/>
        <w:autoSpaceDE w:val="0"/>
        <w:autoSpaceDN w:val="0"/>
        <w:adjustRightInd w:val="0"/>
        <w:spacing w:line="240" w:lineRule="auto"/>
        <w:ind w:left="640" w:hanging="640"/>
        <w:rPr>
          <w:rFonts w:ascii="Times New Roman" w:hAnsi="Times New Roman" w:cs="Times New Roman"/>
          <w:noProof/>
          <w:sz w:val="20"/>
          <w:szCs w:val="24"/>
        </w:rPr>
      </w:pPr>
      <w:r w:rsidRPr="007E1FA5">
        <w:rPr>
          <w:rFonts w:ascii="Times New Roman" w:hAnsi="Times New Roman" w:cs="Times New Roman"/>
          <w:noProof/>
          <w:sz w:val="20"/>
          <w:szCs w:val="24"/>
        </w:rPr>
        <w:t>2</w:t>
      </w:r>
      <w:r w:rsidRPr="007E1FA5">
        <w:rPr>
          <w:rFonts w:ascii="Times New Roman" w:hAnsi="Times New Roman" w:cs="Times New Roman"/>
          <w:noProof/>
          <w:sz w:val="20"/>
          <w:szCs w:val="24"/>
        </w:rPr>
        <w:tab/>
        <w:t xml:space="preserve">Horsfall L, Walters K, Petersen I. Identifying periods of acceptable computer usage in primary care research databases. </w:t>
      </w:r>
      <w:r w:rsidRPr="007E1FA5">
        <w:rPr>
          <w:rFonts w:ascii="Times New Roman" w:hAnsi="Times New Roman" w:cs="Times New Roman"/>
          <w:i/>
          <w:iCs/>
          <w:noProof/>
          <w:sz w:val="20"/>
          <w:szCs w:val="24"/>
        </w:rPr>
        <w:t>Pharmacoepidemiol Drug Saf</w:t>
      </w:r>
      <w:r w:rsidRPr="007E1FA5">
        <w:rPr>
          <w:rFonts w:ascii="Times New Roman" w:hAnsi="Times New Roman" w:cs="Times New Roman"/>
          <w:noProof/>
          <w:sz w:val="20"/>
          <w:szCs w:val="24"/>
        </w:rPr>
        <w:t xml:space="preserve"> 2013; </w:t>
      </w:r>
      <w:r w:rsidRPr="007E1FA5">
        <w:rPr>
          <w:rFonts w:ascii="Times New Roman" w:hAnsi="Times New Roman" w:cs="Times New Roman"/>
          <w:b/>
          <w:bCs/>
          <w:noProof/>
          <w:sz w:val="20"/>
          <w:szCs w:val="24"/>
        </w:rPr>
        <w:t>22</w:t>
      </w:r>
      <w:r w:rsidRPr="007E1FA5">
        <w:rPr>
          <w:rFonts w:ascii="Times New Roman" w:hAnsi="Times New Roman" w:cs="Times New Roman"/>
          <w:noProof/>
          <w:sz w:val="20"/>
          <w:szCs w:val="24"/>
        </w:rPr>
        <w:t>. DOI:10.1002/pds.3368.</w:t>
      </w:r>
    </w:p>
    <w:p w14:paraId="600F7B12" w14:textId="77777777" w:rsidR="007E1FA5" w:rsidRPr="007E1FA5" w:rsidRDefault="007E1FA5" w:rsidP="007E1FA5">
      <w:pPr>
        <w:widowControl w:val="0"/>
        <w:autoSpaceDE w:val="0"/>
        <w:autoSpaceDN w:val="0"/>
        <w:adjustRightInd w:val="0"/>
        <w:spacing w:line="240" w:lineRule="auto"/>
        <w:ind w:left="640" w:hanging="640"/>
        <w:rPr>
          <w:rFonts w:ascii="Times New Roman" w:hAnsi="Times New Roman" w:cs="Times New Roman"/>
          <w:noProof/>
          <w:sz w:val="20"/>
        </w:rPr>
      </w:pPr>
      <w:r w:rsidRPr="007E1FA5">
        <w:rPr>
          <w:rFonts w:ascii="Times New Roman" w:hAnsi="Times New Roman" w:cs="Times New Roman"/>
          <w:noProof/>
          <w:sz w:val="20"/>
          <w:szCs w:val="24"/>
        </w:rPr>
        <w:t>3</w:t>
      </w:r>
      <w:r w:rsidRPr="007E1FA5">
        <w:rPr>
          <w:rFonts w:ascii="Times New Roman" w:hAnsi="Times New Roman" w:cs="Times New Roman"/>
          <w:noProof/>
          <w:sz w:val="20"/>
          <w:szCs w:val="24"/>
        </w:rPr>
        <w:tab/>
        <w:t xml:space="preserve">Maguire A, Blak BT, Thompson M. The importance of defining periods of complete mortality reporting for research using automated data from primary care. </w:t>
      </w:r>
      <w:r w:rsidRPr="007E1FA5">
        <w:rPr>
          <w:rFonts w:ascii="Times New Roman" w:hAnsi="Times New Roman" w:cs="Times New Roman"/>
          <w:i/>
          <w:iCs/>
          <w:noProof/>
          <w:sz w:val="20"/>
          <w:szCs w:val="24"/>
        </w:rPr>
        <w:t>Pharmacoepidemiol Drug Saf</w:t>
      </w:r>
      <w:r w:rsidRPr="007E1FA5">
        <w:rPr>
          <w:rFonts w:ascii="Times New Roman" w:hAnsi="Times New Roman" w:cs="Times New Roman"/>
          <w:noProof/>
          <w:sz w:val="20"/>
          <w:szCs w:val="24"/>
        </w:rPr>
        <w:t xml:space="preserve"> 2009; </w:t>
      </w:r>
      <w:r w:rsidRPr="007E1FA5">
        <w:rPr>
          <w:rFonts w:ascii="Times New Roman" w:hAnsi="Times New Roman" w:cs="Times New Roman"/>
          <w:b/>
          <w:bCs/>
          <w:noProof/>
          <w:sz w:val="20"/>
          <w:szCs w:val="24"/>
        </w:rPr>
        <w:t>18</w:t>
      </w:r>
      <w:r w:rsidRPr="007E1FA5">
        <w:rPr>
          <w:rFonts w:ascii="Times New Roman" w:hAnsi="Times New Roman" w:cs="Times New Roman"/>
          <w:noProof/>
          <w:sz w:val="20"/>
          <w:szCs w:val="24"/>
        </w:rPr>
        <w:t>. DOI:10.1002/pds.1688.</w:t>
      </w:r>
    </w:p>
    <w:p w14:paraId="255FD8C5" w14:textId="77777777" w:rsidR="001A6F84" w:rsidRPr="00A96C49" w:rsidRDefault="00A96C49">
      <w:pPr>
        <w:rPr>
          <w:rFonts w:ascii="Times New Roman" w:hAnsi="Times New Roman" w:cs="Times New Roman"/>
          <w:sz w:val="20"/>
          <w:szCs w:val="20"/>
        </w:rPr>
      </w:pPr>
      <w:r w:rsidRPr="00A96C49">
        <w:rPr>
          <w:rFonts w:ascii="Times New Roman" w:hAnsi="Times New Roman" w:cs="Times New Roman"/>
          <w:sz w:val="20"/>
          <w:szCs w:val="20"/>
        </w:rPr>
        <w:fldChar w:fldCharType="end"/>
      </w:r>
    </w:p>
    <w:sectPr w:rsidR="001A6F84" w:rsidRPr="00A96C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DDE42" w14:textId="77777777" w:rsidR="000F69CF" w:rsidRDefault="000F69CF" w:rsidP="000F69CF">
      <w:pPr>
        <w:spacing w:after="0" w:line="240" w:lineRule="auto"/>
      </w:pPr>
      <w:r>
        <w:separator/>
      </w:r>
    </w:p>
  </w:endnote>
  <w:endnote w:type="continuationSeparator" w:id="0">
    <w:p w14:paraId="289B812C" w14:textId="77777777" w:rsidR="000F69CF" w:rsidRDefault="000F69CF" w:rsidP="000F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854F9" w14:textId="77777777" w:rsidR="000F69CF" w:rsidRDefault="000F69CF" w:rsidP="000F69CF">
      <w:pPr>
        <w:spacing w:after="0" w:line="240" w:lineRule="auto"/>
      </w:pPr>
      <w:r>
        <w:separator/>
      </w:r>
    </w:p>
  </w:footnote>
  <w:footnote w:type="continuationSeparator" w:id="0">
    <w:p w14:paraId="1A8DB95F" w14:textId="77777777" w:rsidR="000F69CF" w:rsidRDefault="000F69CF" w:rsidP="000F69CF">
      <w:pPr>
        <w:spacing w:after="0" w:line="240" w:lineRule="auto"/>
      </w:pPr>
      <w:r>
        <w:continuationSeparator/>
      </w:r>
    </w:p>
  </w:footnote>
  <w:footnote w:id="1">
    <w:p w14:paraId="47133C28" w14:textId="7A0C403D" w:rsidR="000F69CF" w:rsidRPr="000F69CF" w:rsidRDefault="000F69CF">
      <w:pPr>
        <w:pStyle w:val="FootnoteText"/>
        <w:rPr>
          <w:rFonts w:ascii="Times New Roman" w:hAnsi="Times New Roman" w:cs="Times New Roman"/>
        </w:rPr>
      </w:pPr>
      <w:r w:rsidRPr="000F69CF">
        <w:rPr>
          <w:rStyle w:val="FootnoteReference"/>
          <w:rFonts w:ascii="Times New Roman" w:hAnsi="Times New Roman" w:cs="Times New Roman"/>
        </w:rPr>
        <w:footnoteRef/>
      </w:r>
      <w:r w:rsidRPr="000F69CF">
        <w:rPr>
          <w:rFonts w:ascii="Times New Roman" w:hAnsi="Times New Roman" w:cs="Times New Roman"/>
        </w:rPr>
        <w:t xml:space="preserve"> Death-related Read codes were identified by searching for codes containing the </w:t>
      </w:r>
      <w:r w:rsidR="00312FCC">
        <w:rPr>
          <w:rFonts w:ascii="Times New Roman" w:hAnsi="Times New Roman" w:cs="Times New Roman"/>
        </w:rPr>
        <w:t>words</w:t>
      </w:r>
      <w:r w:rsidRPr="000F69CF">
        <w:rPr>
          <w:rFonts w:ascii="Times New Roman" w:hAnsi="Times New Roman" w:cs="Times New Roman"/>
        </w:rPr>
        <w:t xml:space="preserve"> </w:t>
      </w:r>
      <w:r w:rsidR="00312FCC">
        <w:rPr>
          <w:rFonts w:ascii="Times New Roman" w:hAnsi="Times New Roman" w:cs="Times New Roman"/>
        </w:rPr>
        <w:t>“</w:t>
      </w:r>
      <w:r w:rsidRPr="000F69CF">
        <w:rPr>
          <w:rFonts w:ascii="Times New Roman" w:hAnsi="Times New Roman" w:cs="Times New Roman"/>
        </w:rPr>
        <w:t xml:space="preserve">died”, </w:t>
      </w:r>
      <w:r w:rsidR="00312FCC">
        <w:rPr>
          <w:rFonts w:ascii="Times New Roman" w:hAnsi="Times New Roman" w:cs="Times New Roman"/>
        </w:rPr>
        <w:t>“</w:t>
      </w:r>
      <w:r w:rsidRPr="000F69CF">
        <w:rPr>
          <w:rFonts w:ascii="Times New Roman" w:hAnsi="Times New Roman" w:cs="Times New Roman"/>
        </w:rPr>
        <w:t xml:space="preserve">death”, </w:t>
      </w:r>
      <w:r w:rsidR="00312FCC">
        <w:rPr>
          <w:rFonts w:ascii="Times New Roman" w:hAnsi="Times New Roman" w:cs="Times New Roman"/>
        </w:rPr>
        <w:t>“</w:t>
      </w:r>
      <w:r w:rsidRPr="000F69CF">
        <w:rPr>
          <w:rFonts w:ascii="Times New Roman" w:hAnsi="Times New Roman" w:cs="Times New Roman"/>
        </w:rPr>
        <w:t>dead</w:t>
      </w:r>
      <w:r w:rsidR="00312FCC">
        <w:rPr>
          <w:rFonts w:ascii="Times New Roman" w:hAnsi="Times New Roman" w:cs="Times New Roman"/>
        </w:rPr>
        <w:t>”</w:t>
      </w:r>
      <w:r w:rsidRPr="000F69CF">
        <w:rPr>
          <w:rFonts w:ascii="Times New Roman" w:hAnsi="Times New Roman" w:cs="Times New Roman"/>
        </w:rPr>
        <w:t xml:space="preserve">, </w:t>
      </w:r>
      <w:r w:rsidR="00312FCC">
        <w:rPr>
          <w:rFonts w:ascii="Times New Roman" w:hAnsi="Times New Roman" w:cs="Times New Roman"/>
        </w:rPr>
        <w:t>“</w:t>
      </w:r>
      <w:r w:rsidRPr="000F69CF">
        <w:rPr>
          <w:rFonts w:ascii="Times New Roman" w:hAnsi="Times New Roman" w:cs="Times New Roman"/>
        </w:rPr>
        <w:t>decease</w:t>
      </w:r>
      <w:r w:rsidR="00312FCC">
        <w:rPr>
          <w:rFonts w:ascii="Times New Roman" w:hAnsi="Times New Roman" w:cs="Times New Roman"/>
        </w:rPr>
        <w:t>”</w:t>
      </w:r>
      <w:r w:rsidRPr="000F69CF">
        <w:rPr>
          <w:rFonts w:ascii="Times New Roman" w:hAnsi="Times New Roman" w:cs="Times New Roman"/>
        </w:rPr>
        <w:t xml:space="preserve">, </w:t>
      </w:r>
      <w:r w:rsidR="00312FCC">
        <w:rPr>
          <w:rFonts w:ascii="Times New Roman" w:hAnsi="Times New Roman" w:cs="Times New Roman"/>
        </w:rPr>
        <w:t>“</w:t>
      </w:r>
      <w:r w:rsidRPr="000F69CF">
        <w:rPr>
          <w:rFonts w:ascii="Times New Roman" w:hAnsi="Times New Roman" w:cs="Times New Roman"/>
        </w:rPr>
        <w:t>fatal</w:t>
      </w:r>
      <w:r w:rsidR="00312FCC">
        <w:rPr>
          <w:rFonts w:ascii="Times New Roman" w:hAnsi="Times New Roman" w:cs="Times New Roman"/>
        </w:rPr>
        <w:t>”</w:t>
      </w:r>
      <w:r w:rsidRPr="000F69CF">
        <w:rPr>
          <w:rFonts w:ascii="Times New Roman" w:hAnsi="Times New Roman" w:cs="Times New Roman"/>
        </w:rPr>
        <w:t xml:space="preserve">, </w:t>
      </w:r>
      <w:r w:rsidR="00312FCC">
        <w:rPr>
          <w:rFonts w:ascii="Times New Roman" w:hAnsi="Times New Roman" w:cs="Times New Roman"/>
        </w:rPr>
        <w:t>“</w:t>
      </w:r>
      <w:r w:rsidRPr="000F69CF">
        <w:rPr>
          <w:rFonts w:ascii="Times New Roman" w:hAnsi="Times New Roman" w:cs="Times New Roman"/>
        </w:rPr>
        <w:t>decedent</w:t>
      </w:r>
      <w:r w:rsidR="00312FCC">
        <w:rPr>
          <w:rFonts w:ascii="Times New Roman" w:hAnsi="Times New Roman" w:cs="Times New Roman"/>
        </w:rPr>
        <w:t>”</w:t>
      </w:r>
      <w:r w:rsidRPr="000F69CF">
        <w:rPr>
          <w:rFonts w:ascii="Times New Roman" w:hAnsi="Times New Roman" w:cs="Times New Roman"/>
        </w:rPr>
        <w:t xml:space="preserve">, </w:t>
      </w:r>
      <w:r w:rsidR="00312FCC">
        <w:rPr>
          <w:rFonts w:ascii="Times New Roman" w:hAnsi="Times New Roman" w:cs="Times New Roman"/>
        </w:rPr>
        <w:t>“</w:t>
      </w:r>
      <w:r w:rsidRPr="000F69CF">
        <w:rPr>
          <w:rFonts w:ascii="Times New Roman" w:hAnsi="Times New Roman" w:cs="Times New Roman"/>
        </w:rPr>
        <w:t>inquest</w:t>
      </w:r>
      <w:r w:rsidR="00312FCC">
        <w:rPr>
          <w:rFonts w:ascii="Times New Roman" w:hAnsi="Times New Roman" w:cs="Times New Roman"/>
        </w:rPr>
        <w:t>”</w:t>
      </w:r>
      <w:r w:rsidRPr="000F69CF">
        <w:rPr>
          <w:rFonts w:ascii="Times New Roman" w:hAnsi="Times New Roman" w:cs="Times New Roman"/>
        </w:rPr>
        <w:t xml:space="preserve">, </w:t>
      </w:r>
      <w:r w:rsidR="00312FCC">
        <w:rPr>
          <w:rFonts w:ascii="Times New Roman" w:hAnsi="Times New Roman" w:cs="Times New Roman"/>
        </w:rPr>
        <w:t>“</w:t>
      </w:r>
      <w:r w:rsidRPr="000F69CF">
        <w:rPr>
          <w:rFonts w:ascii="Times New Roman" w:hAnsi="Times New Roman" w:cs="Times New Roman"/>
        </w:rPr>
        <w:t>mortem</w:t>
      </w:r>
      <w:r w:rsidR="00312FCC">
        <w:rPr>
          <w:rFonts w:ascii="Times New Roman" w:hAnsi="Times New Roman" w:cs="Times New Roman"/>
        </w:rPr>
        <w:t>”</w:t>
      </w:r>
      <w:r w:rsidRPr="000F69CF">
        <w:rPr>
          <w:rFonts w:ascii="Times New Roman" w:hAnsi="Times New Roman" w:cs="Times New Roman"/>
        </w:rPr>
        <w:t xml:space="preserve">, </w:t>
      </w:r>
      <w:r w:rsidR="00312FCC">
        <w:rPr>
          <w:rFonts w:ascii="Times New Roman" w:hAnsi="Times New Roman" w:cs="Times New Roman"/>
        </w:rPr>
        <w:t>“</w:t>
      </w:r>
      <w:r w:rsidRPr="000F69CF">
        <w:rPr>
          <w:rFonts w:ascii="Times New Roman" w:hAnsi="Times New Roman" w:cs="Times New Roman"/>
        </w:rPr>
        <w:t>coroner</w:t>
      </w:r>
      <w:r w:rsidR="00312FCC">
        <w:rPr>
          <w:rFonts w:ascii="Times New Roman" w:hAnsi="Times New Roman" w:cs="Times New Roman"/>
        </w:rPr>
        <w:t>”</w:t>
      </w:r>
      <w:r>
        <w:rPr>
          <w:rFonts w:ascii="Times New Roman" w:hAnsi="Times New Roman" w:cs="Times New Roman"/>
        </w:rPr>
        <w:t>; and then excluding codes</w:t>
      </w:r>
      <w:r w:rsidRPr="000F69CF">
        <w:rPr>
          <w:rFonts w:ascii="Times New Roman" w:hAnsi="Times New Roman" w:cs="Times New Roman"/>
        </w:rPr>
        <w:t xml:space="preserve"> that pertained to someone else having died.</w:t>
      </w:r>
      <w:r w:rsidR="00CB40F6">
        <w:rPr>
          <w:rFonts w:ascii="Times New Roman" w:hAnsi="Times New Roman" w:cs="Times New Roman"/>
        </w:rPr>
        <w:t xml:space="preserve"> </w:t>
      </w:r>
    </w:p>
  </w:footnote>
  <w:footnote w:id="2">
    <w:p w14:paraId="7BF3AA9F" w14:textId="57654336" w:rsidR="00312FCC" w:rsidRPr="00312FCC" w:rsidRDefault="00312FCC">
      <w:pPr>
        <w:pStyle w:val="FootnoteText"/>
        <w:rPr>
          <w:rFonts w:ascii="Times New Roman" w:hAnsi="Times New Roman" w:cs="Times New Roman"/>
        </w:rPr>
      </w:pPr>
      <w:r w:rsidRPr="00312FCC">
        <w:rPr>
          <w:rStyle w:val="FootnoteReference"/>
          <w:rFonts w:ascii="Times New Roman" w:hAnsi="Times New Roman" w:cs="Times New Roman"/>
        </w:rPr>
        <w:footnoteRef/>
      </w:r>
      <w:r w:rsidRPr="00312FCC">
        <w:rPr>
          <w:rFonts w:ascii="Times New Roman" w:hAnsi="Times New Roman" w:cs="Times New Roman"/>
        </w:rPr>
        <w:t xml:space="preserve"> </w:t>
      </w:r>
      <w:r>
        <w:rPr>
          <w:rFonts w:ascii="Times New Roman" w:hAnsi="Times New Roman" w:cs="Times New Roman"/>
        </w:rPr>
        <w:t>Possible death</w:t>
      </w:r>
      <w:r w:rsidRPr="000F69CF">
        <w:rPr>
          <w:rFonts w:ascii="Times New Roman" w:hAnsi="Times New Roman" w:cs="Times New Roman"/>
        </w:rPr>
        <w:t xml:space="preserve"> Read codes </w:t>
      </w:r>
      <w:r>
        <w:rPr>
          <w:rFonts w:ascii="Times New Roman" w:hAnsi="Times New Roman" w:cs="Times New Roman"/>
        </w:rPr>
        <w:t xml:space="preserve">were identified by searching for codes containing the words </w:t>
      </w:r>
      <w:r w:rsidRPr="00312FCC">
        <w:rPr>
          <w:rFonts w:ascii="Times New Roman" w:hAnsi="Times New Roman" w:cs="Times New Roman"/>
        </w:rPr>
        <w:t>“suicide</w:t>
      </w:r>
      <w:r>
        <w:rPr>
          <w:rFonts w:ascii="Times New Roman" w:hAnsi="Times New Roman" w:cs="Times New Roman"/>
        </w:rPr>
        <w:t>”</w:t>
      </w:r>
      <w:r w:rsidRPr="00312FCC">
        <w:rPr>
          <w:rFonts w:ascii="Times New Roman" w:hAnsi="Times New Roman" w:cs="Times New Roman"/>
        </w:rPr>
        <w:t xml:space="preserve">, </w:t>
      </w:r>
      <w:r>
        <w:rPr>
          <w:rFonts w:ascii="Times New Roman" w:hAnsi="Times New Roman" w:cs="Times New Roman"/>
        </w:rPr>
        <w:t>“</w:t>
      </w:r>
      <w:r w:rsidRPr="00312FCC">
        <w:rPr>
          <w:rFonts w:ascii="Times New Roman" w:hAnsi="Times New Roman" w:cs="Times New Roman"/>
        </w:rPr>
        <w:t>drowning</w:t>
      </w:r>
      <w:r>
        <w:rPr>
          <w:rFonts w:ascii="Times New Roman" w:hAnsi="Times New Roman" w:cs="Times New Roman"/>
        </w:rPr>
        <w:t>”</w:t>
      </w:r>
      <w:r w:rsidRPr="00312FCC">
        <w:rPr>
          <w:rFonts w:ascii="Times New Roman" w:hAnsi="Times New Roman" w:cs="Times New Roman"/>
        </w:rPr>
        <w:t xml:space="preserve">, </w:t>
      </w:r>
      <w:r>
        <w:rPr>
          <w:rFonts w:ascii="Times New Roman" w:hAnsi="Times New Roman" w:cs="Times New Roman"/>
        </w:rPr>
        <w:t>“</w:t>
      </w:r>
      <w:r w:rsidRPr="00312FCC">
        <w:rPr>
          <w:rFonts w:ascii="Times New Roman" w:hAnsi="Times New Roman" w:cs="Times New Roman"/>
        </w:rPr>
        <w:t>drowned</w:t>
      </w:r>
      <w:r>
        <w:rPr>
          <w:rFonts w:ascii="Times New Roman" w:hAnsi="Times New Roman" w:cs="Times New Roman"/>
        </w:rPr>
        <w:t>”</w:t>
      </w:r>
      <w:r w:rsidRPr="00312FCC">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suffocat</w:t>
      </w:r>
      <w:proofErr w:type="spellEnd"/>
      <w:r>
        <w:rPr>
          <w:rFonts w:ascii="Times New Roman" w:hAnsi="Times New Roman" w:cs="Times New Roman"/>
        </w:rPr>
        <w:t>”</w:t>
      </w:r>
      <w:r w:rsidRPr="00312FCC">
        <w:rPr>
          <w:rFonts w:ascii="Times New Roman" w:hAnsi="Times New Roman" w:cs="Times New Roman"/>
        </w:rPr>
        <w:t xml:space="preserve">, </w:t>
      </w:r>
      <w:r>
        <w:rPr>
          <w:rFonts w:ascii="Times New Roman" w:hAnsi="Times New Roman" w:cs="Times New Roman"/>
        </w:rPr>
        <w:t>“</w:t>
      </w:r>
      <w:r w:rsidRPr="00312FCC">
        <w:rPr>
          <w:rFonts w:ascii="Times New Roman" w:hAnsi="Times New Roman" w:cs="Times New Roman"/>
        </w:rPr>
        <w:t>hanging</w:t>
      </w:r>
      <w:r>
        <w:rPr>
          <w:rFonts w:ascii="Times New Roman" w:hAnsi="Times New Roman" w:cs="Times New Roman"/>
        </w:rPr>
        <w:t>”</w:t>
      </w:r>
      <w:r w:rsidRPr="00312FCC">
        <w:rPr>
          <w:rFonts w:ascii="Times New Roman" w:hAnsi="Times New Roman" w:cs="Times New Roman"/>
        </w:rPr>
        <w:t xml:space="preserve">, </w:t>
      </w:r>
      <w:r>
        <w:rPr>
          <w:rFonts w:ascii="Times New Roman" w:hAnsi="Times New Roman" w:cs="Times New Roman"/>
        </w:rPr>
        <w:t>“</w:t>
      </w:r>
      <w:r w:rsidRPr="00312FCC">
        <w:rPr>
          <w:rFonts w:ascii="Times New Roman" w:hAnsi="Times New Roman" w:cs="Times New Roman"/>
        </w:rPr>
        <w:t>hanged</w:t>
      </w:r>
      <w:r>
        <w:rPr>
          <w:rFonts w:ascii="Times New Roman" w:hAnsi="Times New Roman" w:cs="Times New Roman"/>
        </w:rPr>
        <w:t>”</w:t>
      </w:r>
      <w:r w:rsidRPr="00312FCC">
        <w:rPr>
          <w:rFonts w:ascii="Times New Roman" w:hAnsi="Times New Roman" w:cs="Times New Roman"/>
        </w:rPr>
        <w:t xml:space="preserve">, </w:t>
      </w:r>
      <w:r>
        <w:rPr>
          <w:rFonts w:ascii="Times New Roman" w:hAnsi="Times New Roman" w:cs="Times New Roman"/>
        </w:rPr>
        <w:t>“</w:t>
      </w:r>
      <w:r w:rsidRPr="00312FCC">
        <w:rPr>
          <w:rFonts w:ascii="Times New Roman" w:hAnsi="Times New Roman" w:cs="Times New Roman"/>
        </w:rPr>
        <w:t>murder</w:t>
      </w:r>
      <w:r>
        <w:rPr>
          <w:rFonts w:ascii="Times New Roman" w:hAnsi="Times New Roman" w:cs="Times New Roman"/>
        </w:rPr>
        <w:t>”</w:t>
      </w:r>
      <w:r w:rsidRPr="00312FCC">
        <w:rPr>
          <w:rFonts w:ascii="Times New Roman" w:hAnsi="Times New Roman" w:cs="Times New Roman"/>
        </w:rPr>
        <w:t xml:space="preserve">, </w:t>
      </w:r>
      <w:r>
        <w:rPr>
          <w:rFonts w:ascii="Times New Roman" w:hAnsi="Times New Roman" w:cs="Times New Roman"/>
        </w:rPr>
        <w:t>“</w:t>
      </w:r>
      <w:r w:rsidRPr="00312FCC">
        <w:rPr>
          <w:rFonts w:ascii="Times New Roman" w:hAnsi="Times New Roman" w:cs="Times New Roman"/>
        </w:rPr>
        <w:t>arrest</w:t>
      </w:r>
      <w:r>
        <w:rPr>
          <w:rFonts w:ascii="Times New Roman" w:hAnsi="Times New Roman" w:cs="Times New Roman"/>
        </w:rPr>
        <w:t>”</w:t>
      </w:r>
      <w:r w:rsidRPr="00312FCC">
        <w:rPr>
          <w:rFonts w:ascii="Times New Roman" w:hAnsi="Times New Roman" w:cs="Times New Roman"/>
        </w:rPr>
        <w:t xml:space="preserve">, </w:t>
      </w:r>
      <w:r>
        <w:rPr>
          <w:rFonts w:ascii="Times New Roman" w:hAnsi="Times New Roman" w:cs="Times New Roman"/>
        </w:rPr>
        <w:t>“</w:t>
      </w:r>
      <w:r w:rsidRPr="00312FCC">
        <w:rPr>
          <w:rFonts w:ascii="Times New Roman" w:hAnsi="Times New Roman" w:cs="Times New Roman"/>
        </w:rPr>
        <w:t>overdose</w:t>
      </w:r>
      <w:r>
        <w:rPr>
          <w:rFonts w:ascii="Times New Roman" w:hAnsi="Times New Roman" w:cs="Times New Roman"/>
        </w:rPr>
        <w:t xml:space="preserve">”; and then excluding codes that were ambiguous or pertained to someone else. Codes indicating suicide and self-injury from an existing code-list were also included, with codes pertaining to </w:t>
      </w:r>
      <w:r w:rsidRPr="00312FCC">
        <w:rPr>
          <w:rFonts w:ascii="Times New Roman" w:hAnsi="Times New Roman" w:cs="Times New Roman"/>
        </w:rPr>
        <w:t>specific forms of self-mutilation</w:t>
      </w:r>
      <w:r>
        <w:rPr>
          <w:rFonts w:ascii="Times New Roman" w:hAnsi="Times New Roman" w:cs="Times New Roman"/>
        </w:rPr>
        <w:t xml:space="preserve"> excluded</w:t>
      </w:r>
      <w:r w:rsidRPr="00312FCC">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84"/>
    <w:rsid w:val="000D2A48"/>
    <w:rsid w:val="000D62E7"/>
    <w:rsid w:val="000F4CD0"/>
    <w:rsid w:val="000F69CF"/>
    <w:rsid w:val="001414D5"/>
    <w:rsid w:val="001A6F84"/>
    <w:rsid w:val="00236C07"/>
    <w:rsid w:val="00283D71"/>
    <w:rsid w:val="002A4FF0"/>
    <w:rsid w:val="002E3A39"/>
    <w:rsid w:val="002F288C"/>
    <w:rsid w:val="00312FCC"/>
    <w:rsid w:val="00342231"/>
    <w:rsid w:val="003D4BF2"/>
    <w:rsid w:val="00473EF2"/>
    <w:rsid w:val="004761B0"/>
    <w:rsid w:val="00526F4D"/>
    <w:rsid w:val="00532A41"/>
    <w:rsid w:val="005C2949"/>
    <w:rsid w:val="00601765"/>
    <w:rsid w:val="006C02B0"/>
    <w:rsid w:val="006C2CDF"/>
    <w:rsid w:val="006F51BC"/>
    <w:rsid w:val="00751BCF"/>
    <w:rsid w:val="007565D9"/>
    <w:rsid w:val="007950F9"/>
    <w:rsid w:val="007E1FA5"/>
    <w:rsid w:val="00862B41"/>
    <w:rsid w:val="008B2FB9"/>
    <w:rsid w:val="009E1ED1"/>
    <w:rsid w:val="00A60F6B"/>
    <w:rsid w:val="00A66EFF"/>
    <w:rsid w:val="00A96C49"/>
    <w:rsid w:val="00AA0BE2"/>
    <w:rsid w:val="00AF2668"/>
    <w:rsid w:val="00B06AAF"/>
    <w:rsid w:val="00BB7DB7"/>
    <w:rsid w:val="00BE6D9C"/>
    <w:rsid w:val="00C159B2"/>
    <w:rsid w:val="00C47B73"/>
    <w:rsid w:val="00C54BF1"/>
    <w:rsid w:val="00C65141"/>
    <w:rsid w:val="00CB40F6"/>
    <w:rsid w:val="00D30F1F"/>
    <w:rsid w:val="00DD160D"/>
    <w:rsid w:val="00E0541A"/>
    <w:rsid w:val="00EA3468"/>
    <w:rsid w:val="00EE3D74"/>
    <w:rsid w:val="00F1187E"/>
    <w:rsid w:val="00FF2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77F7D"/>
  <w15:chartTrackingRefBased/>
  <w15:docId w15:val="{A0EF0F0E-F6CE-4437-9FBF-13861D92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A6F84"/>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eastAsia="en-GB"/>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B06AAF"/>
    <w:rPr>
      <w:sz w:val="16"/>
      <w:szCs w:val="16"/>
    </w:rPr>
  </w:style>
  <w:style w:type="paragraph" w:styleId="CommentText">
    <w:name w:val="annotation text"/>
    <w:basedOn w:val="Normal"/>
    <w:link w:val="CommentTextChar"/>
    <w:uiPriority w:val="99"/>
    <w:unhideWhenUsed/>
    <w:rsid w:val="00B06AAF"/>
    <w:pPr>
      <w:spacing w:line="240" w:lineRule="auto"/>
    </w:pPr>
    <w:rPr>
      <w:sz w:val="20"/>
      <w:szCs w:val="20"/>
    </w:rPr>
  </w:style>
  <w:style w:type="character" w:customStyle="1" w:styleId="CommentTextChar">
    <w:name w:val="Comment Text Char"/>
    <w:basedOn w:val="DefaultParagraphFont"/>
    <w:link w:val="CommentText"/>
    <w:uiPriority w:val="99"/>
    <w:rsid w:val="00B06AAF"/>
    <w:rPr>
      <w:sz w:val="20"/>
      <w:szCs w:val="20"/>
    </w:rPr>
  </w:style>
  <w:style w:type="paragraph" w:styleId="CommentSubject">
    <w:name w:val="annotation subject"/>
    <w:basedOn w:val="CommentText"/>
    <w:next w:val="CommentText"/>
    <w:link w:val="CommentSubjectChar"/>
    <w:uiPriority w:val="99"/>
    <w:semiHidden/>
    <w:unhideWhenUsed/>
    <w:rsid w:val="00B06AAF"/>
    <w:rPr>
      <w:b/>
      <w:bCs/>
    </w:rPr>
  </w:style>
  <w:style w:type="character" w:customStyle="1" w:styleId="CommentSubjectChar">
    <w:name w:val="Comment Subject Char"/>
    <w:basedOn w:val="CommentTextChar"/>
    <w:link w:val="CommentSubject"/>
    <w:uiPriority w:val="99"/>
    <w:semiHidden/>
    <w:rsid w:val="00B06AAF"/>
    <w:rPr>
      <w:b/>
      <w:bCs/>
      <w:sz w:val="20"/>
      <w:szCs w:val="20"/>
    </w:rPr>
  </w:style>
  <w:style w:type="paragraph" w:styleId="BalloonText">
    <w:name w:val="Balloon Text"/>
    <w:basedOn w:val="Normal"/>
    <w:link w:val="BalloonTextChar"/>
    <w:uiPriority w:val="99"/>
    <w:semiHidden/>
    <w:unhideWhenUsed/>
    <w:rsid w:val="00B06A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AAF"/>
    <w:rPr>
      <w:rFonts w:ascii="Segoe UI" w:hAnsi="Segoe UI" w:cs="Segoe UI"/>
      <w:sz w:val="18"/>
      <w:szCs w:val="18"/>
    </w:rPr>
  </w:style>
  <w:style w:type="paragraph" w:customStyle="1" w:styleId="EndNoteBibliography">
    <w:name w:val="EndNote Bibliography"/>
    <w:basedOn w:val="Normal"/>
    <w:link w:val="EndNoteBibliographyChar"/>
    <w:rsid w:val="007950F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950F9"/>
    <w:rPr>
      <w:rFonts w:ascii="Calibri" w:hAnsi="Calibri" w:cs="Calibri"/>
      <w:noProof/>
      <w:lang w:val="en-US"/>
    </w:rPr>
  </w:style>
  <w:style w:type="paragraph" w:styleId="FootnoteText">
    <w:name w:val="footnote text"/>
    <w:basedOn w:val="Normal"/>
    <w:link w:val="FootnoteTextChar"/>
    <w:uiPriority w:val="99"/>
    <w:semiHidden/>
    <w:unhideWhenUsed/>
    <w:rsid w:val="000F69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69CF"/>
    <w:rPr>
      <w:sz w:val="20"/>
      <w:szCs w:val="20"/>
    </w:rPr>
  </w:style>
  <w:style w:type="character" w:styleId="FootnoteReference">
    <w:name w:val="footnote reference"/>
    <w:basedOn w:val="DefaultParagraphFont"/>
    <w:uiPriority w:val="99"/>
    <w:semiHidden/>
    <w:unhideWhenUsed/>
    <w:rsid w:val="000F69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516158">
      <w:bodyDiv w:val="1"/>
      <w:marLeft w:val="0"/>
      <w:marRight w:val="0"/>
      <w:marTop w:val="0"/>
      <w:marBottom w:val="0"/>
      <w:divBdr>
        <w:top w:val="none" w:sz="0" w:space="0" w:color="auto"/>
        <w:left w:val="none" w:sz="0" w:space="0" w:color="auto"/>
        <w:bottom w:val="none" w:sz="0" w:space="0" w:color="auto"/>
        <w:right w:val="none" w:sz="0" w:space="0" w:color="auto"/>
      </w:divBdr>
    </w:div>
    <w:div w:id="1619678740">
      <w:bodyDiv w:val="1"/>
      <w:marLeft w:val="0"/>
      <w:marRight w:val="0"/>
      <w:marTop w:val="0"/>
      <w:marBottom w:val="0"/>
      <w:divBdr>
        <w:top w:val="none" w:sz="0" w:space="0" w:color="auto"/>
        <w:left w:val="none" w:sz="0" w:space="0" w:color="auto"/>
        <w:bottom w:val="none" w:sz="0" w:space="0" w:color="auto"/>
        <w:right w:val="none" w:sz="0" w:space="0" w:color="auto"/>
      </w:divBdr>
    </w:div>
    <w:div w:id="207867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53F42-B889-4C36-98D2-E6DEC95B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O'Nions</dc:creator>
  <cp:keywords/>
  <dc:description/>
  <cp:lastModifiedBy>Liz O'Nions</cp:lastModifiedBy>
  <cp:revision>4</cp:revision>
  <dcterms:created xsi:type="dcterms:W3CDTF">2024-01-12T12:32:00Z</dcterms:created>
  <dcterms:modified xsi:type="dcterms:W3CDTF">2024-07-15T16:53:00Z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http://www.zotero.org/styles/american-medical-association-no-url</vt:lpwstr>
  </property>
  <property fmtid="{D5CDD505-2E9C-101B-9397-08002B2CF9AE}" pid="4" name="Mendeley Recent Style Name 0_1">
    <vt:lpwstr>American Medical Association 11th edition (no URL)</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http://www.zotero.org/styles/bmj</vt:lpwstr>
  </property>
  <property fmtid="{D5CDD505-2E9C-101B-9397-08002B2CF9AE}" pid="10" name="Mendeley Recent Style Name 3_1">
    <vt:lpwstr>BMJ</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11th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http://www.zotero.org/styles/jama</vt:lpwstr>
  </property>
  <property fmtid="{D5CDD505-2E9C-101B-9397-08002B2CF9AE}" pid="18" name="Mendeley Recent Style Name 7_1">
    <vt:lpwstr>JAMA (The Journal of the American Medical Association)</vt:lpwstr>
  </property>
  <property fmtid="{D5CDD505-2E9C-101B-9397-08002B2CF9AE}" pid="19" name="Mendeley Recent Style Id 8_1">
    <vt:lpwstr>http://www.zotero.org/styles/the-lancet</vt:lpwstr>
  </property>
  <property fmtid="{D5CDD505-2E9C-101B-9397-08002B2CF9AE}" pid="20" name="Mendeley Recent Style Name 8_1">
    <vt:lpwstr>The Lancet</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125c7708-2ae3-3839-b04e-365e187f4f10</vt:lpwstr>
  </property>
  <property fmtid="{D5CDD505-2E9C-101B-9397-08002B2CF9AE}" pid="24" name="Mendeley Citation Style_1">
    <vt:lpwstr>http://www.zotero.org/styles/the-lancet</vt:lpwstr>
  </property>
</Properties>
</file>