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4C9DB81F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  <w:t>List of Figures</w:t>
      </w: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  <w:t xml:space="preserve"> and Tables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  <w:t>:</w:t>
      </w:r>
    </w:p>
    <w:p w14:paraId="00000002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03" w14:textId="135AB1D7" w:rsidR="00987E0B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Figure 1. Miami plot depicting our BD GWAS (top) and MDD GWAS (bottom) based on our non-overlapping sample, overlaying loci with P &lt; 1e-06 from different GWAS, as well as common loci: Red –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GWAS, Blue – CC-GWAS, Yellow – Meta-analysis, Green – Common locus between Meta-analysis and CC-GWAS (1 in total), Purple – Common loci between Case-Case GWAS and CC-GWAS (3 in total), Orange – Common loci between all three methods (1 in total). Within each locus, only SNPs in LD (R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</w:rPr>
        <w:t>2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&gt;0.1) with the index SNP are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coloured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, in order to accurately display the underlying signal in both the top and bottom panels. The two genome-wide significant loci (for the Meta-analysis and CC-GWAS) are labeled with their index SNP. The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(red) column on chromosome 11 consists of two neighboring but non-overlapping loci. Meta-regression was excluded from this figure due to low power. Region plots for all highlighted loci are shown in Supp. Figures 6a-f. SNPs within common loci are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coloured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accordingly in Supp. Tables 6 and 7.</w:t>
      </w:r>
    </w:p>
    <w:p w14:paraId="00000004" w14:textId="326A993D" w:rsidR="00987E0B" w:rsidRPr="00ED3096" w:rsidRDefault="00987E0B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00000005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Figure 2. A) Genetic correlations between the different GWAS methods performed B) Genetic correlations between the case-case GWAS (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purple), our BD case-control GWAS (blue) and our MDD case-control GWAS (red) on the y-axis and GWAS of other psychiatric traits from the PGC on the x-axis.</w:t>
      </w:r>
    </w:p>
    <w:p w14:paraId="00000006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07" w14:textId="4E7280AF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bookmarkStart w:id="0" w:name="_GoBack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Figure 3. Ability of our GWAS to distinguish BD vs. MDD status in our cohorts: Area under the ROC curve (AUC) of PRS analysis using SBayesR for the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(A) </w:t>
      </w:r>
      <w:r w:rsidR="004A1C33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using all BD vs. MDD cohorts as target 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and </w:t>
      </w:r>
      <w:r w:rsidR="004A1C33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(B) using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BD with depressive onset (BD-D) vs. MDD </w:t>
      </w:r>
      <w:r w:rsidR="004A1C33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cohorts as target;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(C) Ability of different psychiatric traits from the PGC to classify BD vs. MDD status in our cohorts (mean AUC weighted by cohort effective sample size is reported).</w:t>
      </w:r>
    </w:p>
    <w:bookmarkEnd w:id="0"/>
    <w:p w14:paraId="00000008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09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Table 1. Replication results of PRS analysis using iPSYCH as the target cohort. Top panel: AUC and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Nagelkerke’s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R2 achieved by each model (i.e. null model - principal components only, full model -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and full model with combined predictor) for BD vs. MDD status classification; bottom panel: similar for BD-D vs. MDD status.</w:t>
      </w:r>
    </w:p>
    <w:p w14:paraId="0000000A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0B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0C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0D" w14:textId="7C6F92F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  <w:t xml:space="preserve">List of Supplementary </w:t>
      </w: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  <w:t>Figures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  <w:t xml:space="preserve">and 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  <w:t>Tables</w:t>
      </w: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  <w:t>:</w:t>
      </w:r>
    </w:p>
    <w:p w14:paraId="0000000E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0F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Figure 1. PCA plots for each cohort, showing PCA1 (x-axis) against PCA2 (y-axis), corresponding to the case-case PCA (A) and the case-control (B) analysis.</w:t>
      </w:r>
    </w:p>
    <w:p w14:paraId="00000010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11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Supplementary Figure 2. Manhattan plots for the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(A), the BD-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(B), the meta-regression GWAS (C) and the CC-GWAS (D).</w:t>
      </w:r>
    </w:p>
    <w:p w14:paraId="00000012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13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Figure 3. Quantile-quantile plots for the BD vs. MDD GWAS (A), the BD-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(B), the meta-regression GWAS (C) and the CC-GWAS (D).</w:t>
      </w:r>
    </w:p>
    <w:p w14:paraId="00000014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15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Figure 4. Region plots for the BD vs. MDD GWAS (A), the meta-regression GWAS (B) and the CC-GWAS (C).</w:t>
      </w:r>
    </w:p>
    <w:p w14:paraId="00000016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17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Figure 5. Region forest plots for the BD vs. MDD GWAS.</w:t>
      </w:r>
    </w:p>
    <w:p w14:paraId="00000018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19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Supplementary Figure 6. Region plots for all highlighted regions in Figure 1. (A) Regions identified by the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only (red). (B) Regions identified by CC-GWAS only (blue). (C) Regions identified by the meta-analysis only (yellow). (D) Regions identified by the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and CC-GWAS (purple). (E) Regions identified by the meta-analysis and CC-GWAS (green). (F) Region identified by all three methods (orange). For this region the selected index SNPs is not present in CC-GWAS and has been substituted with its closest LD proxy (R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</w:rPr>
        <w:t>2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=0.799).</w:t>
      </w:r>
    </w:p>
    <w:p w14:paraId="0000001A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1B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Supplementary Figure 7.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Nagelkerke’s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R2 of PRS analysis using SBayesR for the BD vs. MDD GWAS (A) and the BD-D vs. MDD GWAS (B) for all cohorts.</w:t>
      </w:r>
    </w:p>
    <w:p w14:paraId="0000001C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1D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Figure 8. Comparison of classification accuracy between the PRS predictors based on the BD vs. MDD GWAS (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- red), the BD GWAS (BD - dark blue) and the BD GWAS with its sample size made equal to the BD vs. MDD GWAS </w:t>
      </w: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lastRenderedPageBreak/>
        <w:t>(BD-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subN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, light blue). A) AUC with the BD vs. MDD cohorts as target, B) Ng R2 with the BD vs. MDD cohorts as target, C) AUC with the BD-D vs. MDD cohorts as target, D) Ng R2 with the BD-D vs. MDD cohorts as target.</w:t>
      </w:r>
    </w:p>
    <w:p w14:paraId="0000001E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1F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Figure 9. Comparison of PRS predictors based on our BD vs. MDD GWAS (blue), our combined predictor (magenta), the latest PGC BD GWAS (orange), and a predictor based on the combination of the two predictors based on our BD vs. MDD GWAS and the PGC BD GWAS (yellow). AUC with cohort “grp5_neth” as target is reported.</w:t>
      </w:r>
    </w:p>
    <w:p w14:paraId="00000020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21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Supplementary Figure 10. Comparison of combination of PRS predictors based on our GWAS: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+ BD GWAS (blue),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+ MDD GWAS (red) and full predictor combining all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BDvsMDD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GWAS + BD GWAS + MDD GWAS (gray). A) AUC for all BD cases vs. MDD, B) Ng R2 for all BD cases vs. MDD, C) AUC for BD-D vs. MDD, D) Ng R2 for BD-D vs. MDD.</w:t>
      </w:r>
    </w:p>
    <w:p w14:paraId="00000022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23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1. Merging and quality control results for case-case cohorts: constituent case-control cohorts for each of the 13 grouped case-case cohorts are reported, together with pre- and post-QC number of cases for each disorder and number of SNP.</w:t>
      </w:r>
    </w:p>
    <w:p w14:paraId="00000024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25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2. Description of our quality control procedure with flags and corresponding values.</w:t>
      </w:r>
    </w:p>
    <w:p w14:paraId="00000026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27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3. Summary of results introducing controls to the 13 grouped cohorts: Post-QC number of cases for both disorders as well as control individuals, inflation factor lambda, as well as number of post-QC SNPs are reported.</w:t>
      </w:r>
    </w:p>
    <w:p w14:paraId="00000028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29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4. Full list of CC-GWAS input parameters used. Heritability estimates were obtained from LDSC.</w:t>
      </w:r>
    </w:p>
    <w:p w14:paraId="0000002A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2B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5. List of genome-wide significant loci (P&lt;5x10e-08) and suggestive hits (P&lt;1x10e-4) for all different GWAS methods: (a) case-case BD vs. MDD, (b) meta-regression, (c) CC-GWAS and (d) meta-analysis. For the CC-GWAS hit, the corresponding statistics for other GWAS are reported as well (e).</w:t>
      </w:r>
    </w:p>
    <w:p w14:paraId="0000002C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2D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6. List of all SNPs with P &lt; 1e-04 and their positional annotation (using FUMA): (a) case-case BD vs. MDD, (b) meta-regression, (c) CC-GWAS and (d) meta-analysis.</w:t>
      </w:r>
    </w:p>
    <w:p w14:paraId="0000002E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2F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Supplementary Table 7. List of all SNPs with P &lt; 1e-04 with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eQTL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annotation (using FUMA, restricted to brain-related tissues): (a) case-case BD vs. MDD, (b) meta-regression, (c) CC-GWAS and (d) meta-analysis.</w:t>
      </w:r>
    </w:p>
    <w:p w14:paraId="00000030" w14:textId="77777777" w:rsidR="00987E0B" w:rsidRPr="00ED3096" w:rsidRDefault="00987E0B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00000031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Supplementary Table 8. Summary of the number of loci retrieved by the </w:t>
      </w:r>
      <w:proofErr w:type="spellStart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mtCOJO</w:t>
      </w:r>
      <w:proofErr w:type="spellEnd"/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method compared to the total number of loci identified by each of our GWAS methods.</w:t>
      </w:r>
    </w:p>
    <w:p w14:paraId="00000032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33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9. List of hits from the “reverse-GWAS” analysis from Coleman et al. 2020: results from our case-case BD vs. MDD are reported.</w:t>
      </w:r>
    </w:p>
    <w:p w14:paraId="00000034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35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10. List of pathways that reach nominal significance for enrichment using MAGMA: (a) case-case BD vs. MDD, (b) meta-regression, (c) CC-GWAS and (d) meta-analysis.</w:t>
      </w:r>
    </w:p>
    <w:p w14:paraId="00000036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37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11. List of genetic correlations between our GWAS and GWAS of other psychiatric traits from the PGC.</w:t>
      </w:r>
    </w:p>
    <w:p w14:paraId="00000038" w14:textId="77777777" w:rsidR="00987E0B" w:rsidRPr="00ED3096" w:rsidRDefault="00ED3096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00000039" w14:textId="77777777" w:rsidR="00987E0B" w:rsidRPr="00ED3096" w:rsidRDefault="00ED3096">
      <w:pPr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00ED3096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Supplementary Table 12. Paired t-test comparing the classification accuracy of models based on our PRS predictors against the null model based on principal components only.</w:t>
      </w:r>
    </w:p>
    <w:p w14:paraId="0000003A" w14:textId="77777777" w:rsidR="00987E0B" w:rsidRPr="00ED3096" w:rsidRDefault="00987E0B">
      <w:pPr>
        <w:rPr>
          <w:color w:val="000000" w:themeColor="text1"/>
        </w:rPr>
      </w:pPr>
    </w:p>
    <w:sectPr w:rsidR="00987E0B" w:rsidRPr="00ED309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E0B"/>
    <w:rsid w:val="004A1C33"/>
    <w:rsid w:val="00987E0B"/>
    <w:rsid w:val="00ED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72999E"/>
  <w15:docId w15:val="{5D0B2E78-C399-3640-9713-55ECA657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1029</Words>
  <Characters>5867</Characters>
  <Application>Microsoft Office Word</Application>
  <DocSecurity>0</DocSecurity>
  <Lines>48</Lines>
  <Paragraphs>13</Paragraphs>
  <ScaleCrop>false</ScaleCrop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2024-05-09T08:54:00Z</dcterms:created>
  <dcterms:modified xsi:type="dcterms:W3CDTF">2024-05-10T06:56:00Z</dcterms:modified>
</cp:coreProperties>
</file>