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B098" w14:textId="77777777" w:rsidR="00614441" w:rsidRDefault="00614441" w:rsidP="00D06C84">
      <w:pPr>
        <w:pStyle w:val="Heading1"/>
      </w:pPr>
      <w:r w:rsidRPr="00D06C84">
        <w:t xml:space="preserve">Supplementary Figure 1. </w:t>
      </w:r>
      <w:r w:rsidRPr="00D06C84">
        <w:rPr>
          <w:b w:val="0"/>
          <w:bCs/>
        </w:rPr>
        <w:t>Directed acyclic graphs for the main analysis.</w:t>
      </w:r>
      <w:r w:rsidRPr="00D06C84">
        <w:t xml:space="preserve">  </w:t>
      </w:r>
    </w:p>
    <w:p w14:paraId="00753A7E" w14:textId="12420137" w:rsidR="00CE26BE" w:rsidRDefault="00CE26BE" w:rsidP="00CE26BE">
      <w:r w:rsidRPr="00CE26BE">
        <w:rPr>
          <w:noProof/>
        </w:rPr>
        <w:drawing>
          <wp:inline distT="0" distB="0" distL="0" distR="0" wp14:anchorId="55DB0DD1" wp14:editId="4F206FD5">
            <wp:extent cx="8229600" cy="3375025"/>
            <wp:effectExtent l="0" t="0" r="0" b="0"/>
            <wp:docPr id="27356992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69923" name="Picture 1" descr="A diagram of a network&#10;&#10;Description automatically generated"/>
                    <pic:cNvPicPr/>
                  </pic:nvPicPr>
                  <pic:blipFill>
                    <a:blip r:embed="rId9"/>
                    <a:stretch>
                      <a:fillRect/>
                    </a:stretch>
                  </pic:blipFill>
                  <pic:spPr>
                    <a:xfrm>
                      <a:off x="0" y="0"/>
                      <a:ext cx="8229600" cy="3375025"/>
                    </a:xfrm>
                    <a:prstGeom prst="rect">
                      <a:avLst/>
                    </a:prstGeom>
                  </pic:spPr>
                </pic:pic>
              </a:graphicData>
            </a:graphic>
          </wp:inline>
        </w:drawing>
      </w:r>
    </w:p>
    <w:p w14:paraId="41D3132F" w14:textId="32EFF1B7" w:rsidR="00C15E39" w:rsidRPr="00C15E39" w:rsidRDefault="00C15E39" w:rsidP="00C15E39">
      <w:r>
        <w:rPr>
          <w:rFonts w:ascii="Times New Roman" w:hAnsi="Times New Roman" w:cs="Times New Roman"/>
          <w:i/>
          <w:iCs/>
          <w:sz w:val="20"/>
          <w:szCs w:val="20"/>
        </w:rPr>
        <w:t>SUD, substance use disorder</w:t>
      </w:r>
      <w:r w:rsidRPr="00C17681">
        <w:rPr>
          <w:rFonts w:ascii="Times New Roman" w:hAnsi="Times New Roman" w:cs="Times New Roman"/>
          <w:i/>
          <w:iCs/>
          <w:sz w:val="20"/>
          <w:szCs w:val="20"/>
        </w:rPr>
        <w:t>.</w:t>
      </w:r>
      <w:r>
        <w:rPr>
          <w:rFonts w:ascii="Times New Roman" w:hAnsi="Times New Roman" w:cs="Times New Roman"/>
          <w:i/>
          <w:iCs/>
          <w:sz w:val="20"/>
          <w:szCs w:val="20"/>
        </w:rPr>
        <w:t xml:space="preserve"> </w:t>
      </w:r>
    </w:p>
    <w:p w14:paraId="3BF6A47E" w14:textId="77777777" w:rsidR="00CE26BE" w:rsidRDefault="00CE26BE" w:rsidP="00CE26BE">
      <w:pPr>
        <w:sectPr w:rsidR="00CE26BE" w:rsidSect="00614441">
          <w:footerReference w:type="even" r:id="rId10"/>
          <w:footerReference w:type="default" r:id="rId11"/>
          <w:pgSz w:w="15840" w:h="12240" w:orient="landscape"/>
          <w:pgMar w:top="1440" w:right="1440" w:bottom="1440" w:left="1440" w:header="708" w:footer="708" w:gutter="0"/>
          <w:cols w:space="720"/>
          <w:docGrid w:linePitch="299"/>
        </w:sectPr>
      </w:pPr>
    </w:p>
    <w:p w14:paraId="0C78B8CD" w14:textId="73D2750C" w:rsidR="00CE26BE" w:rsidRPr="00CE26BE" w:rsidRDefault="00CE26BE" w:rsidP="00CE26BE">
      <w:pPr>
        <w:pStyle w:val="EndNoteBibliographyTitle"/>
        <w:spacing w:line="480" w:lineRule="auto"/>
        <w:jc w:val="both"/>
        <w:rPr>
          <w:rFonts w:asciiTheme="majorBidi" w:hAnsiTheme="majorBidi" w:cstheme="majorBidi"/>
          <w:b/>
          <w:bCs/>
          <w:sz w:val="24"/>
          <w:szCs w:val="24"/>
          <w:lang w:val="en-CA"/>
        </w:rPr>
      </w:pPr>
      <w:r w:rsidRPr="00CE26BE">
        <w:rPr>
          <w:rFonts w:asciiTheme="majorBidi" w:hAnsiTheme="majorBidi" w:cstheme="majorBidi"/>
          <w:sz w:val="24"/>
          <w:szCs w:val="24"/>
        </w:rPr>
        <w:lastRenderedPageBreak/>
        <w:fldChar w:fldCharType="begin"/>
      </w:r>
      <w:r w:rsidRPr="00CE26BE">
        <w:rPr>
          <w:rFonts w:asciiTheme="majorBidi" w:hAnsiTheme="majorBidi" w:cstheme="majorBidi"/>
          <w:sz w:val="24"/>
          <w:szCs w:val="24"/>
          <w:lang w:val="en-CA"/>
        </w:rPr>
        <w:instrText xml:space="preserve"> ADDIN EN.REFLIST </w:instrText>
      </w:r>
      <w:r w:rsidRPr="00CE26BE">
        <w:rPr>
          <w:rFonts w:asciiTheme="majorBidi" w:hAnsiTheme="majorBidi" w:cstheme="majorBidi"/>
          <w:sz w:val="24"/>
          <w:szCs w:val="24"/>
        </w:rPr>
        <w:fldChar w:fldCharType="separate"/>
      </w:r>
      <w:r w:rsidRPr="00CE26BE">
        <w:rPr>
          <w:rFonts w:asciiTheme="majorBidi" w:hAnsiTheme="majorBidi" w:cstheme="majorBidi"/>
          <w:b/>
          <w:bCs/>
          <w:sz w:val="24"/>
          <w:szCs w:val="24"/>
          <w:lang w:val="en-CA"/>
        </w:rPr>
        <w:t>References</w:t>
      </w:r>
    </w:p>
    <w:p w14:paraId="0E563D6F"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1.</w:t>
      </w:r>
      <w:r w:rsidRPr="00CE26BE">
        <w:rPr>
          <w:rFonts w:asciiTheme="majorBidi" w:hAnsiTheme="majorBidi" w:cstheme="majorBidi"/>
          <w:sz w:val="24"/>
          <w:szCs w:val="24"/>
          <w:lang w:val="en-CA"/>
        </w:rPr>
        <w:t xml:space="preserve"> Rubio JM, Schoretsanitis G, John M, Tiihonen J, Taipale H, Guinart D, et al. Psychosis relapse during treatment with long-acting injectable antipsychotics in individuals with schizophrenia-spectrum disorders: an individual participant data meta-analysis. </w:t>
      </w:r>
      <w:r w:rsidRPr="00CE26BE">
        <w:rPr>
          <w:rFonts w:asciiTheme="majorBidi" w:hAnsiTheme="majorBidi" w:cstheme="majorBidi"/>
          <w:i/>
          <w:sz w:val="24"/>
          <w:szCs w:val="24"/>
          <w:lang w:val="en-CA"/>
        </w:rPr>
        <w:t>Lancet Psychiatry</w:t>
      </w:r>
      <w:r w:rsidRPr="00CE26BE">
        <w:rPr>
          <w:rFonts w:asciiTheme="majorBidi" w:hAnsiTheme="majorBidi" w:cstheme="majorBidi"/>
          <w:sz w:val="24"/>
          <w:szCs w:val="24"/>
          <w:lang w:val="en-CA"/>
        </w:rPr>
        <w:t xml:space="preserve"> 2020; </w:t>
      </w:r>
      <w:r w:rsidRPr="00CE26BE">
        <w:rPr>
          <w:rFonts w:asciiTheme="majorBidi" w:hAnsiTheme="majorBidi" w:cstheme="majorBidi"/>
          <w:b/>
          <w:sz w:val="24"/>
          <w:szCs w:val="24"/>
          <w:lang w:val="en-CA"/>
        </w:rPr>
        <w:t>7</w:t>
      </w:r>
      <w:r w:rsidRPr="00CE26BE">
        <w:rPr>
          <w:rFonts w:asciiTheme="majorBidi" w:hAnsiTheme="majorBidi" w:cstheme="majorBidi"/>
          <w:sz w:val="24"/>
          <w:szCs w:val="24"/>
          <w:lang w:val="en-CA"/>
        </w:rPr>
        <w:t>(9): 749-61.</w:t>
      </w:r>
    </w:p>
    <w:p w14:paraId="1D7F7E34"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2.</w:t>
      </w:r>
      <w:r w:rsidRPr="00CE26BE">
        <w:rPr>
          <w:rFonts w:asciiTheme="majorBidi" w:hAnsiTheme="majorBidi" w:cstheme="majorBidi"/>
          <w:sz w:val="24"/>
          <w:szCs w:val="24"/>
          <w:lang w:val="en-CA"/>
        </w:rPr>
        <w:t xml:space="preserve"> Bowtell M, Ratheesh A, McGorry P, Killackey E, O'Donoghue B. Clinical and demographic predictors of continuing remission or relapse following discontinuation of antipsychotic medication after a first episode of psychosis. A systematic review. </w:t>
      </w:r>
      <w:r w:rsidRPr="00CE26BE">
        <w:rPr>
          <w:rFonts w:asciiTheme="majorBidi" w:hAnsiTheme="majorBidi" w:cstheme="majorBidi"/>
          <w:i/>
          <w:sz w:val="24"/>
          <w:szCs w:val="24"/>
          <w:lang w:val="en-CA"/>
        </w:rPr>
        <w:t>Schizophr Res</w:t>
      </w:r>
      <w:r w:rsidRPr="00CE26BE">
        <w:rPr>
          <w:rFonts w:asciiTheme="majorBidi" w:hAnsiTheme="majorBidi" w:cstheme="majorBidi"/>
          <w:sz w:val="24"/>
          <w:szCs w:val="24"/>
          <w:lang w:val="en-CA"/>
        </w:rPr>
        <w:t xml:space="preserve"> 2018; </w:t>
      </w:r>
      <w:r w:rsidRPr="00CE26BE">
        <w:rPr>
          <w:rFonts w:asciiTheme="majorBidi" w:hAnsiTheme="majorBidi" w:cstheme="majorBidi"/>
          <w:b/>
          <w:sz w:val="24"/>
          <w:szCs w:val="24"/>
          <w:lang w:val="en-CA"/>
        </w:rPr>
        <w:t>197</w:t>
      </w:r>
      <w:r w:rsidRPr="00CE26BE">
        <w:rPr>
          <w:rFonts w:asciiTheme="majorBidi" w:hAnsiTheme="majorBidi" w:cstheme="majorBidi"/>
          <w:sz w:val="24"/>
          <w:szCs w:val="24"/>
          <w:lang w:val="en-CA"/>
        </w:rPr>
        <w:t>: 9-18.</w:t>
      </w:r>
    </w:p>
    <w:p w14:paraId="3F19512E"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3.</w:t>
      </w:r>
      <w:r w:rsidRPr="00CE26BE">
        <w:rPr>
          <w:rFonts w:asciiTheme="majorBidi" w:hAnsiTheme="majorBidi" w:cstheme="majorBidi"/>
          <w:sz w:val="24"/>
          <w:szCs w:val="24"/>
          <w:lang w:val="en-CA"/>
        </w:rPr>
        <w:t xml:space="preserve"> Olivares JM, Sermon J, Hemels M, Schreiner A. Definitions and drivers of relapse in patients with schizophrenia: a systematic literature review. </w:t>
      </w:r>
      <w:r w:rsidRPr="00CE26BE">
        <w:rPr>
          <w:rFonts w:asciiTheme="majorBidi" w:hAnsiTheme="majorBidi" w:cstheme="majorBidi"/>
          <w:i/>
          <w:sz w:val="24"/>
          <w:szCs w:val="24"/>
          <w:lang w:val="en-CA"/>
        </w:rPr>
        <w:t>Ann Gen Psychiatry</w:t>
      </w:r>
      <w:r w:rsidRPr="00CE26BE">
        <w:rPr>
          <w:rFonts w:asciiTheme="majorBidi" w:hAnsiTheme="majorBidi" w:cstheme="majorBidi"/>
          <w:sz w:val="24"/>
          <w:szCs w:val="24"/>
          <w:lang w:val="en-CA"/>
        </w:rPr>
        <w:t xml:space="preserve"> 2013; </w:t>
      </w:r>
      <w:r w:rsidRPr="00CE26BE">
        <w:rPr>
          <w:rFonts w:asciiTheme="majorBidi" w:hAnsiTheme="majorBidi" w:cstheme="majorBidi"/>
          <w:b/>
          <w:sz w:val="24"/>
          <w:szCs w:val="24"/>
          <w:lang w:val="en-CA"/>
        </w:rPr>
        <w:t>12</w:t>
      </w:r>
      <w:r w:rsidRPr="00CE26BE">
        <w:rPr>
          <w:rFonts w:asciiTheme="majorBidi" w:hAnsiTheme="majorBidi" w:cstheme="majorBidi"/>
          <w:sz w:val="24"/>
          <w:szCs w:val="24"/>
          <w:lang w:val="en-CA"/>
        </w:rPr>
        <w:t>(1): 32.</w:t>
      </w:r>
    </w:p>
    <w:p w14:paraId="494C25B5"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4.</w:t>
      </w:r>
      <w:r w:rsidRPr="00CE26BE">
        <w:rPr>
          <w:rFonts w:asciiTheme="majorBidi" w:hAnsiTheme="majorBidi" w:cstheme="majorBidi"/>
          <w:sz w:val="24"/>
          <w:szCs w:val="24"/>
          <w:lang w:val="en-CA"/>
        </w:rPr>
        <w:t xml:space="preserve"> Schoeler T, Petros N, Di Forti M, Pingault JB, Klamerus E, Foglia E, et al. Association between continued cannabis use and risk of relapse in first-episode psychosis: a quasi-experimental investigation within an observational study. </w:t>
      </w:r>
      <w:r w:rsidRPr="00CE26BE">
        <w:rPr>
          <w:rFonts w:asciiTheme="majorBidi" w:hAnsiTheme="majorBidi" w:cstheme="majorBidi"/>
          <w:i/>
          <w:sz w:val="24"/>
          <w:szCs w:val="24"/>
          <w:lang w:val="en-CA"/>
        </w:rPr>
        <w:t>JAMA Psychiatry</w:t>
      </w:r>
      <w:r w:rsidRPr="00CE26BE">
        <w:rPr>
          <w:rFonts w:asciiTheme="majorBidi" w:hAnsiTheme="majorBidi" w:cstheme="majorBidi"/>
          <w:sz w:val="24"/>
          <w:szCs w:val="24"/>
          <w:lang w:val="en-CA"/>
        </w:rPr>
        <w:t xml:space="preserve"> 2016; </w:t>
      </w:r>
      <w:r w:rsidRPr="00CE26BE">
        <w:rPr>
          <w:rFonts w:asciiTheme="majorBidi" w:hAnsiTheme="majorBidi" w:cstheme="majorBidi"/>
          <w:b/>
          <w:sz w:val="24"/>
          <w:szCs w:val="24"/>
          <w:lang w:val="en-CA"/>
        </w:rPr>
        <w:t>73</w:t>
      </w:r>
      <w:r w:rsidRPr="00CE26BE">
        <w:rPr>
          <w:rFonts w:asciiTheme="majorBidi" w:hAnsiTheme="majorBidi" w:cstheme="majorBidi"/>
          <w:sz w:val="24"/>
          <w:szCs w:val="24"/>
          <w:lang w:val="en-CA"/>
        </w:rPr>
        <w:t>(11): 1173-9.</w:t>
      </w:r>
    </w:p>
    <w:p w14:paraId="094F5BFC"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5.</w:t>
      </w:r>
      <w:r w:rsidRPr="00CE26BE">
        <w:rPr>
          <w:rFonts w:asciiTheme="majorBidi" w:hAnsiTheme="majorBidi" w:cstheme="majorBidi"/>
          <w:sz w:val="24"/>
          <w:szCs w:val="24"/>
          <w:lang w:val="en-CA"/>
        </w:rPr>
        <w:t xml:space="preserve"> Martinez-Raga J, Ferreros A, Knecht C, de Alvaro R, Carabal E. Attention-deficit hyperactivity disorder medication use: factors involved in prescribing, safety aspects and outcomes. </w:t>
      </w:r>
      <w:r w:rsidRPr="00CE26BE">
        <w:rPr>
          <w:rFonts w:asciiTheme="majorBidi" w:hAnsiTheme="majorBidi" w:cstheme="majorBidi"/>
          <w:i/>
          <w:sz w:val="24"/>
          <w:szCs w:val="24"/>
          <w:lang w:val="en-CA"/>
        </w:rPr>
        <w:t>Ther Adv Drug Saf</w:t>
      </w:r>
      <w:r w:rsidRPr="00CE26BE">
        <w:rPr>
          <w:rFonts w:asciiTheme="majorBidi" w:hAnsiTheme="majorBidi" w:cstheme="majorBidi"/>
          <w:sz w:val="24"/>
          <w:szCs w:val="24"/>
          <w:lang w:val="en-CA"/>
        </w:rPr>
        <w:t xml:space="preserve"> 2017; </w:t>
      </w:r>
      <w:r w:rsidRPr="00CE26BE">
        <w:rPr>
          <w:rFonts w:asciiTheme="majorBidi" w:hAnsiTheme="majorBidi" w:cstheme="majorBidi"/>
          <w:b/>
          <w:sz w:val="24"/>
          <w:szCs w:val="24"/>
          <w:lang w:val="en-CA"/>
        </w:rPr>
        <w:t>8</w:t>
      </w:r>
      <w:r w:rsidRPr="00CE26BE">
        <w:rPr>
          <w:rFonts w:asciiTheme="majorBidi" w:hAnsiTheme="majorBidi" w:cstheme="majorBidi"/>
          <w:sz w:val="24"/>
          <w:szCs w:val="24"/>
          <w:lang w:val="en-CA"/>
        </w:rPr>
        <w:t>(3): 87-99.</w:t>
      </w:r>
    </w:p>
    <w:p w14:paraId="4488941C"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6.</w:t>
      </w:r>
      <w:r w:rsidRPr="00CE26BE">
        <w:rPr>
          <w:rFonts w:asciiTheme="majorBidi" w:hAnsiTheme="majorBidi" w:cstheme="majorBidi"/>
          <w:sz w:val="24"/>
          <w:szCs w:val="24"/>
          <w:lang w:val="en-CA"/>
        </w:rPr>
        <w:t xml:space="preserve"> Carolan D. ADHD stimulant medication misuse and considerations for current prescribing practice: a literature review. </w:t>
      </w:r>
      <w:r w:rsidRPr="00CE26BE">
        <w:rPr>
          <w:rFonts w:asciiTheme="majorBidi" w:hAnsiTheme="majorBidi" w:cstheme="majorBidi"/>
          <w:i/>
          <w:sz w:val="24"/>
          <w:szCs w:val="24"/>
          <w:lang w:val="en-CA"/>
        </w:rPr>
        <w:t>Ir J Med Sci</w:t>
      </w:r>
      <w:r w:rsidRPr="00CE26BE">
        <w:rPr>
          <w:rFonts w:asciiTheme="majorBidi" w:hAnsiTheme="majorBidi" w:cstheme="majorBidi"/>
          <w:sz w:val="24"/>
          <w:szCs w:val="24"/>
          <w:lang w:val="en-CA"/>
        </w:rPr>
        <w:t xml:space="preserve"> 2022; </w:t>
      </w:r>
      <w:r w:rsidRPr="00CE26BE">
        <w:rPr>
          <w:rFonts w:asciiTheme="majorBidi" w:hAnsiTheme="majorBidi" w:cstheme="majorBidi"/>
          <w:b/>
          <w:sz w:val="24"/>
          <w:szCs w:val="24"/>
          <w:lang w:val="en-CA"/>
        </w:rPr>
        <w:t>191</w:t>
      </w:r>
      <w:r w:rsidRPr="00CE26BE">
        <w:rPr>
          <w:rFonts w:asciiTheme="majorBidi" w:hAnsiTheme="majorBidi" w:cstheme="majorBidi"/>
          <w:sz w:val="24"/>
          <w:szCs w:val="24"/>
          <w:lang w:val="en-CA"/>
        </w:rPr>
        <w:t>(1): 313-20.</w:t>
      </w:r>
    </w:p>
    <w:p w14:paraId="46A6CD8A"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7.</w:t>
      </w:r>
      <w:r w:rsidRPr="00CE26BE">
        <w:rPr>
          <w:rFonts w:asciiTheme="majorBidi" w:hAnsiTheme="majorBidi" w:cstheme="majorBidi"/>
          <w:sz w:val="24"/>
          <w:szCs w:val="24"/>
          <w:lang w:val="en-CA"/>
        </w:rPr>
        <w:t xml:space="preserve"> Sibley MH. Why are stimulant medication prescriptions rising globally? </w:t>
      </w:r>
      <w:r w:rsidRPr="00CE26BE">
        <w:rPr>
          <w:rFonts w:asciiTheme="majorBidi" w:hAnsiTheme="majorBidi" w:cstheme="majorBidi"/>
          <w:i/>
          <w:sz w:val="24"/>
          <w:szCs w:val="24"/>
          <w:lang w:val="en-CA"/>
        </w:rPr>
        <w:t>Lancet Psychiatry</w:t>
      </w:r>
      <w:r w:rsidRPr="00CE26BE">
        <w:rPr>
          <w:rFonts w:asciiTheme="majorBidi" w:hAnsiTheme="majorBidi" w:cstheme="majorBidi"/>
          <w:sz w:val="24"/>
          <w:szCs w:val="24"/>
          <w:lang w:val="en-CA"/>
        </w:rPr>
        <w:t xml:space="preserve"> 2018; </w:t>
      </w:r>
      <w:r w:rsidRPr="00CE26BE">
        <w:rPr>
          <w:rFonts w:asciiTheme="majorBidi" w:hAnsiTheme="majorBidi" w:cstheme="majorBidi"/>
          <w:b/>
          <w:sz w:val="24"/>
          <w:szCs w:val="24"/>
          <w:lang w:val="en-CA"/>
        </w:rPr>
        <w:t>5</w:t>
      </w:r>
      <w:r w:rsidRPr="00CE26BE">
        <w:rPr>
          <w:rFonts w:asciiTheme="majorBidi" w:hAnsiTheme="majorBidi" w:cstheme="majorBidi"/>
          <w:sz w:val="24"/>
          <w:szCs w:val="24"/>
          <w:lang w:val="en-CA"/>
        </w:rPr>
        <w:t>(10): 774-6.</w:t>
      </w:r>
    </w:p>
    <w:p w14:paraId="0827F908"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8.</w:t>
      </w:r>
      <w:r w:rsidRPr="00CE26BE">
        <w:rPr>
          <w:rFonts w:asciiTheme="majorBidi" w:hAnsiTheme="majorBidi" w:cstheme="majorBidi"/>
          <w:sz w:val="24"/>
          <w:szCs w:val="24"/>
          <w:lang w:val="en-CA"/>
        </w:rPr>
        <w:t xml:space="preserve"> Brumbaugh S, Tuan WJ, Scott A, Latronica JR, Bone C. Trends in characteristics of the recipients of new prescription stimulants between years 2010 and 2020 in the United States: an observational cohort study. </w:t>
      </w:r>
      <w:r w:rsidRPr="00CE26BE">
        <w:rPr>
          <w:rFonts w:asciiTheme="majorBidi" w:hAnsiTheme="majorBidi" w:cstheme="majorBidi"/>
          <w:i/>
          <w:sz w:val="24"/>
          <w:szCs w:val="24"/>
          <w:lang w:val="en-CA"/>
        </w:rPr>
        <w:t>EClinicalMedicine</w:t>
      </w:r>
      <w:r w:rsidRPr="00CE26BE">
        <w:rPr>
          <w:rFonts w:asciiTheme="majorBidi" w:hAnsiTheme="majorBidi" w:cstheme="majorBidi"/>
          <w:sz w:val="24"/>
          <w:szCs w:val="24"/>
          <w:lang w:val="en-CA"/>
        </w:rPr>
        <w:t xml:space="preserve"> 2022; </w:t>
      </w:r>
      <w:r w:rsidRPr="00CE26BE">
        <w:rPr>
          <w:rFonts w:asciiTheme="majorBidi" w:hAnsiTheme="majorBidi" w:cstheme="majorBidi"/>
          <w:b/>
          <w:sz w:val="24"/>
          <w:szCs w:val="24"/>
          <w:lang w:val="en-CA"/>
        </w:rPr>
        <w:t>50</w:t>
      </w:r>
      <w:r w:rsidRPr="00CE26BE">
        <w:rPr>
          <w:rFonts w:asciiTheme="majorBidi" w:hAnsiTheme="majorBidi" w:cstheme="majorBidi"/>
          <w:sz w:val="24"/>
          <w:szCs w:val="24"/>
          <w:lang w:val="en-CA"/>
        </w:rPr>
        <w:t>: 101524.</w:t>
      </w:r>
    </w:p>
    <w:p w14:paraId="00896FD7"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lastRenderedPageBreak/>
        <w:t>9.</w:t>
      </w:r>
      <w:r w:rsidRPr="00CE26BE">
        <w:rPr>
          <w:rFonts w:asciiTheme="majorBidi" w:hAnsiTheme="majorBidi" w:cstheme="majorBidi"/>
          <w:sz w:val="24"/>
          <w:szCs w:val="24"/>
          <w:lang w:val="en-CA"/>
        </w:rPr>
        <w:t xml:space="preserve"> Hui CL, Tang JY, Leung CM, Wong GH, Chang WC, Chan SK, et al. A 3-year retrospective cohort study of predictors of relapse in first-episode psychosis in Hong Kong. </w:t>
      </w:r>
      <w:r w:rsidRPr="00CE26BE">
        <w:rPr>
          <w:rFonts w:asciiTheme="majorBidi" w:hAnsiTheme="majorBidi" w:cstheme="majorBidi"/>
          <w:i/>
          <w:sz w:val="24"/>
          <w:szCs w:val="24"/>
          <w:lang w:val="en-CA"/>
        </w:rPr>
        <w:t>Aust N Z J Psychiatry</w:t>
      </w:r>
      <w:r w:rsidRPr="00CE26BE">
        <w:rPr>
          <w:rFonts w:asciiTheme="majorBidi" w:hAnsiTheme="majorBidi" w:cstheme="majorBidi"/>
          <w:sz w:val="24"/>
          <w:szCs w:val="24"/>
          <w:lang w:val="en-CA"/>
        </w:rPr>
        <w:t xml:space="preserve"> 2013; </w:t>
      </w:r>
      <w:r w:rsidRPr="00CE26BE">
        <w:rPr>
          <w:rFonts w:asciiTheme="majorBidi" w:hAnsiTheme="majorBidi" w:cstheme="majorBidi"/>
          <w:b/>
          <w:sz w:val="24"/>
          <w:szCs w:val="24"/>
          <w:lang w:val="en-CA"/>
        </w:rPr>
        <w:t>47</w:t>
      </w:r>
      <w:r w:rsidRPr="00CE26BE">
        <w:rPr>
          <w:rFonts w:asciiTheme="majorBidi" w:hAnsiTheme="majorBidi" w:cstheme="majorBidi"/>
          <w:sz w:val="24"/>
          <w:szCs w:val="24"/>
          <w:lang w:val="en-CA"/>
        </w:rPr>
        <w:t>(8): 746-53.</w:t>
      </w:r>
    </w:p>
    <w:p w14:paraId="33944CF8"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10.</w:t>
      </w:r>
      <w:r w:rsidRPr="00CE26BE">
        <w:rPr>
          <w:rFonts w:asciiTheme="majorBidi" w:hAnsiTheme="majorBidi" w:cstheme="majorBidi"/>
          <w:sz w:val="24"/>
          <w:szCs w:val="24"/>
          <w:lang w:val="en-CA"/>
        </w:rPr>
        <w:t xml:space="preserve"> Mattingly GW, Wilson J, Ugarte L, Glaser P. Individualization of attention-deficit/hyperactivity disorder treatment: pharmacotherapy considerations by age and co-occurring conditions. </w:t>
      </w:r>
      <w:r w:rsidRPr="00CE26BE">
        <w:rPr>
          <w:rFonts w:asciiTheme="majorBidi" w:hAnsiTheme="majorBidi" w:cstheme="majorBidi"/>
          <w:i/>
          <w:sz w:val="24"/>
          <w:szCs w:val="24"/>
          <w:lang w:val="en-CA"/>
        </w:rPr>
        <w:t>CNS Spectr</w:t>
      </w:r>
      <w:r w:rsidRPr="00CE26BE">
        <w:rPr>
          <w:rFonts w:asciiTheme="majorBidi" w:hAnsiTheme="majorBidi" w:cstheme="majorBidi"/>
          <w:sz w:val="24"/>
          <w:szCs w:val="24"/>
          <w:lang w:val="en-CA"/>
        </w:rPr>
        <w:t xml:space="preserve"> 2021; </w:t>
      </w:r>
      <w:r w:rsidRPr="00CE26BE">
        <w:rPr>
          <w:rFonts w:asciiTheme="majorBidi" w:hAnsiTheme="majorBidi" w:cstheme="majorBidi"/>
          <w:b/>
          <w:sz w:val="24"/>
          <w:szCs w:val="24"/>
          <w:lang w:val="en-CA"/>
        </w:rPr>
        <w:t>26</w:t>
      </w:r>
      <w:r w:rsidRPr="00CE26BE">
        <w:rPr>
          <w:rFonts w:asciiTheme="majorBidi" w:hAnsiTheme="majorBidi" w:cstheme="majorBidi"/>
          <w:sz w:val="24"/>
          <w:szCs w:val="24"/>
          <w:lang w:val="en-CA"/>
        </w:rPr>
        <w:t>(3): 202-21.</w:t>
      </w:r>
    </w:p>
    <w:p w14:paraId="5B5992F8"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11.</w:t>
      </w:r>
      <w:r w:rsidRPr="00CE26BE">
        <w:rPr>
          <w:rFonts w:asciiTheme="majorBidi" w:hAnsiTheme="majorBidi" w:cstheme="majorBidi"/>
          <w:sz w:val="24"/>
          <w:szCs w:val="24"/>
          <w:lang w:val="en-CA"/>
        </w:rPr>
        <w:t xml:space="preserve"> Levy E, Traicu A, Iyer S, Malla A, Joober R. Psychotic disorders comorbid with attention-deficit hyperactivity disorder: an important knowledge gap. </w:t>
      </w:r>
      <w:r w:rsidRPr="00CE26BE">
        <w:rPr>
          <w:rFonts w:asciiTheme="majorBidi" w:hAnsiTheme="majorBidi" w:cstheme="majorBidi"/>
          <w:i/>
          <w:sz w:val="24"/>
          <w:szCs w:val="24"/>
          <w:lang w:val="en-CA"/>
        </w:rPr>
        <w:t>Can J Psychiatry</w:t>
      </w:r>
      <w:r w:rsidRPr="00CE26BE">
        <w:rPr>
          <w:rFonts w:asciiTheme="majorBidi" w:hAnsiTheme="majorBidi" w:cstheme="majorBidi"/>
          <w:sz w:val="24"/>
          <w:szCs w:val="24"/>
          <w:lang w:val="en-CA"/>
        </w:rPr>
        <w:t xml:space="preserve"> 2015; </w:t>
      </w:r>
      <w:r w:rsidRPr="00CE26BE">
        <w:rPr>
          <w:rFonts w:asciiTheme="majorBidi" w:hAnsiTheme="majorBidi" w:cstheme="majorBidi"/>
          <w:b/>
          <w:sz w:val="24"/>
          <w:szCs w:val="24"/>
          <w:lang w:val="en-CA"/>
        </w:rPr>
        <w:t>60</w:t>
      </w:r>
      <w:r w:rsidRPr="00CE26BE">
        <w:rPr>
          <w:rFonts w:asciiTheme="majorBidi" w:hAnsiTheme="majorBidi" w:cstheme="majorBidi"/>
          <w:sz w:val="24"/>
          <w:szCs w:val="24"/>
          <w:lang w:val="en-CA"/>
        </w:rPr>
        <w:t>(3 Suppl 2): S48-52.</w:t>
      </w:r>
    </w:p>
    <w:p w14:paraId="16682760" w14:textId="77777777" w:rsidR="00CE26BE" w:rsidRPr="00CE26BE" w:rsidRDefault="00CE26BE" w:rsidP="00CE26BE">
      <w:pPr>
        <w:pStyle w:val="EndNoteBibliography"/>
        <w:spacing w:after="0" w:line="480" w:lineRule="auto"/>
        <w:jc w:val="both"/>
        <w:rPr>
          <w:rFonts w:asciiTheme="majorBidi" w:hAnsiTheme="majorBidi" w:cstheme="majorBidi"/>
          <w:sz w:val="24"/>
          <w:szCs w:val="24"/>
        </w:rPr>
      </w:pPr>
      <w:r w:rsidRPr="00CE26BE">
        <w:rPr>
          <w:rFonts w:asciiTheme="majorBidi" w:hAnsiTheme="majorBidi" w:cstheme="majorBidi"/>
          <w:b/>
          <w:sz w:val="24"/>
          <w:szCs w:val="24"/>
          <w:lang w:val="en-CA"/>
        </w:rPr>
        <w:t>12.</w:t>
      </w:r>
      <w:r w:rsidRPr="00CE26BE">
        <w:rPr>
          <w:rFonts w:asciiTheme="majorBidi" w:hAnsiTheme="majorBidi" w:cstheme="majorBidi"/>
          <w:sz w:val="24"/>
          <w:szCs w:val="24"/>
          <w:lang w:val="en-CA"/>
        </w:rPr>
        <w:t xml:space="preserve"> Pothimas N, Bhatarasakoon P, Chanprasit C, Kitsumban V. A cross-sectional study of factors predicting relapse in people with schizophrenia. </w:t>
      </w:r>
      <w:r w:rsidRPr="00CE26BE">
        <w:rPr>
          <w:rFonts w:asciiTheme="majorBidi" w:hAnsiTheme="majorBidi" w:cstheme="majorBidi"/>
          <w:i/>
          <w:sz w:val="24"/>
          <w:szCs w:val="24"/>
        </w:rPr>
        <w:t>Pacific Rim Int J Nurs Res</w:t>
      </w:r>
      <w:r w:rsidRPr="00CE26BE">
        <w:rPr>
          <w:rFonts w:asciiTheme="majorBidi" w:hAnsiTheme="majorBidi" w:cstheme="majorBidi"/>
          <w:sz w:val="24"/>
          <w:szCs w:val="24"/>
        </w:rPr>
        <w:t xml:space="preserve"> 2020; </w:t>
      </w:r>
      <w:r w:rsidRPr="00CE26BE">
        <w:rPr>
          <w:rFonts w:asciiTheme="majorBidi" w:hAnsiTheme="majorBidi" w:cstheme="majorBidi"/>
          <w:b/>
          <w:sz w:val="24"/>
          <w:szCs w:val="24"/>
        </w:rPr>
        <w:t>24</w:t>
      </w:r>
      <w:r w:rsidRPr="00CE26BE">
        <w:rPr>
          <w:rFonts w:asciiTheme="majorBidi" w:hAnsiTheme="majorBidi" w:cstheme="majorBidi"/>
          <w:sz w:val="24"/>
          <w:szCs w:val="24"/>
        </w:rPr>
        <w:t>(4): 448-59.</w:t>
      </w:r>
    </w:p>
    <w:p w14:paraId="34BB3FA1"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rPr>
        <w:t>13.</w:t>
      </w:r>
      <w:r w:rsidRPr="00CE26BE">
        <w:rPr>
          <w:rFonts w:asciiTheme="majorBidi" w:hAnsiTheme="majorBidi" w:cstheme="majorBidi"/>
          <w:sz w:val="24"/>
          <w:szCs w:val="24"/>
        </w:rPr>
        <w:t xml:space="preserve"> Corbeil O, Essiambre AM, Béchard L, Roy AA, Huot-Lavoie M, Brodeur S, et al. </w:t>
      </w:r>
      <w:r w:rsidRPr="00CE26BE">
        <w:rPr>
          <w:rFonts w:asciiTheme="majorBidi" w:hAnsiTheme="majorBidi" w:cstheme="majorBidi"/>
          <w:sz w:val="24"/>
          <w:szCs w:val="24"/>
          <w:lang w:val="en-CA"/>
        </w:rPr>
        <w:t xml:space="preserve">Real-life effectiveness of transitioning from paliperidone palmitate 1-monthly to paliperidone palmitate 3-monthly long-acting injectable formulation. </w:t>
      </w:r>
      <w:r w:rsidRPr="00CE26BE">
        <w:rPr>
          <w:rFonts w:asciiTheme="majorBidi" w:hAnsiTheme="majorBidi" w:cstheme="majorBidi"/>
          <w:i/>
          <w:sz w:val="24"/>
          <w:szCs w:val="24"/>
          <w:lang w:val="en-CA"/>
        </w:rPr>
        <w:t>Ther Adv Psychopharmacol</w:t>
      </w:r>
      <w:r w:rsidRPr="00CE26BE">
        <w:rPr>
          <w:rFonts w:asciiTheme="majorBidi" w:hAnsiTheme="majorBidi" w:cstheme="majorBidi"/>
          <w:sz w:val="24"/>
          <w:szCs w:val="24"/>
          <w:lang w:val="en-CA"/>
        </w:rPr>
        <w:t xml:space="preserve"> 2022; </w:t>
      </w:r>
      <w:r w:rsidRPr="00CE26BE">
        <w:rPr>
          <w:rFonts w:asciiTheme="majorBidi" w:hAnsiTheme="majorBidi" w:cstheme="majorBidi"/>
          <w:b/>
          <w:sz w:val="24"/>
          <w:szCs w:val="24"/>
          <w:lang w:val="en-CA"/>
        </w:rPr>
        <w:t>12</w:t>
      </w:r>
      <w:r w:rsidRPr="00CE26BE">
        <w:rPr>
          <w:rFonts w:asciiTheme="majorBidi" w:hAnsiTheme="majorBidi" w:cstheme="majorBidi"/>
          <w:sz w:val="24"/>
          <w:szCs w:val="24"/>
          <w:lang w:val="en-CA"/>
        </w:rPr>
        <w:t>: 20451253221136021.</w:t>
      </w:r>
    </w:p>
    <w:p w14:paraId="0E84CE58"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14.</w:t>
      </w:r>
      <w:r w:rsidRPr="00CE26BE">
        <w:rPr>
          <w:rFonts w:asciiTheme="majorBidi" w:hAnsiTheme="majorBidi" w:cstheme="majorBidi"/>
          <w:sz w:val="24"/>
          <w:szCs w:val="24"/>
          <w:lang w:val="en-CA"/>
        </w:rPr>
        <w:t xml:space="preserve"> Almuqrin A, Georgiades A, Mouhitzadeh K, Rubinic P, Mechelli A, Tognin S. The association between psychosocial stress, interpersonal sensitivity, social withdrawal and psychosis relapse: a systematic review. </w:t>
      </w:r>
      <w:r w:rsidRPr="00CE26BE">
        <w:rPr>
          <w:rFonts w:asciiTheme="majorBidi" w:hAnsiTheme="majorBidi" w:cstheme="majorBidi"/>
          <w:i/>
          <w:sz w:val="24"/>
          <w:szCs w:val="24"/>
          <w:lang w:val="en-CA"/>
        </w:rPr>
        <w:t>Schizophrenia (Heidelb)</w:t>
      </w:r>
      <w:r w:rsidRPr="00CE26BE">
        <w:rPr>
          <w:rFonts w:asciiTheme="majorBidi" w:hAnsiTheme="majorBidi" w:cstheme="majorBidi"/>
          <w:sz w:val="24"/>
          <w:szCs w:val="24"/>
          <w:lang w:val="en-CA"/>
        </w:rPr>
        <w:t xml:space="preserve"> 2023; </w:t>
      </w:r>
      <w:r w:rsidRPr="00CE26BE">
        <w:rPr>
          <w:rFonts w:asciiTheme="majorBidi" w:hAnsiTheme="majorBidi" w:cstheme="majorBidi"/>
          <w:b/>
          <w:sz w:val="24"/>
          <w:szCs w:val="24"/>
          <w:lang w:val="en-CA"/>
        </w:rPr>
        <w:t>9</w:t>
      </w:r>
      <w:r w:rsidRPr="00CE26BE">
        <w:rPr>
          <w:rFonts w:asciiTheme="majorBidi" w:hAnsiTheme="majorBidi" w:cstheme="majorBidi"/>
          <w:sz w:val="24"/>
          <w:szCs w:val="24"/>
          <w:lang w:val="en-CA"/>
        </w:rPr>
        <w:t>(1): 22.</w:t>
      </w:r>
    </w:p>
    <w:p w14:paraId="17ECCB0E"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15.</w:t>
      </w:r>
      <w:r w:rsidRPr="00CE26BE">
        <w:rPr>
          <w:rFonts w:asciiTheme="majorBidi" w:hAnsiTheme="majorBidi" w:cstheme="majorBidi"/>
          <w:sz w:val="24"/>
          <w:szCs w:val="24"/>
          <w:lang w:val="en-CA"/>
        </w:rPr>
        <w:t xml:space="preserve"> Puntis S, Oke J, Lennox B. Discharge pathways and relapse following treatment from early intervention in psychosis services. </w:t>
      </w:r>
      <w:r w:rsidRPr="00CE26BE">
        <w:rPr>
          <w:rFonts w:asciiTheme="majorBidi" w:hAnsiTheme="majorBidi" w:cstheme="majorBidi"/>
          <w:i/>
          <w:sz w:val="24"/>
          <w:szCs w:val="24"/>
          <w:lang w:val="en-CA"/>
        </w:rPr>
        <w:t>BJPsych Open</w:t>
      </w:r>
      <w:r w:rsidRPr="00CE26BE">
        <w:rPr>
          <w:rFonts w:asciiTheme="majorBidi" w:hAnsiTheme="majorBidi" w:cstheme="majorBidi"/>
          <w:sz w:val="24"/>
          <w:szCs w:val="24"/>
          <w:lang w:val="en-CA"/>
        </w:rPr>
        <w:t xml:space="preserve"> 2018; </w:t>
      </w:r>
      <w:r w:rsidRPr="00CE26BE">
        <w:rPr>
          <w:rFonts w:asciiTheme="majorBidi" w:hAnsiTheme="majorBidi" w:cstheme="majorBidi"/>
          <w:b/>
          <w:sz w:val="24"/>
          <w:szCs w:val="24"/>
          <w:lang w:val="en-CA"/>
        </w:rPr>
        <w:t>4</w:t>
      </w:r>
      <w:r w:rsidRPr="00CE26BE">
        <w:rPr>
          <w:rFonts w:asciiTheme="majorBidi" w:hAnsiTheme="majorBidi" w:cstheme="majorBidi"/>
          <w:sz w:val="24"/>
          <w:szCs w:val="24"/>
          <w:lang w:val="en-CA"/>
        </w:rPr>
        <w:t>(5): 368-74.</w:t>
      </w:r>
    </w:p>
    <w:p w14:paraId="72369DB1"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16.</w:t>
      </w:r>
      <w:r w:rsidRPr="00CE26BE">
        <w:rPr>
          <w:rFonts w:asciiTheme="majorBidi" w:hAnsiTheme="majorBidi" w:cstheme="majorBidi"/>
          <w:sz w:val="24"/>
          <w:szCs w:val="24"/>
          <w:lang w:val="en-CA"/>
        </w:rPr>
        <w:t xml:space="preserve"> Fusar-Poli P, McGorry PD, Kane JM. Improving outcomes of first-episode psychosis: an overview. </w:t>
      </w:r>
      <w:r w:rsidRPr="00CE26BE">
        <w:rPr>
          <w:rFonts w:asciiTheme="majorBidi" w:hAnsiTheme="majorBidi" w:cstheme="majorBidi"/>
          <w:i/>
          <w:sz w:val="24"/>
          <w:szCs w:val="24"/>
          <w:lang w:val="en-CA"/>
        </w:rPr>
        <w:t>World Psychiatry</w:t>
      </w:r>
      <w:r w:rsidRPr="00CE26BE">
        <w:rPr>
          <w:rFonts w:asciiTheme="majorBidi" w:hAnsiTheme="majorBidi" w:cstheme="majorBidi"/>
          <w:sz w:val="24"/>
          <w:szCs w:val="24"/>
          <w:lang w:val="en-CA"/>
        </w:rPr>
        <w:t xml:space="preserve"> 2017; </w:t>
      </w:r>
      <w:r w:rsidRPr="00CE26BE">
        <w:rPr>
          <w:rFonts w:asciiTheme="majorBidi" w:hAnsiTheme="majorBidi" w:cstheme="majorBidi"/>
          <w:b/>
          <w:sz w:val="24"/>
          <w:szCs w:val="24"/>
          <w:lang w:val="en-CA"/>
        </w:rPr>
        <w:t>16</w:t>
      </w:r>
      <w:r w:rsidRPr="00CE26BE">
        <w:rPr>
          <w:rFonts w:asciiTheme="majorBidi" w:hAnsiTheme="majorBidi" w:cstheme="majorBidi"/>
          <w:sz w:val="24"/>
          <w:szCs w:val="24"/>
          <w:lang w:val="en-CA"/>
        </w:rPr>
        <w:t>(3): 251-65.</w:t>
      </w:r>
    </w:p>
    <w:p w14:paraId="344C85B0"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lastRenderedPageBreak/>
        <w:t>17.</w:t>
      </w:r>
      <w:r w:rsidRPr="00CE26BE">
        <w:rPr>
          <w:rFonts w:asciiTheme="majorBidi" w:hAnsiTheme="majorBidi" w:cstheme="majorBidi"/>
          <w:sz w:val="24"/>
          <w:szCs w:val="24"/>
          <w:lang w:val="en-CA"/>
        </w:rPr>
        <w:t xml:space="preserve"> Stockl KM, Hughes TE, Jarrar MA, Secnik K, Perwien AR. Physician perceptions of the use of medications for attention deficit hyperactivity disorder. </w:t>
      </w:r>
      <w:r w:rsidRPr="00CE26BE">
        <w:rPr>
          <w:rFonts w:asciiTheme="majorBidi" w:hAnsiTheme="majorBidi" w:cstheme="majorBidi"/>
          <w:i/>
          <w:sz w:val="24"/>
          <w:szCs w:val="24"/>
          <w:lang w:val="en-CA"/>
        </w:rPr>
        <w:t>J Manag Care Pharm</w:t>
      </w:r>
      <w:r w:rsidRPr="00CE26BE">
        <w:rPr>
          <w:rFonts w:asciiTheme="majorBidi" w:hAnsiTheme="majorBidi" w:cstheme="majorBidi"/>
          <w:sz w:val="24"/>
          <w:szCs w:val="24"/>
          <w:lang w:val="en-CA"/>
        </w:rPr>
        <w:t xml:space="preserve"> 2003; </w:t>
      </w:r>
      <w:r w:rsidRPr="00CE26BE">
        <w:rPr>
          <w:rFonts w:asciiTheme="majorBidi" w:hAnsiTheme="majorBidi" w:cstheme="majorBidi"/>
          <w:b/>
          <w:sz w:val="24"/>
          <w:szCs w:val="24"/>
          <w:lang w:val="en-CA"/>
        </w:rPr>
        <w:t>9</w:t>
      </w:r>
      <w:r w:rsidRPr="00CE26BE">
        <w:rPr>
          <w:rFonts w:asciiTheme="majorBidi" w:hAnsiTheme="majorBidi" w:cstheme="majorBidi"/>
          <w:sz w:val="24"/>
          <w:szCs w:val="24"/>
          <w:lang w:val="en-CA"/>
        </w:rPr>
        <w:t>(5): 416-23.</w:t>
      </w:r>
    </w:p>
    <w:p w14:paraId="76B18A79"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18.</w:t>
      </w:r>
      <w:r w:rsidRPr="00CE26BE">
        <w:rPr>
          <w:rFonts w:asciiTheme="majorBidi" w:hAnsiTheme="majorBidi" w:cstheme="majorBidi"/>
          <w:sz w:val="24"/>
          <w:szCs w:val="24"/>
          <w:lang w:val="en-CA"/>
        </w:rPr>
        <w:t xml:space="preserve"> Strålin P, Hetta J. First episode psychosis: register-based study of comorbid psychiatric disorders and medications before and after. </w:t>
      </w:r>
      <w:r w:rsidRPr="00CE26BE">
        <w:rPr>
          <w:rFonts w:asciiTheme="majorBidi" w:hAnsiTheme="majorBidi" w:cstheme="majorBidi"/>
          <w:i/>
          <w:sz w:val="24"/>
          <w:szCs w:val="24"/>
          <w:lang w:val="en-CA"/>
        </w:rPr>
        <w:t>Eur Arch Psychiatry Clin Neurosci</w:t>
      </w:r>
      <w:r w:rsidRPr="00CE26BE">
        <w:rPr>
          <w:rFonts w:asciiTheme="majorBidi" w:hAnsiTheme="majorBidi" w:cstheme="majorBidi"/>
          <w:sz w:val="24"/>
          <w:szCs w:val="24"/>
          <w:lang w:val="en-CA"/>
        </w:rPr>
        <w:t xml:space="preserve"> 2021; </w:t>
      </w:r>
      <w:r w:rsidRPr="00CE26BE">
        <w:rPr>
          <w:rFonts w:asciiTheme="majorBidi" w:hAnsiTheme="majorBidi" w:cstheme="majorBidi"/>
          <w:b/>
          <w:sz w:val="24"/>
          <w:szCs w:val="24"/>
          <w:lang w:val="en-CA"/>
        </w:rPr>
        <w:t>271</w:t>
      </w:r>
      <w:r w:rsidRPr="00CE26BE">
        <w:rPr>
          <w:rFonts w:asciiTheme="majorBidi" w:hAnsiTheme="majorBidi" w:cstheme="majorBidi"/>
          <w:sz w:val="24"/>
          <w:szCs w:val="24"/>
          <w:lang w:val="en-CA"/>
        </w:rPr>
        <w:t>(2): 303-13.</w:t>
      </w:r>
    </w:p>
    <w:p w14:paraId="141A467C"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19.</w:t>
      </w:r>
      <w:r w:rsidRPr="00CE26BE">
        <w:rPr>
          <w:rFonts w:asciiTheme="majorBidi" w:hAnsiTheme="majorBidi" w:cstheme="majorBidi"/>
          <w:sz w:val="24"/>
          <w:szCs w:val="24"/>
          <w:lang w:val="en-CA"/>
        </w:rPr>
        <w:t xml:space="preserve"> Bahorik AL, Eack SM. Examining the course and outcome of individuals diagnosed with schizophrenia and comorbid borderline personality disorder. </w:t>
      </w:r>
      <w:r w:rsidRPr="00CE26BE">
        <w:rPr>
          <w:rFonts w:asciiTheme="majorBidi" w:hAnsiTheme="majorBidi" w:cstheme="majorBidi"/>
          <w:i/>
          <w:sz w:val="24"/>
          <w:szCs w:val="24"/>
          <w:lang w:val="en-CA"/>
        </w:rPr>
        <w:t>Schizophr Res</w:t>
      </w:r>
      <w:r w:rsidRPr="00CE26BE">
        <w:rPr>
          <w:rFonts w:asciiTheme="majorBidi" w:hAnsiTheme="majorBidi" w:cstheme="majorBidi"/>
          <w:sz w:val="24"/>
          <w:szCs w:val="24"/>
          <w:lang w:val="en-CA"/>
        </w:rPr>
        <w:t xml:space="preserve"> 2010; </w:t>
      </w:r>
      <w:r w:rsidRPr="00CE26BE">
        <w:rPr>
          <w:rFonts w:asciiTheme="majorBidi" w:hAnsiTheme="majorBidi" w:cstheme="majorBidi"/>
          <w:b/>
          <w:sz w:val="24"/>
          <w:szCs w:val="24"/>
          <w:lang w:val="en-CA"/>
        </w:rPr>
        <w:t>124</w:t>
      </w:r>
      <w:r w:rsidRPr="00CE26BE">
        <w:rPr>
          <w:rFonts w:asciiTheme="majorBidi" w:hAnsiTheme="majorBidi" w:cstheme="majorBidi"/>
          <w:sz w:val="24"/>
          <w:szCs w:val="24"/>
          <w:lang w:val="en-CA"/>
        </w:rPr>
        <w:t>(1-3): 29-35.</w:t>
      </w:r>
    </w:p>
    <w:p w14:paraId="4F0EC6B5"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20.</w:t>
      </w:r>
      <w:r w:rsidRPr="00CE26BE">
        <w:rPr>
          <w:rFonts w:asciiTheme="majorBidi" w:hAnsiTheme="majorBidi" w:cstheme="majorBidi"/>
          <w:sz w:val="24"/>
          <w:szCs w:val="24"/>
          <w:lang w:val="en-CA"/>
        </w:rPr>
        <w:t xml:space="preserve"> Harstad E, Levy S. Attention-deficit/hyperactivity disorder and substance abuse. </w:t>
      </w:r>
      <w:r w:rsidRPr="00CE26BE">
        <w:rPr>
          <w:rFonts w:asciiTheme="majorBidi" w:hAnsiTheme="majorBidi" w:cstheme="majorBidi"/>
          <w:i/>
          <w:sz w:val="24"/>
          <w:szCs w:val="24"/>
          <w:lang w:val="en-CA"/>
        </w:rPr>
        <w:t>Pediatrics</w:t>
      </w:r>
      <w:r w:rsidRPr="00CE26BE">
        <w:rPr>
          <w:rFonts w:asciiTheme="majorBidi" w:hAnsiTheme="majorBidi" w:cstheme="majorBidi"/>
          <w:sz w:val="24"/>
          <w:szCs w:val="24"/>
          <w:lang w:val="en-CA"/>
        </w:rPr>
        <w:t xml:space="preserve"> 2014; </w:t>
      </w:r>
      <w:r w:rsidRPr="00CE26BE">
        <w:rPr>
          <w:rFonts w:asciiTheme="majorBidi" w:hAnsiTheme="majorBidi" w:cstheme="majorBidi"/>
          <w:b/>
          <w:sz w:val="24"/>
          <w:szCs w:val="24"/>
          <w:lang w:val="en-CA"/>
        </w:rPr>
        <w:t>134</w:t>
      </w:r>
      <w:r w:rsidRPr="00CE26BE">
        <w:rPr>
          <w:rFonts w:asciiTheme="majorBidi" w:hAnsiTheme="majorBidi" w:cstheme="majorBidi"/>
          <w:sz w:val="24"/>
          <w:szCs w:val="24"/>
          <w:lang w:val="en-CA"/>
        </w:rPr>
        <w:t>(1): e293-301.</w:t>
      </w:r>
    </w:p>
    <w:p w14:paraId="04E9E86C"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21.</w:t>
      </w:r>
      <w:r w:rsidRPr="00CE26BE">
        <w:rPr>
          <w:rFonts w:asciiTheme="majorBidi" w:hAnsiTheme="majorBidi" w:cstheme="majorBidi"/>
          <w:sz w:val="24"/>
          <w:szCs w:val="24"/>
          <w:lang w:val="en-CA"/>
        </w:rPr>
        <w:t xml:space="preserve"> Brikell I, Wimberley T, Albiñana C, Pedersen EM, Vilhjálmsson BJ, Agerbo E, et al. Genetic, clinical, and sociodemographic factors associated with stimulant treatment outcomes in ADHD. </w:t>
      </w:r>
      <w:r w:rsidRPr="00CE26BE">
        <w:rPr>
          <w:rFonts w:asciiTheme="majorBidi" w:hAnsiTheme="majorBidi" w:cstheme="majorBidi"/>
          <w:i/>
          <w:sz w:val="24"/>
          <w:szCs w:val="24"/>
          <w:lang w:val="en-CA"/>
        </w:rPr>
        <w:t>Am J Psychiatry</w:t>
      </w:r>
      <w:r w:rsidRPr="00CE26BE">
        <w:rPr>
          <w:rFonts w:asciiTheme="majorBidi" w:hAnsiTheme="majorBidi" w:cstheme="majorBidi"/>
          <w:sz w:val="24"/>
          <w:szCs w:val="24"/>
          <w:lang w:val="en-CA"/>
        </w:rPr>
        <w:t xml:space="preserve"> 2021; </w:t>
      </w:r>
      <w:r w:rsidRPr="00CE26BE">
        <w:rPr>
          <w:rFonts w:asciiTheme="majorBidi" w:hAnsiTheme="majorBidi" w:cstheme="majorBidi"/>
          <w:b/>
          <w:sz w:val="24"/>
          <w:szCs w:val="24"/>
          <w:lang w:val="en-CA"/>
        </w:rPr>
        <w:t>178</w:t>
      </w:r>
      <w:r w:rsidRPr="00CE26BE">
        <w:rPr>
          <w:rFonts w:asciiTheme="majorBidi" w:hAnsiTheme="majorBidi" w:cstheme="majorBidi"/>
          <w:sz w:val="24"/>
          <w:szCs w:val="24"/>
          <w:lang w:val="en-CA"/>
        </w:rPr>
        <w:t>(9): 854-64.</w:t>
      </w:r>
    </w:p>
    <w:p w14:paraId="1C862278"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22.</w:t>
      </w:r>
      <w:r w:rsidRPr="00CE26BE">
        <w:rPr>
          <w:rFonts w:asciiTheme="majorBidi" w:hAnsiTheme="majorBidi" w:cstheme="majorBidi"/>
          <w:sz w:val="24"/>
          <w:szCs w:val="24"/>
          <w:lang w:val="en-CA"/>
        </w:rPr>
        <w:t xml:space="preserve"> Filipcic I, Simunovic Filipcic I, Ivezic E, Matic K, Tunjic Vukadinovic N, Vuk Pisk S, et al. Chronic physical illnesses in patients with schizophrenia spectrum disorders are independently associated with higher rates of psychiatric rehospitalization; a cross-sectional study in Croatia. </w:t>
      </w:r>
      <w:r w:rsidRPr="00CE26BE">
        <w:rPr>
          <w:rFonts w:asciiTheme="majorBidi" w:hAnsiTheme="majorBidi" w:cstheme="majorBidi"/>
          <w:i/>
          <w:sz w:val="24"/>
          <w:szCs w:val="24"/>
          <w:lang w:val="en-CA"/>
        </w:rPr>
        <w:t>Eur Psychiatry</w:t>
      </w:r>
      <w:r w:rsidRPr="00CE26BE">
        <w:rPr>
          <w:rFonts w:asciiTheme="majorBidi" w:hAnsiTheme="majorBidi" w:cstheme="majorBidi"/>
          <w:sz w:val="24"/>
          <w:szCs w:val="24"/>
          <w:lang w:val="en-CA"/>
        </w:rPr>
        <w:t xml:space="preserve"> 2017; </w:t>
      </w:r>
      <w:r w:rsidRPr="00CE26BE">
        <w:rPr>
          <w:rFonts w:asciiTheme="majorBidi" w:hAnsiTheme="majorBidi" w:cstheme="majorBidi"/>
          <w:b/>
          <w:sz w:val="24"/>
          <w:szCs w:val="24"/>
          <w:lang w:val="en-CA"/>
        </w:rPr>
        <w:t>43</w:t>
      </w:r>
      <w:r w:rsidRPr="00CE26BE">
        <w:rPr>
          <w:rFonts w:asciiTheme="majorBidi" w:hAnsiTheme="majorBidi" w:cstheme="majorBidi"/>
          <w:sz w:val="24"/>
          <w:szCs w:val="24"/>
          <w:lang w:val="en-CA"/>
        </w:rPr>
        <w:t>: 73-80.</w:t>
      </w:r>
    </w:p>
    <w:p w14:paraId="60E52803" w14:textId="77777777" w:rsidR="00CE26BE" w:rsidRPr="00CE26BE" w:rsidRDefault="00CE26BE" w:rsidP="00CE26BE">
      <w:pPr>
        <w:pStyle w:val="EndNoteBibliography"/>
        <w:spacing w:after="0"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t>23.</w:t>
      </w:r>
      <w:r w:rsidRPr="00CE26BE">
        <w:rPr>
          <w:rFonts w:asciiTheme="majorBidi" w:hAnsiTheme="majorBidi" w:cstheme="majorBidi"/>
          <w:sz w:val="24"/>
          <w:szCs w:val="24"/>
          <w:lang w:val="en-CA"/>
        </w:rPr>
        <w:t xml:space="preserve"> Šprah L, Dernovšek MZ, Wahlbeck K, Haaramo P. Psychiatric readmissions and their association with physical comorbidity: a systematic literature review. </w:t>
      </w:r>
      <w:r w:rsidRPr="00CE26BE">
        <w:rPr>
          <w:rFonts w:asciiTheme="majorBidi" w:hAnsiTheme="majorBidi" w:cstheme="majorBidi"/>
          <w:i/>
          <w:sz w:val="24"/>
          <w:szCs w:val="24"/>
          <w:lang w:val="en-CA"/>
        </w:rPr>
        <w:t>BMC Psychiatry</w:t>
      </w:r>
      <w:r w:rsidRPr="00CE26BE">
        <w:rPr>
          <w:rFonts w:asciiTheme="majorBidi" w:hAnsiTheme="majorBidi" w:cstheme="majorBidi"/>
          <w:sz w:val="24"/>
          <w:szCs w:val="24"/>
          <w:lang w:val="en-CA"/>
        </w:rPr>
        <w:t xml:space="preserve"> 2017; </w:t>
      </w:r>
      <w:r w:rsidRPr="00CE26BE">
        <w:rPr>
          <w:rFonts w:asciiTheme="majorBidi" w:hAnsiTheme="majorBidi" w:cstheme="majorBidi"/>
          <w:b/>
          <w:sz w:val="24"/>
          <w:szCs w:val="24"/>
          <w:lang w:val="en-CA"/>
        </w:rPr>
        <w:t>17</w:t>
      </w:r>
      <w:r w:rsidRPr="00CE26BE">
        <w:rPr>
          <w:rFonts w:asciiTheme="majorBidi" w:hAnsiTheme="majorBidi" w:cstheme="majorBidi"/>
          <w:sz w:val="24"/>
          <w:szCs w:val="24"/>
          <w:lang w:val="en-CA"/>
        </w:rPr>
        <w:t>(1): 2.</w:t>
      </w:r>
    </w:p>
    <w:p w14:paraId="523CF3CC" w14:textId="77777777" w:rsidR="00CE26BE" w:rsidRPr="00C15E39" w:rsidRDefault="00CE26BE" w:rsidP="00CE26BE">
      <w:pPr>
        <w:pStyle w:val="EndNoteBibliography"/>
        <w:spacing w:line="480" w:lineRule="auto"/>
        <w:jc w:val="both"/>
        <w:rPr>
          <w:rFonts w:asciiTheme="majorBidi" w:hAnsiTheme="majorBidi" w:cstheme="majorBidi"/>
          <w:sz w:val="24"/>
          <w:szCs w:val="24"/>
          <w:lang w:val="en-CA"/>
        </w:rPr>
      </w:pPr>
      <w:r w:rsidRPr="00CE26BE">
        <w:rPr>
          <w:rFonts w:asciiTheme="majorBidi" w:hAnsiTheme="majorBidi" w:cstheme="majorBidi"/>
          <w:b/>
          <w:sz w:val="24"/>
          <w:szCs w:val="24"/>
          <w:lang w:val="en-CA"/>
        </w:rPr>
        <w:lastRenderedPageBreak/>
        <w:t>24.</w:t>
      </w:r>
      <w:r w:rsidRPr="00CE26BE">
        <w:rPr>
          <w:rFonts w:asciiTheme="majorBidi" w:hAnsiTheme="majorBidi" w:cstheme="majorBidi"/>
          <w:sz w:val="24"/>
          <w:szCs w:val="24"/>
          <w:lang w:val="en-CA"/>
        </w:rPr>
        <w:t xml:space="preserve"> Köhler O, Petersen L, Benros ME, Mors O, Gasse C. Concomitant NSAID use during antipsychotic treatment and risk of 2-year relapse - a population-based study of 16,253 incident patients with schizophrenia. </w:t>
      </w:r>
      <w:r w:rsidRPr="00C15E39">
        <w:rPr>
          <w:rFonts w:asciiTheme="majorBidi" w:hAnsiTheme="majorBidi" w:cstheme="majorBidi"/>
          <w:i/>
          <w:sz w:val="24"/>
          <w:szCs w:val="24"/>
          <w:lang w:val="en-CA"/>
        </w:rPr>
        <w:t>Expert Opin Pharmacother</w:t>
      </w:r>
      <w:r w:rsidRPr="00C15E39">
        <w:rPr>
          <w:rFonts w:asciiTheme="majorBidi" w:hAnsiTheme="majorBidi" w:cstheme="majorBidi"/>
          <w:sz w:val="24"/>
          <w:szCs w:val="24"/>
          <w:lang w:val="en-CA"/>
        </w:rPr>
        <w:t xml:space="preserve"> 2016; </w:t>
      </w:r>
      <w:r w:rsidRPr="00C15E39">
        <w:rPr>
          <w:rFonts w:asciiTheme="majorBidi" w:hAnsiTheme="majorBidi" w:cstheme="majorBidi"/>
          <w:b/>
          <w:sz w:val="24"/>
          <w:szCs w:val="24"/>
          <w:lang w:val="en-CA"/>
        </w:rPr>
        <w:t>17</w:t>
      </w:r>
      <w:r w:rsidRPr="00C15E39">
        <w:rPr>
          <w:rFonts w:asciiTheme="majorBidi" w:hAnsiTheme="majorBidi" w:cstheme="majorBidi"/>
          <w:sz w:val="24"/>
          <w:szCs w:val="24"/>
          <w:lang w:val="en-CA"/>
        </w:rPr>
        <w:t>(8): 1055-62.</w:t>
      </w:r>
    </w:p>
    <w:p w14:paraId="314AE12D" w14:textId="0761CADB" w:rsidR="00CE26BE" w:rsidRDefault="00CE26BE" w:rsidP="00CE26BE">
      <w:pPr>
        <w:spacing w:line="480" w:lineRule="auto"/>
        <w:jc w:val="both"/>
      </w:pPr>
      <w:r w:rsidRPr="00CE26BE">
        <w:rPr>
          <w:rFonts w:asciiTheme="majorBidi" w:hAnsiTheme="majorBidi" w:cstheme="majorBidi"/>
          <w:sz w:val="24"/>
          <w:szCs w:val="24"/>
        </w:rPr>
        <w:fldChar w:fldCharType="end"/>
      </w:r>
    </w:p>
    <w:p w14:paraId="060BEAF9" w14:textId="20AD4E4C" w:rsidR="00CE26BE" w:rsidRPr="00CE26BE" w:rsidRDefault="00CE26BE" w:rsidP="00CE26BE">
      <w:pPr>
        <w:tabs>
          <w:tab w:val="left" w:pos="870"/>
        </w:tabs>
        <w:sectPr w:rsidR="00CE26BE" w:rsidRPr="00CE26BE" w:rsidSect="00CE26BE">
          <w:pgSz w:w="12240" w:h="15840"/>
          <w:pgMar w:top="1440" w:right="1440" w:bottom="1440" w:left="1440" w:header="708" w:footer="708" w:gutter="0"/>
          <w:cols w:space="720"/>
          <w:docGrid w:linePitch="299"/>
        </w:sectPr>
      </w:pPr>
      <w:r>
        <w:tab/>
      </w:r>
    </w:p>
    <w:p w14:paraId="437B8BD3" w14:textId="48F4F258" w:rsidR="00B558AB" w:rsidRPr="00C17681" w:rsidRDefault="00B558AB" w:rsidP="00D06C84">
      <w:pPr>
        <w:pStyle w:val="Heading1"/>
        <w:rPr>
          <w:smallCaps/>
        </w:rPr>
      </w:pPr>
      <w:r w:rsidRPr="00C17681">
        <w:lastRenderedPageBreak/>
        <w:t xml:space="preserve">Supplementary </w:t>
      </w:r>
      <w:r w:rsidR="001D693C" w:rsidRPr="00C17681">
        <w:t>F</w:t>
      </w:r>
      <w:r w:rsidRPr="00C17681">
        <w:t>igure </w:t>
      </w:r>
      <w:r w:rsidR="00614441">
        <w:t>2</w:t>
      </w:r>
      <w:r w:rsidRPr="00C17681">
        <w:t xml:space="preserve">. </w:t>
      </w:r>
      <w:r w:rsidRPr="00D06C84">
        <w:rPr>
          <w:b w:val="0"/>
          <w:bCs/>
        </w:rPr>
        <w:t>Risk of hospitalization for mental disorders (including psychosis) in the year after ADHD medication initiation.</w:t>
      </w:r>
    </w:p>
    <w:p w14:paraId="7A7BE947" w14:textId="3B0BF1D6" w:rsidR="00C4664B" w:rsidRDefault="00D76EAB" w:rsidP="00CE26BE">
      <w:pPr>
        <w:spacing w:after="0" w:line="276" w:lineRule="auto"/>
        <w:jc w:val="both"/>
        <w:rPr>
          <w:rFonts w:ascii="Times New Roman" w:hAnsi="Times New Roman" w:cs="Times New Roman"/>
          <w:i/>
          <w:iCs/>
          <w:noProof/>
          <w:sz w:val="20"/>
          <w:szCs w:val="20"/>
        </w:rPr>
      </w:pPr>
      <w:r>
        <w:rPr>
          <w:rFonts w:ascii="Times New Roman" w:hAnsi="Times New Roman" w:cs="Times New Roman"/>
          <w:i/>
          <w:iCs/>
          <w:noProof/>
          <w:sz w:val="20"/>
          <w:szCs w:val="20"/>
          <w:lang w:val="fr-CA"/>
        </w:rPr>
        <w:drawing>
          <wp:inline distT="0" distB="0" distL="0" distR="0" wp14:anchorId="1E408AF2" wp14:editId="78CD65B6">
            <wp:extent cx="4572000" cy="3200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estPlot_CU_TDAH_HOSPSM_8sept202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inline>
        </w:drawing>
      </w:r>
      <w:r>
        <w:rPr>
          <w:rFonts w:ascii="Times New Roman" w:hAnsi="Times New Roman" w:cs="Times New Roman"/>
          <w:i/>
          <w:iCs/>
          <w:noProof/>
          <w:sz w:val="20"/>
          <w:szCs w:val="20"/>
          <w:lang w:val="fr-CA"/>
        </w:rPr>
        <w:drawing>
          <wp:inline distT="0" distB="0" distL="0" distR="0" wp14:anchorId="241F7ECF" wp14:editId="42B6C5C1">
            <wp:extent cx="4572000" cy="3200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estPlot_CU_groupe_TDAH_HOSPSM_8sept2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inline>
        </w:drawing>
      </w:r>
    </w:p>
    <w:p w14:paraId="18831A60" w14:textId="77777777" w:rsidR="00470AE6" w:rsidRDefault="00B558AB" w:rsidP="00956EF8">
      <w:pPr>
        <w:spacing w:before="60" w:after="0" w:line="480" w:lineRule="auto"/>
        <w:jc w:val="both"/>
        <w:rPr>
          <w:rFonts w:ascii="Times New Roman" w:hAnsi="Times New Roman" w:cs="Times New Roman"/>
          <w:i/>
          <w:iCs/>
          <w:sz w:val="20"/>
          <w:szCs w:val="20"/>
        </w:rPr>
      </w:pPr>
      <w:r w:rsidRPr="00C17681">
        <w:rPr>
          <w:rFonts w:ascii="Times New Roman" w:hAnsi="Times New Roman" w:cs="Times New Roman"/>
          <w:i/>
          <w:iCs/>
          <w:noProof/>
          <w:sz w:val="20"/>
          <w:szCs w:val="20"/>
        </w:rPr>
        <w:t xml:space="preserve">ADHD, attention-deficit/hyperactivity disorder; </w:t>
      </w:r>
      <w:proofErr w:type="spellStart"/>
      <w:r w:rsidRPr="00C17681">
        <w:rPr>
          <w:rFonts w:ascii="Times New Roman" w:hAnsi="Times New Roman" w:cs="Times New Roman"/>
          <w:i/>
          <w:iCs/>
          <w:sz w:val="20"/>
          <w:szCs w:val="20"/>
        </w:rPr>
        <w:t>aHR</w:t>
      </w:r>
      <w:proofErr w:type="spellEnd"/>
      <w:r w:rsidRPr="00C17681">
        <w:rPr>
          <w:rFonts w:ascii="Times New Roman" w:hAnsi="Times New Roman" w:cs="Times New Roman"/>
          <w:i/>
          <w:iCs/>
          <w:sz w:val="20"/>
          <w:szCs w:val="20"/>
        </w:rPr>
        <w:t>, adjusted hazard ratio; AMP, amphetamine; AP, antipsychotic; ATX, atomoxetine; CI, confidence interval; CU, current use; GP, general practitioner; H, hospitalization; MPH, methylphenidate; Rx, medication; SES, socioeconomic status</w:t>
      </w:r>
      <w:r w:rsidR="006B3D3A">
        <w:rPr>
          <w:rFonts w:ascii="Times New Roman" w:hAnsi="Times New Roman" w:cs="Times New Roman"/>
          <w:i/>
          <w:iCs/>
          <w:sz w:val="20"/>
          <w:szCs w:val="20"/>
        </w:rPr>
        <w:t>; SUD, substance use disorder</w:t>
      </w:r>
      <w:r w:rsidRPr="00C17681">
        <w:rPr>
          <w:rFonts w:ascii="Times New Roman" w:hAnsi="Times New Roman" w:cs="Times New Roman"/>
          <w:i/>
          <w:iCs/>
          <w:sz w:val="20"/>
          <w:szCs w:val="20"/>
        </w:rPr>
        <w:t>.</w:t>
      </w:r>
      <w:r w:rsidR="007D258E">
        <w:rPr>
          <w:rFonts w:ascii="Times New Roman" w:hAnsi="Times New Roman" w:cs="Times New Roman"/>
          <w:i/>
          <w:iCs/>
          <w:sz w:val="20"/>
          <w:szCs w:val="20"/>
        </w:rPr>
        <w:t xml:space="preserve"> </w:t>
      </w:r>
    </w:p>
    <w:p w14:paraId="6E5EFF6D" w14:textId="5410831F" w:rsidR="007D258E" w:rsidRPr="00C17681" w:rsidRDefault="00B558AB" w:rsidP="00470AE6">
      <w:pPr>
        <w:spacing w:after="0" w:line="480" w:lineRule="auto"/>
        <w:jc w:val="both"/>
        <w:rPr>
          <w:rFonts w:ascii="Times New Roman" w:hAnsi="Times New Roman" w:cs="Times New Roman"/>
          <w:i/>
          <w:iCs/>
          <w:sz w:val="20"/>
          <w:szCs w:val="20"/>
        </w:rPr>
        <w:sectPr w:rsidR="007D258E" w:rsidRPr="00C17681" w:rsidSect="00C02136">
          <w:pgSz w:w="12240" w:h="15840"/>
          <w:pgMar w:top="1440" w:right="1440" w:bottom="1440" w:left="1440" w:header="708" w:footer="708" w:gutter="0"/>
          <w:cols w:space="720"/>
        </w:sectPr>
      </w:pPr>
      <w:proofErr w:type="spellStart"/>
      <w:r w:rsidRPr="00C17681">
        <w:rPr>
          <w:rFonts w:ascii="Times New Roman" w:hAnsi="Times New Roman" w:cs="Times New Roman"/>
          <w:i/>
          <w:iCs/>
          <w:sz w:val="20"/>
          <w:szCs w:val="20"/>
        </w:rPr>
        <w:t>aHR</w:t>
      </w:r>
      <w:proofErr w:type="spellEnd"/>
      <w:r w:rsidRPr="00C17681">
        <w:rPr>
          <w:rFonts w:ascii="Times New Roman" w:hAnsi="Times New Roman" w:cs="Times New Roman"/>
          <w:i/>
          <w:iCs/>
          <w:sz w:val="20"/>
          <w:szCs w:val="20"/>
        </w:rPr>
        <w:t xml:space="preserve"> (95% CI) associated with each covariable.</w:t>
      </w:r>
    </w:p>
    <w:p w14:paraId="045ACBC5" w14:textId="7D6EE3D1" w:rsidR="001F25CC" w:rsidRPr="00C17681" w:rsidRDefault="001F25CC" w:rsidP="00D06C84">
      <w:pPr>
        <w:pStyle w:val="Heading1"/>
        <w:rPr>
          <w:smallCaps/>
        </w:rPr>
      </w:pPr>
      <w:r w:rsidRPr="00C17681">
        <w:lastRenderedPageBreak/>
        <w:t>Supplementary Figure </w:t>
      </w:r>
      <w:r w:rsidR="00614441">
        <w:t>3</w:t>
      </w:r>
      <w:r w:rsidRPr="00C17681">
        <w:t xml:space="preserve">. </w:t>
      </w:r>
      <w:r w:rsidRPr="00D06C84">
        <w:rPr>
          <w:b w:val="0"/>
          <w:bCs/>
        </w:rPr>
        <w:t>Risk of hospitalization for mental disorders other than psychosis in the year after ADHD medication initiation.</w:t>
      </w:r>
    </w:p>
    <w:p w14:paraId="3202E812" w14:textId="08981AB9" w:rsidR="000D5D57" w:rsidRDefault="00E7509D" w:rsidP="00CE26BE">
      <w:pPr>
        <w:spacing w:after="0" w:line="276" w:lineRule="auto"/>
        <w:jc w:val="both"/>
        <w:rPr>
          <w:rFonts w:ascii="Times New Roman" w:hAnsi="Times New Roman" w:cs="Times New Roman"/>
          <w:i/>
          <w:iCs/>
          <w:noProof/>
          <w:sz w:val="20"/>
          <w:szCs w:val="20"/>
        </w:rPr>
      </w:pPr>
      <w:r>
        <w:rPr>
          <w:rFonts w:ascii="Times New Roman" w:hAnsi="Times New Roman" w:cs="Times New Roman"/>
          <w:i/>
          <w:iCs/>
          <w:noProof/>
          <w:sz w:val="20"/>
          <w:szCs w:val="20"/>
          <w:lang w:val="fr-CA"/>
        </w:rPr>
        <w:drawing>
          <wp:inline distT="0" distB="0" distL="0" distR="0" wp14:anchorId="2A900AA1" wp14:editId="6513C699">
            <wp:extent cx="4572000" cy="3200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restPlot_CU_TDAH_HOSPAutSM_8sept20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inline>
        </w:drawing>
      </w:r>
    </w:p>
    <w:p w14:paraId="4E45D2C5" w14:textId="1356C505" w:rsidR="00E7509D" w:rsidRDefault="00E7509D" w:rsidP="00CE26BE">
      <w:pPr>
        <w:spacing w:after="0" w:line="240" w:lineRule="auto"/>
        <w:jc w:val="both"/>
        <w:rPr>
          <w:rFonts w:ascii="Times New Roman" w:hAnsi="Times New Roman" w:cs="Times New Roman"/>
          <w:i/>
          <w:iCs/>
          <w:noProof/>
          <w:sz w:val="20"/>
          <w:szCs w:val="20"/>
        </w:rPr>
      </w:pPr>
      <w:r>
        <w:rPr>
          <w:rFonts w:ascii="Times New Roman" w:hAnsi="Times New Roman" w:cs="Times New Roman"/>
          <w:i/>
          <w:iCs/>
          <w:noProof/>
          <w:sz w:val="20"/>
          <w:szCs w:val="20"/>
          <w:lang w:val="fr-CA"/>
        </w:rPr>
        <w:drawing>
          <wp:inline distT="0" distB="0" distL="0" distR="0" wp14:anchorId="02D116A7" wp14:editId="3A18D0EC">
            <wp:extent cx="4572000" cy="3200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restPlot_CU_TDAH_groupe_HOSPAutSM_8sept202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inline>
        </w:drawing>
      </w:r>
    </w:p>
    <w:p w14:paraId="604F2DB8" w14:textId="0975D865" w:rsidR="001F25CC" w:rsidRPr="00C17681" w:rsidRDefault="001F25CC" w:rsidP="00956EF8">
      <w:pPr>
        <w:spacing w:before="60" w:after="0" w:line="480" w:lineRule="auto"/>
        <w:jc w:val="both"/>
        <w:rPr>
          <w:rFonts w:ascii="Times New Roman" w:hAnsi="Times New Roman" w:cs="Times New Roman"/>
          <w:i/>
          <w:iCs/>
          <w:sz w:val="20"/>
          <w:szCs w:val="20"/>
        </w:rPr>
      </w:pPr>
      <w:r w:rsidRPr="00C17681">
        <w:rPr>
          <w:rFonts w:ascii="Times New Roman" w:hAnsi="Times New Roman" w:cs="Times New Roman"/>
          <w:i/>
          <w:iCs/>
          <w:noProof/>
          <w:sz w:val="20"/>
          <w:szCs w:val="20"/>
        </w:rPr>
        <w:t xml:space="preserve">ADHD, attention-deficit/hyperactivity disorder; </w:t>
      </w:r>
      <w:proofErr w:type="spellStart"/>
      <w:r w:rsidRPr="00C17681">
        <w:rPr>
          <w:rFonts w:ascii="Times New Roman" w:hAnsi="Times New Roman" w:cs="Times New Roman"/>
          <w:i/>
          <w:iCs/>
          <w:sz w:val="20"/>
          <w:szCs w:val="20"/>
        </w:rPr>
        <w:t>aHR</w:t>
      </w:r>
      <w:proofErr w:type="spellEnd"/>
      <w:r w:rsidRPr="00C17681">
        <w:rPr>
          <w:rFonts w:ascii="Times New Roman" w:hAnsi="Times New Roman" w:cs="Times New Roman"/>
          <w:i/>
          <w:iCs/>
          <w:sz w:val="20"/>
          <w:szCs w:val="20"/>
        </w:rPr>
        <w:t>, adjusted hazard ratio; AMP, amphetamine; AP, antipsychotic; ATX, atomoxetine; CI, confidence interval; CU, current use; GP, general practitioner; H, hospitalization; MPH, methylphenidate; Rx, medication; SES, socioeconomic status</w:t>
      </w:r>
      <w:r w:rsidR="006B3D3A">
        <w:rPr>
          <w:rFonts w:ascii="Times New Roman" w:hAnsi="Times New Roman" w:cs="Times New Roman"/>
          <w:i/>
          <w:iCs/>
          <w:sz w:val="20"/>
          <w:szCs w:val="20"/>
        </w:rPr>
        <w:t>; SUD, substance use disorder</w:t>
      </w:r>
    </w:p>
    <w:p w14:paraId="7BE9B4C0" w14:textId="7DC932E8" w:rsidR="007D258E" w:rsidRDefault="001F25CC" w:rsidP="00C17681">
      <w:pPr>
        <w:spacing w:line="480" w:lineRule="auto"/>
        <w:jc w:val="both"/>
        <w:rPr>
          <w:rFonts w:ascii="Times New Roman" w:hAnsi="Times New Roman" w:cs="Times New Roman"/>
          <w:i/>
          <w:iCs/>
          <w:sz w:val="20"/>
          <w:szCs w:val="20"/>
        </w:rPr>
      </w:pPr>
      <w:proofErr w:type="spellStart"/>
      <w:r w:rsidRPr="00C17681">
        <w:rPr>
          <w:rFonts w:ascii="Times New Roman" w:hAnsi="Times New Roman" w:cs="Times New Roman"/>
          <w:i/>
          <w:iCs/>
          <w:sz w:val="20"/>
          <w:szCs w:val="20"/>
        </w:rPr>
        <w:t>aHR</w:t>
      </w:r>
      <w:proofErr w:type="spellEnd"/>
      <w:r w:rsidRPr="00C17681">
        <w:rPr>
          <w:rFonts w:ascii="Times New Roman" w:hAnsi="Times New Roman" w:cs="Times New Roman"/>
          <w:i/>
          <w:iCs/>
          <w:sz w:val="20"/>
          <w:szCs w:val="20"/>
        </w:rPr>
        <w:t xml:space="preserve"> (95% CI) associated with each covariable.</w:t>
      </w:r>
    </w:p>
    <w:p w14:paraId="368A2536" w14:textId="77777777" w:rsidR="007D258E" w:rsidRDefault="007D258E" w:rsidP="007D258E">
      <w:pPr>
        <w:spacing w:after="0" w:line="480" w:lineRule="auto"/>
        <w:jc w:val="both"/>
        <w:rPr>
          <w:rFonts w:ascii="Times New Roman" w:hAnsi="Times New Roman" w:cs="Times New Roman"/>
          <w:b/>
        </w:rPr>
        <w:sectPr w:rsidR="007D258E" w:rsidSect="00C02136">
          <w:footerReference w:type="even" r:id="rId16"/>
          <w:footerReference w:type="default" r:id="rId17"/>
          <w:pgSz w:w="12240" w:h="15840"/>
          <w:pgMar w:top="1440" w:right="1440" w:bottom="1440" w:left="1440" w:header="708" w:footer="708" w:gutter="0"/>
          <w:cols w:space="720"/>
        </w:sectPr>
      </w:pPr>
    </w:p>
    <w:p w14:paraId="2310033A" w14:textId="5B4FF7F5" w:rsidR="001F25CC" w:rsidRPr="00C17681" w:rsidRDefault="001F25CC" w:rsidP="00D06C84">
      <w:pPr>
        <w:pStyle w:val="Heading1"/>
      </w:pPr>
      <w:r w:rsidRPr="00D06C84">
        <w:rPr>
          <w:rStyle w:val="Heading1Char"/>
          <w:b/>
          <w:bCs/>
        </w:rPr>
        <w:lastRenderedPageBreak/>
        <w:t>Supplementary Table 1</w:t>
      </w:r>
      <w:r w:rsidR="00614441" w:rsidRPr="00D06C84">
        <w:rPr>
          <w:rStyle w:val="Heading1Char"/>
          <w:b/>
          <w:bCs/>
        </w:rPr>
        <w:t>.</w:t>
      </w:r>
      <w:r w:rsidRPr="00614441">
        <w:rPr>
          <w:rStyle w:val="Heading1Char"/>
        </w:rPr>
        <w:t xml:space="preserve"> </w:t>
      </w:r>
      <w:r w:rsidRPr="00D06C84">
        <w:rPr>
          <w:rStyle w:val="Heading1Char"/>
        </w:rPr>
        <w:t>List and description of ICD-9 and ICD-10 for psychosis</w:t>
      </w:r>
      <w:r w:rsidR="00C17681" w:rsidRPr="00D06C84">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4"/>
        <w:gridCol w:w="3175"/>
        <w:gridCol w:w="794"/>
        <w:gridCol w:w="4588"/>
      </w:tblGrid>
      <w:tr w:rsidR="001F25CC" w:rsidRPr="00C17681" w14:paraId="5BB54CE0" w14:textId="77777777" w:rsidTr="00424D8D">
        <w:trPr>
          <w:trHeight w:val="340"/>
        </w:trPr>
        <w:tc>
          <w:tcPr>
            <w:tcW w:w="794" w:type="dxa"/>
            <w:shd w:val="clear" w:color="auto" w:fill="auto"/>
            <w:vAlign w:val="center"/>
            <w:hideMark/>
          </w:tcPr>
          <w:p w14:paraId="38589C37"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ICD-9</w:t>
            </w:r>
          </w:p>
        </w:tc>
        <w:tc>
          <w:tcPr>
            <w:tcW w:w="3175" w:type="dxa"/>
            <w:shd w:val="clear" w:color="auto" w:fill="auto"/>
            <w:vAlign w:val="center"/>
            <w:hideMark/>
          </w:tcPr>
          <w:p w14:paraId="3A6DC325"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Description</w:t>
            </w:r>
          </w:p>
        </w:tc>
        <w:tc>
          <w:tcPr>
            <w:tcW w:w="794" w:type="dxa"/>
            <w:vAlign w:val="center"/>
          </w:tcPr>
          <w:p w14:paraId="1FE44221"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ICD-10</w:t>
            </w:r>
          </w:p>
        </w:tc>
        <w:tc>
          <w:tcPr>
            <w:tcW w:w="4588" w:type="dxa"/>
            <w:vAlign w:val="center"/>
          </w:tcPr>
          <w:p w14:paraId="12C99DBE"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Description</w:t>
            </w:r>
          </w:p>
        </w:tc>
      </w:tr>
      <w:tr w:rsidR="001F25CC" w:rsidRPr="00C17681" w14:paraId="710A0750" w14:textId="77777777" w:rsidTr="00424D8D">
        <w:trPr>
          <w:trHeight w:val="340"/>
        </w:trPr>
        <w:tc>
          <w:tcPr>
            <w:tcW w:w="794" w:type="dxa"/>
            <w:shd w:val="clear" w:color="auto" w:fill="auto"/>
            <w:vAlign w:val="center"/>
          </w:tcPr>
          <w:p w14:paraId="555318D2"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295</w:t>
            </w:r>
          </w:p>
        </w:tc>
        <w:tc>
          <w:tcPr>
            <w:tcW w:w="3175" w:type="dxa"/>
            <w:shd w:val="clear" w:color="auto" w:fill="auto"/>
            <w:vAlign w:val="center"/>
          </w:tcPr>
          <w:p w14:paraId="6FEC1C42"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Schizophrenic disorders</w:t>
            </w:r>
          </w:p>
        </w:tc>
        <w:tc>
          <w:tcPr>
            <w:tcW w:w="794" w:type="dxa"/>
            <w:vAlign w:val="center"/>
          </w:tcPr>
          <w:p w14:paraId="5005065D"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F20</w:t>
            </w:r>
          </w:p>
        </w:tc>
        <w:tc>
          <w:tcPr>
            <w:tcW w:w="4588" w:type="dxa"/>
            <w:vAlign w:val="center"/>
          </w:tcPr>
          <w:p w14:paraId="6BD1F752"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Schizophrenia</w:t>
            </w:r>
          </w:p>
        </w:tc>
      </w:tr>
      <w:tr w:rsidR="001F25CC" w:rsidRPr="00C17681" w14:paraId="16E13532" w14:textId="77777777" w:rsidTr="00424D8D">
        <w:trPr>
          <w:trHeight w:val="340"/>
        </w:trPr>
        <w:tc>
          <w:tcPr>
            <w:tcW w:w="794" w:type="dxa"/>
            <w:shd w:val="clear" w:color="auto" w:fill="auto"/>
            <w:noWrap/>
            <w:vAlign w:val="center"/>
            <w:hideMark/>
          </w:tcPr>
          <w:p w14:paraId="28C7721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295.0</w:t>
            </w:r>
          </w:p>
        </w:tc>
        <w:tc>
          <w:tcPr>
            <w:tcW w:w="3175" w:type="dxa"/>
            <w:shd w:val="clear" w:color="auto" w:fill="auto"/>
            <w:vAlign w:val="center"/>
            <w:hideMark/>
          </w:tcPr>
          <w:p w14:paraId="067090BC"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Simple type</w:t>
            </w:r>
          </w:p>
        </w:tc>
        <w:tc>
          <w:tcPr>
            <w:tcW w:w="794" w:type="dxa"/>
            <w:vAlign w:val="center"/>
          </w:tcPr>
          <w:p w14:paraId="276D2E80"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F20.0</w:t>
            </w:r>
          </w:p>
        </w:tc>
        <w:tc>
          <w:tcPr>
            <w:tcW w:w="4588" w:type="dxa"/>
            <w:vAlign w:val="center"/>
          </w:tcPr>
          <w:p w14:paraId="229DB2CD"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Paranoid schizophrenia</w:t>
            </w:r>
          </w:p>
        </w:tc>
      </w:tr>
      <w:tr w:rsidR="001F25CC" w:rsidRPr="00C17681" w14:paraId="6498B6F4" w14:textId="77777777" w:rsidTr="00424D8D">
        <w:trPr>
          <w:trHeight w:val="340"/>
        </w:trPr>
        <w:tc>
          <w:tcPr>
            <w:tcW w:w="794" w:type="dxa"/>
            <w:shd w:val="clear" w:color="auto" w:fill="auto"/>
            <w:noWrap/>
            <w:vAlign w:val="center"/>
            <w:hideMark/>
          </w:tcPr>
          <w:p w14:paraId="58C28705"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295.1</w:t>
            </w:r>
          </w:p>
        </w:tc>
        <w:tc>
          <w:tcPr>
            <w:tcW w:w="3175" w:type="dxa"/>
            <w:shd w:val="clear" w:color="auto" w:fill="auto"/>
            <w:vAlign w:val="center"/>
            <w:hideMark/>
          </w:tcPr>
          <w:p w14:paraId="39C2AC13"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Hebephrenic type</w:t>
            </w:r>
          </w:p>
        </w:tc>
        <w:tc>
          <w:tcPr>
            <w:tcW w:w="794" w:type="dxa"/>
            <w:vAlign w:val="center"/>
          </w:tcPr>
          <w:p w14:paraId="7C5025E5"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F20.1</w:t>
            </w:r>
          </w:p>
        </w:tc>
        <w:tc>
          <w:tcPr>
            <w:tcW w:w="4588" w:type="dxa"/>
            <w:vAlign w:val="center"/>
          </w:tcPr>
          <w:p w14:paraId="29CACFF5"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Hebephrenic schizophrenia</w:t>
            </w:r>
          </w:p>
        </w:tc>
      </w:tr>
      <w:tr w:rsidR="001F25CC" w:rsidRPr="00C17681" w14:paraId="7EB6F023" w14:textId="77777777" w:rsidTr="00424D8D">
        <w:trPr>
          <w:trHeight w:val="340"/>
        </w:trPr>
        <w:tc>
          <w:tcPr>
            <w:tcW w:w="794" w:type="dxa"/>
            <w:shd w:val="clear" w:color="auto" w:fill="auto"/>
            <w:noWrap/>
            <w:vAlign w:val="center"/>
            <w:hideMark/>
          </w:tcPr>
          <w:p w14:paraId="51AF9D6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295.2</w:t>
            </w:r>
          </w:p>
        </w:tc>
        <w:tc>
          <w:tcPr>
            <w:tcW w:w="3175" w:type="dxa"/>
            <w:shd w:val="clear" w:color="auto" w:fill="auto"/>
            <w:vAlign w:val="center"/>
            <w:hideMark/>
          </w:tcPr>
          <w:p w14:paraId="5935A44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Catatonic type</w:t>
            </w:r>
          </w:p>
        </w:tc>
        <w:tc>
          <w:tcPr>
            <w:tcW w:w="794" w:type="dxa"/>
            <w:vAlign w:val="center"/>
          </w:tcPr>
          <w:p w14:paraId="79EBEBF1"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F20.2</w:t>
            </w:r>
          </w:p>
        </w:tc>
        <w:tc>
          <w:tcPr>
            <w:tcW w:w="4588" w:type="dxa"/>
            <w:vAlign w:val="center"/>
          </w:tcPr>
          <w:p w14:paraId="6AC7669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Catatonic schizophrenia</w:t>
            </w:r>
          </w:p>
        </w:tc>
      </w:tr>
      <w:tr w:rsidR="001F25CC" w:rsidRPr="00C17681" w14:paraId="4D4543DA" w14:textId="77777777" w:rsidTr="00424D8D">
        <w:trPr>
          <w:trHeight w:val="340"/>
        </w:trPr>
        <w:tc>
          <w:tcPr>
            <w:tcW w:w="794" w:type="dxa"/>
            <w:shd w:val="clear" w:color="auto" w:fill="auto"/>
            <w:noWrap/>
            <w:vAlign w:val="center"/>
            <w:hideMark/>
          </w:tcPr>
          <w:p w14:paraId="4B276DB8"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295.3</w:t>
            </w:r>
          </w:p>
        </w:tc>
        <w:tc>
          <w:tcPr>
            <w:tcW w:w="3175" w:type="dxa"/>
            <w:shd w:val="clear" w:color="auto" w:fill="auto"/>
            <w:vAlign w:val="center"/>
            <w:hideMark/>
          </w:tcPr>
          <w:p w14:paraId="42A90130"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Paranoid type</w:t>
            </w:r>
          </w:p>
        </w:tc>
        <w:tc>
          <w:tcPr>
            <w:tcW w:w="794" w:type="dxa"/>
            <w:vAlign w:val="center"/>
          </w:tcPr>
          <w:p w14:paraId="689F6401"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F20.3</w:t>
            </w:r>
          </w:p>
        </w:tc>
        <w:tc>
          <w:tcPr>
            <w:tcW w:w="4588" w:type="dxa"/>
            <w:vAlign w:val="center"/>
          </w:tcPr>
          <w:p w14:paraId="45CC64D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Undifferentiated schizophrenia</w:t>
            </w:r>
          </w:p>
        </w:tc>
      </w:tr>
      <w:tr w:rsidR="001F25CC" w:rsidRPr="00C17681" w14:paraId="48C0F765" w14:textId="77777777" w:rsidTr="00424D8D">
        <w:trPr>
          <w:trHeight w:val="340"/>
        </w:trPr>
        <w:tc>
          <w:tcPr>
            <w:tcW w:w="794" w:type="dxa"/>
            <w:shd w:val="clear" w:color="auto" w:fill="auto"/>
            <w:noWrap/>
            <w:vAlign w:val="center"/>
            <w:hideMark/>
          </w:tcPr>
          <w:p w14:paraId="7548E16D"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295.4</w:t>
            </w:r>
          </w:p>
        </w:tc>
        <w:tc>
          <w:tcPr>
            <w:tcW w:w="3175" w:type="dxa"/>
            <w:shd w:val="clear" w:color="auto" w:fill="auto"/>
            <w:vAlign w:val="center"/>
            <w:hideMark/>
          </w:tcPr>
          <w:p w14:paraId="07FD0DA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Acute schizophrenic episode</w:t>
            </w:r>
          </w:p>
        </w:tc>
        <w:tc>
          <w:tcPr>
            <w:tcW w:w="794" w:type="dxa"/>
            <w:vAlign w:val="center"/>
          </w:tcPr>
          <w:p w14:paraId="1200BD39"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F20.4</w:t>
            </w:r>
          </w:p>
        </w:tc>
        <w:tc>
          <w:tcPr>
            <w:tcW w:w="4588" w:type="dxa"/>
            <w:vAlign w:val="center"/>
          </w:tcPr>
          <w:p w14:paraId="4167DE1E"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Post-schizophrenic depression</w:t>
            </w:r>
          </w:p>
        </w:tc>
      </w:tr>
      <w:tr w:rsidR="001F25CC" w:rsidRPr="00C17681" w14:paraId="5D70B8E3" w14:textId="77777777" w:rsidTr="00424D8D">
        <w:trPr>
          <w:trHeight w:val="340"/>
        </w:trPr>
        <w:tc>
          <w:tcPr>
            <w:tcW w:w="794" w:type="dxa"/>
            <w:shd w:val="clear" w:color="auto" w:fill="auto"/>
            <w:noWrap/>
            <w:vAlign w:val="center"/>
            <w:hideMark/>
          </w:tcPr>
          <w:p w14:paraId="2DDFB70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295.5</w:t>
            </w:r>
          </w:p>
        </w:tc>
        <w:tc>
          <w:tcPr>
            <w:tcW w:w="3175" w:type="dxa"/>
            <w:shd w:val="clear" w:color="auto" w:fill="auto"/>
            <w:vAlign w:val="center"/>
            <w:hideMark/>
          </w:tcPr>
          <w:p w14:paraId="7A7C8EFB"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Latent schizophrenia</w:t>
            </w:r>
          </w:p>
        </w:tc>
        <w:tc>
          <w:tcPr>
            <w:tcW w:w="794" w:type="dxa"/>
            <w:vAlign w:val="center"/>
          </w:tcPr>
          <w:p w14:paraId="1786296C"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F20.5</w:t>
            </w:r>
          </w:p>
        </w:tc>
        <w:tc>
          <w:tcPr>
            <w:tcW w:w="4588" w:type="dxa"/>
            <w:vAlign w:val="center"/>
          </w:tcPr>
          <w:p w14:paraId="10EFDFFD"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Residual schizophrenia</w:t>
            </w:r>
          </w:p>
        </w:tc>
      </w:tr>
      <w:tr w:rsidR="001F25CC" w:rsidRPr="00C17681" w14:paraId="35529B10" w14:textId="77777777" w:rsidTr="00424D8D">
        <w:trPr>
          <w:trHeight w:val="340"/>
        </w:trPr>
        <w:tc>
          <w:tcPr>
            <w:tcW w:w="794" w:type="dxa"/>
            <w:shd w:val="clear" w:color="auto" w:fill="auto"/>
            <w:noWrap/>
            <w:vAlign w:val="center"/>
            <w:hideMark/>
          </w:tcPr>
          <w:p w14:paraId="4871BD59"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295.6</w:t>
            </w:r>
          </w:p>
        </w:tc>
        <w:tc>
          <w:tcPr>
            <w:tcW w:w="3175" w:type="dxa"/>
            <w:shd w:val="clear" w:color="auto" w:fill="auto"/>
            <w:noWrap/>
            <w:vAlign w:val="center"/>
            <w:hideMark/>
          </w:tcPr>
          <w:p w14:paraId="4E79D3DA"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Residual schizophrenia</w:t>
            </w:r>
          </w:p>
        </w:tc>
        <w:tc>
          <w:tcPr>
            <w:tcW w:w="794" w:type="dxa"/>
            <w:vAlign w:val="center"/>
          </w:tcPr>
          <w:p w14:paraId="32C127D7"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F20.6</w:t>
            </w:r>
          </w:p>
        </w:tc>
        <w:tc>
          <w:tcPr>
            <w:tcW w:w="4588" w:type="dxa"/>
            <w:vAlign w:val="center"/>
          </w:tcPr>
          <w:p w14:paraId="37222E2F"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Simple schizophrenia</w:t>
            </w:r>
          </w:p>
        </w:tc>
      </w:tr>
      <w:tr w:rsidR="001F25CC" w:rsidRPr="00C17681" w14:paraId="2A71BD74" w14:textId="77777777" w:rsidTr="00424D8D">
        <w:trPr>
          <w:trHeight w:val="340"/>
        </w:trPr>
        <w:tc>
          <w:tcPr>
            <w:tcW w:w="794" w:type="dxa"/>
            <w:shd w:val="clear" w:color="auto" w:fill="auto"/>
            <w:noWrap/>
            <w:vAlign w:val="center"/>
            <w:hideMark/>
          </w:tcPr>
          <w:p w14:paraId="3D13946C"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295.7</w:t>
            </w:r>
          </w:p>
        </w:tc>
        <w:tc>
          <w:tcPr>
            <w:tcW w:w="3175" w:type="dxa"/>
            <w:shd w:val="clear" w:color="auto" w:fill="auto"/>
            <w:vAlign w:val="center"/>
            <w:hideMark/>
          </w:tcPr>
          <w:p w14:paraId="3331C462" w14:textId="77777777" w:rsidR="001F25CC" w:rsidRPr="00C17681" w:rsidRDefault="001F25CC" w:rsidP="00C17681">
            <w:pPr>
              <w:spacing w:after="0" w:line="480" w:lineRule="auto"/>
              <w:rPr>
                <w:rFonts w:ascii="Times New Roman" w:hAnsi="Times New Roman" w:cs="Times New Roman"/>
                <w:sz w:val="18"/>
                <w:szCs w:val="18"/>
              </w:rPr>
            </w:pPr>
            <w:proofErr w:type="spellStart"/>
            <w:r w:rsidRPr="00C17681">
              <w:rPr>
                <w:rFonts w:ascii="Times New Roman" w:hAnsi="Times New Roman" w:cs="Times New Roman"/>
                <w:sz w:val="18"/>
                <w:szCs w:val="18"/>
              </w:rPr>
              <w:t>Schizo</w:t>
            </w:r>
            <w:proofErr w:type="spellEnd"/>
            <w:r w:rsidRPr="00C17681">
              <w:rPr>
                <w:rFonts w:ascii="Times New Roman" w:hAnsi="Times New Roman" w:cs="Times New Roman"/>
                <w:sz w:val="18"/>
                <w:szCs w:val="18"/>
              </w:rPr>
              <w:t>-affective type</w:t>
            </w:r>
          </w:p>
        </w:tc>
        <w:tc>
          <w:tcPr>
            <w:tcW w:w="794" w:type="dxa"/>
            <w:vAlign w:val="center"/>
          </w:tcPr>
          <w:p w14:paraId="1747B294"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F20.8</w:t>
            </w:r>
          </w:p>
        </w:tc>
        <w:tc>
          <w:tcPr>
            <w:tcW w:w="4588" w:type="dxa"/>
            <w:vAlign w:val="center"/>
          </w:tcPr>
          <w:p w14:paraId="349A9C7A"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Other</w:t>
            </w:r>
          </w:p>
        </w:tc>
      </w:tr>
      <w:tr w:rsidR="001F25CC" w:rsidRPr="00C17681" w14:paraId="33E7A4D4" w14:textId="77777777" w:rsidTr="00424D8D">
        <w:trPr>
          <w:trHeight w:val="340"/>
        </w:trPr>
        <w:tc>
          <w:tcPr>
            <w:tcW w:w="794" w:type="dxa"/>
            <w:shd w:val="clear" w:color="auto" w:fill="auto"/>
            <w:noWrap/>
            <w:vAlign w:val="center"/>
            <w:hideMark/>
          </w:tcPr>
          <w:p w14:paraId="687DC967"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295.8</w:t>
            </w:r>
          </w:p>
        </w:tc>
        <w:tc>
          <w:tcPr>
            <w:tcW w:w="3175" w:type="dxa"/>
            <w:shd w:val="clear" w:color="auto" w:fill="auto"/>
            <w:vAlign w:val="center"/>
            <w:hideMark/>
          </w:tcPr>
          <w:p w14:paraId="3CA47273"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Other</w:t>
            </w:r>
          </w:p>
        </w:tc>
        <w:tc>
          <w:tcPr>
            <w:tcW w:w="794" w:type="dxa"/>
            <w:vAlign w:val="center"/>
          </w:tcPr>
          <w:p w14:paraId="0BC76D30"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F20.9</w:t>
            </w:r>
          </w:p>
        </w:tc>
        <w:tc>
          <w:tcPr>
            <w:tcW w:w="4588" w:type="dxa"/>
            <w:vAlign w:val="center"/>
          </w:tcPr>
          <w:p w14:paraId="7CB481E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Unspecified</w:t>
            </w:r>
          </w:p>
        </w:tc>
      </w:tr>
      <w:tr w:rsidR="001F25CC" w:rsidRPr="00C17681" w14:paraId="644013A7" w14:textId="77777777" w:rsidTr="00424D8D">
        <w:trPr>
          <w:trHeight w:val="340"/>
        </w:trPr>
        <w:tc>
          <w:tcPr>
            <w:tcW w:w="794" w:type="dxa"/>
            <w:shd w:val="clear" w:color="auto" w:fill="auto"/>
            <w:noWrap/>
            <w:vAlign w:val="center"/>
            <w:hideMark/>
          </w:tcPr>
          <w:p w14:paraId="58AB17E1"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295.9</w:t>
            </w:r>
          </w:p>
        </w:tc>
        <w:tc>
          <w:tcPr>
            <w:tcW w:w="3175" w:type="dxa"/>
            <w:shd w:val="clear" w:color="auto" w:fill="auto"/>
            <w:vAlign w:val="center"/>
            <w:hideMark/>
          </w:tcPr>
          <w:p w14:paraId="36BFFBCA"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Unspecified</w:t>
            </w:r>
          </w:p>
        </w:tc>
        <w:tc>
          <w:tcPr>
            <w:tcW w:w="794" w:type="dxa"/>
            <w:vAlign w:val="center"/>
          </w:tcPr>
          <w:p w14:paraId="7E2B412E"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F21</w:t>
            </w:r>
          </w:p>
        </w:tc>
        <w:tc>
          <w:tcPr>
            <w:tcW w:w="4588" w:type="dxa"/>
            <w:vAlign w:val="center"/>
          </w:tcPr>
          <w:p w14:paraId="5C7088E1"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Schizotypal disorder</w:t>
            </w:r>
          </w:p>
        </w:tc>
      </w:tr>
      <w:tr w:rsidR="001F25CC" w:rsidRPr="00C17681" w14:paraId="4979A676" w14:textId="77777777" w:rsidTr="00424D8D">
        <w:trPr>
          <w:trHeight w:val="340"/>
        </w:trPr>
        <w:tc>
          <w:tcPr>
            <w:tcW w:w="794" w:type="dxa"/>
            <w:shd w:val="clear" w:color="auto" w:fill="auto"/>
            <w:noWrap/>
            <w:vAlign w:val="center"/>
          </w:tcPr>
          <w:p w14:paraId="093EC770"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297</w:t>
            </w:r>
          </w:p>
        </w:tc>
        <w:tc>
          <w:tcPr>
            <w:tcW w:w="3175" w:type="dxa"/>
            <w:shd w:val="clear" w:color="auto" w:fill="auto"/>
            <w:vAlign w:val="center"/>
          </w:tcPr>
          <w:p w14:paraId="4875B807"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Paranoid states</w:t>
            </w:r>
          </w:p>
        </w:tc>
        <w:tc>
          <w:tcPr>
            <w:tcW w:w="794" w:type="dxa"/>
            <w:vAlign w:val="center"/>
          </w:tcPr>
          <w:p w14:paraId="6721C20D"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F22</w:t>
            </w:r>
          </w:p>
        </w:tc>
        <w:tc>
          <w:tcPr>
            <w:tcW w:w="4588" w:type="dxa"/>
            <w:vAlign w:val="center"/>
          </w:tcPr>
          <w:p w14:paraId="151E60F0"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Persistent delusional disorders</w:t>
            </w:r>
          </w:p>
        </w:tc>
      </w:tr>
      <w:tr w:rsidR="001F25CC" w:rsidRPr="00C17681" w14:paraId="7A7522AC" w14:textId="77777777" w:rsidTr="00424D8D">
        <w:trPr>
          <w:trHeight w:val="340"/>
        </w:trPr>
        <w:tc>
          <w:tcPr>
            <w:tcW w:w="794" w:type="dxa"/>
            <w:shd w:val="clear" w:color="auto" w:fill="auto"/>
            <w:noWrap/>
            <w:vAlign w:val="center"/>
            <w:hideMark/>
          </w:tcPr>
          <w:p w14:paraId="5AF3DD73"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297.0</w:t>
            </w:r>
          </w:p>
        </w:tc>
        <w:tc>
          <w:tcPr>
            <w:tcW w:w="3175" w:type="dxa"/>
            <w:shd w:val="clear" w:color="auto" w:fill="auto"/>
            <w:noWrap/>
            <w:vAlign w:val="center"/>
            <w:hideMark/>
          </w:tcPr>
          <w:p w14:paraId="588363C9"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Paranoid state, simple</w:t>
            </w:r>
          </w:p>
        </w:tc>
        <w:tc>
          <w:tcPr>
            <w:tcW w:w="794" w:type="dxa"/>
            <w:vAlign w:val="center"/>
          </w:tcPr>
          <w:p w14:paraId="4397FC2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F22.0</w:t>
            </w:r>
          </w:p>
        </w:tc>
        <w:tc>
          <w:tcPr>
            <w:tcW w:w="4588" w:type="dxa"/>
            <w:vAlign w:val="center"/>
          </w:tcPr>
          <w:p w14:paraId="38B10763"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Delusional disorder</w:t>
            </w:r>
          </w:p>
        </w:tc>
      </w:tr>
      <w:tr w:rsidR="001F25CC" w:rsidRPr="00C17681" w14:paraId="76BCEFBB" w14:textId="77777777" w:rsidTr="00424D8D">
        <w:trPr>
          <w:trHeight w:val="340"/>
        </w:trPr>
        <w:tc>
          <w:tcPr>
            <w:tcW w:w="794" w:type="dxa"/>
            <w:shd w:val="clear" w:color="auto" w:fill="auto"/>
            <w:noWrap/>
            <w:vAlign w:val="center"/>
            <w:hideMark/>
          </w:tcPr>
          <w:p w14:paraId="7AC02C2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297.1</w:t>
            </w:r>
          </w:p>
        </w:tc>
        <w:tc>
          <w:tcPr>
            <w:tcW w:w="3175" w:type="dxa"/>
            <w:shd w:val="clear" w:color="auto" w:fill="auto"/>
            <w:vAlign w:val="center"/>
            <w:hideMark/>
          </w:tcPr>
          <w:p w14:paraId="396A9DD3"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Paranoia</w:t>
            </w:r>
          </w:p>
        </w:tc>
        <w:tc>
          <w:tcPr>
            <w:tcW w:w="794" w:type="dxa"/>
            <w:vAlign w:val="center"/>
          </w:tcPr>
          <w:p w14:paraId="4A357068"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F22.8</w:t>
            </w:r>
          </w:p>
        </w:tc>
        <w:tc>
          <w:tcPr>
            <w:tcW w:w="4588" w:type="dxa"/>
            <w:vAlign w:val="center"/>
          </w:tcPr>
          <w:p w14:paraId="7F262DEE"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Other</w:t>
            </w:r>
          </w:p>
        </w:tc>
      </w:tr>
      <w:tr w:rsidR="001F25CC" w:rsidRPr="00C17681" w14:paraId="1040D3D9" w14:textId="77777777" w:rsidTr="00424D8D">
        <w:trPr>
          <w:trHeight w:val="340"/>
        </w:trPr>
        <w:tc>
          <w:tcPr>
            <w:tcW w:w="794" w:type="dxa"/>
            <w:shd w:val="clear" w:color="auto" w:fill="auto"/>
            <w:noWrap/>
            <w:vAlign w:val="center"/>
            <w:hideMark/>
          </w:tcPr>
          <w:p w14:paraId="4945C4E8"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297.2</w:t>
            </w:r>
          </w:p>
        </w:tc>
        <w:tc>
          <w:tcPr>
            <w:tcW w:w="3175" w:type="dxa"/>
            <w:shd w:val="clear" w:color="auto" w:fill="auto"/>
            <w:vAlign w:val="center"/>
            <w:hideMark/>
          </w:tcPr>
          <w:p w14:paraId="149FC86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Paraphrenia</w:t>
            </w:r>
          </w:p>
        </w:tc>
        <w:tc>
          <w:tcPr>
            <w:tcW w:w="794" w:type="dxa"/>
            <w:vAlign w:val="center"/>
          </w:tcPr>
          <w:p w14:paraId="50D711BF"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F22.9</w:t>
            </w:r>
          </w:p>
        </w:tc>
        <w:tc>
          <w:tcPr>
            <w:tcW w:w="4588" w:type="dxa"/>
            <w:vAlign w:val="center"/>
          </w:tcPr>
          <w:p w14:paraId="65D0A46D"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Unspecified</w:t>
            </w:r>
          </w:p>
        </w:tc>
      </w:tr>
      <w:tr w:rsidR="001F25CC" w:rsidRPr="00C17681" w14:paraId="2E726034" w14:textId="77777777" w:rsidTr="00424D8D">
        <w:trPr>
          <w:trHeight w:val="340"/>
        </w:trPr>
        <w:tc>
          <w:tcPr>
            <w:tcW w:w="794" w:type="dxa"/>
            <w:shd w:val="clear" w:color="auto" w:fill="auto"/>
            <w:noWrap/>
            <w:vAlign w:val="center"/>
            <w:hideMark/>
          </w:tcPr>
          <w:p w14:paraId="220BF50A"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297.3</w:t>
            </w:r>
          </w:p>
        </w:tc>
        <w:tc>
          <w:tcPr>
            <w:tcW w:w="3175" w:type="dxa"/>
            <w:shd w:val="clear" w:color="auto" w:fill="auto"/>
            <w:vAlign w:val="center"/>
            <w:hideMark/>
          </w:tcPr>
          <w:p w14:paraId="3FC445DE"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Induced psychosis</w:t>
            </w:r>
          </w:p>
        </w:tc>
        <w:tc>
          <w:tcPr>
            <w:tcW w:w="794" w:type="dxa"/>
            <w:vAlign w:val="center"/>
          </w:tcPr>
          <w:p w14:paraId="67B92931"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F23</w:t>
            </w:r>
          </w:p>
        </w:tc>
        <w:tc>
          <w:tcPr>
            <w:tcW w:w="4588" w:type="dxa"/>
            <w:vAlign w:val="center"/>
          </w:tcPr>
          <w:p w14:paraId="456E2AF2"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Acute and transient psychotic disorders</w:t>
            </w:r>
          </w:p>
        </w:tc>
      </w:tr>
      <w:tr w:rsidR="001F25CC" w:rsidRPr="00C17681" w14:paraId="126A5203" w14:textId="77777777" w:rsidTr="00424D8D">
        <w:trPr>
          <w:trHeight w:val="340"/>
        </w:trPr>
        <w:tc>
          <w:tcPr>
            <w:tcW w:w="794" w:type="dxa"/>
            <w:shd w:val="clear" w:color="auto" w:fill="auto"/>
            <w:noWrap/>
            <w:vAlign w:val="center"/>
            <w:hideMark/>
          </w:tcPr>
          <w:p w14:paraId="74E1800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297.8</w:t>
            </w:r>
          </w:p>
        </w:tc>
        <w:tc>
          <w:tcPr>
            <w:tcW w:w="3175" w:type="dxa"/>
            <w:shd w:val="clear" w:color="auto" w:fill="auto"/>
            <w:noWrap/>
            <w:vAlign w:val="center"/>
            <w:hideMark/>
          </w:tcPr>
          <w:p w14:paraId="09F8B3C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Other</w:t>
            </w:r>
          </w:p>
        </w:tc>
        <w:tc>
          <w:tcPr>
            <w:tcW w:w="794" w:type="dxa"/>
            <w:vAlign w:val="center"/>
          </w:tcPr>
          <w:p w14:paraId="2514C3AA"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F23.0</w:t>
            </w:r>
          </w:p>
        </w:tc>
        <w:tc>
          <w:tcPr>
            <w:tcW w:w="4588" w:type="dxa"/>
            <w:vAlign w:val="center"/>
          </w:tcPr>
          <w:p w14:paraId="28A30E5A"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Acute polymorphic psychotic disorder without symptoms of schizophrenia</w:t>
            </w:r>
          </w:p>
        </w:tc>
      </w:tr>
      <w:tr w:rsidR="001F25CC" w:rsidRPr="00C17681" w14:paraId="024C86F6" w14:textId="77777777" w:rsidTr="00424D8D">
        <w:trPr>
          <w:trHeight w:val="340"/>
        </w:trPr>
        <w:tc>
          <w:tcPr>
            <w:tcW w:w="794" w:type="dxa"/>
            <w:shd w:val="clear" w:color="auto" w:fill="auto"/>
            <w:noWrap/>
            <w:vAlign w:val="center"/>
            <w:hideMark/>
          </w:tcPr>
          <w:p w14:paraId="13D9033A"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297.9</w:t>
            </w:r>
          </w:p>
        </w:tc>
        <w:tc>
          <w:tcPr>
            <w:tcW w:w="3175" w:type="dxa"/>
            <w:shd w:val="clear" w:color="auto" w:fill="auto"/>
            <w:noWrap/>
            <w:vAlign w:val="center"/>
            <w:hideMark/>
          </w:tcPr>
          <w:p w14:paraId="075D7C2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Unspecified</w:t>
            </w:r>
          </w:p>
        </w:tc>
        <w:tc>
          <w:tcPr>
            <w:tcW w:w="794" w:type="dxa"/>
            <w:vAlign w:val="center"/>
          </w:tcPr>
          <w:p w14:paraId="28707A80"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F23.1</w:t>
            </w:r>
          </w:p>
        </w:tc>
        <w:tc>
          <w:tcPr>
            <w:tcW w:w="4588" w:type="dxa"/>
            <w:vAlign w:val="center"/>
          </w:tcPr>
          <w:p w14:paraId="7E1838EB"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Acute polymorphic psychotic disorder with symptoms of schizophrenia</w:t>
            </w:r>
          </w:p>
        </w:tc>
      </w:tr>
      <w:tr w:rsidR="001F25CC" w:rsidRPr="00C17681" w14:paraId="5917C25C" w14:textId="77777777" w:rsidTr="00424D8D">
        <w:trPr>
          <w:trHeight w:val="340"/>
        </w:trPr>
        <w:tc>
          <w:tcPr>
            <w:tcW w:w="794" w:type="dxa"/>
            <w:shd w:val="clear" w:color="auto" w:fill="auto"/>
            <w:noWrap/>
            <w:vAlign w:val="center"/>
          </w:tcPr>
          <w:p w14:paraId="4CE23AF2"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298</w:t>
            </w:r>
          </w:p>
        </w:tc>
        <w:tc>
          <w:tcPr>
            <w:tcW w:w="3175" w:type="dxa"/>
            <w:shd w:val="clear" w:color="auto" w:fill="auto"/>
            <w:noWrap/>
            <w:vAlign w:val="center"/>
          </w:tcPr>
          <w:p w14:paraId="1DFC3CDF"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Other nonorganic psychoses</w:t>
            </w:r>
          </w:p>
        </w:tc>
        <w:tc>
          <w:tcPr>
            <w:tcW w:w="794" w:type="dxa"/>
            <w:vAlign w:val="center"/>
          </w:tcPr>
          <w:p w14:paraId="70B7F127"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F23.2</w:t>
            </w:r>
          </w:p>
        </w:tc>
        <w:tc>
          <w:tcPr>
            <w:tcW w:w="4588" w:type="dxa"/>
            <w:vAlign w:val="center"/>
          </w:tcPr>
          <w:p w14:paraId="5BAB639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Acute schizophrenia-like psychotic disorder</w:t>
            </w:r>
          </w:p>
        </w:tc>
      </w:tr>
      <w:tr w:rsidR="001F25CC" w:rsidRPr="00C17681" w14:paraId="6D02C79C" w14:textId="77777777" w:rsidTr="00424D8D">
        <w:trPr>
          <w:trHeight w:val="340"/>
        </w:trPr>
        <w:tc>
          <w:tcPr>
            <w:tcW w:w="794" w:type="dxa"/>
            <w:shd w:val="clear" w:color="auto" w:fill="auto"/>
            <w:noWrap/>
            <w:vAlign w:val="center"/>
          </w:tcPr>
          <w:p w14:paraId="7F8839F4"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298.0</w:t>
            </w:r>
          </w:p>
        </w:tc>
        <w:tc>
          <w:tcPr>
            <w:tcW w:w="3175" w:type="dxa"/>
            <w:shd w:val="clear" w:color="auto" w:fill="auto"/>
            <w:noWrap/>
            <w:vAlign w:val="center"/>
          </w:tcPr>
          <w:p w14:paraId="2824537B"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Depressive type</w:t>
            </w:r>
          </w:p>
        </w:tc>
        <w:tc>
          <w:tcPr>
            <w:tcW w:w="794" w:type="dxa"/>
            <w:vAlign w:val="center"/>
          </w:tcPr>
          <w:p w14:paraId="14A369AE"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F23.3</w:t>
            </w:r>
          </w:p>
        </w:tc>
        <w:tc>
          <w:tcPr>
            <w:tcW w:w="4588" w:type="dxa"/>
            <w:vAlign w:val="center"/>
          </w:tcPr>
          <w:p w14:paraId="5C1A0370"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Other acute predominantly delusional psychotic disorders</w:t>
            </w:r>
          </w:p>
        </w:tc>
      </w:tr>
      <w:tr w:rsidR="001F25CC" w:rsidRPr="00C17681" w14:paraId="5B9A5D8B" w14:textId="77777777" w:rsidTr="00424D8D">
        <w:trPr>
          <w:trHeight w:val="340"/>
        </w:trPr>
        <w:tc>
          <w:tcPr>
            <w:tcW w:w="794" w:type="dxa"/>
            <w:shd w:val="clear" w:color="auto" w:fill="auto"/>
            <w:noWrap/>
            <w:vAlign w:val="center"/>
          </w:tcPr>
          <w:p w14:paraId="1EB0A967"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298.1</w:t>
            </w:r>
          </w:p>
        </w:tc>
        <w:tc>
          <w:tcPr>
            <w:tcW w:w="3175" w:type="dxa"/>
            <w:shd w:val="clear" w:color="auto" w:fill="auto"/>
            <w:noWrap/>
            <w:vAlign w:val="center"/>
          </w:tcPr>
          <w:p w14:paraId="7A5FA67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Excitative type</w:t>
            </w:r>
          </w:p>
        </w:tc>
        <w:tc>
          <w:tcPr>
            <w:tcW w:w="794" w:type="dxa"/>
            <w:vAlign w:val="center"/>
          </w:tcPr>
          <w:p w14:paraId="4281F919"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F23.8</w:t>
            </w:r>
          </w:p>
        </w:tc>
        <w:tc>
          <w:tcPr>
            <w:tcW w:w="4588" w:type="dxa"/>
            <w:vAlign w:val="center"/>
          </w:tcPr>
          <w:p w14:paraId="0F3E1438"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Other</w:t>
            </w:r>
          </w:p>
        </w:tc>
      </w:tr>
      <w:tr w:rsidR="001F25CC" w:rsidRPr="00C17681" w14:paraId="429D3144" w14:textId="77777777" w:rsidTr="00424D8D">
        <w:trPr>
          <w:trHeight w:val="340"/>
        </w:trPr>
        <w:tc>
          <w:tcPr>
            <w:tcW w:w="794" w:type="dxa"/>
            <w:shd w:val="clear" w:color="auto" w:fill="auto"/>
            <w:noWrap/>
            <w:vAlign w:val="center"/>
          </w:tcPr>
          <w:p w14:paraId="4C0375FC"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298.2</w:t>
            </w:r>
          </w:p>
        </w:tc>
        <w:tc>
          <w:tcPr>
            <w:tcW w:w="3175" w:type="dxa"/>
            <w:shd w:val="clear" w:color="auto" w:fill="auto"/>
            <w:noWrap/>
            <w:vAlign w:val="center"/>
          </w:tcPr>
          <w:p w14:paraId="3BD2323E"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Reactive confusion</w:t>
            </w:r>
          </w:p>
        </w:tc>
        <w:tc>
          <w:tcPr>
            <w:tcW w:w="794" w:type="dxa"/>
            <w:vAlign w:val="center"/>
          </w:tcPr>
          <w:p w14:paraId="09DE4B5E"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F23.9</w:t>
            </w:r>
          </w:p>
        </w:tc>
        <w:tc>
          <w:tcPr>
            <w:tcW w:w="4588" w:type="dxa"/>
            <w:vAlign w:val="center"/>
          </w:tcPr>
          <w:p w14:paraId="2FFE1CA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Unspecified</w:t>
            </w:r>
          </w:p>
        </w:tc>
      </w:tr>
      <w:tr w:rsidR="001F25CC" w:rsidRPr="00C17681" w14:paraId="1C68491D" w14:textId="77777777" w:rsidTr="00424D8D">
        <w:trPr>
          <w:trHeight w:val="340"/>
        </w:trPr>
        <w:tc>
          <w:tcPr>
            <w:tcW w:w="794" w:type="dxa"/>
            <w:shd w:val="clear" w:color="auto" w:fill="auto"/>
            <w:noWrap/>
            <w:vAlign w:val="center"/>
          </w:tcPr>
          <w:p w14:paraId="2377E34F"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298.3</w:t>
            </w:r>
          </w:p>
        </w:tc>
        <w:tc>
          <w:tcPr>
            <w:tcW w:w="3175" w:type="dxa"/>
            <w:shd w:val="clear" w:color="auto" w:fill="auto"/>
            <w:noWrap/>
            <w:vAlign w:val="center"/>
          </w:tcPr>
          <w:p w14:paraId="49580CDD"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Acute paranoid reaction</w:t>
            </w:r>
          </w:p>
        </w:tc>
        <w:tc>
          <w:tcPr>
            <w:tcW w:w="794" w:type="dxa"/>
            <w:vAlign w:val="center"/>
          </w:tcPr>
          <w:p w14:paraId="51F258D8"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F24</w:t>
            </w:r>
          </w:p>
        </w:tc>
        <w:tc>
          <w:tcPr>
            <w:tcW w:w="4588" w:type="dxa"/>
            <w:vAlign w:val="center"/>
          </w:tcPr>
          <w:p w14:paraId="59473926"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Induced delusional disorder</w:t>
            </w:r>
          </w:p>
        </w:tc>
      </w:tr>
      <w:tr w:rsidR="001F25CC" w:rsidRPr="00C17681" w14:paraId="03A28231" w14:textId="77777777" w:rsidTr="00424D8D">
        <w:trPr>
          <w:trHeight w:val="340"/>
        </w:trPr>
        <w:tc>
          <w:tcPr>
            <w:tcW w:w="794" w:type="dxa"/>
            <w:shd w:val="clear" w:color="auto" w:fill="auto"/>
            <w:noWrap/>
            <w:vAlign w:val="center"/>
            <w:hideMark/>
          </w:tcPr>
          <w:p w14:paraId="67C99CFF"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298.4</w:t>
            </w:r>
          </w:p>
        </w:tc>
        <w:tc>
          <w:tcPr>
            <w:tcW w:w="3175" w:type="dxa"/>
            <w:shd w:val="clear" w:color="auto" w:fill="auto"/>
            <w:noWrap/>
            <w:vAlign w:val="center"/>
            <w:hideMark/>
          </w:tcPr>
          <w:p w14:paraId="3C98DD1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Psychogenic paranoid psychosis</w:t>
            </w:r>
          </w:p>
        </w:tc>
        <w:tc>
          <w:tcPr>
            <w:tcW w:w="794" w:type="dxa"/>
            <w:vAlign w:val="center"/>
          </w:tcPr>
          <w:p w14:paraId="4F65CDBC"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F25</w:t>
            </w:r>
          </w:p>
        </w:tc>
        <w:tc>
          <w:tcPr>
            <w:tcW w:w="4588" w:type="dxa"/>
            <w:vAlign w:val="center"/>
          </w:tcPr>
          <w:p w14:paraId="0F92891B"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Schizoaffective disorders</w:t>
            </w:r>
          </w:p>
        </w:tc>
      </w:tr>
      <w:tr w:rsidR="001F25CC" w:rsidRPr="00C17681" w14:paraId="1B64B749" w14:textId="77777777" w:rsidTr="00424D8D">
        <w:trPr>
          <w:trHeight w:val="340"/>
        </w:trPr>
        <w:tc>
          <w:tcPr>
            <w:tcW w:w="794" w:type="dxa"/>
            <w:shd w:val="clear" w:color="auto" w:fill="auto"/>
            <w:noWrap/>
            <w:vAlign w:val="center"/>
            <w:hideMark/>
          </w:tcPr>
          <w:p w14:paraId="0C6939D1"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298.8</w:t>
            </w:r>
          </w:p>
        </w:tc>
        <w:tc>
          <w:tcPr>
            <w:tcW w:w="3175" w:type="dxa"/>
            <w:shd w:val="clear" w:color="auto" w:fill="auto"/>
            <w:noWrap/>
            <w:vAlign w:val="center"/>
            <w:hideMark/>
          </w:tcPr>
          <w:p w14:paraId="3BDBBA41"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Other and unspecified reactive psychosis</w:t>
            </w:r>
          </w:p>
        </w:tc>
        <w:tc>
          <w:tcPr>
            <w:tcW w:w="794" w:type="dxa"/>
            <w:vAlign w:val="center"/>
          </w:tcPr>
          <w:p w14:paraId="77851358"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F25.0</w:t>
            </w:r>
          </w:p>
        </w:tc>
        <w:tc>
          <w:tcPr>
            <w:tcW w:w="4588" w:type="dxa"/>
            <w:vAlign w:val="center"/>
          </w:tcPr>
          <w:p w14:paraId="47441EF7"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Manic type</w:t>
            </w:r>
          </w:p>
        </w:tc>
      </w:tr>
      <w:tr w:rsidR="001F25CC" w:rsidRPr="00C17681" w14:paraId="5A6FD6CF" w14:textId="77777777" w:rsidTr="00424D8D">
        <w:trPr>
          <w:trHeight w:val="340"/>
        </w:trPr>
        <w:tc>
          <w:tcPr>
            <w:tcW w:w="794" w:type="dxa"/>
            <w:shd w:val="clear" w:color="auto" w:fill="auto"/>
            <w:noWrap/>
            <w:vAlign w:val="center"/>
            <w:hideMark/>
          </w:tcPr>
          <w:p w14:paraId="01D81EED"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298.9</w:t>
            </w:r>
          </w:p>
        </w:tc>
        <w:tc>
          <w:tcPr>
            <w:tcW w:w="3175" w:type="dxa"/>
            <w:shd w:val="clear" w:color="auto" w:fill="auto"/>
            <w:noWrap/>
            <w:vAlign w:val="center"/>
            <w:hideMark/>
          </w:tcPr>
          <w:p w14:paraId="5B270E70"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Unspecified psychosis</w:t>
            </w:r>
          </w:p>
        </w:tc>
        <w:tc>
          <w:tcPr>
            <w:tcW w:w="794" w:type="dxa"/>
            <w:vAlign w:val="center"/>
          </w:tcPr>
          <w:p w14:paraId="0461BC34"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F25.1</w:t>
            </w:r>
          </w:p>
        </w:tc>
        <w:tc>
          <w:tcPr>
            <w:tcW w:w="4588" w:type="dxa"/>
            <w:vAlign w:val="center"/>
          </w:tcPr>
          <w:p w14:paraId="347DD56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Depressive type</w:t>
            </w:r>
          </w:p>
        </w:tc>
      </w:tr>
      <w:tr w:rsidR="001F25CC" w:rsidRPr="00C17681" w14:paraId="38488222" w14:textId="77777777" w:rsidTr="00424D8D">
        <w:trPr>
          <w:trHeight w:val="340"/>
        </w:trPr>
        <w:tc>
          <w:tcPr>
            <w:tcW w:w="794" w:type="dxa"/>
            <w:shd w:val="clear" w:color="auto" w:fill="auto"/>
            <w:noWrap/>
            <w:vAlign w:val="center"/>
          </w:tcPr>
          <w:p w14:paraId="0F90A49C" w14:textId="77777777" w:rsidR="001F25CC" w:rsidRPr="00C17681" w:rsidRDefault="001F25CC" w:rsidP="00C17681">
            <w:pPr>
              <w:spacing w:after="0" w:line="480" w:lineRule="auto"/>
              <w:rPr>
                <w:rFonts w:ascii="Times New Roman" w:hAnsi="Times New Roman" w:cs="Times New Roman"/>
                <w:sz w:val="18"/>
                <w:szCs w:val="18"/>
              </w:rPr>
            </w:pPr>
          </w:p>
        </w:tc>
        <w:tc>
          <w:tcPr>
            <w:tcW w:w="3175" w:type="dxa"/>
            <w:shd w:val="clear" w:color="auto" w:fill="auto"/>
            <w:noWrap/>
            <w:vAlign w:val="center"/>
          </w:tcPr>
          <w:p w14:paraId="3B07AD3E" w14:textId="77777777" w:rsidR="001F25CC" w:rsidRPr="00C17681" w:rsidRDefault="001F25CC" w:rsidP="00C17681">
            <w:pPr>
              <w:spacing w:after="0" w:line="480" w:lineRule="auto"/>
              <w:rPr>
                <w:rFonts w:ascii="Times New Roman" w:hAnsi="Times New Roman" w:cs="Times New Roman"/>
                <w:sz w:val="18"/>
                <w:szCs w:val="18"/>
              </w:rPr>
            </w:pPr>
          </w:p>
        </w:tc>
        <w:tc>
          <w:tcPr>
            <w:tcW w:w="794" w:type="dxa"/>
            <w:vAlign w:val="center"/>
          </w:tcPr>
          <w:p w14:paraId="308E02AF"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F25.2</w:t>
            </w:r>
          </w:p>
        </w:tc>
        <w:tc>
          <w:tcPr>
            <w:tcW w:w="4588" w:type="dxa"/>
            <w:vAlign w:val="center"/>
          </w:tcPr>
          <w:p w14:paraId="5309C14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Mixed type</w:t>
            </w:r>
          </w:p>
        </w:tc>
      </w:tr>
      <w:tr w:rsidR="001F25CC" w:rsidRPr="00C17681" w14:paraId="0B9E9E94" w14:textId="77777777" w:rsidTr="00424D8D">
        <w:trPr>
          <w:trHeight w:val="340"/>
        </w:trPr>
        <w:tc>
          <w:tcPr>
            <w:tcW w:w="794" w:type="dxa"/>
            <w:shd w:val="clear" w:color="auto" w:fill="auto"/>
            <w:noWrap/>
            <w:vAlign w:val="center"/>
          </w:tcPr>
          <w:p w14:paraId="50B514D0" w14:textId="77777777" w:rsidR="001F25CC" w:rsidRPr="00C17681" w:rsidRDefault="001F25CC" w:rsidP="00C17681">
            <w:pPr>
              <w:spacing w:after="0" w:line="480" w:lineRule="auto"/>
              <w:rPr>
                <w:rFonts w:ascii="Times New Roman" w:hAnsi="Times New Roman" w:cs="Times New Roman"/>
                <w:sz w:val="18"/>
                <w:szCs w:val="18"/>
              </w:rPr>
            </w:pPr>
          </w:p>
        </w:tc>
        <w:tc>
          <w:tcPr>
            <w:tcW w:w="3175" w:type="dxa"/>
            <w:shd w:val="clear" w:color="auto" w:fill="auto"/>
            <w:noWrap/>
            <w:vAlign w:val="center"/>
          </w:tcPr>
          <w:p w14:paraId="4DEC4DD2" w14:textId="77777777" w:rsidR="001F25CC" w:rsidRPr="00C17681" w:rsidRDefault="001F25CC" w:rsidP="00C17681">
            <w:pPr>
              <w:spacing w:after="0" w:line="480" w:lineRule="auto"/>
              <w:rPr>
                <w:rFonts w:ascii="Times New Roman" w:hAnsi="Times New Roman" w:cs="Times New Roman"/>
                <w:sz w:val="18"/>
                <w:szCs w:val="18"/>
              </w:rPr>
            </w:pPr>
          </w:p>
        </w:tc>
        <w:tc>
          <w:tcPr>
            <w:tcW w:w="794" w:type="dxa"/>
            <w:vAlign w:val="center"/>
          </w:tcPr>
          <w:p w14:paraId="7D725E75"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F25.8</w:t>
            </w:r>
          </w:p>
        </w:tc>
        <w:tc>
          <w:tcPr>
            <w:tcW w:w="4588" w:type="dxa"/>
            <w:vAlign w:val="center"/>
          </w:tcPr>
          <w:p w14:paraId="279EA14C"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Other</w:t>
            </w:r>
          </w:p>
        </w:tc>
      </w:tr>
      <w:tr w:rsidR="001F25CC" w:rsidRPr="00C17681" w14:paraId="68CBCC45" w14:textId="77777777" w:rsidTr="00424D8D">
        <w:trPr>
          <w:trHeight w:val="340"/>
        </w:trPr>
        <w:tc>
          <w:tcPr>
            <w:tcW w:w="794" w:type="dxa"/>
            <w:shd w:val="clear" w:color="auto" w:fill="auto"/>
            <w:noWrap/>
            <w:vAlign w:val="center"/>
          </w:tcPr>
          <w:p w14:paraId="5F364F8F" w14:textId="77777777" w:rsidR="001F25CC" w:rsidRPr="00C17681" w:rsidRDefault="001F25CC" w:rsidP="00C17681">
            <w:pPr>
              <w:spacing w:after="0" w:line="480" w:lineRule="auto"/>
              <w:rPr>
                <w:rFonts w:ascii="Times New Roman" w:hAnsi="Times New Roman" w:cs="Times New Roman"/>
                <w:sz w:val="18"/>
                <w:szCs w:val="18"/>
              </w:rPr>
            </w:pPr>
          </w:p>
        </w:tc>
        <w:tc>
          <w:tcPr>
            <w:tcW w:w="3175" w:type="dxa"/>
            <w:shd w:val="clear" w:color="auto" w:fill="auto"/>
            <w:noWrap/>
            <w:vAlign w:val="center"/>
          </w:tcPr>
          <w:p w14:paraId="4196F8D7" w14:textId="77777777" w:rsidR="001F25CC" w:rsidRPr="00C17681" w:rsidRDefault="001F25CC" w:rsidP="00C17681">
            <w:pPr>
              <w:spacing w:after="0" w:line="480" w:lineRule="auto"/>
              <w:rPr>
                <w:rFonts w:ascii="Times New Roman" w:hAnsi="Times New Roman" w:cs="Times New Roman"/>
                <w:sz w:val="18"/>
                <w:szCs w:val="18"/>
              </w:rPr>
            </w:pPr>
          </w:p>
        </w:tc>
        <w:tc>
          <w:tcPr>
            <w:tcW w:w="794" w:type="dxa"/>
            <w:vAlign w:val="center"/>
          </w:tcPr>
          <w:p w14:paraId="57D52C6A"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F25.9</w:t>
            </w:r>
          </w:p>
        </w:tc>
        <w:tc>
          <w:tcPr>
            <w:tcW w:w="4588" w:type="dxa"/>
            <w:vAlign w:val="center"/>
          </w:tcPr>
          <w:p w14:paraId="2815D65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Unspecified</w:t>
            </w:r>
          </w:p>
        </w:tc>
      </w:tr>
      <w:tr w:rsidR="001F25CC" w:rsidRPr="00C17681" w14:paraId="3E6396B9" w14:textId="77777777" w:rsidTr="00424D8D">
        <w:trPr>
          <w:trHeight w:val="340"/>
        </w:trPr>
        <w:tc>
          <w:tcPr>
            <w:tcW w:w="794" w:type="dxa"/>
            <w:shd w:val="clear" w:color="auto" w:fill="auto"/>
            <w:noWrap/>
            <w:vAlign w:val="center"/>
          </w:tcPr>
          <w:p w14:paraId="6D687404" w14:textId="77777777" w:rsidR="001F25CC" w:rsidRPr="00C17681" w:rsidRDefault="001F25CC" w:rsidP="00C17681">
            <w:pPr>
              <w:spacing w:after="0" w:line="480" w:lineRule="auto"/>
              <w:rPr>
                <w:rFonts w:ascii="Times New Roman" w:hAnsi="Times New Roman" w:cs="Times New Roman"/>
                <w:sz w:val="18"/>
                <w:szCs w:val="18"/>
              </w:rPr>
            </w:pPr>
          </w:p>
        </w:tc>
        <w:tc>
          <w:tcPr>
            <w:tcW w:w="3175" w:type="dxa"/>
            <w:shd w:val="clear" w:color="auto" w:fill="auto"/>
            <w:noWrap/>
            <w:vAlign w:val="center"/>
          </w:tcPr>
          <w:p w14:paraId="5B37AE72" w14:textId="77777777" w:rsidR="001F25CC" w:rsidRPr="00C17681" w:rsidRDefault="001F25CC" w:rsidP="00C17681">
            <w:pPr>
              <w:spacing w:after="0" w:line="480" w:lineRule="auto"/>
              <w:rPr>
                <w:rFonts w:ascii="Times New Roman" w:hAnsi="Times New Roman" w:cs="Times New Roman"/>
                <w:sz w:val="18"/>
                <w:szCs w:val="18"/>
              </w:rPr>
            </w:pPr>
          </w:p>
        </w:tc>
        <w:tc>
          <w:tcPr>
            <w:tcW w:w="794" w:type="dxa"/>
            <w:vAlign w:val="center"/>
          </w:tcPr>
          <w:p w14:paraId="022C21F6"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F28</w:t>
            </w:r>
          </w:p>
        </w:tc>
        <w:tc>
          <w:tcPr>
            <w:tcW w:w="4588" w:type="dxa"/>
            <w:vAlign w:val="center"/>
          </w:tcPr>
          <w:p w14:paraId="721F85F9"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Other nonorganic psychotic disorders</w:t>
            </w:r>
          </w:p>
        </w:tc>
      </w:tr>
      <w:tr w:rsidR="001F25CC" w:rsidRPr="00C17681" w14:paraId="3CBED867" w14:textId="77777777" w:rsidTr="00424D8D">
        <w:trPr>
          <w:trHeight w:val="340"/>
        </w:trPr>
        <w:tc>
          <w:tcPr>
            <w:tcW w:w="794" w:type="dxa"/>
            <w:shd w:val="clear" w:color="auto" w:fill="auto"/>
            <w:noWrap/>
            <w:vAlign w:val="center"/>
          </w:tcPr>
          <w:p w14:paraId="0D9A0BF4" w14:textId="77777777" w:rsidR="001F25CC" w:rsidRPr="00C17681" w:rsidRDefault="001F25CC" w:rsidP="00C17681">
            <w:pPr>
              <w:spacing w:after="0" w:line="480" w:lineRule="auto"/>
              <w:rPr>
                <w:rFonts w:ascii="Times New Roman" w:hAnsi="Times New Roman" w:cs="Times New Roman"/>
                <w:sz w:val="18"/>
                <w:szCs w:val="18"/>
              </w:rPr>
            </w:pPr>
          </w:p>
        </w:tc>
        <w:tc>
          <w:tcPr>
            <w:tcW w:w="3175" w:type="dxa"/>
            <w:shd w:val="clear" w:color="auto" w:fill="auto"/>
            <w:noWrap/>
            <w:vAlign w:val="center"/>
          </w:tcPr>
          <w:p w14:paraId="69C953D3" w14:textId="77777777" w:rsidR="001F25CC" w:rsidRPr="00C17681" w:rsidRDefault="001F25CC" w:rsidP="00C17681">
            <w:pPr>
              <w:spacing w:after="0" w:line="480" w:lineRule="auto"/>
              <w:rPr>
                <w:rFonts w:ascii="Times New Roman" w:hAnsi="Times New Roman" w:cs="Times New Roman"/>
                <w:sz w:val="18"/>
                <w:szCs w:val="18"/>
              </w:rPr>
            </w:pPr>
          </w:p>
        </w:tc>
        <w:tc>
          <w:tcPr>
            <w:tcW w:w="794" w:type="dxa"/>
            <w:vAlign w:val="center"/>
          </w:tcPr>
          <w:p w14:paraId="6BA1AABA"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F29</w:t>
            </w:r>
          </w:p>
        </w:tc>
        <w:tc>
          <w:tcPr>
            <w:tcW w:w="4588" w:type="dxa"/>
            <w:vAlign w:val="center"/>
          </w:tcPr>
          <w:p w14:paraId="341FA30C"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Unspecified nonorganic psychosis</w:t>
            </w:r>
          </w:p>
        </w:tc>
      </w:tr>
    </w:tbl>
    <w:p w14:paraId="0080C77B" w14:textId="77777777" w:rsidR="001F25CC" w:rsidRPr="00C17681" w:rsidRDefault="001F25CC" w:rsidP="00C17681">
      <w:pPr>
        <w:spacing w:line="480" w:lineRule="auto"/>
        <w:jc w:val="center"/>
        <w:rPr>
          <w:rFonts w:ascii="Times New Roman" w:hAnsi="Times New Roman" w:cs="Times New Roman"/>
        </w:rPr>
      </w:pPr>
    </w:p>
    <w:p w14:paraId="677167EA" w14:textId="77777777" w:rsidR="001F25CC" w:rsidRPr="00C17681" w:rsidRDefault="001F25CC" w:rsidP="00C17681">
      <w:pPr>
        <w:spacing w:line="480" w:lineRule="auto"/>
        <w:rPr>
          <w:rFonts w:ascii="Times New Roman" w:hAnsi="Times New Roman" w:cs="Times New Roman"/>
        </w:rPr>
      </w:pPr>
    </w:p>
    <w:p w14:paraId="08273120" w14:textId="77777777" w:rsidR="00C17681" w:rsidRDefault="00C17681" w:rsidP="00C17681">
      <w:pPr>
        <w:spacing w:line="480" w:lineRule="auto"/>
        <w:jc w:val="both"/>
        <w:rPr>
          <w:rFonts w:ascii="Times New Roman" w:hAnsi="Times New Roman" w:cs="Times New Roman"/>
          <w:b/>
        </w:rPr>
        <w:sectPr w:rsidR="00C17681" w:rsidSect="00C02136">
          <w:pgSz w:w="12240" w:h="15840"/>
          <w:pgMar w:top="1440" w:right="1440" w:bottom="1440" w:left="1440" w:header="708" w:footer="708" w:gutter="0"/>
          <w:cols w:space="720"/>
        </w:sectPr>
      </w:pPr>
    </w:p>
    <w:p w14:paraId="4B8B6726" w14:textId="39D81B3F" w:rsidR="001F25CC" w:rsidRPr="00C17681" w:rsidRDefault="001F25CC" w:rsidP="00D06C84">
      <w:pPr>
        <w:pStyle w:val="Heading1"/>
      </w:pPr>
      <w:r w:rsidRPr="00C17681">
        <w:lastRenderedPageBreak/>
        <w:t>Supplementary Table 2</w:t>
      </w:r>
      <w:r w:rsidR="00614441">
        <w:t>.</w:t>
      </w:r>
      <w:r w:rsidRPr="00C17681">
        <w:t xml:space="preserve"> </w:t>
      </w:r>
      <w:r w:rsidRPr="00D06C84">
        <w:rPr>
          <w:b w:val="0"/>
          <w:bCs/>
        </w:rPr>
        <w:t>List and description of ICD-10 for mental disorders</w:t>
      </w:r>
      <w:r w:rsidR="00C17681" w:rsidRPr="00D06C84">
        <w:rPr>
          <w:b w:val="0"/>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
        <w:gridCol w:w="8459"/>
      </w:tblGrid>
      <w:tr w:rsidR="001F25CC" w:rsidRPr="00C17681" w14:paraId="4950EF4A" w14:textId="77777777" w:rsidTr="00424D8D">
        <w:trPr>
          <w:trHeight w:val="340"/>
        </w:trPr>
        <w:tc>
          <w:tcPr>
            <w:tcW w:w="964" w:type="dxa"/>
            <w:vAlign w:val="center"/>
          </w:tcPr>
          <w:p w14:paraId="3E00FEF6"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ICD-10</w:t>
            </w:r>
          </w:p>
        </w:tc>
        <w:tc>
          <w:tcPr>
            <w:tcW w:w="8459" w:type="dxa"/>
            <w:vAlign w:val="center"/>
          </w:tcPr>
          <w:p w14:paraId="4741FB42"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Description</w:t>
            </w:r>
          </w:p>
        </w:tc>
      </w:tr>
      <w:tr w:rsidR="001F25CC" w:rsidRPr="00C17681" w14:paraId="66DE7A5F" w14:textId="77777777" w:rsidTr="00424D8D">
        <w:trPr>
          <w:trHeight w:val="340"/>
        </w:trPr>
        <w:tc>
          <w:tcPr>
            <w:tcW w:w="964" w:type="dxa"/>
            <w:vAlign w:val="center"/>
          </w:tcPr>
          <w:p w14:paraId="40F8BB55"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F00-F99</w:t>
            </w:r>
          </w:p>
        </w:tc>
        <w:tc>
          <w:tcPr>
            <w:tcW w:w="8459" w:type="dxa"/>
            <w:vAlign w:val="center"/>
          </w:tcPr>
          <w:p w14:paraId="2137705E" w14:textId="77777777" w:rsidR="001F25CC" w:rsidRPr="00C17681" w:rsidRDefault="001F25CC" w:rsidP="00C17681">
            <w:pPr>
              <w:spacing w:after="0" w:line="480" w:lineRule="auto"/>
              <w:rPr>
                <w:rFonts w:ascii="Times New Roman" w:hAnsi="Times New Roman" w:cs="Times New Roman"/>
                <w:b/>
                <w:bCs/>
                <w:color w:val="212121"/>
                <w:sz w:val="18"/>
                <w:szCs w:val="18"/>
              </w:rPr>
            </w:pPr>
            <w:r w:rsidRPr="00C17681">
              <w:rPr>
                <w:rFonts w:ascii="Times New Roman" w:hAnsi="Times New Roman" w:cs="Times New Roman"/>
                <w:b/>
                <w:bCs/>
                <w:color w:val="212121"/>
                <w:sz w:val="18"/>
                <w:szCs w:val="18"/>
              </w:rPr>
              <w:t>Mental and behavioural disorders</w:t>
            </w:r>
          </w:p>
        </w:tc>
      </w:tr>
      <w:tr w:rsidR="001F25CC" w:rsidRPr="00C17681" w14:paraId="0765BDC2" w14:textId="77777777" w:rsidTr="00424D8D">
        <w:trPr>
          <w:trHeight w:val="340"/>
        </w:trPr>
        <w:tc>
          <w:tcPr>
            <w:tcW w:w="964" w:type="dxa"/>
            <w:vAlign w:val="center"/>
          </w:tcPr>
          <w:p w14:paraId="00097F8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F00-F09</w:t>
            </w:r>
          </w:p>
        </w:tc>
        <w:tc>
          <w:tcPr>
            <w:tcW w:w="8459" w:type="dxa"/>
            <w:vAlign w:val="center"/>
          </w:tcPr>
          <w:p w14:paraId="076D4E69"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Organic, including symptomatic, mental disorders</w:t>
            </w:r>
          </w:p>
        </w:tc>
      </w:tr>
      <w:tr w:rsidR="001F25CC" w:rsidRPr="00C17681" w14:paraId="7AEF4CF7" w14:textId="77777777" w:rsidTr="00424D8D">
        <w:trPr>
          <w:trHeight w:val="340"/>
        </w:trPr>
        <w:tc>
          <w:tcPr>
            <w:tcW w:w="964" w:type="dxa"/>
            <w:vAlign w:val="center"/>
          </w:tcPr>
          <w:p w14:paraId="652D71AB"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F10-F19</w:t>
            </w:r>
          </w:p>
        </w:tc>
        <w:tc>
          <w:tcPr>
            <w:tcW w:w="8459" w:type="dxa"/>
            <w:vAlign w:val="center"/>
          </w:tcPr>
          <w:p w14:paraId="1B6E8BA1"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Mental and behavioural disorders due to psychoactive substance use</w:t>
            </w:r>
          </w:p>
        </w:tc>
      </w:tr>
      <w:tr w:rsidR="001F25CC" w:rsidRPr="00C17681" w14:paraId="236C81F2" w14:textId="77777777" w:rsidTr="00424D8D">
        <w:trPr>
          <w:trHeight w:val="340"/>
        </w:trPr>
        <w:tc>
          <w:tcPr>
            <w:tcW w:w="964" w:type="dxa"/>
            <w:vAlign w:val="center"/>
          </w:tcPr>
          <w:p w14:paraId="4968A9C0"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F20-F29</w:t>
            </w:r>
          </w:p>
        </w:tc>
        <w:tc>
          <w:tcPr>
            <w:tcW w:w="8459" w:type="dxa"/>
            <w:vAlign w:val="center"/>
          </w:tcPr>
          <w:p w14:paraId="4F44F4B4"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Schizophrenia, schizotypal and delusional disorders</w:t>
            </w:r>
          </w:p>
        </w:tc>
      </w:tr>
      <w:tr w:rsidR="001F25CC" w:rsidRPr="00C17681" w14:paraId="25B374C0" w14:textId="77777777" w:rsidTr="00424D8D">
        <w:trPr>
          <w:trHeight w:val="340"/>
        </w:trPr>
        <w:tc>
          <w:tcPr>
            <w:tcW w:w="964" w:type="dxa"/>
            <w:vAlign w:val="center"/>
          </w:tcPr>
          <w:p w14:paraId="14C1F19D"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F30-F39</w:t>
            </w:r>
          </w:p>
        </w:tc>
        <w:tc>
          <w:tcPr>
            <w:tcW w:w="8459" w:type="dxa"/>
            <w:vAlign w:val="center"/>
          </w:tcPr>
          <w:p w14:paraId="6F5EDF8F"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Mood [affective] disorders</w:t>
            </w:r>
          </w:p>
        </w:tc>
      </w:tr>
      <w:tr w:rsidR="001F25CC" w:rsidRPr="00C17681" w14:paraId="66CF5D22" w14:textId="77777777" w:rsidTr="00424D8D">
        <w:trPr>
          <w:trHeight w:val="340"/>
        </w:trPr>
        <w:tc>
          <w:tcPr>
            <w:tcW w:w="964" w:type="dxa"/>
            <w:vAlign w:val="center"/>
          </w:tcPr>
          <w:p w14:paraId="7092B0B4"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F40-F49</w:t>
            </w:r>
          </w:p>
        </w:tc>
        <w:tc>
          <w:tcPr>
            <w:tcW w:w="8459" w:type="dxa"/>
            <w:vAlign w:val="center"/>
          </w:tcPr>
          <w:p w14:paraId="4691EA1E"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Neurotic, stress-related and somatoform disorders</w:t>
            </w:r>
          </w:p>
        </w:tc>
      </w:tr>
      <w:tr w:rsidR="001F25CC" w:rsidRPr="00C17681" w14:paraId="666EAFC7" w14:textId="77777777" w:rsidTr="00424D8D">
        <w:trPr>
          <w:trHeight w:val="340"/>
        </w:trPr>
        <w:tc>
          <w:tcPr>
            <w:tcW w:w="964" w:type="dxa"/>
            <w:vAlign w:val="center"/>
          </w:tcPr>
          <w:p w14:paraId="3C34D23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F50-F59</w:t>
            </w:r>
          </w:p>
        </w:tc>
        <w:tc>
          <w:tcPr>
            <w:tcW w:w="8459" w:type="dxa"/>
            <w:vAlign w:val="center"/>
          </w:tcPr>
          <w:p w14:paraId="517090C5"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Behavioural syndromes associated with physiological disturbances and physical factors</w:t>
            </w:r>
          </w:p>
        </w:tc>
      </w:tr>
      <w:tr w:rsidR="001F25CC" w:rsidRPr="00C17681" w14:paraId="529579A5" w14:textId="77777777" w:rsidTr="00424D8D">
        <w:trPr>
          <w:trHeight w:val="340"/>
        </w:trPr>
        <w:tc>
          <w:tcPr>
            <w:tcW w:w="964" w:type="dxa"/>
            <w:vAlign w:val="center"/>
          </w:tcPr>
          <w:p w14:paraId="3F5A59CF"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F60-F69</w:t>
            </w:r>
          </w:p>
        </w:tc>
        <w:tc>
          <w:tcPr>
            <w:tcW w:w="8459" w:type="dxa"/>
            <w:vAlign w:val="center"/>
          </w:tcPr>
          <w:p w14:paraId="08341EFD"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Disorders of adult personality and behaviour</w:t>
            </w:r>
          </w:p>
        </w:tc>
      </w:tr>
      <w:tr w:rsidR="001F25CC" w:rsidRPr="00C17681" w14:paraId="03966A2E" w14:textId="77777777" w:rsidTr="00424D8D">
        <w:trPr>
          <w:trHeight w:val="340"/>
        </w:trPr>
        <w:tc>
          <w:tcPr>
            <w:tcW w:w="964" w:type="dxa"/>
            <w:vAlign w:val="center"/>
          </w:tcPr>
          <w:p w14:paraId="4B688F73"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F70-F79</w:t>
            </w:r>
          </w:p>
        </w:tc>
        <w:tc>
          <w:tcPr>
            <w:tcW w:w="8459" w:type="dxa"/>
            <w:vAlign w:val="center"/>
          </w:tcPr>
          <w:p w14:paraId="055406D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Mental retardation</w:t>
            </w:r>
          </w:p>
        </w:tc>
      </w:tr>
      <w:tr w:rsidR="001F25CC" w:rsidRPr="00C17681" w14:paraId="5D12B8D5" w14:textId="77777777" w:rsidTr="00424D8D">
        <w:trPr>
          <w:trHeight w:val="340"/>
        </w:trPr>
        <w:tc>
          <w:tcPr>
            <w:tcW w:w="964" w:type="dxa"/>
            <w:vAlign w:val="center"/>
          </w:tcPr>
          <w:p w14:paraId="3C74098E"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F80-F89</w:t>
            </w:r>
          </w:p>
        </w:tc>
        <w:tc>
          <w:tcPr>
            <w:tcW w:w="8459" w:type="dxa"/>
            <w:vAlign w:val="center"/>
          </w:tcPr>
          <w:p w14:paraId="4A9F51D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Disorders of psychological development</w:t>
            </w:r>
          </w:p>
        </w:tc>
      </w:tr>
      <w:tr w:rsidR="001F25CC" w:rsidRPr="00C17681" w14:paraId="4C056E36" w14:textId="77777777" w:rsidTr="00424D8D">
        <w:trPr>
          <w:trHeight w:val="340"/>
        </w:trPr>
        <w:tc>
          <w:tcPr>
            <w:tcW w:w="964" w:type="dxa"/>
            <w:vAlign w:val="center"/>
          </w:tcPr>
          <w:p w14:paraId="3249B18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F90-F98</w:t>
            </w:r>
          </w:p>
        </w:tc>
        <w:tc>
          <w:tcPr>
            <w:tcW w:w="8459" w:type="dxa"/>
            <w:vAlign w:val="center"/>
          </w:tcPr>
          <w:p w14:paraId="502C3BF8"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Behavioural and emotional disorders with onset usually occurring in childhood and adolescence</w:t>
            </w:r>
          </w:p>
        </w:tc>
      </w:tr>
      <w:tr w:rsidR="001F25CC" w:rsidRPr="00C17681" w14:paraId="3348757F" w14:textId="77777777" w:rsidTr="00424D8D">
        <w:trPr>
          <w:trHeight w:val="340"/>
        </w:trPr>
        <w:tc>
          <w:tcPr>
            <w:tcW w:w="964" w:type="dxa"/>
            <w:vAlign w:val="center"/>
          </w:tcPr>
          <w:p w14:paraId="0761F4A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F99</w:t>
            </w:r>
          </w:p>
        </w:tc>
        <w:tc>
          <w:tcPr>
            <w:tcW w:w="8459" w:type="dxa"/>
            <w:vAlign w:val="center"/>
          </w:tcPr>
          <w:p w14:paraId="53F32E6A"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Unspecified mental disorder</w:t>
            </w:r>
          </w:p>
        </w:tc>
      </w:tr>
      <w:tr w:rsidR="001F25CC" w:rsidRPr="00C17681" w14:paraId="65CD27ED" w14:textId="77777777" w:rsidTr="00424D8D">
        <w:trPr>
          <w:trHeight w:val="340"/>
        </w:trPr>
        <w:tc>
          <w:tcPr>
            <w:tcW w:w="964" w:type="dxa"/>
            <w:vAlign w:val="center"/>
          </w:tcPr>
          <w:p w14:paraId="7DD04C92"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R44-R46</w:t>
            </w:r>
          </w:p>
        </w:tc>
        <w:tc>
          <w:tcPr>
            <w:tcW w:w="8459" w:type="dxa"/>
            <w:vAlign w:val="center"/>
          </w:tcPr>
          <w:p w14:paraId="3B166929"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Symptoms and signs involving cognition, perception, emotional state and behaviour</w:t>
            </w:r>
          </w:p>
        </w:tc>
      </w:tr>
      <w:tr w:rsidR="001F25CC" w:rsidRPr="00C17681" w14:paraId="13BF59A1" w14:textId="77777777" w:rsidTr="00424D8D">
        <w:trPr>
          <w:trHeight w:val="340"/>
        </w:trPr>
        <w:tc>
          <w:tcPr>
            <w:tcW w:w="964" w:type="dxa"/>
            <w:vAlign w:val="center"/>
          </w:tcPr>
          <w:p w14:paraId="0A81ADBB"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R44</w:t>
            </w:r>
          </w:p>
        </w:tc>
        <w:tc>
          <w:tcPr>
            <w:tcW w:w="8459" w:type="dxa"/>
            <w:vAlign w:val="center"/>
          </w:tcPr>
          <w:p w14:paraId="2BF2915D"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Other symptoms and signs involving general sensations and perceptions - hallucinations</w:t>
            </w:r>
          </w:p>
        </w:tc>
      </w:tr>
      <w:tr w:rsidR="001F25CC" w:rsidRPr="00C17681" w14:paraId="171A4E42" w14:textId="77777777" w:rsidTr="00424D8D">
        <w:trPr>
          <w:trHeight w:val="340"/>
        </w:trPr>
        <w:tc>
          <w:tcPr>
            <w:tcW w:w="964" w:type="dxa"/>
            <w:vAlign w:val="center"/>
          </w:tcPr>
          <w:p w14:paraId="2EDE3BD9"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R45</w:t>
            </w:r>
          </w:p>
        </w:tc>
        <w:tc>
          <w:tcPr>
            <w:tcW w:w="8459" w:type="dxa"/>
            <w:vAlign w:val="center"/>
          </w:tcPr>
          <w:p w14:paraId="1EAABCD1"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Symptoms and signs involving emotional state</w:t>
            </w:r>
          </w:p>
        </w:tc>
      </w:tr>
      <w:tr w:rsidR="001F25CC" w:rsidRPr="00C17681" w14:paraId="3AA92219" w14:textId="77777777" w:rsidTr="00424D8D">
        <w:trPr>
          <w:trHeight w:val="340"/>
        </w:trPr>
        <w:tc>
          <w:tcPr>
            <w:tcW w:w="964" w:type="dxa"/>
            <w:vAlign w:val="center"/>
          </w:tcPr>
          <w:p w14:paraId="6738F385"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R46</w:t>
            </w:r>
          </w:p>
        </w:tc>
        <w:tc>
          <w:tcPr>
            <w:tcW w:w="8459" w:type="dxa"/>
            <w:vAlign w:val="center"/>
          </w:tcPr>
          <w:p w14:paraId="0EE32257"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Symptoms and signs involving appearance and behaviour</w:t>
            </w:r>
          </w:p>
        </w:tc>
      </w:tr>
      <w:tr w:rsidR="001F25CC" w:rsidRPr="00C17681" w14:paraId="7CA424D0" w14:textId="77777777" w:rsidTr="00424D8D">
        <w:trPr>
          <w:trHeight w:val="340"/>
        </w:trPr>
        <w:tc>
          <w:tcPr>
            <w:tcW w:w="964" w:type="dxa"/>
            <w:vAlign w:val="center"/>
          </w:tcPr>
          <w:p w14:paraId="058DDF4B" w14:textId="77777777" w:rsidR="001F25CC" w:rsidRPr="00C17681" w:rsidRDefault="001F25CC" w:rsidP="00C17681">
            <w:pPr>
              <w:spacing w:after="0" w:line="480" w:lineRule="auto"/>
              <w:rPr>
                <w:rFonts w:ascii="Times New Roman" w:hAnsi="Times New Roman" w:cs="Times New Roman"/>
                <w:b/>
                <w:sz w:val="18"/>
                <w:szCs w:val="18"/>
              </w:rPr>
            </w:pPr>
            <w:r w:rsidRPr="00C17681">
              <w:rPr>
                <w:rFonts w:ascii="Times New Roman" w:hAnsi="Times New Roman" w:cs="Times New Roman"/>
                <w:b/>
                <w:sz w:val="18"/>
                <w:szCs w:val="18"/>
              </w:rPr>
              <w:t>X60-Y91</w:t>
            </w:r>
          </w:p>
        </w:tc>
        <w:tc>
          <w:tcPr>
            <w:tcW w:w="8459" w:type="dxa"/>
            <w:vAlign w:val="center"/>
          </w:tcPr>
          <w:p w14:paraId="2EBBFB4A" w14:textId="77777777" w:rsidR="001F25CC" w:rsidRPr="00C17681" w:rsidRDefault="001F25CC" w:rsidP="00C17681">
            <w:pPr>
              <w:spacing w:after="0" w:line="480" w:lineRule="auto"/>
              <w:rPr>
                <w:rFonts w:ascii="Times New Roman" w:hAnsi="Times New Roman" w:cs="Times New Roman"/>
                <w:b/>
                <w:sz w:val="18"/>
                <w:szCs w:val="18"/>
              </w:rPr>
            </w:pPr>
          </w:p>
        </w:tc>
      </w:tr>
      <w:tr w:rsidR="001F25CC" w:rsidRPr="00C17681" w14:paraId="2FF06FBF" w14:textId="77777777" w:rsidTr="00424D8D">
        <w:trPr>
          <w:trHeight w:val="340"/>
        </w:trPr>
        <w:tc>
          <w:tcPr>
            <w:tcW w:w="964" w:type="dxa"/>
            <w:vAlign w:val="center"/>
          </w:tcPr>
          <w:p w14:paraId="40254516"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X60-X84</w:t>
            </w:r>
          </w:p>
        </w:tc>
        <w:tc>
          <w:tcPr>
            <w:tcW w:w="8459" w:type="dxa"/>
            <w:vAlign w:val="center"/>
          </w:tcPr>
          <w:p w14:paraId="70D82AD7"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Intentional self-harm</w:t>
            </w:r>
          </w:p>
        </w:tc>
      </w:tr>
      <w:tr w:rsidR="001F25CC" w:rsidRPr="00C17681" w14:paraId="340EFE56" w14:textId="77777777" w:rsidTr="00424D8D">
        <w:trPr>
          <w:trHeight w:val="340"/>
        </w:trPr>
        <w:tc>
          <w:tcPr>
            <w:tcW w:w="964" w:type="dxa"/>
            <w:vAlign w:val="center"/>
          </w:tcPr>
          <w:p w14:paraId="35FBACC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X85-Y09</w:t>
            </w:r>
          </w:p>
        </w:tc>
        <w:tc>
          <w:tcPr>
            <w:tcW w:w="8459" w:type="dxa"/>
            <w:vAlign w:val="center"/>
          </w:tcPr>
          <w:p w14:paraId="131F5510"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Assault</w:t>
            </w:r>
          </w:p>
        </w:tc>
      </w:tr>
      <w:tr w:rsidR="001F25CC" w:rsidRPr="00C17681" w14:paraId="0318DA00" w14:textId="77777777" w:rsidTr="00424D8D">
        <w:trPr>
          <w:trHeight w:val="340"/>
        </w:trPr>
        <w:tc>
          <w:tcPr>
            <w:tcW w:w="964" w:type="dxa"/>
            <w:vAlign w:val="center"/>
          </w:tcPr>
          <w:p w14:paraId="3E3FF39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Y10-Y34</w:t>
            </w:r>
          </w:p>
        </w:tc>
        <w:tc>
          <w:tcPr>
            <w:tcW w:w="8459" w:type="dxa"/>
            <w:vAlign w:val="center"/>
          </w:tcPr>
          <w:p w14:paraId="36700912"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Event of undetermined intent</w:t>
            </w:r>
          </w:p>
        </w:tc>
      </w:tr>
      <w:tr w:rsidR="001F25CC" w:rsidRPr="00C17681" w14:paraId="637838E4" w14:textId="77777777" w:rsidTr="00424D8D">
        <w:trPr>
          <w:trHeight w:val="340"/>
        </w:trPr>
        <w:tc>
          <w:tcPr>
            <w:tcW w:w="964" w:type="dxa"/>
            <w:vAlign w:val="center"/>
          </w:tcPr>
          <w:p w14:paraId="6B6FD909"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Y35-Y36</w:t>
            </w:r>
          </w:p>
        </w:tc>
        <w:tc>
          <w:tcPr>
            <w:tcW w:w="8459" w:type="dxa"/>
            <w:vAlign w:val="center"/>
          </w:tcPr>
          <w:p w14:paraId="3CE62077"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Legal intervention and operations of war</w:t>
            </w:r>
          </w:p>
        </w:tc>
      </w:tr>
      <w:tr w:rsidR="001F25CC" w:rsidRPr="00C17681" w14:paraId="78E61AEE" w14:textId="77777777" w:rsidTr="00424D8D">
        <w:trPr>
          <w:trHeight w:val="340"/>
        </w:trPr>
        <w:tc>
          <w:tcPr>
            <w:tcW w:w="964" w:type="dxa"/>
            <w:vAlign w:val="center"/>
          </w:tcPr>
          <w:p w14:paraId="162B5D7F"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Y90</w:t>
            </w:r>
          </w:p>
        </w:tc>
        <w:tc>
          <w:tcPr>
            <w:tcW w:w="8459" w:type="dxa"/>
            <w:vAlign w:val="center"/>
          </w:tcPr>
          <w:p w14:paraId="18AE7C60"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Evidence of alcohol involvement determined by blood alcohol level</w:t>
            </w:r>
          </w:p>
        </w:tc>
      </w:tr>
      <w:tr w:rsidR="001F25CC" w:rsidRPr="00C17681" w14:paraId="3F301328" w14:textId="77777777" w:rsidTr="00424D8D">
        <w:trPr>
          <w:trHeight w:val="340"/>
        </w:trPr>
        <w:tc>
          <w:tcPr>
            <w:tcW w:w="964" w:type="dxa"/>
            <w:vAlign w:val="center"/>
          </w:tcPr>
          <w:p w14:paraId="2EA4152C"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Y91</w:t>
            </w:r>
          </w:p>
        </w:tc>
        <w:tc>
          <w:tcPr>
            <w:tcW w:w="8459" w:type="dxa"/>
            <w:vAlign w:val="center"/>
          </w:tcPr>
          <w:p w14:paraId="67CD046F" w14:textId="77777777" w:rsidR="001F25CC" w:rsidRPr="00C17681" w:rsidRDefault="001F25CC" w:rsidP="00C17681">
            <w:pPr>
              <w:spacing w:after="0" w:line="480" w:lineRule="auto"/>
              <w:rPr>
                <w:rFonts w:ascii="Times New Roman" w:hAnsi="Times New Roman" w:cs="Times New Roman"/>
                <w:sz w:val="18"/>
                <w:szCs w:val="18"/>
              </w:rPr>
            </w:pPr>
            <w:r w:rsidRPr="00C17681">
              <w:rPr>
                <w:rFonts w:ascii="Times New Roman" w:hAnsi="Times New Roman" w:cs="Times New Roman"/>
                <w:sz w:val="18"/>
                <w:szCs w:val="18"/>
              </w:rPr>
              <w:t>Evidence of alcohol involvement determined by level of intoxication</w:t>
            </w:r>
          </w:p>
        </w:tc>
      </w:tr>
    </w:tbl>
    <w:p w14:paraId="325BB089" w14:textId="77777777" w:rsidR="001F25CC" w:rsidRPr="00C17681" w:rsidRDefault="001F25CC" w:rsidP="00C17681">
      <w:pPr>
        <w:spacing w:line="480" w:lineRule="auto"/>
        <w:rPr>
          <w:rFonts w:ascii="Times New Roman" w:hAnsi="Times New Roman" w:cs="Times New Roman"/>
        </w:rPr>
      </w:pPr>
    </w:p>
    <w:p w14:paraId="2AA785AF" w14:textId="77777777" w:rsidR="001F25CC" w:rsidRPr="00C17681" w:rsidRDefault="001F25CC" w:rsidP="00C17681">
      <w:pPr>
        <w:spacing w:line="480" w:lineRule="auto"/>
        <w:jc w:val="both"/>
        <w:rPr>
          <w:rFonts w:ascii="Times New Roman" w:hAnsi="Times New Roman" w:cs="Times New Roman"/>
          <w:i/>
          <w:iCs/>
          <w:sz w:val="20"/>
          <w:szCs w:val="20"/>
        </w:rPr>
        <w:sectPr w:rsidR="001F25CC" w:rsidRPr="00C17681" w:rsidSect="00C02136">
          <w:pgSz w:w="12240" w:h="15840"/>
          <w:pgMar w:top="1440" w:right="1440" w:bottom="1440" w:left="1440" w:header="708" w:footer="708" w:gutter="0"/>
          <w:cols w:space="720"/>
        </w:sectPr>
      </w:pPr>
    </w:p>
    <w:p w14:paraId="1FAD08E1" w14:textId="2EC6D24B" w:rsidR="007B0D51" w:rsidRPr="001F29AA" w:rsidRDefault="007B0D51" w:rsidP="00D06C84">
      <w:pPr>
        <w:pStyle w:val="Heading1"/>
        <w:rPr>
          <w:smallCaps/>
        </w:rPr>
      </w:pPr>
      <w:r>
        <w:lastRenderedPageBreak/>
        <w:t xml:space="preserve">Supplementary </w:t>
      </w:r>
      <w:r w:rsidRPr="001F29AA">
        <w:t>Table </w:t>
      </w:r>
      <w:r>
        <w:t>3</w:t>
      </w:r>
      <w:r w:rsidRPr="001F29AA">
        <w:t xml:space="preserve">. </w:t>
      </w:r>
      <w:r w:rsidRPr="00D06C84">
        <w:rPr>
          <w:b w:val="0"/>
          <w:bCs/>
        </w:rPr>
        <w:t>Comparison between the study cohort and the comparison group.</w:t>
      </w:r>
      <w:r w:rsidRPr="001F29AA">
        <w:t xml:space="preser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116"/>
        <w:gridCol w:w="1543"/>
        <w:gridCol w:w="1700"/>
        <w:gridCol w:w="991"/>
      </w:tblGrid>
      <w:tr w:rsidR="007B0D51" w:rsidRPr="001F29AA" w14:paraId="17224FE5" w14:textId="77777777" w:rsidTr="00D36426">
        <w:trPr>
          <w:trHeight w:val="707"/>
        </w:trPr>
        <w:tc>
          <w:tcPr>
            <w:tcW w:w="5116" w:type="dxa"/>
            <w:tcBorders>
              <w:top w:val="single" w:sz="4" w:space="0" w:color="999999"/>
              <w:left w:val="single" w:sz="4" w:space="0" w:color="999999"/>
              <w:right w:val="single" w:sz="4" w:space="0" w:color="999999"/>
            </w:tcBorders>
            <w:vAlign w:val="center"/>
          </w:tcPr>
          <w:p w14:paraId="4C3A5DA1"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Baseline characteristics</w:t>
            </w:r>
          </w:p>
        </w:tc>
        <w:tc>
          <w:tcPr>
            <w:tcW w:w="1543" w:type="dxa"/>
            <w:tcBorders>
              <w:top w:val="single" w:sz="4" w:space="0" w:color="999999"/>
              <w:left w:val="single" w:sz="4" w:space="0" w:color="999999"/>
              <w:right w:val="single" w:sz="4" w:space="0" w:color="999999"/>
            </w:tcBorders>
            <w:vAlign w:val="center"/>
          </w:tcPr>
          <w:p w14:paraId="7626C4AC"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COHORT</w:t>
            </w:r>
          </w:p>
        </w:tc>
        <w:tc>
          <w:tcPr>
            <w:tcW w:w="1700" w:type="dxa"/>
            <w:tcBorders>
              <w:top w:val="single" w:sz="4" w:space="0" w:color="999999"/>
              <w:left w:val="single" w:sz="4" w:space="0" w:color="999999"/>
              <w:right w:val="single" w:sz="4" w:space="0" w:color="999999"/>
            </w:tcBorders>
            <w:vAlign w:val="center"/>
          </w:tcPr>
          <w:p w14:paraId="4853FCDC"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 xml:space="preserve">COMPARISON </w:t>
            </w:r>
            <w:proofErr w:type="spellStart"/>
            <w:r w:rsidRPr="001F29AA">
              <w:rPr>
                <w:rFonts w:ascii="Times New Roman" w:hAnsi="Times New Roman" w:cs="Times New Roman"/>
              </w:rPr>
              <w:t>GROUP</w:t>
            </w:r>
            <w:r w:rsidRPr="001F29AA">
              <w:rPr>
                <w:rFonts w:ascii="Times New Roman" w:hAnsi="Times New Roman" w:cs="Times New Roman"/>
                <w:vertAlign w:val="superscript"/>
              </w:rPr>
              <w:t>a</w:t>
            </w:r>
            <w:proofErr w:type="spellEnd"/>
          </w:p>
        </w:tc>
        <w:tc>
          <w:tcPr>
            <w:tcW w:w="991" w:type="dxa"/>
            <w:tcBorders>
              <w:top w:val="single" w:sz="4" w:space="0" w:color="999999"/>
              <w:left w:val="single" w:sz="4" w:space="0" w:color="999999"/>
              <w:right w:val="single" w:sz="4" w:space="0" w:color="999999"/>
            </w:tcBorders>
            <w:vAlign w:val="center"/>
          </w:tcPr>
          <w:p w14:paraId="59185FDC"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p-value</w:t>
            </w:r>
          </w:p>
        </w:tc>
      </w:tr>
      <w:tr w:rsidR="007B0D51" w:rsidRPr="001F29AA" w14:paraId="3BF6A49D"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1A5FB6EC"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Total, n</w:t>
            </w:r>
          </w:p>
        </w:tc>
        <w:tc>
          <w:tcPr>
            <w:tcW w:w="1543" w:type="dxa"/>
            <w:tcBorders>
              <w:top w:val="single" w:sz="4" w:space="0" w:color="999999"/>
              <w:left w:val="single" w:sz="4" w:space="0" w:color="999999"/>
              <w:bottom w:val="single" w:sz="4" w:space="0" w:color="999999"/>
              <w:right w:val="single" w:sz="4" w:space="0" w:color="999999"/>
            </w:tcBorders>
            <w:vAlign w:val="center"/>
          </w:tcPr>
          <w:p w14:paraId="64F92E16"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2219</w:t>
            </w:r>
          </w:p>
        </w:tc>
        <w:tc>
          <w:tcPr>
            <w:tcW w:w="1700" w:type="dxa"/>
            <w:tcBorders>
              <w:top w:val="single" w:sz="4" w:space="0" w:color="999999"/>
              <w:left w:val="single" w:sz="4" w:space="0" w:color="999999"/>
              <w:bottom w:val="single" w:sz="4" w:space="0" w:color="999999"/>
              <w:right w:val="single" w:sz="4" w:space="0" w:color="999999"/>
            </w:tcBorders>
            <w:vAlign w:val="center"/>
          </w:tcPr>
          <w:p w14:paraId="4669DE3B"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7802</w:t>
            </w:r>
          </w:p>
        </w:tc>
        <w:tc>
          <w:tcPr>
            <w:tcW w:w="991" w:type="dxa"/>
            <w:tcBorders>
              <w:top w:val="single" w:sz="4" w:space="0" w:color="999999"/>
              <w:left w:val="single" w:sz="4" w:space="0" w:color="999999"/>
              <w:bottom w:val="single" w:sz="4" w:space="0" w:color="999999"/>
              <w:right w:val="single" w:sz="4" w:space="0" w:color="999999"/>
            </w:tcBorders>
            <w:vAlign w:val="center"/>
          </w:tcPr>
          <w:p w14:paraId="667F47E9"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w:t>
            </w:r>
          </w:p>
        </w:tc>
      </w:tr>
      <w:tr w:rsidR="007B0D51" w:rsidRPr="001F29AA" w14:paraId="5FA53E13"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0015F541"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Sex, n (%)</w:t>
            </w:r>
          </w:p>
          <w:p w14:paraId="656E6666" w14:textId="77777777" w:rsidR="007B0D51" w:rsidRPr="001F29AA" w:rsidRDefault="007B0D51" w:rsidP="00D36426">
            <w:pPr>
              <w:spacing w:line="480" w:lineRule="auto"/>
              <w:ind w:left="313"/>
              <w:rPr>
                <w:rFonts w:ascii="Times New Roman" w:hAnsi="Times New Roman" w:cs="Times New Roman"/>
              </w:rPr>
            </w:pPr>
            <w:r w:rsidRPr="001F29AA">
              <w:rPr>
                <w:rFonts w:ascii="Times New Roman" w:hAnsi="Times New Roman" w:cs="Times New Roman"/>
              </w:rPr>
              <w:t>Female</w:t>
            </w:r>
          </w:p>
          <w:p w14:paraId="575B4234" w14:textId="77777777" w:rsidR="007B0D51" w:rsidRPr="001F29AA" w:rsidRDefault="007B0D51" w:rsidP="00D36426">
            <w:pPr>
              <w:spacing w:line="480" w:lineRule="auto"/>
              <w:ind w:left="313"/>
              <w:rPr>
                <w:rFonts w:ascii="Times New Roman" w:hAnsi="Times New Roman" w:cs="Times New Roman"/>
              </w:rPr>
            </w:pPr>
            <w:r w:rsidRPr="001F29AA">
              <w:rPr>
                <w:rFonts w:ascii="Times New Roman" w:hAnsi="Times New Roman" w:cs="Times New Roman"/>
              </w:rPr>
              <w:t>Male</w:t>
            </w:r>
          </w:p>
        </w:tc>
        <w:tc>
          <w:tcPr>
            <w:tcW w:w="1543" w:type="dxa"/>
            <w:tcBorders>
              <w:top w:val="single" w:sz="4" w:space="0" w:color="999999"/>
              <w:left w:val="single" w:sz="4" w:space="0" w:color="999999"/>
              <w:bottom w:val="single" w:sz="4" w:space="0" w:color="999999"/>
              <w:right w:val="single" w:sz="4" w:space="0" w:color="999999"/>
            </w:tcBorders>
            <w:vAlign w:val="center"/>
          </w:tcPr>
          <w:p w14:paraId="6307A2A0" w14:textId="77777777" w:rsidR="007B0D51" w:rsidRPr="001F29AA" w:rsidRDefault="007B0D51" w:rsidP="00D36426">
            <w:pPr>
              <w:spacing w:line="480" w:lineRule="auto"/>
              <w:jc w:val="center"/>
              <w:rPr>
                <w:rFonts w:ascii="Times New Roman" w:hAnsi="Times New Roman" w:cs="Times New Roman"/>
              </w:rPr>
            </w:pPr>
          </w:p>
          <w:p w14:paraId="36F6B6E2"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879 (39.6)</w:t>
            </w:r>
          </w:p>
          <w:p w14:paraId="31D2BF04"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1340 (60.4)</w:t>
            </w:r>
          </w:p>
        </w:tc>
        <w:tc>
          <w:tcPr>
            <w:tcW w:w="1700" w:type="dxa"/>
            <w:tcBorders>
              <w:top w:val="single" w:sz="4" w:space="0" w:color="999999"/>
              <w:left w:val="single" w:sz="4" w:space="0" w:color="999999"/>
              <w:bottom w:val="single" w:sz="4" w:space="0" w:color="999999"/>
              <w:right w:val="single" w:sz="4" w:space="0" w:color="999999"/>
            </w:tcBorders>
            <w:vAlign w:val="center"/>
          </w:tcPr>
          <w:p w14:paraId="7CF6B7CB" w14:textId="77777777" w:rsidR="007B0D51" w:rsidRPr="001F29AA" w:rsidRDefault="007B0D51" w:rsidP="00D36426">
            <w:pPr>
              <w:spacing w:line="480" w:lineRule="auto"/>
              <w:jc w:val="center"/>
              <w:rPr>
                <w:rFonts w:ascii="Times New Roman" w:hAnsi="Times New Roman" w:cs="Times New Roman"/>
              </w:rPr>
            </w:pPr>
          </w:p>
          <w:p w14:paraId="1FF5E18E"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3056 (39.2)</w:t>
            </w:r>
          </w:p>
          <w:p w14:paraId="36DAD356"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4746 (60.8)</w:t>
            </w:r>
          </w:p>
        </w:tc>
        <w:tc>
          <w:tcPr>
            <w:tcW w:w="991" w:type="dxa"/>
            <w:tcBorders>
              <w:top w:val="single" w:sz="4" w:space="0" w:color="999999"/>
              <w:left w:val="single" w:sz="4" w:space="0" w:color="999999"/>
              <w:bottom w:val="single" w:sz="4" w:space="0" w:color="999999"/>
              <w:right w:val="single" w:sz="4" w:space="0" w:color="999999"/>
            </w:tcBorders>
            <w:vAlign w:val="center"/>
          </w:tcPr>
          <w:p w14:paraId="03EA606A"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.7061</w:t>
            </w:r>
          </w:p>
          <w:p w14:paraId="518171A3" w14:textId="77777777" w:rsidR="007B0D51" w:rsidRPr="001F29AA" w:rsidRDefault="007B0D51" w:rsidP="00D36426">
            <w:pPr>
              <w:spacing w:line="480" w:lineRule="auto"/>
              <w:jc w:val="center"/>
              <w:rPr>
                <w:rFonts w:ascii="Times New Roman" w:hAnsi="Times New Roman" w:cs="Times New Roman"/>
              </w:rPr>
            </w:pPr>
          </w:p>
          <w:p w14:paraId="6DF15DB8" w14:textId="77777777" w:rsidR="007B0D51" w:rsidRPr="001F29AA" w:rsidRDefault="007B0D51" w:rsidP="00D36426">
            <w:pPr>
              <w:spacing w:line="480" w:lineRule="auto"/>
              <w:rPr>
                <w:rFonts w:ascii="Times New Roman" w:hAnsi="Times New Roman" w:cs="Times New Roman"/>
              </w:rPr>
            </w:pPr>
          </w:p>
        </w:tc>
      </w:tr>
      <w:tr w:rsidR="007B0D51" w:rsidRPr="001F29AA" w14:paraId="5C0B48E8"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614B3DD6"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Age, mean ± SD</w:t>
            </w:r>
          </w:p>
        </w:tc>
        <w:tc>
          <w:tcPr>
            <w:tcW w:w="1543" w:type="dxa"/>
            <w:tcBorders>
              <w:top w:val="single" w:sz="4" w:space="0" w:color="999999"/>
              <w:left w:val="single" w:sz="4" w:space="0" w:color="999999"/>
              <w:bottom w:val="single" w:sz="4" w:space="0" w:color="999999"/>
              <w:right w:val="single" w:sz="4" w:space="0" w:color="999999"/>
            </w:tcBorders>
            <w:vAlign w:val="center"/>
          </w:tcPr>
          <w:p w14:paraId="1E9019E7"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37.0 (15.0)</w:t>
            </w:r>
          </w:p>
        </w:tc>
        <w:tc>
          <w:tcPr>
            <w:tcW w:w="1700" w:type="dxa"/>
            <w:tcBorders>
              <w:top w:val="single" w:sz="4" w:space="0" w:color="999999"/>
              <w:left w:val="single" w:sz="4" w:space="0" w:color="999999"/>
              <w:bottom w:val="single" w:sz="4" w:space="0" w:color="999999"/>
              <w:right w:val="single" w:sz="4" w:space="0" w:color="999999"/>
            </w:tcBorders>
            <w:vAlign w:val="center"/>
          </w:tcPr>
          <w:p w14:paraId="193E809F"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38.3 (14.5)</w:t>
            </w:r>
          </w:p>
        </w:tc>
        <w:tc>
          <w:tcPr>
            <w:tcW w:w="991" w:type="dxa"/>
            <w:tcBorders>
              <w:top w:val="single" w:sz="4" w:space="0" w:color="999999"/>
              <w:left w:val="single" w:sz="4" w:space="0" w:color="999999"/>
              <w:bottom w:val="single" w:sz="4" w:space="0" w:color="999999"/>
              <w:right w:val="single" w:sz="4" w:space="0" w:color="999999"/>
            </w:tcBorders>
            <w:vAlign w:val="center"/>
          </w:tcPr>
          <w:p w14:paraId="0DD9151A"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.0003</w:t>
            </w:r>
          </w:p>
        </w:tc>
      </w:tr>
      <w:tr w:rsidR="007B0D51" w:rsidRPr="001F29AA" w14:paraId="2C9629C7"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37F8CA8B"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Low socioeconomic status,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5E7EFD4D"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1629 (73.4)</w:t>
            </w:r>
          </w:p>
        </w:tc>
        <w:tc>
          <w:tcPr>
            <w:tcW w:w="1700" w:type="dxa"/>
            <w:tcBorders>
              <w:top w:val="single" w:sz="4" w:space="0" w:color="999999"/>
              <w:left w:val="single" w:sz="4" w:space="0" w:color="999999"/>
              <w:bottom w:val="single" w:sz="4" w:space="0" w:color="999999"/>
              <w:right w:val="single" w:sz="4" w:space="0" w:color="999999"/>
            </w:tcBorders>
            <w:vAlign w:val="center"/>
          </w:tcPr>
          <w:p w14:paraId="48C865C3"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5998 (76.9)</w:t>
            </w:r>
          </w:p>
        </w:tc>
        <w:tc>
          <w:tcPr>
            <w:tcW w:w="991" w:type="dxa"/>
            <w:tcBorders>
              <w:top w:val="single" w:sz="4" w:space="0" w:color="999999"/>
              <w:left w:val="single" w:sz="4" w:space="0" w:color="999999"/>
              <w:bottom w:val="single" w:sz="4" w:space="0" w:color="999999"/>
              <w:right w:val="single" w:sz="4" w:space="0" w:color="999999"/>
            </w:tcBorders>
            <w:vAlign w:val="center"/>
          </w:tcPr>
          <w:p w14:paraId="4AF4CE2B"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.0007</w:t>
            </w:r>
          </w:p>
        </w:tc>
      </w:tr>
      <w:tr w:rsidR="007B0D51" w:rsidRPr="001F29AA" w14:paraId="7D7699DC"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17CD8F30"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Duration of SZSPD diagnosis, mean ± SD</w:t>
            </w:r>
          </w:p>
        </w:tc>
        <w:tc>
          <w:tcPr>
            <w:tcW w:w="1543" w:type="dxa"/>
            <w:tcBorders>
              <w:top w:val="single" w:sz="4" w:space="0" w:color="999999"/>
              <w:left w:val="single" w:sz="4" w:space="0" w:color="999999"/>
              <w:bottom w:val="single" w:sz="4" w:space="0" w:color="999999"/>
              <w:right w:val="single" w:sz="4" w:space="0" w:color="999999"/>
            </w:tcBorders>
            <w:vAlign w:val="center"/>
          </w:tcPr>
          <w:p w14:paraId="43FADA63"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5.6 (3.8)</w:t>
            </w:r>
          </w:p>
        </w:tc>
        <w:tc>
          <w:tcPr>
            <w:tcW w:w="1700" w:type="dxa"/>
            <w:tcBorders>
              <w:top w:val="single" w:sz="4" w:space="0" w:color="999999"/>
              <w:left w:val="single" w:sz="4" w:space="0" w:color="999999"/>
              <w:bottom w:val="single" w:sz="4" w:space="0" w:color="999999"/>
              <w:right w:val="single" w:sz="4" w:space="0" w:color="999999"/>
            </w:tcBorders>
            <w:vAlign w:val="center"/>
          </w:tcPr>
          <w:p w14:paraId="0998D96A"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6.0 (3.9)</w:t>
            </w:r>
          </w:p>
        </w:tc>
        <w:tc>
          <w:tcPr>
            <w:tcW w:w="991" w:type="dxa"/>
            <w:tcBorders>
              <w:top w:val="single" w:sz="4" w:space="0" w:color="999999"/>
              <w:left w:val="single" w:sz="4" w:space="0" w:color="999999"/>
              <w:bottom w:val="single" w:sz="4" w:space="0" w:color="999999"/>
              <w:right w:val="single" w:sz="4" w:space="0" w:color="999999"/>
            </w:tcBorders>
            <w:vAlign w:val="center"/>
          </w:tcPr>
          <w:p w14:paraId="47D97BFE"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.0001</w:t>
            </w:r>
          </w:p>
        </w:tc>
      </w:tr>
      <w:tr w:rsidR="007B0D51" w:rsidRPr="001F29AA" w14:paraId="2A3BF8B7"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49F97DEA"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Initial prescriber of ADHD medication, n (%)</w:t>
            </w:r>
          </w:p>
          <w:p w14:paraId="0360508E" w14:textId="77777777" w:rsidR="007B0D51" w:rsidRPr="001F29AA" w:rsidRDefault="007B0D51" w:rsidP="00D36426">
            <w:pPr>
              <w:spacing w:line="480" w:lineRule="auto"/>
              <w:ind w:left="316"/>
              <w:rPr>
                <w:rFonts w:ascii="Times New Roman" w:hAnsi="Times New Roman" w:cs="Times New Roman"/>
              </w:rPr>
            </w:pPr>
            <w:r w:rsidRPr="001F29AA">
              <w:rPr>
                <w:rFonts w:ascii="Times New Roman" w:hAnsi="Times New Roman" w:cs="Times New Roman"/>
              </w:rPr>
              <w:t>Psychiatrist</w:t>
            </w:r>
          </w:p>
          <w:p w14:paraId="20FF0332" w14:textId="77777777" w:rsidR="007B0D51" w:rsidRPr="001F29AA" w:rsidRDefault="007B0D51" w:rsidP="00D36426">
            <w:pPr>
              <w:spacing w:line="480" w:lineRule="auto"/>
              <w:ind w:left="316"/>
              <w:rPr>
                <w:rFonts w:ascii="Times New Roman" w:hAnsi="Times New Roman" w:cs="Times New Roman"/>
              </w:rPr>
            </w:pPr>
            <w:r w:rsidRPr="001F29AA">
              <w:rPr>
                <w:rFonts w:ascii="Times New Roman" w:hAnsi="Times New Roman" w:cs="Times New Roman"/>
              </w:rPr>
              <w:t>General practitioner</w:t>
            </w:r>
          </w:p>
          <w:p w14:paraId="722A6410" w14:textId="77777777" w:rsidR="007B0D51" w:rsidRPr="001F29AA" w:rsidRDefault="007B0D51" w:rsidP="00D36426">
            <w:pPr>
              <w:spacing w:line="480" w:lineRule="auto"/>
              <w:ind w:left="316"/>
              <w:rPr>
                <w:rFonts w:ascii="Times New Roman" w:hAnsi="Times New Roman" w:cs="Times New Roman"/>
              </w:rPr>
            </w:pPr>
            <w:r w:rsidRPr="001F29AA">
              <w:rPr>
                <w:rFonts w:ascii="Times New Roman" w:hAnsi="Times New Roman" w:cs="Times New Roman"/>
              </w:rPr>
              <w:t>Other MD</w:t>
            </w:r>
          </w:p>
        </w:tc>
        <w:tc>
          <w:tcPr>
            <w:tcW w:w="1543" w:type="dxa"/>
            <w:tcBorders>
              <w:top w:val="single" w:sz="4" w:space="0" w:color="999999"/>
              <w:left w:val="single" w:sz="4" w:space="0" w:color="999999"/>
              <w:bottom w:val="single" w:sz="4" w:space="0" w:color="999999"/>
              <w:right w:val="single" w:sz="4" w:space="0" w:color="999999"/>
            </w:tcBorders>
            <w:vAlign w:val="center"/>
          </w:tcPr>
          <w:p w14:paraId="5F4D9DEA" w14:textId="77777777" w:rsidR="007B0D51" w:rsidRPr="001F29AA" w:rsidRDefault="007B0D51" w:rsidP="00D36426">
            <w:pPr>
              <w:spacing w:line="480" w:lineRule="auto"/>
              <w:jc w:val="center"/>
              <w:rPr>
                <w:rFonts w:ascii="Times New Roman" w:hAnsi="Times New Roman" w:cs="Times New Roman"/>
              </w:rPr>
            </w:pPr>
          </w:p>
          <w:p w14:paraId="3FB00D9F"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1460 (65.8)</w:t>
            </w:r>
          </w:p>
          <w:p w14:paraId="60077104"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711 (32.0)</w:t>
            </w:r>
          </w:p>
          <w:p w14:paraId="188781A5"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48 (2.2)</w:t>
            </w:r>
          </w:p>
        </w:tc>
        <w:tc>
          <w:tcPr>
            <w:tcW w:w="1700" w:type="dxa"/>
            <w:tcBorders>
              <w:top w:val="single" w:sz="4" w:space="0" w:color="999999"/>
              <w:left w:val="single" w:sz="4" w:space="0" w:color="999999"/>
              <w:bottom w:val="single" w:sz="4" w:space="0" w:color="999999"/>
              <w:right w:val="single" w:sz="4" w:space="0" w:color="999999"/>
            </w:tcBorders>
            <w:vAlign w:val="center"/>
          </w:tcPr>
          <w:p w14:paraId="21854C98"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w:t>
            </w:r>
          </w:p>
        </w:tc>
        <w:tc>
          <w:tcPr>
            <w:tcW w:w="991" w:type="dxa"/>
            <w:tcBorders>
              <w:top w:val="single" w:sz="4" w:space="0" w:color="999999"/>
              <w:left w:val="single" w:sz="4" w:space="0" w:color="999999"/>
              <w:bottom w:val="single" w:sz="4" w:space="0" w:color="999999"/>
              <w:right w:val="single" w:sz="4" w:space="0" w:color="999999"/>
            </w:tcBorders>
            <w:vAlign w:val="center"/>
          </w:tcPr>
          <w:p w14:paraId="11D818CC"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w:t>
            </w:r>
          </w:p>
        </w:tc>
      </w:tr>
      <w:tr w:rsidR="007B0D51" w:rsidRPr="001F29AA" w14:paraId="65850B9F"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59C15D92"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Prescriber of AP, n (%)</w:t>
            </w:r>
          </w:p>
          <w:p w14:paraId="6A2F82C0" w14:textId="77777777" w:rsidR="007B0D51" w:rsidRPr="001F29AA" w:rsidRDefault="007B0D51" w:rsidP="00D36426">
            <w:pPr>
              <w:spacing w:line="480" w:lineRule="auto"/>
              <w:ind w:left="316"/>
              <w:rPr>
                <w:rFonts w:ascii="Times New Roman" w:hAnsi="Times New Roman" w:cs="Times New Roman"/>
              </w:rPr>
            </w:pPr>
            <w:r w:rsidRPr="001F29AA">
              <w:rPr>
                <w:rFonts w:ascii="Times New Roman" w:hAnsi="Times New Roman" w:cs="Times New Roman"/>
              </w:rPr>
              <w:t>Psychiatrist</w:t>
            </w:r>
          </w:p>
          <w:p w14:paraId="3BB8025A" w14:textId="77777777" w:rsidR="007B0D51" w:rsidRPr="001F29AA" w:rsidRDefault="007B0D51" w:rsidP="00D36426">
            <w:pPr>
              <w:spacing w:line="480" w:lineRule="auto"/>
              <w:ind w:left="316"/>
              <w:rPr>
                <w:rFonts w:ascii="Times New Roman" w:hAnsi="Times New Roman" w:cs="Times New Roman"/>
              </w:rPr>
            </w:pPr>
            <w:r w:rsidRPr="001F29AA">
              <w:rPr>
                <w:rFonts w:ascii="Times New Roman" w:hAnsi="Times New Roman" w:cs="Times New Roman"/>
              </w:rPr>
              <w:t>General practitioner</w:t>
            </w:r>
          </w:p>
          <w:p w14:paraId="1D3F012D" w14:textId="77777777" w:rsidR="007B0D51" w:rsidRPr="001F29AA" w:rsidRDefault="007B0D51" w:rsidP="00D36426">
            <w:pPr>
              <w:spacing w:line="480" w:lineRule="auto"/>
              <w:ind w:left="316"/>
              <w:rPr>
                <w:rFonts w:ascii="Times New Roman" w:hAnsi="Times New Roman" w:cs="Times New Roman"/>
              </w:rPr>
            </w:pPr>
            <w:r w:rsidRPr="001F29AA">
              <w:rPr>
                <w:rFonts w:ascii="Times New Roman" w:hAnsi="Times New Roman" w:cs="Times New Roman"/>
              </w:rPr>
              <w:t>Other MD</w:t>
            </w:r>
          </w:p>
        </w:tc>
        <w:tc>
          <w:tcPr>
            <w:tcW w:w="1543" w:type="dxa"/>
            <w:tcBorders>
              <w:top w:val="single" w:sz="4" w:space="0" w:color="999999"/>
              <w:left w:val="single" w:sz="4" w:space="0" w:color="999999"/>
              <w:bottom w:val="single" w:sz="4" w:space="0" w:color="999999"/>
              <w:right w:val="single" w:sz="4" w:space="0" w:color="999999"/>
            </w:tcBorders>
            <w:vAlign w:val="center"/>
          </w:tcPr>
          <w:p w14:paraId="151CE3F5" w14:textId="77777777" w:rsidR="007B0D51" w:rsidRPr="001F29AA" w:rsidRDefault="007B0D51" w:rsidP="00D36426">
            <w:pPr>
              <w:spacing w:line="480" w:lineRule="auto"/>
              <w:jc w:val="center"/>
              <w:rPr>
                <w:rFonts w:ascii="Times New Roman" w:hAnsi="Times New Roman" w:cs="Times New Roman"/>
              </w:rPr>
            </w:pPr>
          </w:p>
          <w:p w14:paraId="1061E1DC"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1597 (72.0)</w:t>
            </w:r>
          </w:p>
          <w:p w14:paraId="16225CB6"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599 (27.0)</w:t>
            </w:r>
          </w:p>
          <w:p w14:paraId="3F4B76E7"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23 (1.0)</w:t>
            </w:r>
          </w:p>
        </w:tc>
        <w:tc>
          <w:tcPr>
            <w:tcW w:w="1700" w:type="dxa"/>
            <w:tcBorders>
              <w:top w:val="single" w:sz="4" w:space="0" w:color="999999"/>
              <w:left w:val="single" w:sz="4" w:space="0" w:color="999999"/>
              <w:bottom w:val="single" w:sz="4" w:space="0" w:color="999999"/>
              <w:right w:val="single" w:sz="4" w:space="0" w:color="999999"/>
            </w:tcBorders>
            <w:vAlign w:val="center"/>
          </w:tcPr>
          <w:p w14:paraId="4D1D4C04" w14:textId="77777777" w:rsidR="007B0D51" w:rsidRPr="001F29AA" w:rsidRDefault="007B0D51" w:rsidP="00D36426">
            <w:pPr>
              <w:spacing w:line="480" w:lineRule="auto"/>
              <w:jc w:val="center"/>
              <w:rPr>
                <w:rFonts w:ascii="Times New Roman" w:hAnsi="Times New Roman" w:cs="Times New Roman"/>
              </w:rPr>
            </w:pPr>
          </w:p>
          <w:p w14:paraId="77FA15F5"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5378 (68.9)</w:t>
            </w:r>
          </w:p>
          <w:p w14:paraId="50295668"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2338 (30.0)</w:t>
            </w:r>
          </w:p>
          <w:p w14:paraId="5CE4BE1A"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86 (1.1)</w:t>
            </w:r>
          </w:p>
        </w:tc>
        <w:tc>
          <w:tcPr>
            <w:tcW w:w="991" w:type="dxa"/>
            <w:tcBorders>
              <w:top w:val="single" w:sz="4" w:space="0" w:color="999999"/>
              <w:left w:val="single" w:sz="4" w:space="0" w:color="999999"/>
              <w:bottom w:val="single" w:sz="4" w:space="0" w:color="999999"/>
              <w:right w:val="single" w:sz="4" w:space="0" w:color="999999"/>
            </w:tcBorders>
            <w:vAlign w:val="center"/>
          </w:tcPr>
          <w:p w14:paraId="4E5DE1FB"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.0227</w:t>
            </w:r>
          </w:p>
          <w:p w14:paraId="02B341AA" w14:textId="77777777" w:rsidR="007B0D51" w:rsidRPr="001F29AA" w:rsidRDefault="007B0D51" w:rsidP="00D36426">
            <w:pPr>
              <w:spacing w:line="480" w:lineRule="auto"/>
              <w:jc w:val="center"/>
              <w:rPr>
                <w:rFonts w:ascii="Times New Roman" w:hAnsi="Times New Roman" w:cs="Times New Roman"/>
              </w:rPr>
            </w:pPr>
          </w:p>
          <w:p w14:paraId="31EAC451" w14:textId="77777777" w:rsidR="007B0D51" w:rsidRPr="001F29AA" w:rsidRDefault="007B0D51" w:rsidP="00D36426">
            <w:pPr>
              <w:spacing w:line="480" w:lineRule="auto"/>
              <w:jc w:val="center"/>
              <w:rPr>
                <w:rFonts w:ascii="Times New Roman" w:hAnsi="Times New Roman" w:cs="Times New Roman"/>
              </w:rPr>
            </w:pPr>
          </w:p>
          <w:p w14:paraId="167A1BB1" w14:textId="77777777" w:rsidR="007B0D51" w:rsidRPr="001F29AA" w:rsidRDefault="007B0D51" w:rsidP="00D36426">
            <w:pPr>
              <w:spacing w:line="480" w:lineRule="auto"/>
              <w:jc w:val="center"/>
              <w:rPr>
                <w:rFonts w:ascii="Times New Roman" w:hAnsi="Times New Roman" w:cs="Times New Roman"/>
              </w:rPr>
            </w:pPr>
          </w:p>
        </w:tc>
      </w:tr>
      <w:tr w:rsidR="007B0D51" w:rsidRPr="001F29AA" w14:paraId="496727AE"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3C1BC70D"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Comorbidity index (≥ 1),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10B013F8"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524 (23.6)</w:t>
            </w:r>
          </w:p>
        </w:tc>
        <w:tc>
          <w:tcPr>
            <w:tcW w:w="1700" w:type="dxa"/>
            <w:tcBorders>
              <w:top w:val="single" w:sz="4" w:space="0" w:color="999999"/>
              <w:left w:val="single" w:sz="4" w:space="0" w:color="999999"/>
              <w:bottom w:val="single" w:sz="4" w:space="0" w:color="999999"/>
              <w:right w:val="single" w:sz="4" w:space="0" w:color="999999"/>
            </w:tcBorders>
            <w:vAlign w:val="center"/>
          </w:tcPr>
          <w:p w14:paraId="4DFAC731"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1364 (17.5)</w:t>
            </w:r>
          </w:p>
        </w:tc>
        <w:tc>
          <w:tcPr>
            <w:tcW w:w="991" w:type="dxa"/>
            <w:tcBorders>
              <w:top w:val="single" w:sz="4" w:space="0" w:color="999999"/>
              <w:left w:val="single" w:sz="4" w:space="0" w:color="999999"/>
              <w:bottom w:val="single" w:sz="4" w:space="0" w:color="999999"/>
              <w:right w:val="single" w:sz="4" w:space="0" w:color="999999"/>
            </w:tcBorders>
            <w:vAlign w:val="center"/>
          </w:tcPr>
          <w:p w14:paraId="28B88230"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r w:rsidR="007B0D51" w:rsidRPr="001F29AA" w14:paraId="104FFFB2"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156A198D"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lastRenderedPageBreak/>
              <w:t>Substance-related disorders,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2262F9CF"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755 (34.0)</w:t>
            </w:r>
          </w:p>
        </w:tc>
        <w:tc>
          <w:tcPr>
            <w:tcW w:w="1700" w:type="dxa"/>
            <w:tcBorders>
              <w:top w:val="single" w:sz="4" w:space="0" w:color="999999"/>
              <w:left w:val="single" w:sz="4" w:space="0" w:color="999999"/>
              <w:bottom w:val="single" w:sz="4" w:space="0" w:color="999999"/>
              <w:right w:val="single" w:sz="4" w:space="0" w:color="999999"/>
            </w:tcBorders>
            <w:vAlign w:val="center"/>
          </w:tcPr>
          <w:p w14:paraId="4A164DE5"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1472 (18.9)</w:t>
            </w:r>
          </w:p>
        </w:tc>
        <w:tc>
          <w:tcPr>
            <w:tcW w:w="991" w:type="dxa"/>
            <w:tcBorders>
              <w:top w:val="single" w:sz="4" w:space="0" w:color="999999"/>
              <w:left w:val="single" w:sz="4" w:space="0" w:color="999999"/>
              <w:bottom w:val="single" w:sz="4" w:space="0" w:color="999999"/>
              <w:right w:val="single" w:sz="4" w:space="0" w:color="999999"/>
            </w:tcBorders>
            <w:vAlign w:val="center"/>
          </w:tcPr>
          <w:p w14:paraId="54B71FE9"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r w:rsidR="007B0D51" w:rsidRPr="001F29AA" w14:paraId="65AEC488"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6810FF2B"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Personality disorder,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6F19F49A"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633 (28.5)</w:t>
            </w:r>
          </w:p>
        </w:tc>
        <w:tc>
          <w:tcPr>
            <w:tcW w:w="1700" w:type="dxa"/>
            <w:tcBorders>
              <w:top w:val="single" w:sz="4" w:space="0" w:color="999999"/>
              <w:left w:val="single" w:sz="4" w:space="0" w:color="999999"/>
              <w:bottom w:val="single" w:sz="4" w:space="0" w:color="999999"/>
              <w:right w:val="single" w:sz="4" w:space="0" w:color="999999"/>
            </w:tcBorders>
            <w:vAlign w:val="center"/>
          </w:tcPr>
          <w:p w14:paraId="51C9ABEF"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991 (12.7)</w:t>
            </w:r>
          </w:p>
        </w:tc>
        <w:tc>
          <w:tcPr>
            <w:tcW w:w="991" w:type="dxa"/>
            <w:tcBorders>
              <w:top w:val="single" w:sz="4" w:space="0" w:color="999999"/>
              <w:left w:val="single" w:sz="4" w:space="0" w:color="999999"/>
              <w:bottom w:val="single" w:sz="4" w:space="0" w:color="999999"/>
              <w:right w:val="single" w:sz="4" w:space="0" w:color="999999"/>
            </w:tcBorders>
            <w:vAlign w:val="center"/>
          </w:tcPr>
          <w:p w14:paraId="40D5D08F"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r w:rsidR="007B0D51" w:rsidRPr="001F29AA" w14:paraId="2D57C801"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7CB6734A"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Lithium use,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7E71CE92"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269 (12.1)</w:t>
            </w:r>
          </w:p>
        </w:tc>
        <w:tc>
          <w:tcPr>
            <w:tcW w:w="1700" w:type="dxa"/>
            <w:tcBorders>
              <w:top w:val="single" w:sz="4" w:space="0" w:color="999999"/>
              <w:left w:val="single" w:sz="4" w:space="0" w:color="999999"/>
              <w:bottom w:val="single" w:sz="4" w:space="0" w:color="999999"/>
              <w:right w:val="single" w:sz="4" w:space="0" w:color="999999"/>
            </w:tcBorders>
            <w:vAlign w:val="center"/>
          </w:tcPr>
          <w:p w14:paraId="6F0EBE6F"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730 (9.4)</w:t>
            </w:r>
          </w:p>
        </w:tc>
        <w:tc>
          <w:tcPr>
            <w:tcW w:w="991" w:type="dxa"/>
            <w:tcBorders>
              <w:top w:val="single" w:sz="4" w:space="0" w:color="999999"/>
              <w:left w:val="single" w:sz="4" w:space="0" w:color="999999"/>
              <w:bottom w:val="single" w:sz="4" w:space="0" w:color="999999"/>
              <w:right w:val="single" w:sz="4" w:space="0" w:color="999999"/>
            </w:tcBorders>
            <w:vAlign w:val="center"/>
          </w:tcPr>
          <w:p w14:paraId="23AC8ADB"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.0001</w:t>
            </w:r>
          </w:p>
        </w:tc>
      </w:tr>
      <w:tr w:rsidR="007B0D51" w:rsidRPr="001F29AA" w14:paraId="770D333E"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1BA09D0A"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Antidepressant use,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7BB557D4"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1388 (62.6)</w:t>
            </w:r>
          </w:p>
        </w:tc>
        <w:tc>
          <w:tcPr>
            <w:tcW w:w="1700" w:type="dxa"/>
            <w:tcBorders>
              <w:top w:val="single" w:sz="4" w:space="0" w:color="999999"/>
              <w:left w:val="single" w:sz="4" w:space="0" w:color="999999"/>
              <w:bottom w:val="single" w:sz="4" w:space="0" w:color="999999"/>
              <w:right w:val="single" w:sz="4" w:space="0" w:color="999999"/>
            </w:tcBorders>
            <w:vAlign w:val="center"/>
          </w:tcPr>
          <w:p w14:paraId="76F75FFD"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3316 (42.5)</w:t>
            </w:r>
          </w:p>
        </w:tc>
        <w:tc>
          <w:tcPr>
            <w:tcW w:w="991" w:type="dxa"/>
            <w:tcBorders>
              <w:top w:val="single" w:sz="4" w:space="0" w:color="999999"/>
              <w:left w:val="single" w:sz="4" w:space="0" w:color="999999"/>
              <w:bottom w:val="single" w:sz="4" w:space="0" w:color="999999"/>
              <w:right w:val="single" w:sz="4" w:space="0" w:color="999999"/>
            </w:tcBorders>
            <w:vAlign w:val="center"/>
          </w:tcPr>
          <w:p w14:paraId="0B2A7668"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r w:rsidR="007B0D51" w:rsidRPr="001F29AA" w14:paraId="74BC369D"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5073CBF5"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Benzodiazepine use,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0564485B"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1180 (53.2)</w:t>
            </w:r>
          </w:p>
        </w:tc>
        <w:tc>
          <w:tcPr>
            <w:tcW w:w="1700" w:type="dxa"/>
            <w:tcBorders>
              <w:top w:val="single" w:sz="4" w:space="0" w:color="999999"/>
              <w:left w:val="single" w:sz="4" w:space="0" w:color="999999"/>
              <w:bottom w:val="single" w:sz="4" w:space="0" w:color="999999"/>
              <w:right w:val="single" w:sz="4" w:space="0" w:color="999999"/>
            </w:tcBorders>
            <w:vAlign w:val="center"/>
          </w:tcPr>
          <w:p w14:paraId="73387012"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3099 (39.7)</w:t>
            </w:r>
          </w:p>
        </w:tc>
        <w:tc>
          <w:tcPr>
            <w:tcW w:w="991" w:type="dxa"/>
            <w:tcBorders>
              <w:top w:val="single" w:sz="4" w:space="0" w:color="999999"/>
              <w:left w:val="single" w:sz="4" w:space="0" w:color="999999"/>
              <w:bottom w:val="single" w:sz="4" w:space="0" w:color="999999"/>
              <w:right w:val="single" w:sz="4" w:space="0" w:color="999999"/>
            </w:tcBorders>
            <w:vAlign w:val="center"/>
          </w:tcPr>
          <w:p w14:paraId="57305866"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r w:rsidR="007B0D51" w:rsidRPr="001F29AA" w14:paraId="11FA2449"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73882503"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Divalproex use,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4900C738"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337 (15.2)</w:t>
            </w:r>
          </w:p>
        </w:tc>
        <w:tc>
          <w:tcPr>
            <w:tcW w:w="1700" w:type="dxa"/>
            <w:tcBorders>
              <w:top w:val="single" w:sz="4" w:space="0" w:color="999999"/>
              <w:left w:val="single" w:sz="4" w:space="0" w:color="999999"/>
              <w:bottom w:val="single" w:sz="4" w:space="0" w:color="999999"/>
              <w:right w:val="single" w:sz="4" w:space="0" w:color="999999"/>
            </w:tcBorders>
            <w:vAlign w:val="center"/>
          </w:tcPr>
          <w:p w14:paraId="3DE7952C"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1047 (13.4)</w:t>
            </w:r>
          </w:p>
        </w:tc>
        <w:tc>
          <w:tcPr>
            <w:tcW w:w="991" w:type="dxa"/>
            <w:tcBorders>
              <w:top w:val="single" w:sz="4" w:space="0" w:color="999999"/>
              <w:left w:val="single" w:sz="4" w:space="0" w:color="999999"/>
              <w:bottom w:val="single" w:sz="4" w:space="0" w:color="999999"/>
              <w:right w:val="single" w:sz="4" w:space="0" w:color="999999"/>
            </w:tcBorders>
            <w:vAlign w:val="center"/>
          </w:tcPr>
          <w:p w14:paraId="78528D0D"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.0332</w:t>
            </w:r>
          </w:p>
        </w:tc>
      </w:tr>
      <w:tr w:rsidR="007B0D51" w:rsidRPr="001F29AA" w14:paraId="7030DA53"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444EC209"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Lamotrigine use,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1C76B1FB"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157 (7.1)</w:t>
            </w:r>
          </w:p>
        </w:tc>
        <w:tc>
          <w:tcPr>
            <w:tcW w:w="1700" w:type="dxa"/>
            <w:tcBorders>
              <w:top w:val="single" w:sz="4" w:space="0" w:color="999999"/>
              <w:left w:val="single" w:sz="4" w:space="0" w:color="999999"/>
              <w:bottom w:val="single" w:sz="4" w:space="0" w:color="999999"/>
              <w:right w:val="single" w:sz="4" w:space="0" w:color="999999"/>
            </w:tcBorders>
            <w:vAlign w:val="center"/>
          </w:tcPr>
          <w:p w14:paraId="1096B471"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252 (3.2)</w:t>
            </w:r>
          </w:p>
        </w:tc>
        <w:tc>
          <w:tcPr>
            <w:tcW w:w="991" w:type="dxa"/>
            <w:tcBorders>
              <w:top w:val="single" w:sz="4" w:space="0" w:color="999999"/>
              <w:left w:val="single" w:sz="4" w:space="0" w:color="999999"/>
              <w:bottom w:val="single" w:sz="4" w:space="0" w:color="999999"/>
              <w:right w:val="single" w:sz="4" w:space="0" w:color="999999"/>
            </w:tcBorders>
            <w:vAlign w:val="center"/>
          </w:tcPr>
          <w:p w14:paraId="009506C1"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r w:rsidR="007B0D51" w:rsidRPr="001F29AA" w14:paraId="34F7DB1F"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1D34958C"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Number of ambulatory visits, mean ± SD</w:t>
            </w:r>
          </w:p>
        </w:tc>
        <w:tc>
          <w:tcPr>
            <w:tcW w:w="1543" w:type="dxa"/>
            <w:tcBorders>
              <w:top w:val="single" w:sz="4" w:space="0" w:color="999999"/>
              <w:left w:val="single" w:sz="4" w:space="0" w:color="999999"/>
              <w:bottom w:val="single" w:sz="4" w:space="0" w:color="999999"/>
              <w:right w:val="single" w:sz="4" w:space="0" w:color="999999"/>
            </w:tcBorders>
            <w:vAlign w:val="center"/>
          </w:tcPr>
          <w:p w14:paraId="0559D063"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16.0 (16.5)</w:t>
            </w:r>
          </w:p>
        </w:tc>
        <w:tc>
          <w:tcPr>
            <w:tcW w:w="1700" w:type="dxa"/>
            <w:tcBorders>
              <w:top w:val="single" w:sz="4" w:space="0" w:color="999999"/>
              <w:left w:val="single" w:sz="4" w:space="0" w:color="999999"/>
              <w:bottom w:val="single" w:sz="4" w:space="0" w:color="999999"/>
              <w:right w:val="single" w:sz="4" w:space="0" w:color="999999"/>
            </w:tcBorders>
            <w:vAlign w:val="center"/>
          </w:tcPr>
          <w:p w14:paraId="619C261A"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12.2 (14.5)</w:t>
            </w:r>
          </w:p>
        </w:tc>
        <w:tc>
          <w:tcPr>
            <w:tcW w:w="991" w:type="dxa"/>
            <w:tcBorders>
              <w:top w:val="single" w:sz="4" w:space="0" w:color="999999"/>
              <w:left w:val="single" w:sz="4" w:space="0" w:color="999999"/>
              <w:bottom w:val="single" w:sz="4" w:space="0" w:color="999999"/>
              <w:right w:val="single" w:sz="4" w:space="0" w:color="999999"/>
            </w:tcBorders>
            <w:vAlign w:val="center"/>
          </w:tcPr>
          <w:p w14:paraId="3E6E9FDE"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r w:rsidR="007B0D51" w:rsidRPr="001F29AA" w14:paraId="66742A8C"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239DF514"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Prior hospitalization for psychosis,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7DCFB84F"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346 (15.6)</w:t>
            </w:r>
          </w:p>
        </w:tc>
        <w:tc>
          <w:tcPr>
            <w:tcW w:w="1700" w:type="dxa"/>
            <w:tcBorders>
              <w:top w:val="single" w:sz="4" w:space="0" w:color="999999"/>
              <w:left w:val="single" w:sz="4" w:space="0" w:color="999999"/>
              <w:bottom w:val="single" w:sz="4" w:space="0" w:color="999999"/>
              <w:right w:val="single" w:sz="4" w:space="0" w:color="999999"/>
            </w:tcBorders>
            <w:vAlign w:val="center"/>
          </w:tcPr>
          <w:p w14:paraId="24DEA9CF"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1196 (15.3)</w:t>
            </w:r>
          </w:p>
        </w:tc>
        <w:tc>
          <w:tcPr>
            <w:tcW w:w="991" w:type="dxa"/>
            <w:tcBorders>
              <w:top w:val="single" w:sz="4" w:space="0" w:color="999999"/>
              <w:left w:val="single" w:sz="4" w:space="0" w:color="999999"/>
              <w:bottom w:val="single" w:sz="4" w:space="0" w:color="999999"/>
              <w:right w:val="single" w:sz="4" w:space="0" w:color="999999"/>
            </w:tcBorders>
            <w:vAlign w:val="center"/>
          </w:tcPr>
          <w:p w14:paraId="0D252E76"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.7617</w:t>
            </w:r>
          </w:p>
        </w:tc>
      </w:tr>
      <w:tr w:rsidR="007B0D51" w:rsidRPr="001F29AA" w14:paraId="1598A0BE"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11913A38"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Prior hospitalization for other mental dis.,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0B732567"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579 (26.1)</w:t>
            </w:r>
          </w:p>
        </w:tc>
        <w:tc>
          <w:tcPr>
            <w:tcW w:w="1700" w:type="dxa"/>
            <w:tcBorders>
              <w:top w:val="single" w:sz="4" w:space="0" w:color="999999"/>
              <w:left w:val="single" w:sz="4" w:space="0" w:color="999999"/>
              <w:bottom w:val="single" w:sz="4" w:space="0" w:color="999999"/>
              <w:right w:val="single" w:sz="4" w:space="0" w:color="999999"/>
            </w:tcBorders>
            <w:vAlign w:val="center"/>
          </w:tcPr>
          <w:p w14:paraId="5B6E9697"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873 (11.2)</w:t>
            </w:r>
          </w:p>
        </w:tc>
        <w:tc>
          <w:tcPr>
            <w:tcW w:w="991" w:type="dxa"/>
            <w:tcBorders>
              <w:top w:val="single" w:sz="4" w:space="0" w:color="999999"/>
              <w:left w:val="single" w:sz="4" w:space="0" w:color="999999"/>
              <w:bottom w:val="single" w:sz="4" w:space="0" w:color="999999"/>
              <w:right w:val="single" w:sz="4" w:space="0" w:color="999999"/>
            </w:tcBorders>
            <w:vAlign w:val="center"/>
          </w:tcPr>
          <w:p w14:paraId="3C940535"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r w:rsidR="007B0D51" w:rsidRPr="001F29AA" w14:paraId="275A4B6D"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1B5B4E60"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Prior hospitalization for mental dis.,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18DA78F1"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822 (37.0)</w:t>
            </w:r>
          </w:p>
        </w:tc>
        <w:tc>
          <w:tcPr>
            <w:tcW w:w="1700" w:type="dxa"/>
            <w:tcBorders>
              <w:top w:val="single" w:sz="4" w:space="0" w:color="999999"/>
              <w:left w:val="single" w:sz="4" w:space="0" w:color="999999"/>
              <w:bottom w:val="single" w:sz="4" w:space="0" w:color="999999"/>
              <w:right w:val="single" w:sz="4" w:space="0" w:color="999999"/>
            </w:tcBorders>
            <w:vAlign w:val="center"/>
          </w:tcPr>
          <w:p w14:paraId="105E74A5"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1912 (24.5)</w:t>
            </w:r>
          </w:p>
        </w:tc>
        <w:tc>
          <w:tcPr>
            <w:tcW w:w="991" w:type="dxa"/>
            <w:tcBorders>
              <w:top w:val="single" w:sz="4" w:space="0" w:color="999999"/>
              <w:left w:val="single" w:sz="4" w:space="0" w:color="999999"/>
              <w:bottom w:val="single" w:sz="4" w:space="0" w:color="999999"/>
              <w:right w:val="single" w:sz="4" w:space="0" w:color="999999"/>
            </w:tcBorders>
            <w:vAlign w:val="center"/>
          </w:tcPr>
          <w:p w14:paraId="12AD8F2C"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r w:rsidR="007B0D51" w:rsidRPr="001F29AA" w14:paraId="6915A70F" w14:textId="77777777" w:rsidTr="00D36426">
        <w:trPr>
          <w:trHeight w:val="283"/>
        </w:trPr>
        <w:tc>
          <w:tcPr>
            <w:tcW w:w="5116" w:type="dxa"/>
            <w:tcBorders>
              <w:top w:val="single" w:sz="4" w:space="0" w:color="999999"/>
              <w:left w:val="single" w:sz="4" w:space="0" w:color="999999"/>
              <w:bottom w:val="single" w:sz="4" w:space="0" w:color="999999"/>
              <w:right w:val="single" w:sz="4" w:space="0" w:color="999999"/>
            </w:tcBorders>
            <w:vAlign w:val="center"/>
          </w:tcPr>
          <w:p w14:paraId="4E0C502A" w14:textId="77777777" w:rsidR="007B0D51" w:rsidRPr="001F29AA" w:rsidRDefault="007B0D51" w:rsidP="00D36426">
            <w:pPr>
              <w:spacing w:line="480" w:lineRule="auto"/>
              <w:rPr>
                <w:rFonts w:ascii="Times New Roman" w:hAnsi="Times New Roman" w:cs="Times New Roman"/>
              </w:rPr>
            </w:pPr>
            <w:r w:rsidRPr="001F29AA">
              <w:rPr>
                <w:rFonts w:ascii="Times New Roman" w:hAnsi="Times New Roman" w:cs="Times New Roman"/>
              </w:rPr>
              <w:t>Prior hospitalization for non-mental dis., n (%)</w:t>
            </w:r>
          </w:p>
        </w:tc>
        <w:tc>
          <w:tcPr>
            <w:tcW w:w="1543" w:type="dxa"/>
            <w:tcBorders>
              <w:top w:val="single" w:sz="4" w:space="0" w:color="999999"/>
              <w:left w:val="single" w:sz="4" w:space="0" w:color="999999"/>
              <w:bottom w:val="single" w:sz="4" w:space="0" w:color="999999"/>
              <w:right w:val="single" w:sz="4" w:space="0" w:color="999999"/>
            </w:tcBorders>
            <w:vAlign w:val="center"/>
          </w:tcPr>
          <w:p w14:paraId="496C449B"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305 (13.7)</w:t>
            </w:r>
          </w:p>
        </w:tc>
        <w:tc>
          <w:tcPr>
            <w:tcW w:w="1700" w:type="dxa"/>
            <w:tcBorders>
              <w:top w:val="single" w:sz="4" w:space="0" w:color="999999"/>
              <w:left w:val="single" w:sz="4" w:space="0" w:color="999999"/>
              <w:bottom w:val="single" w:sz="4" w:space="0" w:color="999999"/>
              <w:right w:val="single" w:sz="4" w:space="0" w:color="999999"/>
            </w:tcBorders>
            <w:vAlign w:val="center"/>
          </w:tcPr>
          <w:p w14:paraId="5990D6FB"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745 (9.6)</w:t>
            </w:r>
          </w:p>
        </w:tc>
        <w:tc>
          <w:tcPr>
            <w:tcW w:w="991" w:type="dxa"/>
            <w:tcBorders>
              <w:top w:val="single" w:sz="4" w:space="0" w:color="999999"/>
              <w:left w:val="single" w:sz="4" w:space="0" w:color="999999"/>
              <w:bottom w:val="single" w:sz="4" w:space="0" w:color="999999"/>
              <w:right w:val="single" w:sz="4" w:space="0" w:color="999999"/>
            </w:tcBorders>
            <w:vAlign w:val="center"/>
          </w:tcPr>
          <w:p w14:paraId="249451DF" w14:textId="77777777" w:rsidR="007B0D51" w:rsidRPr="001F29AA" w:rsidRDefault="007B0D51" w:rsidP="00D36426">
            <w:pPr>
              <w:spacing w:line="480" w:lineRule="auto"/>
              <w:jc w:val="center"/>
              <w:rPr>
                <w:rFonts w:ascii="Times New Roman" w:hAnsi="Times New Roman" w:cs="Times New Roman"/>
              </w:rPr>
            </w:pPr>
            <w:r w:rsidRPr="001F29AA">
              <w:rPr>
                <w:rFonts w:ascii="Times New Roman" w:hAnsi="Times New Roman" w:cs="Times New Roman"/>
              </w:rPr>
              <w:t>&lt;.0001</w:t>
            </w:r>
          </w:p>
        </w:tc>
      </w:tr>
    </w:tbl>
    <w:p w14:paraId="7EB6DC7D" w14:textId="77777777" w:rsidR="007B0D51" w:rsidRPr="001F29AA" w:rsidRDefault="007B0D51" w:rsidP="00EA7A2C">
      <w:pPr>
        <w:spacing w:before="60" w:after="0" w:line="480" w:lineRule="auto"/>
        <w:rPr>
          <w:rFonts w:ascii="Times New Roman" w:hAnsi="Times New Roman" w:cs="Times New Roman"/>
          <w:i/>
          <w:iCs/>
          <w:sz w:val="20"/>
          <w:szCs w:val="20"/>
        </w:rPr>
      </w:pPr>
      <w:r w:rsidRPr="001F29AA">
        <w:rPr>
          <w:rFonts w:ascii="Times New Roman" w:hAnsi="Times New Roman" w:cs="Times New Roman"/>
          <w:i/>
          <w:iCs/>
          <w:sz w:val="20"/>
          <w:szCs w:val="20"/>
        </w:rPr>
        <w:t>ADHD, attention-deficit/hyperactivity disorder; AP, antipsychotic; MD, medical doctor; SD, standard deviation; SZSPD, schizophrenia spectrum psychotic disorder.</w:t>
      </w:r>
    </w:p>
    <w:p w14:paraId="483592C8" w14:textId="77777777" w:rsidR="007B0D51" w:rsidRPr="001F29AA" w:rsidRDefault="007B0D51" w:rsidP="007B0D51">
      <w:pPr>
        <w:spacing w:line="480" w:lineRule="auto"/>
        <w:rPr>
          <w:rFonts w:ascii="Times New Roman" w:hAnsi="Times New Roman" w:cs="Times New Roman"/>
          <w:i/>
          <w:iCs/>
          <w:sz w:val="20"/>
          <w:szCs w:val="20"/>
        </w:rPr>
      </w:pPr>
      <w:proofErr w:type="spellStart"/>
      <w:r w:rsidRPr="001F29AA">
        <w:rPr>
          <w:rFonts w:ascii="Times New Roman" w:hAnsi="Times New Roman" w:cs="Times New Roman"/>
          <w:i/>
          <w:iCs/>
          <w:sz w:val="20"/>
          <w:szCs w:val="20"/>
          <w:vertAlign w:val="superscript"/>
        </w:rPr>
        <w:t>a</w:t>
      </w:r>
      <w:r w:rsidRPr="001F29AA">
        <w:rPr>
          <w:rFonts w:ascii="Times New Roman" w:hAnsi="Times New Roman" w:cs="Times New Roman"/>
          <w:i/>
          <w:iCs/>
          <w:sz w:val="20"/>
          <w:szCs w:val="20"/>
        </w:rPr>
        <w:t>Patients</w:t>
      </w:r>
      <w:proofErr w:type="spellEnd"/>
      <w:r w:rsidRPr="001F29AA">
        <w:rPr>
          <w:rFonts w:ascii="Times New Roman" w:hAnsi="Times New Roman" w:cs="Times New Roman"/>
          <w:i/>
          <w:iCs/>
          <w:sz w:val="20"/>
          <w:szCs w:val="20"/>
        </w:rPr>
        <w:t xml:space="preserve"> in the comparison group were matched for sex, birth year (±3 years), date of first psychosis (±1 year), and use of AP 30 days before or after the index date.</w:t>
      </w:r>
    </w:p>
    <w:p w14:paraId="7C4CF3B5" w14:textId="77777777" w:rsidR="007B0D51" w:rsidRPr="007B0D51" w:rsidRDefault="007B0D51" w:rsidP="007B0D51">
      <w:pPr>
        <w:sectPr w:rsidR="007B0D51" w:rsidRPr="007B0D51" w:rsidSect="00C02136">
          <w:footerReference w:type="even" r:id="rId18"/>
          <w:footerReference w:type="default" r:id="rId19"/>
          <w:pgSz w:w="12240" w:h="15840"/>
          <w:pgMar w:top="1440" w:right="1440" w:bottom="1440" w:left="1440" w:header="708" w:footer="708" w:gutter="0"/>
          <w:cols w:space="720"/>
        </w:sectPr>
      </w:pPr>
    </w:p>
    <w:p w14:paraId="5D385E0A" w14:textId="30639838" w:rsidR="001F25CC" w:rsidRPr="007B0D51" w:rsidRDefault="001F25CC" w:rsidP="00D06C84">
      <w:pPr>
        <w:pStyle w:val="Heading1"/>
      </w:pPr>
      <w:r w:rsidRPr="007B0D51">
        <w:lastRenderedPageBreak/>
        <w:t>Supplementary Table </w:t>
      </w:r>
      <w:r w:rsidR="007B0D51">
        <w:t>4</w:t>
      </w:r>
      <w:r w:rsidRPr="007B0D51">
        <w:t xml:space="preserve">. </w:t>
      </w:r>
      <w:r w:rsidRPr="00D06C84">
        <w:rPr>
          <w:b w:val="0"/>
          <w:bCs/>
        </w:rPr>
        <w:t>Initial dosage of ADHD medication.</w:t>
      </w:r>
    </w:p>
    <w:tbl>
      <w:tblPr>
        <w:tblStyle w:val="TableauGrille1Clair1"/>
        <w:tblW w:w="9128" w:type="dxa"/>
        <w:tblInd w:w="0" w:type="dxa"/>
        <w:tblLayout w:type="fixed"/>
        <w:tblLook w:val="04A0" w:firstRow="1" w:lastRow="0" w:firstColumn="1" w:lastColumn="0" w:noHBand="0" w:noVBand="1"/>
      </w:tblPr>
      <w:tblGrid>
        <w:gridCol w:w="3539"/>
        <w:gridCol w:w="713"/>
        <w:gridCol w:w="2211"/>
        <w:gridCol w:w="2665"/>
      </w:tblGrid>
      <w:tr w:rsidR="001F25CC" w:rsidRPr="00C17681" w14:paraId="0D3B43A3" w14:textId="77777777" w:rsidTr="00424D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67C8D1C" w14:textId="77777777" w:rsidR="001F25CC" w:rsidRPr="00C17681" w:rsidRDefault="001F25CC" w:rsidP="00C17681">
            <w:pPr>
              <w:spacing w:line="480" w:lineRule="auto"/>
              <w:rPr>
                <w:sz w:val="22"/>
                <w:szCs w:val="22"/>
                <w:lang w:val="en-CA"/>
              </w:rPr>
            </w:pPr>
            <w:r w:rsidRPr="00C17681">
              <w:rPr>
                <w:sz w:val="22"/>
                <w:szCs w:val="22"/>
                <w:lang w:val="en-CA"/>
              </w:rPr>
              <w:t xml:space="preserve">Initial </w:t>
            </w:r>
            <w:r w:rsidRPr="00C17681">
              <w:rPr>
                <w:sz w:val="22"/>
                <w:szCs w:val="22"/>
              </w:rPr>
              <w:t xml:space="preserve">ADHD </w:t>
            </w:r>
            <w:proofErr w:type="spellStart"/>
            <w:r w:rsidRPr="00C17681">
              <w:rPr>
                <w:sz w:val="22"/>
                <w:szCs w:val="22"/>
              </w:rPr>
              <w:t>medication</w:t>
            </w:r>
            <w:proofErr w:type="spellEnd"/>
          </w:p>
        </w:tc>
        <w:tc>
          <w:tcPr>
            <w:tcW w:w="713" w:type="dxa"/>
            <w:vAlign w:val="center"/>
          </w:tcPr>
          <w:p w14:paraId="033E3F18" w14:textId="77777777" w:rsidR="001F25CC" w:rsidRPr="00C17681" w:rsidRDefault="001F25CC" w:rsidP="00C17681">
            <w:pPr>
              <w:spacing w:line="480" w:lineRule="auto"/>
              <w:jc w:val="center"/>
              <w:cnfStyle w:val="100000000000" w:firstRow="1"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n</w:t>
            </w:r>
          </w:p>
        </w:tc>
        <w:tc>
          <w:tcPr>
            <w:tcW w:w="2211" w:type="dxa"/>
            <w:vAlign w:val="center"/>
          </w:tcPr>
          <w:p w14:paraId="06073FFB" w14:textId="77777777" w:rsidR="001F25CC" w:rsidRPr="00C17681" w:rsidRDefault="001F25CC" w:rsidP="00C17681">
            <w:pPr>
              <w:spacing w:line="480" w:lineRule="auto"/>
              <w:jc w:val="center"/>
              <w:cnfStyle w:val="100000000000" w:firstRow="1"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Average (SD)</w:t>
            </w:r>
          </w:p>
        </w:tc>
        <w:tc>
          <w:tcPr>
            <w:tcW w:w="2665" w:type="dxa"/>
            <w:vAlign w:val="center"/>
          </w:tcPr>
          <w:p w14:paraId="5F2E45DE" w14:textId="77777777" w:rsidR="001F25CC" w:rsidRPr="00C17681" w:rsidRDefault="001F25CC" w:rsidP="00C17681">
            <w:pPr>
              <w:spacing w:line="480" w:lineRule="auto"/>
              <w:jc w:val="center"/>
              <w:cnfStyle w:val="100000000000" w:firstRow="1"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Median (IQR)</w:t>
            </w:r>
          </w:p>
        </w:tc>
      </w:tr>
      <w:tr w:rsidR="001F25CC" w:rsidRPr="00C17681" w14:paraId="5FE7EC6E" w14:textId="77777777" w:rsidTr="00424D8D">
        <w:trPr>
          <w:trHeight w:val="28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59E8148" w14:textId="77777777" w:rsidR="001F25CC" w:rsidRPr="00C17681" w:rsidRDefault="001F25CC" w:rsidP="00C17681">
            <w:pPr>
              <w:spacing w:line="480" w:lineRule="auto"/>
              <w:rPr>
                <w:b w:val="0"/>
                <w:sz w:val="22"/>
                <w:szCs w:val="22"/>
                <w:lang w:val="en-CA"/>
              </w:rPr>
            </w:pPr>
            <w:r w:rsidRPr="00C17681">
              <w:rPr>
                <w:b w:val="0"/>
                <w:sz w:val="22"/>
                <w:szCs w:val="22"/>
                <w:lang w:val="en-CA"/>
              </w:rPr>
              <w:t>Methylphenidate</w:t>
            </w:r>
          </w:p>
        </w:tc>
        <w:tc>
          <w:tcPr>
            <w:tcW w:w="713" w:type="dxa"/>
          </w:tcPr>
          <w:p w14:paraId="1CD2826C"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1589</w:t>
            </w:r>
          </w:p>
        </w:tc>
        <w:tc>
          <w:tcPr>
            <w:tcW w:w="2211" w:type="dxa"/>
            <w:vAlign w:val="center"/>
          </w:tcPr>
          <w:p w14:paraId="52E225DA"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21 mg (14 mg)</w:t>
            </w:r>
          </w:p>
        </w:tc>
        <w:tc>
          <w:tcPr>
            <w:tcW w:w="2665" w:type="dxa"/>
            <w:vAlign w:val="center"/>
          </w:tcPr>
          <w:p w14:paraId="48D2F403"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18 mg (10 – 27 mg)</w:t>
            </w:r>
          </w:p>
        </w:tc>
      </w:tr>
      <w:tr w:rsidR="001F25CC" w:rsidRPr="00C17681" w14:paraId="33D11AF5" w14:textId="77777777" w:rsidTr="00424D8D">
        <w:trPr>
          <w:trHeight w:val="28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F6633E4" w14:textId="77777777" w:rsidR="001F25CC" w:rsidRPr="00C17681" w:rsidRDefault="001F25CC" w:rsidP="00C17681">
            <w:pPr>
              <w:spacing w:line="480" w:lineRule="auto"/>
              <w:rPr>
                <w:b w:val="0"/>
                <w:sz w:val="22"/>
                <w:szCs w:val="22"/>
                <w:lang w:val="en-CA"/>
              </w:rPr>
            </w:pPr>
            <w:r w:rsidRPr="00C17681">
              <w:rPr>
                <w:b w:val="0"/>
                <w:sz w:val="22"/>
                <w:szCs w:val="22"/>
                <w:lang w:val="en-CA"/>
              </w:rPr>
              <w:t>Amphetamines</w:t>
            </w:r>
          </w:p>
        </w:tc>
        <w:tc>
          <w:tcPr>
            <w:tcW w:w="713" w:type="dxa"/>
          </w:tcPr>
          <w:p w14:paraId="6EE19C4C"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2211" w:type="dxa"/>
            <w:vAlign w:val="center"/>
          </w:tcPr>
          <w:p w14:paraId="60361415"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2665" w:type="dxa"/>
            <w:vAlign w:val="center"/>
          </w:tcPr>
          <w:p w14:paraId="15AD48DE"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1F25CC" w:rsidRPr="00C17681" w14:paraId="5BBE2A15" w14:textId="77777777" w:rsidTr="00424D8D">
        <w:trPr>
          <w:trHeight w:val="28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803E638" w14:textId="77777777" w:rsidR="001F25CC" w:rsidRPr="00C17681" w:rsidRDefault="001F25CC" w:rsidP="00C17681">
            <w:pPr>
              <w:spacing w:line="480" w:lineRule="auto"/>
              <w:ind w:left="318"/>
              <w:rPr>
                <w:b w:val="0"/>
                <w:sz w:val="22"/>
                <w:szCs w:val="22"/>
                <w:lang w:val="en-CA"/>
              </w:rPr>
            </w:pPr>
            <w:r w:rsidRPr="00C17681">
              <w:rPr>
                <w:b w:val="0"/>
                <w:sz w:val="22"/>
                <w:szCs w:val="22"/>
                <w:lang w:val="en-CA"/>
              </w:rPr>
              <w:t>Dexamphetamine</w:t>
            </w:r>
          </w:p>
        </w:tc>
        <w:tc>
          <w:tcPr>
            <w:tcW w:w="713" w:type="dxa"/>
          </w:tcPr>
          <w:p w14:paraId="48A3DB8B"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78</w:t>
            </w:r>
          </w:p>
        </w:tc>
        <w:tc>
          <w:tcPr>
            <w:tcW w:w="2211" w:type="dxa"/>
            <w:vAlign w:val="center"/>
          </w:tcPr>
          <w:p w14:paraId="512A3E3C"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12 mg (8 mg)</w:t>
            </w:r>
          </w:p>
        </w:tc>
        <w:tc>
          <w:tcPr>
            <w:tcW w:w="2665" w:type="dxa"/>
          </w:tcPr>
          <w:p w14:paraId="5CA25C5C"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10 mg (10 – 15 mg)</w:t>
            </w:r>
          </w:p>
        </w:tc>
      </w:tr>
      <w:tr w:rsidR="001F25CC" w:rsidRPr="00C17681" w14:paraId="0110DA9E" w14:textId="77777777" w:rsidTr="00424D8D">
        <w:trPr>
          <w:trHeight w:val="28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96160B7" w14:textId="77777777" w:rsidR="001F25CC" w:rsidRPr="00C17681" w:rsidRDefault="001F25CC" w:rsidP="00C17681">
            <w:pPr>
              <w:spacing w:line="480" w:lineRule="auto"/>
              <w:ind w:left="318"/>
              <w:rPr>
                <w:b w:val="0"/>
                <w:sz w:val="22"/>
                <w:szCs w:val="22"/>
                <w:lang w:val="en-CA"/>
              </w:rPr>
            </w:pPr>
            <w:r w:rsidRPr="00C17681">
              <w:rPr>
                <w:b w:val="0"/>
                <w:sz w:val="22"/>
                <w:szCs w:val="22"/>
                <w:lang w:val="en-CA"/>
              </w:rPr>
              <w:t>Amphetamine</w:t>
            </w:r>
          </w:p>
        </w:tc>
        <w:tc>
          <w:tcPr>
            <w:tcW w:w="713" w:type="dxa"/>
          </w:tcPr>
          <w:p w14:paraId="17C81457"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64</w:t>
            </w:r>
          </w:p>
        </w:tc>
        <w:tc>
          <w:tcPr>
            <w:tcW w:w="2211" w:type="dxa"/>
            <w:vAlign w:val="center"/>
          </w:tcPr>
          <w:p w14:paraId="71C1087F"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18 mg (14 mg)</w:t>
            </w:r>
          </w:p>
        </w:tc>
        <w:tc>
          <w:tcPr>
            <w:tcW w:w="2665" w:type="dxa"/>
          </w:tcPr>
          <w:p w14:paraId="156FE780"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80 mg (40 – 120 mg)</w:t>
            </w:r>
          </w:p>
        </w:tc>
      </w:tr>
      <w:tr w:rsidR="001F25CC" w:rsidRPr="00C17681" w14:paraId="39B2FE7A" w14:textId="77777777" w:rsidTr="00424D8D">
        <w:trPr>
          <w:trHeight w:val="28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E9F8CF4" w14:textId="77777777" w:rsidR="001F25CC" w:rsidRPr="00C17681" w:rsidRDefault="001F25CC" w:rsidP="00C17681">
            <w:pPr>
              <w:spacing w:line="480" w:lineRule="auto"/>
              <w:ind w:left="318"/>
              <w:rPr>
                <w:b w:val="0"/>
                <w:sz w:val="22"/>
                <w:szCs w:val="22"/>
                <w:lang w:val="en-CA"/>
              </w:rPr>
            </w:pPr>
            <w:proofErr w:type="spellStart"/>
            <w:r w:rsidRPr="00C17681">
              <w:rPr>
                <w:b w:val="0"/>
                <w:sz w:val="22"/>
                <w:szCs w:val="22"/>
                <w:lang w:val="en-CA"/>
              </w:rPr>
              <w:t>Lisdexamfetamine</w:t>
            </w:r>
            <w:proofErr w:type="spellEnd"/>
          </w:p>
        </w:tc>
        <w:tc>
          <w:tcPr>
            <w:tcW w:w="713" w:type="dxa"/>
          </w:tcPr>
          <w:p w14:paraId="49EF5744"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197</w:t>
            </w:r>
          </w:p>
        </w:tc>
        <w:tc>
          <w:tcPr>
            <w:tcW w:w="2211" w:type="dxa"/>
            <w:vAlign w:val="center"/>
          </w:tcPr>
          <w:p w14:paraId="7DF39CFF"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26 mg (9 mg)</w:t>
            </w:r>
          </w:p>
        </w:tc>
        <w:tc>
          <w:tcPr>
            <w:tcW w:w="2665" w:type="dxa"/>
            <w:vAlign w:val="center"/>
          </w:tcPr>
          <w:p w14:paraId="05DAE5EA"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30 mg (20 – 30 mg)</w:t>
            </w:r>
          </w:p>
        </w:tc>
      </w:tr>
      <w:tr w:rsidR="001F25CC" w:rsidRPr="00C17681" w14:paraId="7A87A5A5" w14:textId="77777777" w:rsidTr="00424D8D">
        <w:trPr>
          <w:trHeight w:val="28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2D95834" w14:textId="77777777" w:rsidR="001F25CC" w:rsidRPr="00C17681" w:rsidRDefault="001F25CC" w:rsidP="00C17681">
            <w:pPr>
              <w:spacing w:line="480" w:lineRule="auto"/>
              <w:rPr>
                <w:b w:val="0"/>
                <w:sz w:val="22"/>
                <w:szCs w:val="22"/>
                <w:lang w:val="en-CA"/>
              </w:rPr>
            </w:pPr>
            <w:r w:rsidRPr="00C17681">
              <w:rPr>
                <w:b w:val="0"/>
                <w:sz w:val="22"/>
                <w:szCs w:val="22"/>
                <w:lang w:val="en-CA"/>
              </w:rPr>
              <w:t>Atomoxetine</w:t>
            </w:r>
          </w:p>
        </w:tc>
        <w:tc>
          <w:tcPr>
            <w:tcW w:w="713" w:type="dxa"/>
          </w:tcPr>
          <w:p w14:paraId="07197A1E"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291</w:t>
            </w:r>
          </w:p>
        </w:tc>
        <w:tc>
          <w:tcPr>
            <w:tcW w:w="2211" w:type="dxa"/>
            <w:vAlign w:val="center"/>
          </w:tcPr>
          <w:p w14:paraId="776E7F5A"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38 mg (21 mg)</w:t>
            </w:r>
          </w:p>
        </w:tc>
        <w:tc>
          <w:tcPr>
            <w:tcW w:w="2665" w:type="dxa"/>
            <w:vAlign w:val="center"/>
          </w:tcPr>
          <w:p w14:paraId="65189136" w14:textId="77777777" w:rsidR="001F25CC" w:rsidRPr="00C17681" w:rsidRDefault="001F25CC" w:rsidP="00C17681">
            <w:pPr>
              <w:spacing w:line="480" w:lineRule="auto"/>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C17681">
              <w:rPr>
                <w:sz w:val="22"/>
                <w:szCs w:val="22"/>
                <w:lang w:val="en-CA"/>
              </w:rPr>
              <w:t>40 mg (25 – 40 mg)</w:t>
            </w:r>
          </w:p>
        </w:tc>
      </w:tr>
    </w:tbl>
    <w:p w14:paraId="40EAB3C3" w14:textId="77777777" w:rsidR="001F25CC" w:rsidRPr="00C17681" w:rsidRDefault="001F25CC" w:rsidP="00C17681">
      <w:pPr>
        <w:spacing w:before="60" w:after="0" w:line="480" w:lineRule="auto"/>
        <w:jc w:val="both"/>
        <w:rPr>
          <w:rFonts w:ascii="Times New Roman" w:hAnsi="Times New Roman" w:cs="Times New Roman"/>
          <w:i/>
          <w:iCs/>
          <w:sz w:val="20"/>
          <w:szCs w:val="20"/>
        </w:rPr>
      </w:pPr>
      <w:r w:rsidRPr="00C17681">
        <w:rPr>
          <w:rFonts w:ascii="Times New Roman" w:hAnsi="Times New Roman" w:cs="Times New Roman"/>
          <w:i/>
          <w:iCs/>
          <w:sz w:val="20"/>
          <w:szCs w:val="20"/>
        </w:rPr>
        <w:t>ADHD, attention-deficit/hyperactivity disorder; IQR, interquartile range; mg, milligram; SD, standard deviation.</w:t>
      </w:r>
    </w:p>
    <w:p w14:paraId="06FF0D65" w14:textId="77777777" w:rsidR="001F25CC" w:rsidRPr="00C17681" w:rsidRDefault="001F25CC" w:rsidP="00C17681">
      <w:pPr>
        <w:spacing w:line="480" w:lineRule="auto"/>
        <w:rPr>
          <w:rFonts w:ascii="Times New Roman" w:hAnsi="Times New Roman" w:cs="Times New Roman"/>
        </w:rPr>
      </w:pPr>
    </w:p>
    <w:p w14:paraId="77B80119" w14:textId="11EDAC4D" w:rsidR="00B558AB" w:rsidRPr="00C17681" w:rsidRDefault="00B558AB" w:rsidP="00C17681">
      <w:pPr>
        <w:spacing w:line="480" w:lineRule="auto"/>
        <w:jc w:val="both"/>
        <w:rPr>
          <w:rFonts w:ascii="Times New Roman" w:hAnsi="Times New Roman" w:cs="Times New Roman"/>
          <w:i/>
          <w:iCs/>
          <w:sz w:val="20"/>
          <w:szCs w:val="20"/>
        </w:rPr>
      </w:pPr>
    </w:p>
    <w:sectPr w:rsidR="00B558AB" w:rsidRPr="00C17681" w:rsidSect="00C0213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3C56" w14:textId="77777777" w:rsidR="00CE6879" w:rsidRDefault="00CE6879">
      <w:pPr>
        <w:spacing w:after="0" w:line="240" w:lineRule="auto"/>
      </w:pPr>
      <w:r>
        <w:separator/>
      </w:r>
    </w:p>
    <w:p w14:paraId="73BE8BA0" w14:textId="77777777" w:rsidR="00CE6879" w:rsidRDefault="00CE6879"/>
    <w:p w14:paraId="6FFF77E7" w14:textId="77777777" w:rsidR="00CE6879" w:rsidRDefault="00CE6879" w:rsidP="003849F8"/>
  </w:endnote>
  <w:endnote w:type="continuationSeparator" w:id="0">
    <w:p w14:paraId="5C6FF7FA" w14:textId="77777777" w:rsidR="00CE6879" w:rsidRDefault="00CE6879">
      <w:pPr>
        <w:spacing w:after="0" w:line="240" w:lineRule="auto"/>
      </w:pPr>
      <w:r>
        <w:continuationSeparator/>
      </w:r>
    </w:p>
    <w:p w14:paraId="4E892642" w14:textId="77777777" w:rsidR="00CE6879" w:rsidRDefault="00CE6879"/>
    <w:p w14:paraId="7E8D9627" w14:textId="77777777" w:rsidR="00CE6879" w:rsidRDefault="00CE6879" w:rsidP="00384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4973" w14:textId="096D6B75" w:rsidR="0023707D" w:rsidRDefault="0023707D">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15</w:t>
    </w:r>
    <w:r>
      <w:rPr>
        <w:color w:val="000000"/>
      </w:rPr>
      <w:fldChar w:fldCharType="end"/>
    </w:r>
  </w:p>
  <w:p w14:paraId="2BD8B884" w14:textId="77777777" w:rsidR="0023707D" w:rsidRDefault="0023707D">
    <w:pPr>
      <w:pBdr>
        <w:top w:val="nil"/>
        <w:left w:val="nil"/>
        <w:bottom w:val="nil"/>
        <w:right w:val="nil"/>
        <w:between w:val="nil"/>
      </w:pBdr>
      <w:tabs>
        <w:tab w:val="center" w:pos="4703"/>
        <w:tab w:val="right" w:pos="94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54076"/>
      <w:docPartObj>
        <w:docPartGallery w:val="Page Numbers (Bottom of Page)"/>
        <w:docPartUnique/>
      </w:docPartObj>
    </w:sdtPr>
    <w:sdtEndPr>
      <w:rPr>
        <w:rFonts w:asciiTheme="majorBidi" w:hAnsiTheme="majorBidi" w:cstheme="majorBidi"/>
        <w:noProof/>
        <w:sz w:val="24"/>
        <w:szCs w:val="24"/>
      </w:rPr>
    </w:sdtEndPr>
    <w:sdtContent>
      <w:p w14:paraId="174AA42A" w14:textId="15E03DB8" w:rsidR="0023707D" w:rsidRPr="00260B27" w:rsidRDefault="0023707D">
        <w:pPr>
          <w:pStyle w:val="Footer"/>
          <w:jc w:val="right"/>
          <w:rPr>
            <w:rFonts w:asciiTheme="majorBidi" w:hAnsiTheme="majorBidi" w:cstheme="majorBidi"/>
            <w:sz w:val="24"/>
            <w:szCs w:val="24"/>
          </w:rPr>
        </w:pPr>
        <w:r w:rsidRPr="00260B27">
          <w:rPr>
            <w:rFonts w:asciiTheme="majorBidi" w:hAnsiTheme="majorBidi" w:cstheme="majorBidi"/>
            <w:sz w:val="24"/>
            <w:szCs w:val="24"/>
          </w:rPr>
          <w:fldChar w:fldCharType="begin"/>
        </w:r>
        <w:r w:rsidRPr="00260B27">
          <w:rPr>
            <w:rFonts w:asciiTheme="majorBidi" w:hAnsiTheme="majorBidi" w:cstheme="majorBidi"/>
            <w:sz w:val="24"/>
            <w:szCs w:val="24"/>
          </w:rPr>
          <w:instrText xml:space="preserve"> PAGE   \* MERGEFORMAT </w:instrText>
        </w:r>
        <w:r w:rsidRPr="00260B27">
          <w:rPr>
            <w:rFonts w:asciiTheme="majorBidi" w:hAnsiTheme="majorBidi" w:cstheme="majorBidi"/>
            <w:sz w:val="24"/>
            <w:szCs w:val="24"/>
          </w:rPr>
          <w:fldChar w:fldCharType="separate"/>
        </w:r>
        <w:r w:rsidR="007D258E" w:rsidRPr="00260B27">
          <w:rPr>
            <w:rFonts w:asciiTheme="majorBidi" w:hAnsiTheme="majorBidi" w:cstheme="majorBidi"/>
            <w:noProof/>
            <w:sz w:val="24"/>
            <w:szCs w:val="24"/>
          </w:rPr>
          <w:t>1</w:t>
        </w:r>
        <w:r w:rsidRPr="00260B27">
          <w:rPr>
            <w:rFonts w:asciiTheme="majorBidi" w:hAnsiTheme="majorBidi" w:cstheme="majorBidi"/>
            <w:noProof/>
            <w:sz w:val="24"/>
            <w:szCs w:val="24"/>
          </w:rPr>
          <w:fldChar w:fldCharType="end"/>
        </w:r>
      </w:p>
    </w:sdtContent>
  </w:sdt>
  <w:p w14:paraId="42EB855F" w14:textId="77777777" w:rsidR="0023707D" w:rsidRDefault="0023707D">
    <w:pPr>
      <w:pBdr>
        <w:top w:val="nil"/>
        <w:left w:val="nil"/>
        <w:bottom w:val="nil"/>
        <w:right w:val="nil"/>
        <w:between w:val="nil"/>
      </w:pBdr>
      <w:tabs>
        <w:tab w:val="center" w:pos="4703"/>
        <w:tab w:val="right" w:pos="94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436B" w14:textId="77777777" w:rsidR="0023707D" w:rsidRDefault="0023707D">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15</w:t>
    </w:r>
    <w:r>
      <w:rPr>
        <w:color w:val="000000"/>
      </w:rPr>
      <w:fldChar w:fldCharType="end"/>
    </w:r>
  </w:p>
  <w:p w14:paraId="6094519C" w14:textId="77777777" w:rsidR="0023707D" w:rsidRDefault="0023707D">
    <w:pPr>
      <w:pBdr>
        <w:top w:val="nil"/>
        <w:left w:val="nil"/>
        <w:bottom w:val="nil"/>
        <w:right w:val="nil"/>
        <w:between w:val="nil"/>
      </w:pBdr>
      <w:tabs>
        <w:tab w:val="center" w:pos="4703"/>
        <w:tab w:val="right" w:pos="940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12704"/>
      <w:docPartObj>
        <w:docPartGallery w:val="Page Numbers (Bottom of Page)"/>
        <w:docPartUnique/>
      </w:docPartObj>
    </w:sdtPr>
    <w:sdtEndPr>
      <w:rPr>
        <w:rFonts w:asciiTheme="majorBidi" w:hAnsiTheme="majorBidi" w:cstheme="majorBidi"/>
        <w:noProof/>
        <w:sz w:val="24"/>
        <w:szCs w:val="24"/>
      </w:rPr>
    </w:sdtEndPr>
    <w:sdtContent>
      <w:p w14:paraId="1F5EEDA3" w14:textId="1F539294" w:rsidR="0023707D" w:rsidRPr="00D06C84" w:rsidRDefault="0023707D">
        <w:pPr>
          <w:pStyle w:val="Footer"/>
          <w:jc w:val="right"/>
          <w:rPr>
            <w:rFonts w:asciiTheme="majorBidi" w:hAnsiTheme="majorBidi" w:cstheme="majorBidi"/>
            <w:sz w:val="24"/>
            <w:szCs w:val="24"/>
          </w:rPr>
        </w:pPr>
        <w:r w:rsidRPr="00D06C84">
          <w:rPr>
            <w:rFonts w:asciiTheme="majorBidi" w:hAnsiTheme="majorBidi" w:cstheme="majorBidi"/>
            <w:sz w:val="24"/>
            <w:szCs w:val="24"/>
          </w:rPr>
          <w:fldChar w:fldCharType="begin"/>
        </w:r>
        <w:r w:rsidRPr="00D06C84">
          <w:rPr>
            <w:rFonts w:asciiTheme="majorBidi" w:hAnsiTheme="majorBidi" w:cstheme="majorBidi"/>
            <w:sz w:val="24"/>
            <w:szCs w:val="24"/>
          </w:rPr>
          <w:instrText xml:space="preserve"> PAGE   \* MERGEFORMAT </w:instrText>
        </w:r>
        <w:r w:rsidRPr="00D06C84">
          <w:rPr>
            <w:rFonts w:asciiTheme="majorBidi" w:hAnsiTheme="majorBidi" w:cstheme="majorBidi"/>
            <w:sz w:val="24"/>
            <w:szCs w:val="24"/>
          </w:rPr>
          <w:fldChar w:fldCharType="separate"/>
        </w:r>
        <w:r w:rsidR="007D258E" w:rsidRPr="00D06C84">
          <w:rPr>
            <w:rFonts w:asciiTheme="majorBidi" w:hAnsiTheme="majorBidi" w:cstheme="majorBidi"/>
            <w:noProof/>
            <w:sz w:val="24"/>
            <w:szCs w:val="24"/>
          </w:rPr>
          <w:t>4</w:t>
        </w:r>
        <w:r w:rsidRPr="00D06C84">
          <w:rPr>
            <w:rFonts w:asciiTheme="majorBidi" w:hAnsiTheme="majorBidi" w:cstheme="majorBidi"/>
            <w:noProof/>
            <w:sz w:val="24"/>
            <w:szCs w:val="24"/>
          </w:rPr>
          <w:fldChar w:fldCharType="end"/>
        </w:r>
      </w:p>
    </w:sdtContent>
  </w:sdt>
  <w:p w14:paraId="17CF509F" w14:textId="77777777" w:rsidR="0023707D" w:rsidRDefault="0023707D">
    <w:pPr>
      <w:pBdr>
        <w:top w:val="nil"/>
        <w:left w:val="nil"/>
        <w:bottom w:val="nil"/>
        <w:right w:val="nil"/>
        <w:between w:val="nil"/>
      </w:pBdr>
      <w:tabs>
        <w:tab w:val="center" w:pos="4703"/>
        <w:tab w:val="right" w:pos="940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4ABE" w14:textId="77777777" w:rsidR="0023707D" w:rsidRDefault="0023707D">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15</w:t>
    </w:r>
    <w:r>
      <w:rPr>
        <w:color w:val="000000"/>
      </w:rPr>
      <w:fldChar w:fldCharType="end"/>
    </w:r>
  </w:p>
  <w:p w14:paraId="17A3663E" w14:textId="77777777" w:rsidR="0023707D" w:rsidRDefault="0023707D">
    <w:pPr>
      <w:pBdr>
        <w:top w:val="nil"/>
        <w:left w:val="nil"/>
        <w:bottom w:val="nil"/>
        <w:right w:val="nil"/>
        <w:between w:val="nil"/>
      </w:pBdr>
      <w:tabs>
        <w:tab w:val="center" w:pos="4703"/>
        <w:tab w:val="right" w:pos="9406"/>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29846"/>
      <w:docPartObj>
        <w:docPartGallery w:val="Page Numbers (Bottom of Page)"/>
        <w:docPartUnique/>
      </w:docPartObj>
    </w:sdtPr>
    <w:sdtEndPr>
      <w:rPr>
        <w:rFonts w:asciiTheme="majorBidi" w:hAnsiTheme="majorBidi" w:cstheme="majorBidi"/>
        <w:noProof/>
        <w:sz w:val="24"/>
        <w:szCs w:val="24"/>
      </w:rPr>
    </w:sdtEndPr>
    <w:sdtContent>
      <w:p w14:paraId="042B8D16" w14:textId="31471C6E" w:rsidR="0023707D" w:rsidRPr="00D06C84" w:rsidRDefault="0023707D">
        <w:pPr>
          <w:pStyle w:val="Footer"/>
          <w:jc w:val="right"/>
          <w:rPr>
            <w:rFonts w:asciiTheme="majorBidi" w:hAnsiTheme="majorBidi" w:cstheme="majorBidi"/>
            <w:sz w:val="24"/>
            <w:szCs w:val="24"/>
          </w:rPr>
        </w:pPr>
        <w:r w:rsidRPr="00D06C84">
          <w:rPr>
            <w:rFonts w:asciiTheme="majorBidi" w:hAnsiTheme="majorBidi" w:cstheme="majorBidi"/>
            <w:sz w:val="24"/>
            <w:szCs w:val="24"/>
          </w:rPr>
          <w:fldChar w:fldCharType="begin"/>
        </w:r>
        <w:r w:rsidRPr="00D06C84">
          <w:rPr>
            <w:rFonts w:asciiTheme="majorBidi" w:hAnsiTheme="majorBidi" w:cstheme="majorBidi"/>
            <w:sz w:val="24"/>
            <w:szCs w:val="24"/>
          </w:rPr>
          <w:instrText xml:space="preserve"> PAGE   \* MERGEFORMAT </w:instrText>
        </w:r>
        <w:r w:rsidRPr="00D06C84">
          <w:rPr>
            <w:rFonts w:asciiTheme="majorBidi" w:hAnsiTheme="majorBidi" w:cstheme="majorBidi"/>
            <w:sz w:val="24"/>
            <w:szCs w:val="24"/>
          </w:rPr>
          <w:fldChar w:fldCharType="separate"/>
        </w:r>
        <w:r w:rsidR="007D258E" w:rsidRPr="00D06C84">
          <w:rPr>
            <w:rFonts w:asciiTheme="majorBidi" w:hAnsiTheme="majorBidi" w:cstheme="majorBidi"/>
            <w:noProof/>
            <w:sz w:val="24"/>
            <w:szCs w:val="24"/>
          </w:rPr>
          <w:t>7</w:t>
        </w:r>
        <w:r w:rsidRPr="00D06C84">
          <w:rPr>
            <w:rFonts w:asciiTheme="majorBidi" w:hAnsiTheme="majorBidi" w:cstheme="majorBidi"/>
            <w:noProof/>
            <w:sz w:val="24"/>
            <w:szCs w:val="24"/>
          </w:rPr>
          <w:fldChar w:fldCharType="end"/>
        </w:r>
      </w:p>
    </w:sdtContent>
  </w:sdt>
  <w:p w14:paraId="15D03579" w14:textId="77777777" w:rsidR="0023707D" w:rsidRDefault="0023707D">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BD1A" w14:textId="77777777" w:rsidR="00CE6879" w:rsidRDefault="00CE6879">
      <w:pPr>
        <w:spacing w:after="0" w:line="240" w:lineRule="auto"/>
      </w:pPr>
      <w:r>
        <w:separator/>
      </w:r>
    </w:p>
    <w:p w14:paraId="316B5627" w14:textId="77777777" w:rsidR="00CE6879" w:rsidRDefault="00CE6879"/>
    <w:p w14:paraId="7DD4E97C" w14:textId="77777777" w:rsidR="00CE6879" w:rsidRDefault="00CE6879" w:rsidP="003849F8"/>
  </w:footnote>
  <w:footnote w:type="continuationSeparator" w:id="0">
    <w:p w14:paraId="78C67C07" w14:textId="77777777" w:rsidR="00CE6879" w:rsidRDefault="00CE6879">
      <w:pPr>
        <w:spacing w:after="0" w:line="240" w:lineRule="auto"/>
      </w:pPr>
      <w:r>
        <w:continuationSeparator/>
      </w:r>
    </w:p>
    <w:p w14:paraId="719119F1" w14:textId="77777777" w:rsidR="00CE6879" w:rsidRDefault="00CE6879"/>
    <w:p w14:paraId="669D2710" w14:textId="77777777" w:rsidR="00CE6879" w:rsidRDefault="00CE6879" w:rsidP="003849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418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893C1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F3465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FE05C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1D448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9402032">
    <w:abstractNumId w:val="1"/>
  </w:num>
  <w:num w:numId="2" w16cid:durableId="454297084">
    <w:abstractNumId w:val="4"/>
  </w:num>
  <w:num w:numId="3" w16cid:durableId="1251622032">
    <w:abstractNumId w:val="3"/>
  </w:num>
  <w:num w:numId="4" w16cid:durableId="2145805486">
    <w:abstractNumId w:val="2"/>
  </w:num>
  <w:num w:numId="5" w16cid:durableId="208910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25rtddk0wt9pe9dvm522sutefaftzptf0e&quot;&gt;TDAH, psychostimulants, troubles psychotiques&lt;record-ids&gt;&lt;item&gt;1&lt;/item&gt;&lt;item&gt;2&lt;/item&gt;&lt;item&gt;3&lt;/item&gt;&lt;item&gt;4&lt;/item&gt;&lt;item&gt;5&lt;/item&gt;&lt;item&gt;6&lt;/item&gt;&lt;item&gt;7&lt;/item&gt;&lt;item&gt;8&lt;/item&gt;&lt;item&gt;9&lt;/item&gt;&lt;item&gt;11&lt;/item&gt;&lt;item&gt;14&lt;/item&gt;&lt;item&gt;16&lt;/item&gt;&lt;item&gt;17&lt;/item&gt;&lt;item&gt;19&lt;/item&gt;&lt;item&gt;23&lt;/item&gt;&lt;item&gt;24&lt;/item&gt;&lt;item&gt;25&lt;/item&gt;&lt;item&gt;33&lt;/item&gt;&lt;item&gt;35&lt;/item&gt;&lt;item&gt;36&lt;/item&gt;&lt;item&gt;37&lt;/item&gt;&lt;item&gt;38&lt;/item&gt;&lt;item&gt;39&lt;/item&gt;&lt;item&gt;40&lt;/item&gt;&lt;item&gt;41&lt;/item&gt;&lt;item&gt;44&lt;/item&gt;&lt;item&gt;45&lt;/item&gt;&lt;item&gt;47&lt;/item&gt;&lt;item&gt;48&lt;/item&gt;&lt;item&gt;49&lt;/item&gt;&lt;/record-ids&gt;&lt;/item&gt;&lt;/Libraries&gt;"/>
  </w:docVars>
  <w:rsids>
    <w:rsidRoot w:val="00254A46"/>
    <w:rsid w:val="0000053A"/>
    <w:rsid w:val="0000427E"/>
    <w:rsid w:val="000074CD"/>
    <w:rsid w:val="00014541"/>
    <w:rsid w:val="00015073"/>
    <w:rsid w:val="0001753E"/>
    <w:rsid w:val="000177EB"/>
    <w:rsid w:val="00024D40"/>
    <w:rsid w:val="00030843"/>
    <w:rsid w:val="00032828"/>
    <w:rsid w:val="00037947"/>
    <w:rsid w:val="00047C58"/>
    <w:rsid w:val="0005078B"/>
    <w:rsid w:val="00050F11"/>
    <w:rsid w:val="00055EE8"/>
    <w:rsid w:val="00061829"/>
    <w:rsid w:val="0006201C"/>
    <w:rsid w:val="00065A1B"/>
    <w:rsid w:val="00074233"/>
    <w:rsid w:val="0008110C"/>
    <w:rsid w:val="00083BA5"/>
    <w:rsid w:val="00085888"/>
    <w:rsid w:val="0008720B"/>
    <w:rsid w:val="000A44B8"/>
    <w:rsid w:val="000A453A"/>
    <w:rsid w:val="000A660A"/>
    <w:rsid w:val="000B38A5"/>
    <w:rsid w:val="000B3E18"/>
    <w:rsid w:val="000C0936"/>
    <w:rsid w:val="000C397E"/>
    <w:rsid w:val="000D2F08"/>
    <w:rsid w:val="000D5D57"/>
    <w:rsid w:val="000E6182"/>
    <w:rsid w:val="000E6666"/>
    <w:rsid w:val="000F3EEF"/>
    <w:rsid w:val="001040B5"/>
    <w:rsid w:val="00104BE5"/>
    <w:rsid w:val="0010767A"/>
    <w:rsid w:val="00122653"/>
    <w:rsid w:val="00130430"/>
    <w:rsid w:val="00136314"/>
    <w:rsid w:val="0013652F"/>
    <w:rsid w:val="001402C1"/>
    <w:rsid w:val="001468EB"/>
    <w:rsid w:val="00153F0F"/>
    <w:rsid w:val="00154A40"/>
    <w:rsid w:val="001555C2"/>
    <w:rsid w:val="00155E1C"/>
    <w:rsid w:val="00163609"/>
    <w:rsid w:val="001709DD"/>
    <w:rsid w:val="00181FB4"/>
    <w:rsid w:val="00187B27"/>
    <w:rsid w:val="00191C22"/>
    <w:rsid w:val="001A5DA4"/>
    <w:rsid w:val="001A6467"/>
    <w:rsid w:val="001B338E"/>
    <w:rsid w:val="001B5921"/>
    <w:rsid w:val="001D0D90"/>
    <w:rsid w:val="001D2562"/>
    <w:rsid w:val="001D693C"/>
    <w:rsid w:val="001E0209"/>
    <w:rsid w:val="001E079A"/>
    <w:rsid w:val="001E60C3"/>
    <w:rsid w:val="001F0F48"/>
    <w:rsid w:val="001F1526"/>
    <w:rsid w:val="001F25CC"/>
    <w:rsid w:val="001F72AC"/>
    <w:rsid w:val="00203190"/>
    <w:rsid w:val="00206AE9"/>
    <w:rsid w:val="0021117C"/>
    <w:rsid w:val="00217816"/>
    <w:rsid w:val="00222CC2"/>
    <w:rsid w:val="00230A8A"/>
    <w:rsid w:val="002347A4"/>
    <w:rsid w:val="0023707D"/>
    <w:rsid w:val="00242502"/>
    <w:rsid w:val="00243F82"/>
    <w:rsid w:val="0024415E"/>
    <w:rsid w:val="002457EA"/>
    <w:rsid w:val="00247CA4"/>
    <w:rsid w:val="002517FF"/>
    <w:rsid w:val="00254A46"/>
    <w:rsid w:val="002602CF"/>
    <w:rsid w:val="00260B27"/>
    <w:rsid w:val="00263CE3"/>
    <w:rsid w:val="00286ACE"/>
    <w:rsid w:val="0029226C"/>
    <w:rsid w:val="0029258F"/>
    <w:rsid w:val="00295825"/>
    <w:rsid w:val="002B0F81"/>
    <w:rsid w:val="002B1AE6"/>
    <w:rsid w:val="002B5360"/>
    <w:rsid w:val="002B7B8D"/>
    <w:rsid w:val="002C1D1E"/>
    <w:rsid w:val="002C4F05"/>
    <w:rsid w:val="002C5945"/>
    <w:rsid w:val="002C6E7E"/>
    <w:rsid w:val="002D22D4"/>
    <w:rsid w:val="002D3D50"/>
    <w:rsid w:val="002D495E"/>
    <w:rsid w:val="002E7C62"/>
    <w:rsid w:val="002F0230"/>
    <w:rsid w:val="002F0B3B"/>
    <w:rsid w:val="002F436E"/>
    <w:rsid w:val="002F57F5"/>
    <w:rsid w:val="00300ABC"/>
    <w:rsid w:val="00304F1C"/>
    <w:rsid w:val="003075DD"/>
    <w:rsid w:val="003113FA"/>
    <w:rsid w:val="00313083"/>
    <w:rsid w:val="00313718"/>
    <w:rsid w:val="00314B9D"/>
    <w:rsid w:val="003218D0"/>
    <w:rsid w:val="00322D1B"/>
    <w:rsid w:val="003273FB"/>
    <w:rsid w:val="00337529"/>
    <w:rsid w:val="00340267"/>
    <w:rsid w:val="003403D8"/>
    <w:rsid w:val="003544B1"/>
    <w:rsid w:val="00357997"/>
    <w:rsid w:val="00364BFA"/>
    <w:rsid w:val="003723C2"/>
    <w:rsid w:val="00382748"/>
    <w:rsid w:val="003849F8"/>
    <w:rsid w:val="003857AF"/>
    <w:rsid w:val="0039575C"/>
    <w:rsid w:val="00395CC1"/>
    <w:rsid w:val="0039630C"/>
    <w:rsid w:val="0039792C"/>
    <w:rsid w:val="003A02A4"/>
    <w:rsid w:val="003A5200"/>
    <w:rsid w:val="003B7DB7"/>
    <w:rsid w:val="003C0946"/>
    <w:rsid w:val="003C34A5"/>
    <w:rsid w:val="003D5F0B"/>
    <w:rsid w:val="003E0900"/>
    <w:rsid w:val="003E3AD3"/>
    <w:rsid w:val="004077D6"/>
    <w:rsid w:val="004107CA"/>
    <w:rsid w:val="004109B3"/>
    <w:rsid w:val="00412721"/>
    <w:rsid w:val="00412CD1"/>
    <w:rsid w:val="004139EB"/>
    <w:rsid w:val="00414CB5"/>
    <w:rsid w:val="004216BF"/>
    <w:rsid w:val="004245B5"/>
    <w:rsid w:val="004247D1"/>
    <w:rsid w:val="00424D9F"/>
    <w:rsid w:val="0042598A"/>
    <w:rsid w:val="00425A82"/>
    <w:rsid w:val="0043300D"/>
    <w:rsid w:val="004335E1"/>
    <w:rsid w:val="004363C3"/>
    <w:rsid w:val="00437231"/>
    <w:rsid w:val="0045019B"/>
    <w:rsid w:val="00452E08"/>
    <w:rsid w:val="0046380D"/>
    <w:rsid w:val="00465C87"/>
    <w:rsid w:val="00466AD2"/>
    <w:rsid w:val="004674FE"/>
    <w:rsid w:val="00470AE6"/>
    <w:rsid w:val="00475B30"/>
    <w:rsid w:val="0048240D"/>
    <w:rsid w:val="00494EFE"/>
    <w:rsid w:val="00496967"/>
    <w:rsid w:val="004A120E"/>
    <w:rsid w:val="004A553A"/>
    <w:rsid w:val="004A7141"/>
    <w:rsid w:val="004B1420"/>
    <w:rsid w:val="004B24B4"/>
    <w:rsid w:val="004C35B9"/>
    <w:rsid w:val="004C4326"/>
    <w:rsid w:val="004C4A47"/>
    <w:rsid w:val="004C5C2C"/>
    <w:rsid w:val="004C6D8A"/>
    <w:rsid w:val="004E469F"/>
    <w:rsid w:val="004F034C"/>
    <w:rsid w:val="004F06E2"/>
    <w:rsid w:val="004F2E57"/>
    <w:rsid w:val="00500AEE"/>
    <w:rsid w:val="00502A05"/>
    <w:rsid w:val="00502A4F"/>
    <w:rsid w:val="00512771"/>
    <w:rsid w:val="00515774"/>
    <w:rsid w:val="00517963"/>
    <w:rsid w:val="00521480"/>
    <w:rsid w:val="005339C5"/>
    <w:rsid w:val="00535349"/>
    <w:rsid w:val="0053654B"/>
    <w:rsid w:val="005376EF"/>
    <w:rsid w:val="00541131"/>
    <w:rsid w:val="005427EC"/>
    <w:rsid w:val="005465C1"/>
    <w:rsid w:val="00547502"/>
    <w:rsid w:val="0055342A"/>
    <w:rsid w:val="005608FD"/>
    <w:rsid w:val="00564B7B"/>
    <w:rsid w:val="00572756"/>
    <w:rsid w:val="00572C98"/>
    <w:rsid w:val="005737B7"/>
    <w:rsid w:val="00576BFC"/>
    <w:rsid w:val="005960F3"/>
    <w:rsid w:val="005966C0"/>
    <w:rsid w:val="005972C1"/>
    <w:rsid w:val="005A4332"/>
    <w:rsid w:val="005A6FDF"/>
    <w:rsid w:val="005C1929"/>
    <w:rsid w:val="005C423B"/>
    <w:rsid w:val="005C5BC1"/>
    <w:rsid w:val="005D39CA"/>
    <w:rsid w:val="005D4B19"/>
    <w:rsid w:val="005D4FFC"/>
    <w:rsid w:val="005E33E9"/>
    <w:rsid w:val="005E47A7"/>
    <w:rsid w:val="005E5BA3"/>
    <w:rsid w:val="005F1CA2"/>
    <w:rsid w:val="005F5ECD"/>
    <w:rsid w:val="0060399F"/>
    <w:rsid w:val="00605844"/>
    <w:rsid w:val="006108B0"/>
    <w:rsid w:val="00613CE7"/>
    <w:rsid w:val="00614441"/>
    <w:rsid w:val="00615C98"/>
    <w:rsid w:val="00615CCC"/>
    <w:rsid w:val="00617615"/>
    <w:rsid w:val="00621340"/>
    <w:rsid w:val="00622771"/>
    <w:rsid w:val="00626862"/>
    <w:rsid w:val="00626F9C"/>
    <w:rsid w:val="00626FA9"/>
    <w:rsid w:val="0063477C"/>
    <w:rsid w:val="00640150"/>
    <w:rsid w:val="0064391C"/>
    <w:rsid w:val="00646A50"/>
    <w:rsid w:val="00647D5C"/>
    <w:rsid w:val="00651AC1"/>
    <w:rsid w:val="006529C4"/>
    <w:rsid w:val="00653357"/>
    <w:rsid w:val="006537D5"/>
    <w:rsid w:val="0065469F"/>
    <w:rsid w:val="00656173"/>
    <w:rsid w:val="00662381"/>
    <w:rsid w:val="006643CB"/>
    <w:rsid w:val="00666367"/>
    <w:rsid w:val="00666B08"/>
    <w:rsid w:val="00667E25"/>
    <w:rsid w:val="00674780"/>
    <w:rsid w:val="00675DCB"/>
    <w:rsid w:val="00676961"/>
    <w:rsid w:val="00680724"/>
    <w:rsid w:val="00686644"/>
    <w:rsid w:val="00690242"/>
    <w:rsid w:val="006908B3"/>
    <w:rsid w:val="00690FCD"/>
    <w:rsid w:val="0069556F"/>
    <w:rsid w:val="0069568A"/>
    <w:rsid w:val="006975D9"/>
    <w:rsid w:val="00697E9C"/>
    <w:rsid w:val="006A0EF1"/>
    <w:rsid w:val="006B0973"/>
    <w:rsid w:val="006B0BED"/>
    <w:rsid w:val="006B3D3A"/>
    <w:rsid w:val="006D12EC"/>
    <w:rsid w:val="006D337F"/>
    <w:rsid w:val="006D4E90"/>
    <w:rsid w:val="006D6403"/>
    <w:rsid w:val="006F1F15"/>
    <w:rsid w:val="006F2F1C"/>
    <w:rsid w:val="006F2F43"/>
    <w:rsid w:val="006F3329"/>
    <w:rsid w:val="006F522B"/>
    <w:rsid w:val="006F7E42"/>
    <w:rsid w:val="00702724"/>
    <w:rsid w:val="00702F75"/>
    <w:rsid w:val="007037F7"/>
    <w:rsid w:val="007045D6"/>
    <w:rsid w:val="00706DC0"/>
    <w:rsid w:val="00707CB2"/>
    <w:rsid w:val="00711742"/>
    <w:rsid w:val="007127D3"/>
    <w:rsid w:val="007147AA"/>
    <w:rsid w:val="007148B0"/>
    <w:rsid w:val="0072315D"/>
    <w:rsid w:val="007342DB"/>
    <w:rsid w:val="007353F1"/>
    <w:rsid w:val="00737CD2"/>
    <w:rsid w:val="00742348"/>
    <w:rsid w:val="0074381E"/>
    <w:rsid w:val="00743C54"/>
    <w:rsid w:val="00744D0A"/>
    <w:rsid w:val="00751275"/>
    <w:rsid w:val="00756D0A"/>
    <w:rsid w:val="00757D24"/>
    <w:rsid w:val="007655A7"/>
    <w:rsid w:val="00767238"/>
    <w:rsid w:val="00770F1D"/>
    <w:rsid w:val="00776894"/>
    <w:rsid w:val="00793970"/>
    <w:rsid w:val="007A1599"/>
    <w:rsid w:val="007A3A22"/>
    <w:rsid w:val="007A6928"/>
    <w:rsid w:val="007B0D51"/>
    <w:rsid w:val="007B2F49"/>
    <w:rsid w:val="007B3AFA"/>
    <w:rsid w:val="007C5148"/>
    <w:rsid w:val="007C54AC"/>
    <w:rsid w:val="007C6211"/>
    <w:rsid w:val="007D2493"/>
    <w:rsid w:val="007D258E"/>
    <w:rsid w:val="007E06BF"/>
    <w:rsid w:val="007E403D"/>
    <w:rsid w:val="007E5AFB"/>
    <w:rsid w:val="007E692B"/>
    <w:rsid w:val="007F1DDE"/>
    <w:rsid w:val="007F3779"/>
    <w:rsid w:val="007F4A82"/>
    <w:rsid w:val="007F5F50"/>
    <w:rsid w:val="00802880"/>
    <w:rsid w:val="00804635"/>
    <w:rsid w:val="00806FB4"/>
    <w:rsid w:val="00810AED"/>
    <w:rsid w:val="00811193"/>
    <w:rsid w:val="00811DC6"/>
    <w:rsid w:val="0082226F"/>
    <w:rsid w:val="008437FF"/>
    <w:rsid w:val="00850359"/>
    <w:rsid w:val="00851B70"/>
    <w:rsid w:val="008708E0"/>
    <w:rsid w:val="00871CD9"/>
    <w:rsid w:val="00885A48"/>
    <w:rsid w:val="00890505"/>
    <w:rsid w:val="00896770"/>
    <w:rsid w:val="00896D28"/>
    <w:rsid w:val="00897C71"/>
    <w:rsid w:val="008A510C"/>
    <w:rsid w:val="008C15E9"/>
    <w:rsid w:val="008C2531"/>
    <w:rsid w:val="008D2863"/>
    <w:rsid w:val="008E17E9"/>
    <w:rsid w:val="008E1A37"/>
    <w:rsid w:val="008E4834"/>
    <w:rsid w:val="008E525C"/>
    <w:rsid w:val="008F2EB1"/>
    <w:rsid w:val="008F7322"/>
    <w:rsid w:val="008F76DB"/>
    <w:rsid w:val="008F7D29"/>
    <w:rsid w:val="00901F60"/>
    <w:rsid w:val="009033A1"/>
    <w:rsid w:val="00903B95"/>
    <w:rsid w:val="00905246"/>
    <w:rsid w:val="009100FF"/>
    <w:rsid w:val="0091095B"/>
    <w:rsid w:val="00930C0E"/>
    <w:rsid w:val="00933AD6"/>
    <w:rsid w:val="00936486"/>
    <w:rsid w:val="0094644A"/>
    <w:rsid w:val="00954E72"/>
    <w:rsid w:val="00956EF8"/>
    <w:rsid w:val="0095773E"/>
    <w:rsid w:val="009621BA"/>
    <w:rsid w:val="00964F98"/>
    <w:rsid w:val="00965A54"/>
    <w:rsid w:val="00965BD9"/>
    <w:rsid w:val="00973539"/>
    <w:rsid w:val="00976E81"/>
    <w:rsid w:val="00985470"/>
    <w:rsid w:val="00991101"/>
    <w:rsid w:val="00997998"/>
    <w:rsid w:val="009A5E8C"/>
    <w:rsid w:val="009B4FC3"/>
    <w:rsid w:val="009B4FFD"/>
    <w:rsid w:val="009B6CC6"/>
    <w:rsid w:val="009C18E0"/>
    <w:rsid w:val="009C71B2"/>
    <w:rsid w:val="009D477D"/>
    <w:rsid w:val="009E0EEE"/>
    <w:rsid w:val="009E672C"/>
    <w:rsid w:val="009F4725"/>
    <w:rsid w:val="009F59A6"/>
    <w:rsid w:val="00A04130"/>
    <w:rsid w:val="00A11D39"/>
    <w:rsid w:val="00A11D63"/>
    <w:rsid w:val="00A15465"/>
    <w:rsid w:val="00A22C8C"/>
    <w:rsid w:val="00A306D3"/>
    <w:rsid w:val="00A30968"/>
    <w:rsid w:val="00A30C1A"/>
    <w:rsid w:val="00A32CEB"/>
    <w:rsid w:val="00A34679"/>
    <w:rsid w:val="00A34BF9"/>
    <w:rsid w:val="00A37D1E"/>
    <w:rsid w:val="00A4050F"/>
    <w:rsid w:val="00A50F3B"/>
    <w:rsid w:val="00A53943"/>
    <w:rsid w:val="00A61537"/>
    <w:rsid w:val="00A61BC9"/>
    <w:rsid w:val="00A64275"/>
    <w:rsid w:val="00A65571"/>
    <w:rsid w:val="00A71A5A"/>
    <w:rsid w:val="00A80ADA"/>
    <w:rsid w:val="00A80B18"/>
    <w:rsid w:val="00A81E63"/>
    <w:rsid w:val="00A9226B"/>
    <w:rsid w:val="00A97BC4"/>
    <w:rsid w:val="00AA0BBE"/>
    <w:rsid w:val="00AA11FA"/>
    <w:rsid w:val="00AB0863"/>
    <w:rsid w:val="00AB5DF7"/>
    <w:rsid w:val="00AC6BEB"/>
    <w:rsid w:val="00AD0039"/>
    <w:rsid w:val="00AD0716"/>
    <w:rsid w:val="00AE303A"/>
    <w:rsid w:val="00AE3077"/>
    <w:rsid w:val="00AE337C"/>
    <w:rsid w:val="00AE73AF"/>
    <w:rsid w:val="00AE7F64"/>
    <w:rsid w:val="00AF7CFF"/>
    <w:rsid w:val="00B03528"/>
    <w:rsid w:val="00B03C25"/>
    <w:rsid w:val="00B042F9"/>
    <w:rsid w:val="00B109F2"/>
    <w:rsid w:val="00B131B6"/>
    <w:rsid w:val="00B21D1F"/>
    <w:rsid w:val="00B24C13"/>
    <w:rsid w:val="00B26387"/>
    <w:rsid w:val="00B27FA0"/>
    <w:rsid w:val="00B3290A"/>
    <w:rsid w:val="00B42F58"/>
    <w:rsid w:val="00B4645C"/>
    <w:rsid w:val="00B50B6D"/>
    <w:rsid w:val="00B540D9"/>
    <w:rsid w:val="00B552B9"/>
    <w:rsid w:val="00B558AB"/>
    <w:rsid w:val="00B55D9E"/>
    <w:rsid w:val="00B57E8D"/>
    <w:rsid w:val="00B77B8F"/>
    <w:rsid w:val="00B866C8"/>
    <w:rsid w:val="00B87AEA"/>
    <w:rsid w:val="00B91E7E"/>
    <w:rsid w:val="00B94168"/>
    <w:rsid w:val="00B95211"/>
    <w:rsid w:val="00BA002A"/>
    <w:rsid w:val="00BA4AEE"/>
    <w:rsid w:val="00BB1173"/>
    <w:rsid w:val="00BB1DA7"/>
    <w:rsid w:val="00BC2664"/>
    <w:rsid w:val="00BC3568"/>
    <w:rsid w:val="00BC57DF"/>
    <w:rsid w:val="00BD126F"/>
    <w:rsid w:val="00BD243F"/>
    <w:rsid w:val="00BD4D37"/>
    <w:rsid w:val="00BD661E"/>
    <w:rsid w:val="00BE4891"/>
    <w:rsid w:val="00BE5BE3"/>
    <w:rsid w:val="00BE5C91"/>
    <w:rsid w:val="00BE6EAC"/>
    <w:rsid w:val="00BF0E17"/>
    <w:rsid w:val="00BF51B4"/>
    <w:rsid w:val="00BF695F"/>
    <w:rsid w:val="00C02136"/>
    <w:rsid w:val="00C070AD"/>
    <w:rsid w:val="00C12DBD"/>
    <w:rsid w:val="00C148C9"/>
    <w:rsid w:val="00C149C0"/>
    <w:rsid w:val="00C15E39"/>
    <w:rsid w:val="00C17681"/>
    <w:rsid w:val="00C20EDC"/>
    <w:rsid w:val="00C23632"/>
    <w:rsid w:val="00C308FF"/>
    <w:rsid w:val="00C41903"/>
    <w:rsid w:val="00C4406B"/>
    <w:rsid w:val="00C444C2"/>
    <w:rsid w:val="00C4664B"/>
    <w:rsid w:val="00C503F1"/>
    <w:rsid w:val="00C545E6"/>
    <w:rsid w:val="00C71BC5"/>
    <w:rsid w:val="00C758EE"/>
    <w:rsid w:val="00C75967"/>
    <w:rsid w:val="00C82B0E"/>
    <w:rsid w:val="00C8796D"/>
    <w:rsid w:val="00C87F30"/>
    <w:rsid w:val="00C91092"/>
    <w:rsid w:val="00C93564"/>
    <w:rsid w:val="00CA3CD5"/>
    <w:rsid w:val="00CA71E8"/>
    <w:rsid w:val="00CB0B19"/>
    <w:rsid w:val="00CB1255"/>
    <w:rsid w:val="00CB1DC4"/>
    <w:rsid w:val="00CB4247"/>
    <w:rsid w:val="00CB430D"/>
    <w:rsid w:val="00CC7490"/>
    <w:rsid w:val="00CD13AC"/>
    <w:rsid w:val="00CD29EF"/>
    <w:rsid w:val="00CD57B9"/>
    <w:rsid w:val="00CD6F8B"/>
    <w:rsid w:val="00CD71CC"/>
    <w:rsid w:val="00CD78C6"/>
    <w:rsid w:val="00CE1AB3"/>
    <w:rsid w:val="00CE2664"/>
    <w:rsid w:val="00CE26BE"/>
    <w:rsid w:val="00CE26D1"/>
    <w:rsid w:val="00CE2B88"/>
    <w:rsid w:val="00CE5A7C"/>
    <w:rsid w:val="00CE6879"/>
    <w:rsid w:val="00CF0C97"/>
    <w:rsid w:val="00CF470B"/>
    <w:rsid w:val="00CF4C06"/>
    <w:rsid w:val="00CF6279"/>
    <w:rsid w:val="00D00308"/>
    <w:rsid w:val="00D03684"/>
    <w:rsid w:val="00D04BDB"/>
    <w:rsid w:val="00D06C84"/>
    <w:rsid w:val="00D11A75"/>
    <w:rsid w:val="00D14B00"/>
    <w:rsid w:val="00D163F7"/>
    <w:rsid w:val="00D20B44"/>
    <w:rsid w:val="00D33A8E"/>
    <w:rsid w:val="00D46396"/>
    <w:rsid w:val="00D57ADF"/>
    <w:rsid w:val="00D61450"/>
    <w:rsid w:val="00D6452C"/>
    <w:rsid w:val="00D7115C"/>
    <w:rsid w:val="00D76EAB"/>
    <w:rsid w:val="00D77752"/>
    <w:rsid w:val="00D82D46"/>
    <w:rsid w:val="00D87759"/>
    <w:rsid w:val="00D9101E"/>
    <w:rsid w:val="00D9420A"/>
    <w:rsid w:val="00DA5B17"/>
    <w:rsid w:val="00DB4048"/>
    <w:rsid w:val="00DC099E"/>
    <w:rsid w:val="00DD1B25"/>
    <w:rsid w:val="00DD1BCA"/>
    <w:rsid w:val="00DD541D"/>
    <w:rsid w:val="00DD56F7"/>
    <w:rsid w:val="00DD5A26"/>
    <w:rsid w:val="00DE0678"/>
    <w:rsid w:val="00DE5353"/>
    <w:rsid w:val="00E03F6E"/>
    <w:rsid w:val="00E06569"/>
    <w:rsid w:val="00E17F66"/>
    <w:rsid w:val="00E22777"/>
    <w:rsid w:val="00E2793D"/>
    <w:rsid w:val="00E32FFB"/>
    <w:rsid w:val="00E3416A"/>
    <w:rsid w:val="00E35C26"/>
    <w:rsid w:val="00E449B9"/>
    <w:rsid w:val="00E46711"/>
    <w:rsid w:val="00E51987"/>
    <w:rsid w:val="00E53E2F"/>
    <w:rsid w:val="00E55EC4"/>
    <w:rsid w:val="00E56E57"/>
    <w:rsid w:val="00E66F86"/>
    <w:rsid w:val="00E67346"/>
    <w:rsid w:val="00E71473"/>
    <w:rsid w:val="00E73067"/>
    <w:rsid w:val="00E7509D"/>
    <w:rsid w:val="00E757C3"/>
    <w:rsid w:val="00E800A9"/>
    <w:rsid w:val="00E80434"/>
    <w:rsid w:val="00E81E9E"/>
    <w:rsid w:val="00E847A7"/>
    <w:rsid w:val="00E84D5A"/>
    <w:rsid w:val="00E85A7C"/>
    <w:rsid w:val="00E9265A"/>
    <w:rsid w:val="00E92BA9"/>
    <w:rsid w:val="00E9450D"/>
    <w:rsid w:val="00E97619"/>
    <w:rsid w:val="00E97D9D"/>
    <w:rsid w:val="00EA0C27"/>
    <w:rsid w:val="00EA7862"/>
    <w:rsid w:val="00EA7A2C"/>
    <w:rsid w:val="00EC032C"/>
    <w:rsid w:val="00EC3191"/>
    <w:rsid w:val="00EC4791"/>
    <w:rsid w:val="00ED152B"/>
    <w:rsid w:val="00ED1A41"/>
    <w:rsid w:val="00ED1FE0"/>
    <w:rsid w:val="00ED3618"/>
    <w:rsid w:val="00ED6AD2"/>
    <w:rsid w:val="00EF04EC"/>
    <w:rsid w:val="00EF25FD"/>
    <w:rsid w:val="00EF29CF"/>
    <w:rsid w:val="00EF3113"/>
    <w:rsid w:val="00EF4209"/>
    <w:rsid w:val="00EF4970"/>
    <w:rsid w:val="00EF49F4"/>
    <w:rsid w:val="00EF6087"/>
    <w:rsid w:val="00EF6E89"/>
    <w:rsid w:val="00EF74BA"/>
    <w:rsid w:val="00F018F2"/>
    <w:rsid w:val="00F066A9"/>
    <w:rsid w:val="00F13F7E"/>
    <w:rsid w:val="00F171B2"/>
    <w:rsid w:val="00F2106D"/>
    <w:rsid w:val="00F23104"/>
    <w:rsid w:val="00F2389E"/>
    <w:rsid w:val="00F25050"/>
    <w:rsid w:val="00F2563E"/>
    <w:rsid w:val="00F319C1"/>
    <w:rsid w:val="00F330B4"/>
    <w:rsid w:val="00F35701"/>
    <w:rsid w:val="00F45A92"/>
    <w:rsid w:val="00F5188F"/>
    <w:rsid w:val="00F53344"/>
    <w:rsid w:val="00F54108"/>
    <w:rsid w:val="00F54D8D"/>
    <w:rsid w:val="00F62211"/>
    <w:rsid w:val="00F6542D"/>
    <w:rsid w:val="00F83D44"/>
    <w:rsid w:val="00F86163"/>
    <w:rsid w:val="00F86CEE"/>
    <w:rsid w:val="00F92100"/>
    <w:rsid w:val="00FA1020"/>
    <w:rsid w:val="00FA45CF"/>
    <w:rsid w:val="00FB359A"/>
    <w:rsid w:val="00FC0D61"/>
    <w:rsid w:val="00FC2670"/>
    <w:rsid w:val="00FD3F95"/>
    <w:rsid w:val="00FD4707"/>
    <w:rsid w:val="00FD5209"/>
    <w:rsid w:val="00FE1B52"/>
    <w:rsid w:val="00FF48CC"/>
    <w:rsid w:val="00FF4951"/>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D7B04"/>
  <w15:docId w15:val="{1F684D5A-ABD9-A54A-AA48-FE2C0350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6C84"/>
    <w:pPr>
      <w:keepNext/>
      <w:spacing w:after="0" w:line="480" w:lineRule="auto"/>
      <w:jc w:val="both"/>
      <w:outlineLvl w:val="0"/>
    </w:pPr>
    <w:rPr>
      <w:rFonts w:ascii="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416B"/>
    <w:pPr>
      <w:ind w:left="720"/>
      <w:contextualSpacing/>
    </w:pPr>
  </w:style>
  <w:style w:type="paragraph" w:styleId="Header">
    <w:name w:val="header"/>
    <w:basedOn w:val="Normal"/>
    <w:link w:val="HeaderChar"/>
    <w:uiPriority w:val="99"/>
    <w:unhideWhenUsed/>
    <w:rsid w:val="00104D82"/>
    <w:pPr>
      <w:tabs>
        <w:tab w:val="center" w:pos="4703"/>
        <w:tab w:val="right" w:pos="9406"/>
      </w:tabs>
      <w:spacing w:after="0" w:line="240" w:lineRule="auto"/>
    </w:pPr>
  </w:style>
  <w:style w:type="character" w:customStyle="1" w:styleId="HeaderChar">
    <w:name w:val="Header Char"/>
    <w:basedOn w:val="DefaultParagraphFont"/>
    <w:link w:val="Header"/>
    <w:uiPriority w:val="99"/>
    <w:rsid w:val="00104D82"/>
  </w:style>
  <w:style w:type="paragraph" w:styleId="Footer">
    <w:name w:val="footer"/>
    <w:basedOn w:val="Normal"/>
    <w:link w:val="FooterChar"/>
    <w:uiPriority w:val="99"/>
    <w:unhideWhenUsed/>
    <w:rsid w:val="00104D82"/>
    <w:pPr>
      <w:tabs>
        <w:tab w:val="center" w:pos="4703"/>
        <w:tab w:val="right" w:pos="9406"/>
      </w:tabs>
      <w:spacing w:after="0" w:line="240" w:lineRule="auto"/>
    </w:pPr>
  </w:style>
  <w:style w:type="character" w:customStyle="1" w:styleId="FooterChar">
    <w:name w:val="Footer Char"/>
    <w:basedOn w:val="DefaultParagraphFont"/>
    <w:link w:val="Footer"/>
    <w:uiPriority w:val="99"/>
    <w:rsid w:val="00104D82"/>
  </w:style>
  <w:style w:type="character" w:customStyle="1" w:styleId="Heading1Char">
    <w:name w:val="Heading 1 Char"/>
    <w:basedOn w:val="DefaultParagraphFont"/>
    <w:link w:val="Heading1"/>
    <w:rsid w:val="00D06C84"/>
    <w:rPr>
      <w:rFonts w:ascii="Times New Roman" w:hAnsi="Times New Roman" w:cs="Times New Roman"/>
      <w:b/>
      <w:sz w:val="24"/>
      <w:szCs w:val="24"/>
    </w:rPr>
  </w:style>
  <w:style w:type="paragraph" w:styleId="FootnoteText">
    <w:name w:val="footnote text"/>
    <w:basedOn w:val="Normal"/>
    <w:link w:val="FootnoteTextChar"/>
    <w:uiPriority w:val="99"/>
    <w:unhideWhenUsed/>
    <w:rsid w:val="000C4D57"/>
    <w:pPr>
      <w:spacing w:after="0" w:line="240" w:lineRule="auto"/>
    </w:pPr>
    <w:rPr>
      <w:rFonts w:ascii="Times New Roman" w:eastAsia="Times New Roman" w:hAnsi="Times New Roman" w:cs="Times New Roman"/>
      <w:sz w:val="20"/>
      <w:szCs w:val="20"/>
      <w:lang w:val="fr-CA"/>
    </w:rPr>
  </w:style>
  <w:style w:type="character" w:customStyle="1" w:styleId="FootnoteTextChar">
    <w:name w:val="Footnote Text Char"/>
    <w:basedOn w:val="DefaultParagraphFont"/>
    <w:link w:val="FootnoteText"/>
    <w:uiPriority w:val="99"/>
    <w:rsid w:val="000C4D57"/>
    <w:rPr>
      <w:rFonts w:ascii="Times New Roman" w:eastAsia="Times New Roman" w:hAnsi="Times New Roman" w:cs="Times New Roman"/>
      <w:sz w:val="20"/>
      <w:szCs w:val="20"/>
      <w:lang w:val="fr-CA" w:eastAsia="fr-CA"/>
    </w:rPr>
  </w:style>
  <w:style w:type="character" w:styleId="FootnoteReference">
    <w:name w:val="footnote reference"/>
    <w:basedOn w:val="DefaultParagraphFont"/>
    <w:uiPriority w:val="99"/>
    <w:semiHidden/>
    <w:unhideWhenUsed/>
    <w:rsid w:val="000C4D57"/>
    <w:rPr>
      <w:vertAlign w:val="superscript"/>
    </w:rPr>
  </w:style>
  <w:style w:type="table" w:customStyle="1" w:styleId="TableauGrille1Clair1">
    <w:name w:val="Tableau Grille 1 Clair1"/>
    <w:basedOn w:val="TableNormal"/>
    <w:uiPriority w:val="46"/>
    <w:rsid w:val="000C4D57"/>
    <w:pPr>
      <w:spacing w:after="0" w:line="240" w:lineRule="auto"/>
    </w:pPr>
    <w:rPr>
      <w:rFonts w:ascii="Times New Roman" w:eastAsia="Times New Roman" w:hAnsi="Times New Roman" w:cs="Times New Roman"/>
      <w:sz w:val="20"/>
      <w:szCs w:val="20"/>
      <w:lang w:val="fr-CA"/>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0C4D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styleId="Hyperlink">
    <w:name w:val="Hyperlink"/>
    <w:basedOn w:val="DefaultParagraphFont"/>
    <w:uiPriority w:val="99"/>
    <w:unhideWhenUsed/>
    <w:rsid w:val="0010767A"/>
    <w:rPr>
      <w:color w:val="0563C1" w:themeColor="hyperlink"/>
      <w:u w:val="single"/>
    </w:rPr>
  </w:style>
  <w:style w:type="character" w:customStyle="1" w:styleId="Mentionnonrsolue1">
    <w:name w:val="Mention non résolue1"/>
    <w:basedOn w:val="DefaultParagraphFont"/>
    <w:uiPriority w:val="99"/>
    <w:semiHidden/>
    <w:unhideWhenUsed/>
    <w:rsid w:val="0010767A"/>
    <w:rPr>
      <w:color w:val="605E5C"/>
      <w:shd w:val="clear" w:color="auto" w:fill="E1DFDD"/>
    </w:rPr>
  </w:style>
  <w:style w:type="paragraph" w:styleId="NormalWeb">
    <w:name w:val="Normal (Web)"/>
    <w:basedOn w:val="Normal"/>
    <w:uiPriority w:val="99"/>
    <w:semiHidden/>
    <w:unhideWhenUsed/>
    <w:rsid w:val="000C0936"/>
    <w:pPr>
      <w:spacing w:before="100" w:beforeAutospacing="1" w:after="100" w:afterAutospacing="1" w:line="240" w:lineRule="auto"/>
    </w:pPr>
    <w:rPr>
      <w:rFonts w:ascii="Times New Roman" w:eastAsia="Times New Roman" w:hAnsi="Times New Roman" w:cs="Times New Roman"/>
      <w:sz w:val="24"/>
      <w:szCs w:val="24"/>
      <w:lang w:val="fr-CA"/>
    </w:rPr>
  </w:style>
  <w:style w:type="character" w:styleId="CommentReference">
    <w:name w:val="annotation reference"/>
    <w:basedOn w:val="DefaultParagraphFont"/>
    <w:uiPriority w:val="99"/>
    <w:semiHidden/>
    <w:unhideWhenUsed/>
    <w:rsid w:val="004216BF"/>
    <w:rPr>
      <w:sz w:val="16"/>
      <w:szCs w:val="16"/>
    </w:rPr>
  </w:style>
  <w:style w:type="paragraph" w:styleId="CommentText">
    <w:name w:val="annotation text"/>
    <w:basedOn w:val="Normal"/>
    <w:link w:val="CommentTextChar"/>
    <w:uiPriority w:val="99"/>
    <w:unhideWhenUsed/>
    <w:rsid w:val="004216BF"/>
    <w:pPr>
      <w:spacing w:line="240" w:lineRule="auto"/>
    </w:pPr>
    <w:rPr>
      <w:sz w:val="20"/>
      <w:szCs w:val="20"/>
    </w:rPr>
  </w:style>
  <w:style w:type="character" w:customStyle="1" w:styleId="CommentTextChar">
    <w:name w:val="Comment Text Char"/>
    <w:basedOn w:val="DefaultParagraphFont"/>
    <w:link w:val="CommentText"/>
    <w:uiPriority w:val="99"/>
    <w:rsid w:val="004216BF"/>
    <w:rPr>
      <w:sz w:val="20"/>
      <w:szCs w:val="20"/>
    </w:rPr>
  </w:style>
  <w:style w:type="paragraph" w:styleId="CommentSubject">
    <w:name w:val="annotation subject"/>
    <w:basedOn w:val="CommentText"/>
    <w:next w:val="CommentText"/>
    <w:link w:val="CommentSubjectChar"/>
    <w:uiPriority w:val="99"/>
    <w:semiHidden/>
    <w:unhideWhenUsed/>
    <w:rsid w:val="004216BF"/>
    <w:rPr>
      <w:b/>
      <w:bCs/>
    </w:rPr>
  </w:style>
  <w:style w:type="character" w:customStyle="1" w:styleId="CommentSubjectChar">
    <w:name w:val="Comment Subject Char"/>
    <w:basedOn w:val="CommentTextChar"/>
    <w:link w:val="CommentSubject"/>
    <w:uiPriority w:val="99"/>
    <w:semiHidden/>
    <w:rsid w:val="004216BF"/>
    <w:rPr>
      <w:b/>
      <w:bCs/>
      <w:sz w:val="20"/>
      <w:szCs w:val="20"/>
    </w:rPr>
  </w:style>
  <w:style w:type="paragraph" w:styleId="Revision">
    <w:name w:val="Revision"/>
    <w:hidden/>
    <w:uiPriority w:val="99"/>
    <w:semiHidden/>
    <w:rsid w:val="00751275"/>
    <w:pPr>
      <w:spacing w:after="0" w:line="240" w:lineRule="auto"/>
    </w:pPr>
  </w:style>
  <w:style w:type="paragraph" w:customStyle="1" w:styleId="EndNoteBibliographyTitle">
    <w:name w:val="EndNote Bibliography Title"/>
    <w:basedOn w:val="Normal"/>
    <w:link w:val="EndNoteBibliographyTitleChar"/>
    <w:rsid w:val="007A3A22"/>
    <w:pPr>
      <w:spacing w:after="0"/>
      <w:jc w:val="center"/>
    </w:pPr>
    <w:rPr>
      <w:noProof/>
      <w:lang w:val="fr-CA"/>
    </w:rPr>
  </w:style>
  <w:style w:type="character" w:customStyle="1" w:styleId="EndNoteBibliographyTitleChar">
    <w:name w:val="EndNote Bibliography Title Char"/>
    <w:basedOn w:val="DefaultParagraphFont"/>
    <w:link w:val="EndNoteBibliographyTitle"/>
    <w:rsid w:val="007A3A22"/>
    <w:rPr>
      <w:noProof/>
      <w:lang w:val="fr-CA"/>
    </w:rPr>
  </w:style>
  <w:style w:type="paragraph" w:customStyle="1" w:styleId="EndNoteBibliography">
    <w:name w:val="EndNote Bibliography"/>
    <w:basedOn w:val="Normal"/>
    <w:link w:val="EndNoteBibliographyChar"/>
    <w:rsid w:val="007A3A22"/>
    <w:pPr>
      <w:spacing w:line="240" w:lineRule="auto"/>
      <w:jc w:val="center"/>
    </w:pPr>
    <w:rPr>
      <w:noProof/>
      <w:lang w:val="fr-CA"/>
    </w:rPr>
  </w:style>
  <w:style w:type="character" w:customStyle="1" w:styleId="EndNoteBibliographyChar">
    <w:name w:val="EndNote Bibliography Char"/>
    <w:basedOn w:val="DefaultParagraphFont"/>
    <w:link w:val="EndNoteBibliography"/>
    <w:rsid w:val="007A3A22"/>
    <w:rPr>
      <w:noProof/>
      <w:lang w:val="fr-CA"/>
    </w:rPr>
  </w:style>
  <w:style w:type="paragraph" w:styleId="BalloonText">
    <w:name w:val="Balloon Text"/>
    <w:basedOn w:val="Normal"/>
    <w:link w:val="BalloonTextChar"/>
    <w:uiPriority w:val="99"/>
    <w:semiHidden/>
    <w:unhideWhenUsed/>
    <w:rsid w:val="00A61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2558">
      <w:bodyDiv w:val="1"/>
      <w:marLeft w:val="0"/>
      <w:marRight w:val="0"/>
      <w:marTop w:val="0"/>
      <w:marBottom w:val="0"/>
      <w:divBdr>
        <w:top w:val="none" w:sz="0" w:space="0" w:color="auto"/>
        <w:left w:val="none" w:sz="0" w:space="0" w:color="auto"/>
        <w:bottom w:val="none" w:sz="0" w:space="0" w:color="auto"/>
        <w:right w:val="none" w:sz="0" w:space="0" w:color="auto"/>
      </w:divBdr>
      <w:divsChild>
        <w:div w:id="288829591">
          <w:marLeft w:val="0"/>
          <w:marRight w:val="0"/>
          <w:marTop w:val="0"/>
          <w:marBottom w:val="0"/>
          <w:divBdr>
            <w:top w:val="none" w:sz="0" w:space="0" w:color="auto"/>
            <w:left w:val="none" w:sz="0" w:space="0" w:color="auto"/>
            <w:bottom w:val="none" w:sz="0" w:space="0" w:color="auto"/>
            <w:right w:val="none" w:sz="0" w:space="0" w:color="auto"/>
          </w:divBdr>
          <w:divsChild>
            <w:div w:id="1079643444">
              <w:marLeft w:val="0"/>
              <w:marRight w:val="0"/>
              <w:marTop w:val="0"/>
              <w:marBottom w:val="0"/>
              <w:divBdr>
                <w:top w:val="none" w:sz="0" w:space="0" w:color="auto"/>
                <w:left w:val="none" w:sz="0" w:space="0" w:color="auto"/>
                <w:bottom w:val="none" w:sz="0" w:space="0" w:color="auto"/>
                <w:right w:val="none" w:sz="0" w:space="0" w:color="auto"/>
              </w:divBdr>
              <w:divsChild>
                <w:div w:id="14481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6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EzoTx0EiBuPChcFP+NxaHjOx6Q==">AMUW2mULsYkc+IuHccQFRoE1IjzAu+FNloq1Wn3ZV5qC4D9glpguEbPPpEePSJSMv9Wh0sRhpOKARSYNkniEQfklIxdu59LzS1D/irbwhzK5J9DDs+Bd0mo=</go:docsCustomData>
</go:gDocsCustomXmlDataStorage>
</file>

<file path=customXml/itemProps1.xml><?xml version="1.0" encoding="utf-8"?>
<ds:datastoreItem xmlns:ds="http://schemas.openxmlformats.org/officeDocument/2006/customXml" ds:itemID="{681C8B54-1C3D-4545-AB02-7608990E1C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1804</Words>
  <Characters>9924</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Corbeil</dc:creator>
  <cp:lastModifiedBy>Olivier Corbeil</cp:lastModifiedBy>
  <cp:revision>26</cp:revision>
  <cp:lastPrinted>2022-12-01T18:37:00Z</cp:lastPrinted>
  <dcterms:created xsi:type="dcterms:W3CDTF">2023-09-08T16:15:00Z</dcterms:created>
  <dcterms:modified xsi:type="dcterms:W3CDTF">2023-09-14T14:38:00Z</dcterms:modified>
</cp:coreProperties>
</file>