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E524" w14:textId="36CDBC40" w:rsidR="00131695" w:rsidRPr="003F0491" w:rsidRDefault="00131695" w:rsidP="003F0491">
      <w:pPr>
        <w:spacing w:line="276" w:lineRule="auto"/>
        <w:jc w:val="center"/>
        <w:rPr>
          <w:b/>
          <w:bCs/>
          <w:sz w:val="28"/>
          <w:szCs w:val="28"/>
        </w:rPr>
      </w:pPr>
      <w:r w:rsidRPr="003F0491">
        <w:rPr>
          <w:b/>
          <w:bCs/>
          <w:sz w:val="28"/>
          <w:szCs w:val="28"/>
        </w:rPr>
        <w:t>Democratic Trajectories in the Third Wave: Aligning Theory and Methods</w:t>
      </w:r>
    </w:p>
    <w:p w14:paraId="7446C490" w14:textId="29D7A4C2" w:rsidR="00E626E0" w:rsidRDefault="00E626E0" w:rsidP="003F0491">
      <w:pPr>
        <w:spacing w:line="276" w:lineRule="auto"/>
        <w:jc w:val="center"/>
      </w:pPr>
      <w:proofErr w:type="spellStart"/>
      <w:r>
        <w:t>Aníbal</w:t>
      </w:r>
      <w:proofErr w:type="spellEnd"/>
      <w:r>
        <w:t xml:space="preserve"> Pérez-</w:t>
      </w:r>
      <w:proofErr w:type="spellStart"/>
      <w:r>
        <w:t>Liñán</w:t>
      </w:r>
      <w:proofErr w:type="spellEnd"/>
      <w:r>
        <w:t xml:space="preserve"> and Scott Mainwaring</w:t>
      </w:r>
    </w:p>
    <w:p w14:paraId="2A7DD512" w14:textId="0DBBAF75" w:rsidR="00131695" w:rsidRPr="00DC1CD2" w:rsidRDefault="00E626E0" w:rsidP="00131695">
      <w:pPr>
        <w:spacing w:line="240" w:lineRule="auto"/>
        <w:jc w:val="center"/>
        <w:rPr>
          <w:b/>
          <w:bCs/>
        </w:rPr>
      </w:pPr>
      <w:r w:rsidRPr="00DC1CD2">
        <w:rPr>
          <w:b/>
          <w:bCs/>
        </w:rPr>
        <w:t>Supplementary Materials</w:t>
      </w:r>
    </w:p>
    <w:p w14:paraId="3504B025" w14:textId="77777777" w:rsidR="00131695" w:rsidRDefault="00131695" w:rsidP="007A55C8">
      <w:pPr>
        <w:spacing w:line="240" w:lineRule="auto"/>
        <w:ind w:firstLine="720"/>
        <w:jc w:val="center"/>
        <w:rPr>
          <w:bCs/>
        </w:rPr>
      </w:pPr>
    </w:p>
    <w:p w14:paraId="106B7377" w14:textId="77777777" w:rsidR="00131695" w:rsidRDefault="00131695" w:rsidP="007A55C8">
      <w:pPr>
        <w:spacing w:line="240" w:lineRule="auto"/>
        <w:ind w:firstLine="720"/>
        <w:jc w:val="center"/>
        <w:rPr>
          <w:bCs/>
        </w:rPr>
      </w:pPr>
    </w:p>
    <w:p w14:paraId="7AB8B44E" w14:textId="62066436" w:rsidR="00A82DAD" w:rsidRPr="007A55C8" w:rsidRDefault="00131695" w:rsidP="00131695">
      <w:pPr>
        <w:spacing w:line="240" w:lineRule="auto"/>
        <w:jc w:val="center"/>
        <w:rPr>
          <w:bCs/>
        </w:rPr>
      </w:pPr>
      <w:r>
        <w:rPr>
          <w:bCs/>
        </w:rPr>
        <w:t xml:space="preserve">Table </w:t>
      </w:r>
      <w:r w:rsidR="00E626E0">
        <w:rPr>
          <w:bCs/>
        </w:rPr>
        <w:t>S</w:t>
      </w:r>
      <w:r>
        <w:rPr>
          <w:bCs/>
        </w:rPr>
        <w:t xml:space="preserve">1. </w:t>
      </w:r>
      <w:r w:rsidR="007A55C8" w:rsidRPr="007A55C8">
        <w:rPr>
          <w:bCs/>
        </w:rPr>
        <w:t xml:space="preserve">Conventional Assumptions about </w:t>
      </w:r>
      <w:r>
        <w:rPr>
          <w:bCs/>
        </w:rPr>
        <w:t xml:space="preserve">the </w:t>
      </w:r>
      <w:r w:rsidR="007A55C8" w:rsidRPr="007A55C8">
        <w:rPr>
          <w:bCs/>
        </w:rPr>
        <w:t>Temporality of Fixed Effects, Hybrid, and Latent Growth Curve</w:t>
      </w:r>
      <w:r w:rsidR="000017FA">
        <w:rPr>
          <w:bCs/>
        </w:rPr>
        <w:t>,</w:t>
      </w:r>
      <w:r w:rsidR="007A55C8" w:rsidRPr="007A55C8">
        <w:rPr>
          <w:bCs/>
        </w:rPr>
        <w:t xml:space="preserve"> Time-Series Cross-Sectional Models</w:t>
      </w:r>
    </w:p>
    <w:p w14:paraId="1BFAE843" w14:textId="77777777" w:rsidR="007A55C8" w:rsidRPr="007A55C8" w:rsidRDefault="007A55C8" w:rsidP="007A55C8">
      <w:pPr>
        <w:spacing w:line="240" w:lineRule="auto"/>
        <w:ind w:firstLine="720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7A55C8" w:rsidRPr="007A55C8" w14:paraId="5348E881" w14:textId="77777777" w:rsidTr="00E0234A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03AD084B" w14:textId="32C243DD" w:rsidR="007A55C8" w:rsidRPr="007A55C8" w:rsidRDefault="007A55C8" w:rsidP="00E0234A">
            <w:pPr>
              <w:spacing w:line="240" w:lineRule="auto"/>
              <w:rPr>
                <w:b/>
                <w:sz w:val="22"/>
                <w:szCs w:val="22"/>
              </w:rPr>
            </w:pPr>
            <w:r w:rsidRPr="007A55C8">
              <w:rPr>
                <w:b/>
                <w:sz w:val="22"/>
                <w:szCs w:val="22"/>
              </w:rPr>
              <w:t>Estimator</w:t>
            </w:r>
            <w:r w:rsidR="00CC56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023D055" w14:textId="77777777" w:rsidR="007A55C8" w:rsidRPr="007A55C8" w:rsidRDefault="007A55C8" w:rsidP="00E0234A">
            <w:pPr>
              <w:spacing w:line="240" w:lineRule="auto"/>
              <w:rPr>
                <w:b/>
                <w:sz w:val="22"/>
                <w:szCs w:val="22"/>
              </w:rPr>
            </w:pPr>
            <w:r w:rsidRPr="007A55C8">
              <w:rPr>
                <w:b/>
                <w:sz w:val="22"/>
                <w:szCs w:val="22"/>
              </w:rPr>
              <w:t>Fixed-Effects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8FC115E" w14:textId="77777777" w:rsidR="007A55C8" w:rsidRPr="007A55C8" w:rsidRDefault="007A55C8" w:rsidP="00E0234A">
            <w:pPr>
              <w:spacing w:line="240" w:lineRule="auto"/>
              <w:rPr>
                <w:b/>
                <w:sz w:val="22"/>
                <w:szCs w:val="22"/>
              </w:rPr>
            </w:pPr>
            <w:r w:rsidRPr="007A55C8">
              <w:rPr>
                <w:b/>
                <w:sz w:val="22"/>
                <w:szCs w:val="22"/>
              </w:rPr>
              <w:t>Hybrid (random- and-fixed effects)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932F760" w14:textId="77777777" w:rsidR="007A55C8" w:rsidRPr="007A55C8" w:rsidRDefault="007A55C8" w:rsidP="00E0234A">
            <w:pPr>
              <w:spacing w:line="240" w:lineRule="auto"/>
              <w:rPr>
                <w:b/>
                <w:sz w:val="22"/>
                <w:szCs w:val="22"/>
              </w:rPr>
            </w:pPr>
            <w:r w:rsidRPr="007A55C8">
              <w:rPr>
                <w:b/>
                <w:sz w:val="22"/>
                <w:szCs w:val="22"/>
              </w:rPr>
              <w:t>Latent Growth Curve Models</w:t>
            </w:r>
          </w:p>
        </w:tc>
      </w:tr>
      <w:tr w:rsidR="007A55C8" w:rsidRPr="007A55C8" w14:paraId="7A1E9F69" w14:textId="77777777" w:rsidTr="00E0234A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F0C7368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i/>
                <w:iCs/>
                <w:sz w:val="22"/>
                <w:szCs w:val="22"/>
              </w:rPr>
            </w:pPr>
            <w:r w:rsidRPr="007A55C8">
              <w:rPr>
                <w:bCs/>
                <w:i/>
                <w:iCs/>
                <w:sz w:val="22"/>
                <w:szCs w:val="22"/>
              </w:rPr>
              <w:t>How do conditions inherited at the time of the democratic transition that remain stable affect subsequent democratization?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0BB42EC2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Because the inherited conditions are time invariant, their effects cannot be modeled.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1A727104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Inherited conditions affect the beginning and the subsequent level of democracy. However, this effect is assumed to be constant over time.  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33666432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Inherited conditions affect the initial level of democracy and subsequent regime trajectories. </w:t>
            </w:r>
          </w:p>
        </w:tc>
      </w:tr>
      <w:tr w:rsidR="007A55C8" w:rsidRPr="007A55C8" w14:paraId="1F3CA60E" w14:textId="77777777" w:rsidTr="00E0234A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03D689C4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i/>
                <w:iCs/>
                <w:sz w:val="22"/>
                <w:szCs w:val="22"/>
              </w:rPr>
            </w:pPr>
            <w:r w:rsidRPr="007A55C8">
              <w:rPr>
                <w:bCs/>
                <w:i/>
                <w:iCs/>
                <w:sz w:val="22"/>
                <w:szCs w:val="22"/>
              </w:rPr>
              <w:t>Can independent variables have enduring effects on levels of democracy?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586FD92D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No. Effects are short-lived (affect a single year), irrespective of the lag </w:t>
            </w:r>
            <w:proofErr w:type="gramStart"/>
            <w:r w:rsidRPr="007A55C8">
              <w:rPr>
                <w:bCs/>
                <w:sz w:val="22"/>
                <w:szCs w:val="22"/>
              </w:rPr>
              <w:t>structure.*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55EB7D4C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Yes. The mean score for independent variables over time affects the mean level of democracy for each country, but their impact is stable over time.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632A04E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Yes. The mean score for independent variables over time affects outcomes. Their impact can set positive or negative trajectories over time.  </w:t>
            </w:r>
          </w:p>
        </w:tc>
      </w:tr>
      <w:tr w:rsidR="007A55C8" w:rsidRPr="007A55C8" w14:paraId="3BA90098" w14:textId="77777777" w:rsidTr="00E0234A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74BB3921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i/>
                <w:iCs/>
                <w:sz w:val="22"/>
                <w:szCs w:val="22"/>
              </w:rPr>
            </w:pPr>
            <w:r w:rsidRPr="007A55C8">
              <w:rPr>
                <w:bCs/>
                <w:i/>
                <w:iCs/>
                <w:sz w:val="22"/>
                <w:szCs w:val="22"/>
              </w:rPr>
              <w:t>Can independent variables have enduring effects on regime trajectories over time?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4D8BA338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No. If time-varying influences are removed, cases regress to their means (determined by unobserved conditions).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01017B7B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No. If time-varying influences are removed, cases regress to their means (determined by cross-sectional covariates).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30EAD2E2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Yes. If time-varying influences are removed, cases regress to their latent trajectories (determined by cross-sectional covariates).</w:t>
            </w:r>
          </w:p>
        </w:tc>
      </w:tr>
      <w:tr w:rsidR="007A55C8" w:rsidRPr="007A55C8" w14:paraId="59A803D7" w14:textId="77777777" w:rsidTr="00E0234A"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5D889A0D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i/>
                <w:iCs/>
                <w:sz w:val="22"/>
                <w:szCs w:val="22"/>
              </w:rPr>
            </w:pPr>
            <w:r w:rsidRPr="007A55C8">
              <w:rPr>
                <w:bCs/>
                <w:i/>
                <w:iCs/>
                <w:sz w:val="22"/>
                <w:szCs w:val="22"/>
              </w:rPr>
              <w:t>Is the causal process assumed to be stationary?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5C8ACA2D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Yes. The stable reversionary levels are given by (unexplained) unit </w:t>
            </w:r>
            <w:proofErr w:type="gramStart"/>
            <w:r w:rsidRPr="007A55C8">
              <w:rPr>
                <w:bCs/>
                <w:sz w:val="22"/>
                <w:szCs w:val="22"/>
              </w:rPr>
              <w:t>effects.*</w:t>
            </w:r>
            <w:proofErr w:type="gramEnd"/>
            <w:r w:rsidRPr="007A55C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537AF7F0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>Yes. The stable reversionary levels are given by time-invariant covariates and by the average levels of time-varying covariates.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2F8698FE" w14:textId="77777777" w:rsidR="007A55C8" w:rsidRPr="007A55C8" w:rsidRDefault="007A55C8" w:rsidP="003B7231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  <w:r w:rsidRPr="007A55C8">
              <w:rPr>
                <w:bCs/>
                <w:sz w:val="22"/>
                <w:szCs w:val="22"/>
              </w:rPr>
              <w:t xml:space="preserve">No. A latent trajectory is determined by time-invariant covariates and by average levels of time-varying </w:t>
            </w:r>
            <w:proofErr w:type="gramStart"/>
            <w:r w:rsidRPr="007A55C8">
              <w:rPr>
                <w:bCs/>
                <w:sz w:val="22"/>
                <w:szCs w:val="22"/>
              </w:rPr>
              <w:t>covariates.*</w:t>
            </w:r>
            <w:proofErr w:type="gramEnd"/>
            <w:r w:rsidRPr="007A55C8">
              <w:rPr>
                <w:bCs/>
                <w:sz w:val="22"/>
                <w:szCs w:val="22"/>
              </w:rPr>
              <w:t>**</w:t>
            </w:r>
          </w:p>
        </w:tc>
      </w:tr>
    </w:tbl>
    <w:p w14:paraId="6DB4EE83" w14:textId="77777777" w:rsidR="003F4166" w:rsidRPr="00036DEB" w:rsidRDefault="003F4166" w:rsidP="007A55C8">
      <w:pPr>
        <w:spacing w:line="240" w:lineRule="auto"/>
        <w:rPr>
          <w:bCs/>
          <w:sz w:val="20"/>
          <w:szCs w:val="20"/>
        </w:rPr>
      </w:pPr>
    </w:p>
    <w:p w14:paraId="1DA83875" w14:textId="26217C94" w:rsidR="007A55C8" w:rsidRPr="00036DEB" w:rsidRDefault="007A55C8" w:rsidP="007A55C8">
      <w:pPr>
        <w:spacing w:line="240" w:lineRule="auto"/>
        <w:rPr>
          <w:bCs/>
          <w:sz w:val="20"/>
          <w:szCs w:val="20"/>
        </w:rPr>
      </w:pPr>
      <w:r w:rsidRPr="00036DEB">
        <w:rPr>
          <w:bCs/>
          <w:sz w:val="20"/>
          <w:szCs w:val="20"/>
        </w:rPr>
        <w:t>* Dynamic panel models assume a lasting effect of independent variables through the lagged dependent variable, but this effect decays over time, converging to zero.</w:t>
      </w:r>
    </w:p>
    <w:p w14:paraId="598AA2D0" w14:textId="77777777" w:rsidR="007A55C8" w:rsidRPr="00036DEB" w:rsidRDefault="007A55C8" w:rsidP="007A55C8">
      <w:pPr>
        <w:spacing w:line="240" w:lineRule="auto"/>
        <w:rPr>
          <w:bCs/>
          <w:sz w:val="20"/>
          <w:szCs w:val="20"/>
        </w:rPr>
      </w:pPr>
      <w:r w:rsidRPr="00036DEB">
        <w:rPr>
          <w:bCs/>
          <w:sz w:val="20"/>
          <w:szCs w:val="20"/>
        </w:rPr>
        <w:t xml:space="preserve">** Two-way fixed-effects models alternatively assume common (parallel) trends for all cases, but the causal process driven by relevant independent variables is still taken to be stationary. </w:t>
      </w:r>
    </w:p>
    <w:p w14:paraId="3694FC40" w14:textId="34EE04DA" w:rsidR="007A55C8" w:rsidRPr="00036DEB" w:rsidRDefault="007A55C8" w:rsidP="007A55C8">
      <w:pPr>
        <w:spacing w:line="240" w:lineRule="auto"/>
        <w:rPr>
          <w:bCs/>
          <w:sz w:val="20"/>
          <w:szCs w:val="20"/>
        </w:rPr>
      </w:pPr>
      <w:r w:rsidRPr="00036DEB">
        <w:rPr>
          <w:bCs/>
          <w:sz w:val="20"/>
          <w:szCs w:val="20"/>
        </w:rPr>
        <w:t xml:space="preserve">*** </w:t>
      </w:r>
      <w:r w:rsidR="00EF3E0C" w:rsidRPr="00036DEB">
        <w:rPr>
          <w:bCs/>
          <w:sz w:val="20"/>
          <w:szCs w:val="20"/>
        </w:rPr>
        <w:t>T</w:t>
      </w:r>
      <w:r w:rsidRPr="00036DEB">
        <w:rPr>
          <w:bCs/>
          <w:sz w:val="20"/>
          <w:szCs w:val="20"/>
        </w:rPr>
        <w:t>he process is assumed to be trend-stationary (i.e., regressing to the trajectory).</w:t>
      </w:r>
    </w:p>
    <w:p w14:paraId="4A3C9E1A" w14:textId="12647B6E" w:rsidR="00417CB2" w:rsidRDefault="00417CB2"/>
    <w:p w14:paraId="33DFE7E1" w14:textId="4B107091" w:rsidR="00131695" w:rsidRDefault="00131695">
      <w:r>
        <w:lastRenderedPageBreak/>
        <w:t xml:space="preserve">Table </w:t>
      </w:r>
      <w:r w:rsidR="00960F59">
        <w:t>S</w:t>
      </w:r>
      <w:r>
        <w:t>2. Descriptive Statistics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1008"/>
        <w:gridCol w:w="1008"/>
        <w:gridCol w:w="1008"/>
        <w:gridCol w:w="1008"/>
        <w:gridCol w:w="1008"/>
      </w:tblGrid>
      <w:tr w:rsidR="005D41BB" w:rsidRPr="005D41BB" w14:paraId="4AD9BAFD" w14:textId="77777777" w:rsidTr="005D41BB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6A79F8B9" w14:textId="77777777" w:rsidR="005D41BB" w:rsidRPr="005D41BB" w:rsidRDefault="005D41BB" w:rsidP="005D41BB">
            <w:pPr>
              <w:spacing w:line="276" w:lineRule="auto"/>
            </w:pPr>
            <w:r w:rsidRPr="005D41BB">
              <w:t>Variable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447CBF0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Mean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167A442" w14:textId="54AA65AF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Min</w:t>
            </w:r>
            <w:r w:rsidR="00DA6D1E">
              <w:t>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0154B4B" w14:textId="280BDCB1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Max</w:t>
            </w:r>
            <w:r w:rsidR="00DA6D1E">
              <w:t>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BF67BD8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SD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9FA1A8F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N</w:t>
            </w:r>
          </w:p>
        </w:tc>
      </w:tr>
      <w:tr w:rsidR="005D41BB" w:rsidRPr="005D41BB" w14:paraId="4A25AB7E" w14:textId="77777777" w:rsidTr="005D41BB">
        <w:tc>
          <w:tcPr>
            <w:tcW w:w="3312" w:type="dxa"/>
            <w:tcBorders>
              <w:top w:val="single" w:sz="4" w:space="0" w:color="auto"/>
            </w:tcBorders>
          </w:tcPr>
          <w:p w14:paraId="78DC0791" w14:textId="331E6947" w:rsidR="005D41BB" w:rsidRPr="005D41BB" w:rsidRDefault="005D41BB" w:rsidP="005D41BB">
            <w:pPr>
              <w:spacing w:line="276" w:lineRule="auto"/>
              <w:rPr>
                <w:i/>
                <w:iCs/>
              </w:rPr>
            </w:pPr>
            <w:r w:rsidRPr="005D41BB">
              <w:rPr>
                <w:i/>
                <w:iCs/>
              </w:rPr>
              <w:t>Level-1 variables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C1B48A8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DBF0CB4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15572DA9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4C7F5ED2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4D65817E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5D41BB" w:rsidRPr="005D41BB" w14:paraId="1E1C8FC0" w14:textId="77777777" w:rsidTr="005D41BB">
        <w:tc>
          <w:tcPr>
            <w:tcW w:w="3312" w:type="dxa"/>
          </w:tcPr>
          <w:p w14:paraId="1DE749FD" w14:textId="47964B8A" w:rsidR="005D41BB" w:rsidRPr="005D41BB" w:rsidRDefault="005D41BB" w:rsidP="005D41BB">
            <w:pPr>
              <w:spacing w:line="276" w:lineRule="auto"/>
              <w:ind w:left="288"/>
            </w:pPr>
            <w:r>
              <w:t>Liberal democracy</w:t>
            </w:r>
          </w:p>
        </w:tc>
        <w:tc>
          <w:tcPr>
            <w:tcW w:w="1008" w:type="dxa"/>
          </w:tcPr>
          <w:p w14:paraId="4D0E2CB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55.4</w:t>
            </w:r>
          </w:p>
        </w:tc>
        <w:tc>
          <w:tcPr>
            <w:tcW w:w="1008" w:type="dxa"/>
          </w:tcPr>
          <w:p w14:paraId="33D6AFC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12.6</w:t>
            </w:r>
          </w:p>
        </w:tc>
        <w:tc>
          <w:tcPr>
            <w:tcW w:w="1008" w:type="dxa"/>
          </w:tcPr>
          <w:p w14:paraId="4E22B88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87.0</w:t>
            </w:r>
          </w:p>
        </w:tc>
        <w:tc>
          <w:tcPr>
            <w:tcW w:w="1008" w:type="dxa"/>
          </w:tcPr>
          <w:p w14:paraId="250D7B8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16.6</w:t>
            </w:r>
          </w:p>
        </w:tc>
        <w:tc>
          <w:tcPr>
            <w:tcW w:w="1008" w:type="dxa"/>
          </w:tcPr>
          <w:p w14:paraId="11484F72" w14:textId="161189BC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1730</w:t>
            </w:r>
          </w:p>
        </w:tc>
      </w:tr>
      <w:tr w:rsidR="005D41BB" w:rsidRPr="005D41BB" w14:paraId="45BBB3BB" w14:textId="77777777" w:rsidTr="005D41BB">
        <w:tc>
          <w:tcPr>
            <w:tcW w:w="3312" w:type="dxa"/>
          </w:tcPr>
          <w:p w14:paraId="48C3693A" w14:textId="58BA5103" w:rsidR="005D41BB" w:rsidRPr="005D41BB" w:rsidRDefault="005D41BB" w:rsidP="005D41BB">
            <w:pPr>
              <w:spacing w:line="276" w:lineRule="auto"/>
              <w:ind w:left="288"/>
            </w:pPr>
            <w:r>
              <w:t xml:space="preserve">Growth </w:t>
            </w:r>
            <w:r w:rsidR="001066C8">
              <w:t xml:space="preserve">(annual </w:t>
            </w:r>
            <w:r>
              <w:t>%</w:t>
            </w:r>
            <w:r w:rsidR="001066C8">
              <w:t>)</w:t>
            </w:r>
          </w:p>
        </w:tc>
        <w:tc>
          <w:tcPr>
            <w:tcW w:w="1008" w:type="dxa"/>
          </w:tcPr>
          <w:p w14:paraId="0BA8C3EB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2.3</w:t>
            </w:r>
          </w:p>
        </w:tc>
        <w:tc>
          <w:tcPr>
            <w:tcW w:w="1008" w:type="dxa"/>
          </w:tcPr>
          <w:p w14:paraId="6470CCC9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-40.7</w:t>
            </w:r>
          </w:p>
        </w:tc>
        <w:tc>
          <w:tcPr>
            <w:tcW w:w="1008" w:type="dxa"/>
          </w:tcPr>
          <w:p w14:paraId="566D209F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59.9</w:t>
            </w:r>
          </w:p>
        </w:tc>
        <w:tc>
          <w:tcPr>
            <w:tcW w:w="1008" w:type="dxa"/>
          </w:tcPr>
          <w:p w14:paraId="3389594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4.6</w:t>
            </w:r>
          </w:p>
        </w:tc>
        <w:tc>
          <w:tcPr>
            <w:tcW w:w="1008" w:type="dxa"/>
          </w:tcPr>
          <w:p w14:paraId="37334A71" w14:textId="39DD9FC1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1675</w:t>
            </w:r>
          </w:p>
        </w:tc>
      </w:tr>
      <w:tr w:rsidR="005D41BB" w:rsidRPr="005D41BB" w14:paraId="11E3E372" w14:textId="77777777" w:rsidTr="005D41BB">
        <w:tc>
          <w:tcPr>
            <w:tcW w:w="3312" w:type="dxa"/>
          </w:tcPr>
          <w:p w14:paraId="4CEAEF3D" w14:textId="78720780" w:rsidR="005D41BB" w:rsidRPr="005D41BB" w:rsidRDefault="005D41BB" w:rsidP="005D41BB">
            <w:pPr>
              <w:spacing w:line="276" w:lineRule="auto"/>
              <w:ind w:left="288"/>
            </w:pPr>
            <w:r>
              <w:t>Per capita GDP (thousands)</w:t>
            </w:r>
          </w:p>
        </w:tc>
        <w:tc>
          <w:tcPr>
            <w:tcW w:w="1008" w:type="dxa"/>
          </w:tcPr>
          <w:p w14:paraId="6BE8DCFC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6.6</w:t>
            </w:r>
          </w:p>
        </w:tc>
        <w:tc>
          <w:tcPr>
            <w:tcW w:w="1008" w:type="dxa"/>
          </w:tcPr>
          <w:p w14:paraId="5F72A9F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0.3</w:t>
            </w:r>
          </w:p>
        </w:tc>
        <w:tc>
          <w:tcPr>
            <w:tcW w:w="1008" w:type="dxa"/>
          </w:tcPr>
          <w:p w14:paraId="4CEFD488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32.3</w:t>
            </w:r>
          </w:p>
        </w:tc>
        <w:tc>
          <w:tcPr>
            <w:tcW w:w="1008" w:type="dxa"/>
          </w:tcPr>
          <w:p w14:paraId="27B930C9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6.6</w:t>
            </w:r>
          </w:p>
        </w:tc>
        <w:tc>
          <w:tcPr>
            <w:tcW w:w="1008" w:type="dxa"/>
          </w:tcPr>
          <w:p w14:paraId="06915E86" w14:textId="06467A45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1682</w:t>
            </w:r>
          </w:p>
        </w:tc>
      </w:tr>
      <w:tr w:rsidR="005D41BB" w:rsidRPr="005D41BB" w14:paraId="43A1256C" w14:textId="77777777" w:rsidTr="005D41BB">
        <w:tc>
          <w:tcPr>
            <w:tcW w:w="3312" w:type="dxa"/>
          </w:tcPr>
          <w:p w14:paraId="6E9938B2" w14:textId="62F201F5" w:rsidR="005D41BB" w:rsidRPr="005D41BB" w:rsidRDefault="005D41BB" w:rsidP="005D41BB">
            <w:pPr>
              <w:spacing w:line="276" w:lineRule="auto"/>
              <w:ind w:left="288"/>
            </w:pPr>
            <w:r>
              <w:t>G</w:t>
            </w:r>
            <w:r w:rsidRPr="005D41BB">
              <w:t>ini</w:t>
            </w:r>
            <w:r>
              <w:t xml:space="preserve"> index</w:t>
            </w:r>
          </w:p>
        </w:tc>
        <w:tc>
          <w:tcPr>
            <w:tcW w:w="1008" w:type="dxa"/>
          </w:tcPr>
          <w:p w14:paraId="0720EBEB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41.5</w:t>
            </w:r>
          </w:p>
        </w:tc>
        <w:tc>
          <w:tcPr>
            <w:tcW w:w="1008" w:type="dxa"/>
          </w:tcPr>
          <w:p w14:paraId="1507558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21.2</w:t>
            </w:r>
          </w:p>
        </w:tc>
        <w:tc>
          <w:tcPr>
            <w:tcW w:w="1008" w:type="dxa"/>
          </w:tcPr>
          <w:p w14:paraId="5569475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74.3</w:t>
            </w:r>
          </w:p>
        </w:tc>
        <w:tc>
          <w:tcPr>
            <w:tcW w:w="1008" w:type="dxa"/>
          </w:tcPr>
          <w:p w14:paraId="42E24432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10.3</w:t>
            </w:r>
          </w:p>
        </w:tc>
        <w:tc>
          <w:tcPr>
            <w:tcW w:w="1008" w:type="dxa"/>
          </w:tcPr>
          <w:p w14:paraId="7D5F1477" w14:textId="58CD63A9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1630</w:t>
            </w:r>
          </w:p>
        </w:tc>
      </w:tr>
      <w:tr w:rsidR="005D41BB" w:rsidRPr="005D41BB" w14:paraId="03ADA892" w14:textId="77777777" w:rsidTr="005D41BB">
        <w:tc>
          <w:tcPr>
            <w:tcW w:w="3312" w:type="dxa"/>
          </w:tcPr>
          <w:p w14:paraId="18257462" w14:textId="7BBE88F5" w:rsidR="005D41BB" w:rsidRPr="005D41BB" w:rsidRDefault="005D41BB" w:rsidP="005D41BB">
            <w:pPr>
              <w:spacing w:line="276" w:lineRule="auto"/>
              <w:ind w:left="288"/>
            </w:pPr>
            <w:r>
              <w:t xml:space="preserve">State </w:t>
            </w:r>
            <w:r w:rsidRPr="005D41BB">
              <w:t>capacity</w:t>
            </w:r>
          </w:p>
        </w:tc>
        <w:tc>
          <w:tcPr>
            <w:tcW w:w="1008" w:type="dxa"/>
          </w:tcPr>
          <w:p w14:paraId="6FEE8666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50.0</w:t>
            </w:r>
          </w:p>
        </w:tc>
        <w:tc>
          <w:tcPr>
            <w:tcW w:w="1008" w:type="dxa"/>
          </w:tcPr>
          <w:p w14:paraId="2CA6FD1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33.2</w:t>
            </w:r>
          </w:p>
        </w:tc>
        <w:tc>
          <w:tcPr>
            <w:tcW w:w="1008" w:type="dxa"/>
          </w:tcPr>
          <w:p w14:paraId="1D48A6A3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85.0</w:t>
            </w:r>
          </w:p>
        </w:tc>
        <w:tc>
          <w:tcPr>
            <w:tcW w:w="1008" w:type="dxa"/>
          </w:tcPr>
          <w:p w14:paraId="072D8D0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10.0</w:t>
            </w:r>
          </w:p>
        </w:tc>
        <w:tc>
          <w:tcPr>
            <w:tcW w:w="1008" w:type="dxa"/>
          </w:tcPr>
          <w:p w14:paraId="79887998" w14:textId="5A7525E1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1731</w:t>
            </w:r>
          </w:p>
        </w:tc>
      </w:tr>
      <w:tr w:rsidR="005D41BB" w:rsidRPr="005D41BB" w14:paraId="0945761B" w14:textId="77777777" w:rsidTr="005D41BB">
        <w:tc>
          <w:tcPr>
            <w:tcW w:w="3312" w:type="dxa"/>
          </w:tcPr>
          <w:p w14:paraId="38288F54" w14:textId="1EC2A83D" w:rsidR="005D41BB" w:rsidRPr="005D41BB" w:rsidRDefault="005D41BB" w:rsidP="005D41BB">
            <w:pPr>
              <w:spacing w:line="276" w:lineRule="auto"/>
              <w:ind w:left="288"/>
            </w:pPr>
            <w:r>
              <w:t>R</w:t>
            </w:r>
            <w:r w:rsidRPr="005D41BB">
              <w:t>egion</w:t>
            </w:r>
            <w:r>
              <w:t xml:space="preserve"> (% democratic)</w:t>
            </w:r>
          </w:p>
        </w:tc>
        <w:tc>
          <w:tcPr>
            <w:tcW w:w="1008" w:type="dxa"/>
          </w:tcPr>
          <w:p w14:paraId="070F5C6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51.3</w:t>
            </w:r>
          </w:p>
        </w:tc>
        <w:tc>
          <w:tcPr>
            <w:tcW w:w="1008" w:type="dxa"/>
          </w:tcPr>
          <w:p w14:paraId="735817C1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10.3</w:t>
            </w:r>
          </w:p>
        </w:tc>
        <w:tc>
          <w:tcPr>
            <w:tcW w:w="1008" w:type="dxa"/>
          </w:tcPr>
          <w:p w14:paraId="1594467F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79.4</w:t>
            </w:r>
          </w:p>
        </w:tc>
        <w:tc>
          <w:tcPr>
            <w:tcW w:w="1008" w:type="dxa"/>
          </w:tcPr>
          <w:p w14:paraId="7461218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12.7</w:t>
            </w:r>
          </w:p>
        </w:tc>
        <w:tc>
          <w:tcPr>
            <w:tcW w:w="1008" w:type="dxa"/>
          </w:tcPr>
          <w:p w14:paraId="4D4FCBAC" w14:textId="5B3B209F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1731</w:t>
            </w:r>
          </w:p>
        </w:tc>
      </w:tr>
      <w:tr w:rsidR="005D41BB" w:rsidRPr="005D41BB" w14:paraId="1C28F4D7" w14:textId="77777777" w:rsidTr="005D41BB">
        <w:tc>
          <w:tcPr>
            <w:tcW w:w="3312" w:type="dxa"/>
          </w:tcPr>
          <w:p w14:paraId="48D09D82" w14:textId="2BA1ECAA" w:rsidR="005D41BB" w:rsidRPr="005D41BB" w:rsidRDefault="005D41BB" w:rsidP="005D41BB">
            <w:pPr>
              <w:spacing w:line="276" w:lineRule="auto"/>
              <w:ind w:left="288"/>
            </w:pPr>
            <w:r>
              <w:t>Age of the regime (t)</w:t>
            </w:r>
          </w:p>
        </w:tc>
        <w:tc>
          <w:tcPr>
            <w:tcW w:w="1008" w:type="dxa"/>
          </w:tcPr>
          <w:p w14:paraId="06376ACF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11.5</w:t>
            </w:r>
          </w:p>
        </w:tc>
        <w:tc>
          <w:tcPr>
            <w:tcW w:w="1008" w:type="dxa"/>
          </w:tcPr>
          <w:p w14:paraId="17092DDD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0.0</w:t>
            </w:r>
          </w:p>
        </w:tc>
        <w:tc>
          <w:tcPr>
            <w:tcW w:w="1008" w:type="dxa"/>
          </w:tcPr>
          <w:p w14:paraId="563146A2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42.0</w:t>
            </w:r>
          </w:p>
        </w:tc>
        <w:tc>
          <w:tcPr>
            <w:tcW w:w="1008" w:type="dxa"/>
          </w:tcPr>
          <w:p w14:paraId="3B6F9C67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9.0</w:t>
            </w:r>
          </w:p>
        </w:tc>
        <w:tc>
          <w:tcPr>
            <w:tcW w:w="1008" w:type="dxa"/>
          </w:tcPr>
          <w:p w14:paraId="43CFF64E" w14:textId="065F6595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1731</w:t>
            </w:r>
          </w:p>
        </w:tc>
      </w:tr>
      <w:tr w:rsidR="005D41BB" w:rsidRPr="005D41BB" w14:paraId="4CA5B67F" w14:textId="77777777" w:rsidTr="005D41BB">
        <w:tc>
          <w:tcPr>
            <w:tcW w:w="3312" w:type="dxa"/>
          </w:tcPr>
          <w:p w14:paraId="600C5DFB" w14:textId="71031D42" w:rsidR="005D41BB" w:rsidRPr="005D41BB" w:rsidRDefault="005D41BB" w:rsidP="005D41BB">
            <w:pPr>
              <w:spacing w:line="276" w:lineRule="auto"/>
              <w:rPr>
                <w:i/>
                <w:iCs/>
              </w:rPr>
            </w:pPr>
            <w:r w:rsidRPr="005D41BB">
              <w:rPr>
                <w:i/>
                <w:iCs/>
              </w:rPr>
              <w:t>Level-2 variables</w:t>
            </w:r>
          </w:p>
        </w:tc>
        <w:tc>
          <w:tcPr>
            <w:tcW w:w="1008" w:type="dxa"/>
          </w:tcPr>
          <w:p w14:paraId="557E4C16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</w:tcPr>
          <w:p w14:paraId="6939C307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</w:tcPr>
          <w:p w14:paraId="67FBD7FB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</w:tcPr>
          <w:p w14:paraId="43999C5D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  <w:tc>
          <w:tcPr>
            <w:tcW w:w="1008" w:type="dxa"/>
          </w:tcPr>
          <w:p w14:paraId="77107000" w14:textId="77777777" w:rsidR="005D41BB" w:rsidRPr="005D41BB" w:rsidRDefault="005D41BB" w:rsidP="005D41BB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5D41BB" w:rsidRPr="005D41BB" w14:paraId="21CA441B" w14:textId="77777777" w:rsidTr="005D41BB">
        <w:tc>
          <w:tcPr>
            <w:tcW w:w="3312" w:type="dxa"/>
          </w:tcPr>
          <w:p w14:paraId="6A45A229" w14:textId="26A30A97" w:rsidR="005D41BB" w:rsidRPr="005D41BB" w:rsidRDefault="005D41BB" w:rsidP="005D41BB">
            <w:pPr>
              <w:spacing w:line="276" w:lineRule="auto"/>
              <w:ind w:left="288"/>
            </w:pPr>
            <w:r>
              <w:t>Growth (unit mean)</w:t>
            </w:r>
          </w:p>
        </w:tc>
        <w:tc>
          <w:tcPr>
            <w:tcW w:w="1008" w:type="dxa"/>
          </w:tcPr>
          <w:p w14:paraId="0C6AF8BB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1.6</w:t>
            </w:r>
          </w:p>
        </w:tc>
        <w:tc>
          <w:tcPr>
            <w:tcW w:w="1008" w:type="dxa"/>
          </w:tcPr>
          <w:p w14:paraId="7ED4DEBE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-19.3</w:t>
            </w:r>
          </w:p>
        </w:tc>
        <w:tc>
          <w:tcPr>
            <w:tcW w:w="1008" w:type="dxa"/>
          </w:tcPr>
          <w:p w14:paraId="477223CC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6.1</w:t>
            </w:r>
          </w:p>
        </w:tc>
        <w:tc>
          <w:tcPr>
            <w:tcW w:w="1008" w:type="dxa"/>
          </w:tcPr>
          <w:p w14:paraId="00D41DDC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3.4</w:t>
            </w:r>
          </w:p>
        </w:tc>
        <w:tc>
          <w:tcPr>
            <w:tcW w:w="1008" w:type="dxa"/>
          </w:tcPr>
          <w:p w14:paraId="648A1EBE" w14:textId="14C8B53C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102</w:t>
            </w:r>
          </w:p>
        </w:tc>
      </w:tr>
      <w:tr w:rsidR="005D41BB" w:rsidRPr="005D41BB" w14:paraId="652934A1" w14:textId="77777777" w:rsidTr="005D41BB">
        <w:tc>
          <w:tcPr>
            <w:tcW w:w="3312" w:type="dxa"/>
          </w:tcPr>
          <w:p w14:paraId="67A38005" w14:textId="629A8C38" w:rsidR="005D41BB" w:rsidRPr="005D41BB" w:rsidRDefault="005D41BB" w:rsidP="005D41BB">
            <w:pPr>
              <w:spacing w:line="276" w:lineRule="auto"/>
              <w:ind w:left="288"/>
            </w:pPr>
            <w:r>
              <w:t>Per capita GDP (unit mean)</w:t>
            </w:r>
          </w:p>
        </w:tc>
        <w:tc>
          <w:tcPr>
            <w:tcW w:w="1008" w:type="dxa"/>
          </w:tcPr>
          <w:p w14:paraId="06733336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4.8</w:t>
            </w:r>
          </w:p>
        </w:tc>
        <w:tc>
          <w:tcPr>
            <w:tcW w:w="1008" w:type="dxa"/>
          </w:tcPr>
          <w:p w14:paraId="0C80479B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0.3</w:t>
            </w:r>
          </w:p>
        </w:tc>
        <w:tc>
          <w:tcPr>
            <w:tcW w:w="1008" w:type="dxa"/>
          </w:tcPr>
          <w:p w14:paraId="3047C67F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25.3</w:t>
            </w:r>
          </w:p>
        </w:tc>
        <w:tc>
          <w:tcPr>
            <w:tcW w:w="1008" w:type="dxa"/>
          </w:tcPr>
          <w:p w14:paraId="4C96D106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5.1</w:t>
            </w:r>
          </w:p>
        </w:tc>
        <w:tc>
          <w:tcPr>
            <w:tcW w:w="1008" w:type="dxa"/>
          </w:tcPr>
          <w:p w14:paraId="50DDB9AE" w14:textId="72DD89CC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102</w:t>
            </w:r>
          </w:p>
        </w:tc>
      </w:tr>
      <w:tr w:rsidR="005D41BB" w:rsidRPr="005D41BB" w14:paraId="312257C6" w14:textId="77777777" w:rsidTr="005D41BB">
        <w:tc>
          <w:tcPr>
            <w:tcW w:w="3312" w:type="dxa"/>
          </w:tcPr>
          <w:p w14:paraId="78D4FE52" w14:textId="1276C5F4" w:rsidR="005D41BB" w:rsidRPr="005D41BB" w:rsidRDefault="005D41BB" w:rsidP="005D41BB">
            <w:pPr>
              <w:spacing w:line="276" w:lineRule="auto"/>
              <w:ind w:left="288"/>
            </w:pPr>
            <w:r>
              <w:t>Gini index (unit mean)</w:t>
            </w:r>
          </w:p>
        </w:tc>
        <w:tc>
          <w:tcPr>
            <w:tcW w:w="1008" w:type="dxa"/>
          </w:tcPr>
          <w:p w14:paraId="1E2D76F8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41.7</w:t>
            </w:r>
          </w:p>
        </w:tc>
        <w:tc>
          <w:tcPr>
            <w:tcW w:w="1008" w:type="dxa"/>
          </w:tcPr>
          <w:p w14:paraId="5139C037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25.2</w:t>
            </w:r>
          </w:p>
        </w:tc>
        <w:tc>
          <w:tcPr>
            <w:tcW w:w="1008" w:type="dxa"/>
          </w:tcPr>
          <w:p w14:paraId="2F8FD9B2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72.4</w:t>
            </w:r>
          </w:p>
        </w:tc>
        <w:tc>
          <w:tcPr>
            <w:tcW w:w="1008" w:type="dxa"/>
          </w:tcPr>
          <w:p w14:paraId="3C9F41BA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9.2</w:t>
            </w:r>
          </w:p>
        </w:tc>
        <w:tc>
          <w:tcPr>
            <w:tcW w:w="1008" w:type="dxa"/>
          </w:tcPr>
          <w:p w14:paraId="44A96206" w14:textId="37FC507E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99</w:t>
            </w:r>
          </w:p>
        </w:tc>
      </w:tr>
      <w:tr w:rsidR="005D41BB" w:rsidRPr="005D41BB" w14:paraId="7F32D71F" w14:textId="77777777" w:rsidTr="005D41BB">
        <w:tc>
          <w:tcPr>
            <w:tcW w:w="3312" w:type="dxa"/>
          </w:tcPr>
          <w:p w14:paraId="0D8E075F" w14:textId="21BBBED4" w:rsidR="005D41BB" w:rsidRPr="005D41BB" w:rsidRDefault="005D41BB" w:rsidP="005D41BB">
            <w:pPr>
              <w:spacing w:line="276" w:lineRule="auto"/>
              <w:ind w:left="288"/>
            </w:pPr>
            <w:r>
              <w:t>State capacity (unit mean)</w:t>
            </w:r>
          </w:p>
        </w:tc>
        <w:tc>
          <w:tcPr>
            <w:tcW w:w="1008" w:type="dxa"/>
          </w:tcPr>
          <w:p w14:paraId="1CBD8315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52.5</w:t>
            </w:r>
          </w:p>
        </w:tc>
        <w:tc>
          <w:tcPr>
            <w:tcW w:w="1008" w:type="dxa"/>
          </w:tcPr>
          <w:p w14:paraId="2D5A7F9E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37.8</w:t>
            </w:r>
          </w:p>
        </w:tc>
        <w:tc>
          <w:tcPr>
            <w:tcW w:w="1008" w:type="dxa"/>
          </w:tcPr>
          <w:p w14:paraId="03DE92B7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80.1</w:t>
            </w:r>
          </w:p>
        </w:tc>
        <w:tc>
          <w:tcPr>
            <w:tcW w:w="1008" w:type="dxa"/>
          </w:tcPr>
          <w:p w14:paraId="0CAF2072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10.5</w:t>
            </w:r>
          </w:p>
        </w:tc>
        <w:tc>
          <w:tcPr>
            <w:tcW w:w="1008" w:type="dxa"/>
          </w:tcPr>
          <w:p w14:paraId="357C5E1A" w14:textId="65A8D580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103</w:t>
            </w:r>
          </w:p>
        </w:tc>
      </w:tr>
      <w:tr w:rsidR="005D41BB" w:rsidRPr="005D41BB" w14:paraId="31321BE9" w14:textId="77777777" w:rsidTr="005D41BB">
        <w:tc>
          <w:tcPr>
            <w:tcW w:w="3312" w:type="dxa"/>
          </w:tcPr>
          <w:p w14:paraId="5C73ABA2" w14:textId="5AA28D87" w:rsidR="005D41BB" w:rsidRPr="005D41BB" w:rsidRDefault="005D41BB" w:rsidP="005D41BB">
            <w:pPr>
              <w:spacing w:line="276" w:lineRule="auto"/>
              <w:ind w:left="288"/>
            </w:pPr>
            <w:r>
              <w:t>Region (unit mean)</w:t>
            </w:r>
          </w:p>
        </w:tc>
        <w:tc>
          <w:tcPr>
            <w:tcW w:w="1008" w:type="dxa"/>
          </w:tcPr>
          <w:p w14:paraId="5C8C4AEE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49.8</w:t>
            </w:r>
          </w:p>
        </w:tc>
        <w:tc>
          <w:tcPr>
            <w:tcW w:w="1008" w:type="dxa"/>
          </w:tcPr>
          <w:p w14:paraId="0D23679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11.2</w:t>
            </w:r>
          </w:p>
        </w:tc>
        <w:tc>
          <w:tcPr>
            <w:tcW w:w="1008" w:type="dxa"/>
          </w:tcPr>
          <w:p w14:paraId="22494773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67.1</w:t>
            </w:r>
          </w:p>
        </w:tc>
        <w:tc>
          <w:tcPr>
            <w:tcW w:w="1008" w:type="dxa"/>
          </w:tcPr>
          <w:p w14:paraId="7046C078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9.6</w:t>
            </w:r>
          </w:p>
        </w:tc>
        <w:tc>
          <w:tcPr>
            <w:tcW w:w="1008" w:type="dxa"/>
          </w:tcPr>
          <w:p w14:paraId="6552B68D" w14:textId="191386A4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103</w:t>
            </w:r>
          </w:p>
        </w:tc>
      </w:tr>
      <w:tr w:rsidR="005D41BB" w14:paraId="151BD6CD" w14:textId="77777777" w:rsidTr="005D41BB">
        <w:tc>
          <w:tcPr>
            <w:tcW w:w="3312" w:type="dxa"/>
            <w:tcBorders>
              <w:bottom w:val="single" w:sz="4" w:space="0" w:color="auto"/>
            </w:tcBorders>
          </w:tcPr>
          <w:p w14:paraId="6A658791" w14:textId="0D23D14C" w:rsidR="005D41BB" w:rsidRPr="005D41BB" w:rsidRDefault="005D41BB" w:rsidP="005D41BB">
            <w:pPr>
              <w:spacing w:line="276" w:lineRule="auto"/>
              <w:ind w:left="288"/>
            </w:pPr>
            <w:r>
              <w:t>First year of democracy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40EC248" w14:textId="1396C0C5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1996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540209E" w14:textId="29E3F916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1975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8302CC9" w14:textId="4B569D59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2013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B32D744" w14:textId="77777777" w:rsidR="005D41BB" w:rsidRPr="005D41BB" w:rsidRDefault="005D41BB" w:rsidP="005D41BB">
            <w:pPr>
              <w:spacing w:line="276" w:lineRule="auto"/>
              <w:jc w:val="right"/>
            </w:pPr>
            <w:r w:rsidRPr="005D41BB">
              <w:t>9.3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87900AE" w14:textId="1D20EDB7" w:rsidR="005D41BB" w:rsidRDefault="005D41BB" w:rsidP="005D41BB">
            <w:pPr>
              <w:spacing w:line="276" w:lineRule="auto"/>
              <w:jc w:val="right"/>
            </w:pPr>
            <w:r w:rsidRPr="005D41BB">
              <w:t>103</w:t>
            </w:r>
          </w:p>
        </w:tc>
      </w:tr>
    </w:tbl>
    <w:p w14:paraId="62D94D03" w14:textId="449B891B" w:rsidR="005D41BB" w:rsidRDefault="005D41BB" w:rsidP="005D41BB"/>
    <w:p w14:paraId="1DE7ADF2" w14:textId="77777777" w:rsidR="000017FA" w:rsidRDefault="000017FA" w:rsidP="005D41BB"/>
    <w:p w14:paraId="1530812C" w14:textId="27979BF9" w:rsidR="001066C8" w:rsidRDefault="000017FA" w:rsidP="005D41BB">
      <w:r>
        <w:t xml:space="preserve">Table </w:t>
      </w:r>
      <w:r w:rsidR="00DF7636">
        <w:t>S</w:t>
      </w:r>
      <w:r>
        <w:t xml:space="preserve">3. </w:t>
      </w:r>
      <w:bookmarkStart w:id="0" w:name="_Hlk172621653"/>
      <w:r w:rsidR="00315FE6">
        <w:t xml:space="preserve">Alternative </w:t>
      </w:r>
      <w:r w:rsidR="00842E6D">
        <w:t xml:space="preserve">Polynomial </w:t>
      </w:r>
      <w:r w:rsidR="00315FE6">
        <w:t>Specifications for the Latent Growth Curve</w:t>
      </w:r>
      <w:bookmarkEnd w:id="0"/>
      <w:r w:rsidR="00315F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980"/>
        <w:gridCol w:w="1300"/>
        <w:gridCol w:w="1283"/>
        <w:gridCol w:w="1180"/>
        <w:gridCol w:w="1180"/>
        <w:gridCol w:w="1560"/>
      </w:tblGrid>
      <w:tr w:rsidR="00315FE6" w:rsidRPr="00315FE6" w14:paraId="2C28F301" w14:textId="77777777" w:rsidTr="00315FE6">
        <w:trPr>
          <w:trHeight w:val="31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484076" w14:textId="70E4026A" w:rsidR="00315FE6" w:rsidRPr="00315FE6" w:rsidRDefault="00315FE6" w:rsidP="00315FE6">
            <w:pPr>
              <w:spacing w:line="240" w:lineRule="auto"/>
              <w:rPr>
                <w:rFonts w:cs="Times New Roman"/>
                <w:i/>
                <w:iCs/>
              </w:rPr>
            </w:pPr>
            <w:r w:rsidRPr="00315FE6">
              <w:rPr>
                <w:rFonts w:cs="Times New Roman"/>
              </w:rPr>
              <w:t xml:space="preserve">Order of </w:t>
            </w:r>
            <w:r>
              <w:rPr>
                <w:rFonts w:cs="Times New Roman"/>
                <w:i/>
                <w:iCs/>
              </w:rPr>
              <w:t>T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DDC93C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N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7DB886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proofErr w:type="spellStart"/>
            <w:r w:rsidRPr="00315FE6">
              <w:rPr>
                <w:rFonts w:cs="Times New Roman"/>
              </w:rPr>
              <w:t>ll</w:t>
            </w:r>
            <w:proofErr w:type="spellEnd"/>
            <w:r w:rsidRPr="00315FE6">
              <w:rPr>
                <w:rFonts w:cs="Times New Roman"/>
              </w:rPr>
              <w:t>(model)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1CA938" w14:textId="103BE7E6" w:rsidR="00315FE6" w:rsidRPr="00315FE6" w:rsidRDefault="00C5650A" w:rsidP="00315FE6">
            <w:pPr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Parameters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94C08F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AIC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ABE10D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BIC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1E41AE" w14:textId="429A80AC" w:rsidR="00315FE6" w:rsidRDefault="00315FE6" w:rsidP="00315FE6">
            <w:pPr>
              <w:spacing w:line="240" w:lineRule="auto"/>
              <w:jc w:val="center"/>
              <w:rPr>
                <w:rFonts w:cs="Times New Roman"/>
              </w:rPr>
            </w:pPr>
            <w:r w:rsidRPr="00315FE6">
              <w:rPr>
                <w:rFonts w:cs="Times New Roman"/>
              </w:rPr>
              <w:t xml:space="preserve">% </w:t>
            </w:r>
            <w:r>
              <w:rPr>
                <w:rFonts w:cs="Times New Roman"/>
              </w:rPr>
              <w:t>c</w:t>
            </w:r>
            <w:r w:rsidRPr="00315FE6">
              <w:rPr>
                <w:rFonts w:cs="Times New Roman"/>
              </w:rPr>
              <w:t>hange</w:t>
            </w:r>
          </w:p>
          <w:p w14:paraId="1CE584EB" w14:textId="01BB1B98" w:rsidR="00315FE6" w:rsidRPr="00315FE6" w:rsidRDefault="00315FE6" w:rsidP="00315FE6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 </w:t>
            </w:r>
            <w:r w:rsidRPr="00315FE6">
              <w:rPr>
                <w:rFonts w:cs="Times New Roman"/>
              </w:rPr>
              <w:t>BIC</w:t>
            </w:r>
          </w:p>
        </w:tc>
      </w:tr>
      <w:tr w:rsidR="00315FE6" w:rsidRPr="00315FE6" w14:paraId="09D47A84" w14:textId="77777777" w:rsidTr="00315FE6">
        <w:trPr>
          <w:trHeight w:val="310"/>
        </w:trPr>
        <w:tc>
          <w:tcPr>
            <w:tcW w:w="1500" w:type="dxa"/>
            <w:tcBorders>
              <w:top w:val="single" w:sz="4" w:space="0" w:color="auto"/>
            </w:tcBorders>
            <w:noWrap/>
            <w:hideMark/>
          </w:tcPr>
          <w:p w14:paraId="39FF39B7" w14:textId="77777777" w:rsidR="00315FE6" w:rsidRPr="00315FE6" w:rsidRDefault="00315FE6" w:rsidP="00315FE6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0 (no curve)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0F55FED8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711E6461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-5524.13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hideMark/>
          </w:tcPr>
          <w:p w14:paraId="35FDDB1E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66CBEDBB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11054.26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14:paraId="386C04FD" w14:textId="77777777" w:rsidR="00315FE6" w:rsidRPr="00315FE6" w:rsidRDefault="00315FE6" w:rsidP="00315FE6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11070.63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23082086" w14:textId="77777777" w:rsidR="00315FE6" w:rsidRPr="00315FE6" w:rsidRDefault="00315FE6" w:rsidP="00315FE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1604E2" w:rsidRPr="00315FE6" w14:paraId="3351F220" w14:textId="77777777" w:rsidTr="00126BBB">
        <w:trPr>
          <w:trHeight w:val="310"/>
        </w:trPr>
        <w:tc>
          <w:tcPr>
            <w:tcW w:w="1500" w:type="dxa"/>
            <w:noWrap/>
            <w:hideMark/>
          </w:tcPr>
          <w:p w14:paraId="376CD885" w14:textId="77777777" w:rsidR="001604E2" w:rsidRPr="00315FE6" w:rsidRDefault="001604E2" w:rsidP="001604E2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65BB337E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noWrap/>
            <w:hideMark/>
          </w:tcPr>
          <w:p w14:paraId="59B3460F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-5310.39</w:t>
            </w:r>
          </w:p>
        </w:tc>
        <w:tc>
          <w:tcPr>
            <w:tcW w:w="980" w:type="dxa"/>
            <w:noWrap/>
            <w:hideMark/>
          </w:tcPr>
          <w:p w14:paraId="4D938CC2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308BCA1D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10630.77</w:t>
            </w:r>
          </w:p>
        </w:tc>
        <w:tc>
          <w:tcPr>
            <w:tcW w:w="1180" w:type="dxa"/>
            <w:noWrap/>
            <w:hideMark/>
          </w:tcPr>
          <w:p w14:paraId="7DD599FE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10658.05</w:t>
            </w:r>
          </w:p>
        </w:tc>
        <w:tc>
          <w:tcPr>
            <w:tcW w:w="1560" w:type="dxa"/>
            <w:noWrap/>
            <w:vAlign w:val="bottom"/>
            <w:hideMark/>
          </w:tcPr>
          <w:p w14:paraId="06818EDA" w14:textId="3226B3D6" w:rsidR="001604E2" w:rsidRPr="00315FE6" w:rsidRDefault="001604E2" w:rsidP="001604E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-3.73</w:t>
            </w:r>
          </w:p>
        </w:tc>
      </w:tr>
      <w:tr w:rsidR="001604E2" w:rsidRPr="00315FE6" w14:paraId="027F1F58" w14:textId="77777777" w:rsidTr="00126BBB">
        <w:trPr>
          <w:trHeight w:val="310"/>
        </w:trPr>
        <w:tc>
          <w:tcPr>
            <w:tcW w:w="1500" w:type="dxa"/>
            <w:noWrap/>
            <w:hideMark/>
          </w:tcPr>
          <w:p w14:paraId="69C2808D" w14:textId="77777777" w:rsidR="001604E2" w:rsidRPr="00315FE6" w:rsidRDefault="001604E2" w:rsidP="001604E2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5CA93A3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noWrap/>
            <w:hideMark/>
          </w:tcPr>
          <w:p w14:paraId="278EBC11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-4987.43</w:t>
            </w:r>
          </w:p>
        </w:tc>
        <w:tc>
          <w:tcPr>
            <w:tcW w:w="980" w:type="dxa"/>
            <w:noWrap/>
            <w:hideMark/>
          </w:tcPr>
          <w:p w14:paraId="29D1A893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6B3CE56B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9988.86</w:t>
            </w:r>
          </w:p>
        </w:tc>
        <w:tc>
          <w:tcPr>
            <w:tcW w:w="1180" w:type="dxa"/>
            <w:noWrap/>
            <w:hideMark/>
          </w:tcPr>
          <w:p w14:paraId="1A3A27CB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10027.05</w:t>
            </w:r>
          </w:p>
        </w:tc>
        <w:tc>
          <w:tcPr>
            <w:tcW w:w="1560" w:type="dxa"/>
            <w:noWrap/>
            <w:vAlign w:val="bottom"/>
            <w:hideMark/>
          </w:tcPr>
          <w:p w14:paraId="44155C34" w14:textId="22CC47BA" w:rsidR="001604E2" w:rsidRPr="00315FE6" w:rsidRDefault="001604E2" w:rsidP="001604E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-5.92</w:t>
            </w:r>
          </w:p>
        </w:tc>
      </w:tr>
      <w:tr w:rsidR="001604E2" w:rsidRPr="00315FE6" w14:paraId="0D7A58E3" w14:textId="77777777" w:rsidTr="00126BBB">
        <w:trPr>
          <w:trHeight w:val="310"/>
        </w:trPr>
        <w:tc>
          <w:tcPr>
            <w:tcW w:w="1500" w:type="dxa"/>
            <w:shd w:val="clear" w:color="auto" w:fill="F2F2F2" w:themeFill="background1" w:themeFillShade="F2"/>
            <w:noWrap/>
            <w:hideMark/>
          </w:tcPr>
          <w:p w14:paraId="61E22E63" w14:textId="0894CB7F" w:rsidR="001604E2" w:rsidRPr="00315FE6" w:rsidRDefault="001604E2" w:rsidP="001604E2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80" w:type="dxa"/>
            <w:shd w:val="clear" w:color="auto" w:fill="F2F2F2" w:themeFill="background1" w:themeFillShade="F2"/>
            <w:noWrap/>
            <w:hideMark/>
          </w:tcPr>
          <w:p w14:paraId="3D1A6761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shd w:val="clear" w:color="auto" w:fill="F2F2F2" w:themeFill="background1" w:themeFillShade="F2"/>
            <w:noWrap/>
            <w:hideMark/>
          </w:tcPr>
          <w:p w14:paraId="38FCD5CC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-4973.04</w:t>
            </w:r>
          </w:p>
        </w:tc>
        <w:tc>
          <w:tcPr>
            <w:tcW w:w="980" w:type="dxa"/>
            <w:shd w:val="clear" w:color="auto" w:fill="F2F2F2" w:themeFill="background1" w:themeFillShade="F2"/>
            <w:noWrap/>
            <w:hideMark/>
          </w:tcPr>
          <w:p w14:paraId="56A2B99E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</w:t>
            </w:r>
          </w:p>
        </w:tc>
        <w:tc>
          <w:tcPr>
            <w:tcW w:w="1180" w:type="dxa"/>
            <w:shd w:val="clear" w:color="auto" w:fill="F2F2F2" w:themeFill="background1" w:themeFillShade="F2"/>
            <w:noWrap/>
            <w:hideMark/>
          </w:tcPr>
          <w:p w14:paraId="3BB7B951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9964.09</w:t>
            </w:r>
          </w:p>
        </w:tc>
        <w:tc>
          <w:tcPr>
            <w:tcW w:w="1180" w:type="dxa"/>
            <w:shd w:val="clear" w:color="auto" w:fill="F2F2F2" w:themeFill="background1" w:themeFillShade="F2"/>
            <w:noWrap/>
            <w:hideMark/>
          </w:tcPr>
          <w:p w14:paraId="124D26E1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10013.19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bottom"/>
            <w:hideMark/>
          </w:tcPr>
          <w:p w14:paraId="34D94009" w14:textId="1F606B00" w:rsidR="001604E2" w:rsidRPr="00315FE6" w:rsidRDefault="001604E2" w:rsidP="001604E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-0.14</w:t>
            </w:r>
          </w:p>
        </w:tc>
      </w:tr>
      <w:tr w:rsidR="001604E2" w:rsidRPr="00315FE6" w14:paraId="63749ABC" w14:textId="77777777" w:rsidTr="00126BBB">
        <w:trPr>
          <w:trHeight w:val="310"/>
        </w:trPr>
        <w:tc>
          <w:tcPr>
            <w:tcW w:w="1500" w:type="dxa"/>
            <w:noWrap/>
            <w:hideMark/>
          </w:tcPr>
          <w:p w14:paraId="29B0B81C" w14:textId="77777777" w:rsidR="001604E2" w:rsidRPr="00315FE6" w:rsidRDefault="001604E2" w:rsidP="001604E2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B93D41F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noWrap/>
            <w:hideMark/>
          </w:tcPr>
          <w:p w14:paraId="713DB42D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-4914.89</w:t>
            </w:r>
          </w:p>
        </w:tc>
        <w:tc>
          <w:tcPr>
            <w:tcW w:w="980" w:type="dxa"/>
            <w:noWrap/>
            <w:hideMark/>
          </w:tcPr>
          <w:p w14:paraId="6736198E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217F5C7E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9851.77</w:t>
            </w:r>
          </w:p>
        </w:tc>
        <w:tc>
          <w:tcPr>
            <w:tcW w:w="1180" w:type="dxa"/>
            <w:noWrap/>
            <w:hideMark/>
          </w:tcPr>
          <w:p w14:paraId="2E0C0393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9911.79</w:t>
            </w:r>
          </w:p>
        </w:tc>
        <w:tc>
          <w:tcPr>
            <w:tcW w:w="1560" w:type="dxa"/>
            <w:noWrap/>
            <w:vAlign w:val="bottom"/>
            <w:hideMark/>
          </w:tcPr>
          <w:p w14:paraId="1DF1E1EA" w14:textId="7B8A9B40" w:rsidR="001604E2" w:rsidRPr="00315FE6" w:rsidRDefault="001604E2" w:rsidP="001604E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-1.01</w:t>
            </w:r>
          </w:p>
        </w:tc>
      </w:tr>
      <w:tr w:rsidR="001604E2" w:rsidRPr="00315FE6" w14:paraId="503DBF2B" w14:textId="77777777" w:rsidTr="00126BBB">
        <w:trPr>
          <w:trHeight w:val="310"/>
        </w:trPr>
        <w:tc>
          <w:tcPr>
            <w:tcW w:w="1500" w:type="dxa"/>
            <w:tcBorders>
              <w:bottom w:val="single" w:sz="4" w:space="0" w:color="auto"/>
            </w:tcBorders>
            <w:noWrap/>
            <w:hideMark/>
          </w:tcPr>
          <w:p w14:paraId="0B60F824" w14:textId="77777777" w:rsidR="001604E2" w:rsidRPr="00315FE6" w:rsidRDefault="001604E2" w:rsidP="001604E2">
            <w:pPr>
              <w:spacing w:line="240" w:lineRule="auto"/>
              <w:rPr>
                <w:rFonts w:cs="Times New Roman"/>
              </w:rPr>
            </w:pPr>
            <w:r w:rsidRPr="00315FE6">
              <w:rPr>
                <w:rFonts w:cs="Times New Roman"/>
              </w:rPr>
              <w:t>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221C2864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1,730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2D46375B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-4886.94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hideMark/>
          </w:tcPr>
          <w:p w14:paraId="79C66C48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13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14:paraId="4C34F846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9799.87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14:paraId="2725617C" w14:textId="77777777" w:rsidR="001604E2" w:rsidRPr="00315FE6" w:rsidRDefault="001604E2" w:rsidP="001604E2">
            <w:pPr>
              <w:spacing w:line="240" w:lineRule="auto"/>
              <w:jc w:val="right"/>
              <w:rPr>
                <w:rFonts w:cs="Times New Roman"/>
              </w:rPr>
            </w:pPr>
            <w:r w:rsidRPr="00315FE6">
              <w:rPr>
                <w:rFonts w:cs="Times New Roman"/>
              </w:rPr>
              <w:t>9870.80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0199388" w14:textId="46DD17DB" w:rsidR="001604E2" w:rsidRPr="00315FE6" w:rsidRDefault="001604E2" w:rsidP="001604E2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-0.41</w:t>
            </w:r>
          </w:p>
        </w:tc>
      </w:tr>
    </w:tbl>
    <w:p w14:paraId="7E828438" w14:textId="7BC52374" w:rsidR="005D41BB" w:rsidRDefault="00315FE6" w:rsidP="00315FE6">
      <w:pPr>
        <w:spacing w:line="240" w:lineRule="auto"/>
      </w:pPr>
      <w:r w:rsidRPr="00147566">
        <w:rPr>
          <w:i/>
          <w:iCs/>
        </w:rPr>
        <w:t>Note</w:t>
      </w:r>
      <w:r>
        <w:t>: the table reflects the performance of models without covariates, us</w:t>
      </w:r>
      <w:r w:rsidR="00236D02">
        <w:t>ing</w:t>
      </w:r>
      <w:r>
        <w:t xml:space="preserve"> alternative transformations of </w:t>
      </w:r>
      <w:r w:rsidRPr="00315FE6">
        <w:rPr>
          <w:i/>
          <w:iCs/>
        </w:rPr>
        <w:t xml:space="preserve">T </w:t>
      </w:r>
      <w:r>
        <w:t xml:space="preserve">to capture the shape of the latent growth curve. The model of order 0, </w:t>
      </w:r>
      <w:r w:rsidR="00236D02">
        <w:t>included</w:t>
      </w:r>
      <w:r>
        <w:t xml:space="preserve"> for reference, is a random effects model without a</w:t>
      </w:r>
      <w:r w:rsidR="00236D02">
        <w:t xml:space="preserve"> time trend.</w:t>
      </w:r>
      <w:r w:rsidR="008A51C0">
        <w:t xml:space="preserve"> </w:t>
      </w:r>
    </w:p>
    <w:p w14:paraId="02D2C562" w14:textId="5A79978D" w:rsidR="008B47B4" w:rsidRDefault="008B47B4" w:rsidP="005D41BB"/>
    <w:p w14:paraId="05B7ECFE" w14:textId="7C0B8DE8" w:rsidR="003F3DCF" w:rsidRDefault="003F3DCF" w:rsidP="005D41BB"/>
    <w:p w14:paraId="625001FA" w14:textId="77777777" w:rsidR="003F3DCF" w:rsidRDefault="003F3DCF" w:rsidP="005D41BB"/>
    <w:p w14:paraId="7A9CC2A4" w14:textId="77777777" w:rsidR="00CC438A" w:rsidRDefault="00CC438A">
      <w:pPr>
        <w:spacing w:after="160" w:line="259" w:lineRule="auto"/>
      </w:pPr>
      <w:r>
        <w:br w:type="page"/>
      </w:r>
    </w:p>
    <w:p w14:paraId="74AF2EDC" w14:textId="35683A99" w:rsidR="00842E6D" w:rsidRDefault="00842E6D" w:rsidP="00E96B00">
      <w:pPr>
        <w:spacing w:line="360" w:lineRule="auto"/>
      </w:pPr>
      <w:r>
        <w:lastRenderedPageBreak/>
        <w:t xml:space="preserve">Table </w:t>
      </w:r>
      <w:r w:rsidR="00B12A77">
        <w:t>S</w:t>
      </w:r>
      <w:r>
        <w:t xml:space="preserve">4. </w:t>
      </w:r>
      <w:r w:rsidR="00EA541A" w:rsidRPr="00EA541A">
        <w:t>Nested Growth Curve Models</w:t>
      </w: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3024"/>
        <w:gridCol w:w="1152"/>
        <w:gridCol w:w="1008"/>
        <w:gridCol w:w="1152"/>
        <w:gridCol w:w="1008"/>
        <w:gridCol w:w="1152"/>
        <w:gridCol w:w="1008"/>
      </w:tblGrid>
      <w:tr w:rsidR="00C2015E" w:rsidRPr="00645FB2" w14:paraId="46C5F565" w14:textId="77777777" w:rsidTr="00070E20"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D0A77" w14:textId="77777777" w:rsidR="00C2015E" w:rsidRPr="00645FB2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7375E" w14:textId="19C6DF2A" w:rsidR="00C2015E" w:rsidRPr="00645FB2" w:rsidRDefault="00B12A77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C2015E" w:rsidRPr="00645FB2"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3FD92" w14:textId="7F6226B8" w:rsidR="00C2015E" w:rsidRPr="00645FB2" w:rsidRDefault="00645FB2" w:rsidP="00645F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45FB2">
              <w:rPr>
                <w:rFonts w:cs="Times New Roman"/>
                <w:sz w:val="22"/>
                <w:szCs w:val="22"/>
              </w:rPr>
              <w:t>Baseline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39D95" w14:textId="36DE34B0" w:rsidR="00C2015E" w:rsidRPr="00645FB2" w:rsidRDefault="00B12A77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C2015E" w:rsidRPr="00645FB2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14B46" w14:textId="5328984D" w:rsidR="00C2015E" w:rsidRPr="00645FB2" w:rsidRDefault="00444C9F" w:rsidP="00645F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Between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196B8" w14:textId="7235CB64" w:rsidR="00C2015E" w:rsidRPr="00645FB2" w:rsidRDefault="002B7210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C2015E" w:rsidRPr="00645FB2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FE5F7" w14:textId="48D975C4" w:rsidR="00C2015E" w:rsidRPr="00645FB2" w:rsidRDefault="00444C9F" w:rsidP="00645F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Within</w:t>
            </w:r>
          </w:p>
        </w:tc>
      </w:tr>
      <w:tr w:rsidR="00C2015E" w:rsidRPr="0046353D" w14:paraId="5505D260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363F42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9ACC3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A505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905F0">
              <w:rPr>
                <w:rFonts w:cs="Times New Roman"/>
                <w:sz w:val="22"/>
                <w:szCs w:val="22"/>
              </w:rPr>
              <w:t>s.e.</w:t>
            </w:r>
            <w:proofErr w:type="spellEnd"/>
            <w:r w:rsidRPr="000905F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00845E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6ED9A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905F0">
              <w:rPr>
                <w:rFonts w:cs="Times New Roman"/>
                <w:sz w:val="22"/>
                <w:szCs w:val="22"/>
              </w:rPr>
              <w:t>s.e.</w:t>
            </w:r>
            <w:proofErr w:type="spellEnd"/>
            <w:r w:rsidRPr="000905F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FA1C07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1E11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905F0">
              <w:rPr>
                <w:rFonts w:cs="Times New Roman"/>
                <w:sz w:val="22"/>
                <w:szCs w:val="22"/>
              </w:rPr>
              <w:t>s.e.</w:t>
            </w:r>
            <w:proofErr w:type="spellEnd"/>
            <w:r w:rsidRPr="000905F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C2015E" w:rsidRPr="0046353D" w14:paraId="6CAFEC0A" w14:textId="77777777" w:rsidTr="00070E20"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4999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905F0">
              <w:rPr>
                <w:rFonts w:cs="Times New Roman"/>
                <w:b/>
                <w:bCs/>
                <w:sz w:val="22"/>
                <w:szCs w:val="22"/>
              </w:rPr>
              <w:t>Within Effects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54B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0AA0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6C84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DEC1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6ECD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9070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2015E" w:rsidRPr="0046353D" w14:paraId="5E3BF641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3FF1A9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Economic growth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CAB0BE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4BE5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35E6A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E0AC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504F0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4BE7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7F55C8DA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D6314B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Per cap GDP (ths)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D1DDEE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FC655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C94B6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F2F4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A55D6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FC40F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(0.2)</w:t>
            </w:r>
          </w:p>
        </w:tc>
      </w:tr>
      <w:tr w:rsidR="00C2015E" w:rsidRPr="0046353D" w14:paraId="5A1FE348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907541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Gini index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93120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B0EF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3A5E6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45015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B524C7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4C387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3568F069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45F334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State capacity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3ED06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CE06A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E27C4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6857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F9E4C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A0D3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3C3C3DE4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5DBBD4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Regional democracy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F9B53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AA106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44A20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7BEA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E28FE3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ADEBC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036CB007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E1F17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905F0">
              <w:rPr>
                <w:rFonts w:cs="Times New Roman"/>
                <w:b/>
                <w:bCs/>
                <w:sz w:val="22"/>
                <w:szCs w:val="22"/>
              </w:rPr>
              <w:t>Between Effects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9D7D0F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7A17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7A2BF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F6A05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72071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87D7B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2015E" w:rsidRPr="0046353D" w14:paraId="361BD38E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BA9B6E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Growth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8DAF59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0C7FE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93261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1.1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293F8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(0.4)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76416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1.1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B905A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(0.4)</w:t>
            </w:r>
          </w:p>
        </w:tc>
      </w:tr>
      <w:tr w:rsidR="00C2015E" w:rsidRPr="0046353D" w14:paraId="5A2699D1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48FC54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Per cap GDP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A9014B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7040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4E3254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1.2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1A550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3DFDB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1.1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3BF4A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(0.3)</w:t>
            </w:r>
          </w:p>
        </w:tc>
      </w:tr>
      <w:tr w:rsidR="00C2015E" w:rsidRPr="0046353D" w14:paraId="51755B57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5E7D94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Gini index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A86E69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48DD0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5391B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AA46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50D0D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698DE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6D419D1C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E3DE79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State capacity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EA03D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A2183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0889A6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991F5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541AF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BE8D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72B9D3CE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9351CC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Regional democracy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9ED86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E027B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60FBA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A279B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24A26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77D88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447CDDEC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DFF8B3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First year of democracy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8C566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DAB72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2B247C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78CF5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1B66CC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7909E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(0.2)</w:t>
            </w:r>
          </w:p>
        </w:tc>
      </w:tr>
      <w:tr w:rsidR="00C2015E" w:rsidRPr="0046353D" w14:paraId="3BE03E6E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55A70C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905F0">
              <w:rPr>
                <w:rFonts w:cs="Times New Roman"/>
                <w:b/>
                <w:bCs/>
                <w:sz w:val="22"/>
                <w:szCs w:val="22"/>
              </w:rPr>
              <w:t>Latent Trend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A4D45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3C05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A77BD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46A89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BE9F9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E466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2015E" w:rsidRPr="0046353D" w14:paraId="177EE426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4C7C75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Years (since transition)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375C7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E28DA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362273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69.6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88905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(48.2)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D15A47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67.0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53E4D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(47.7)</w:t>
            </w:r>
          </w:p>
        </w:tc>
      </w:tr>
      <w:tr w:rsidR="00C2015E" w:rsidRPr="0046353D" w14:paraId="231360C8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A0349C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31B46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1AE8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8F0466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0.4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AD36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1C463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0.4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BFAB1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77A498F8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974A0D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4A225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13D76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3B003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84964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86CAA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19823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340961DD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08D560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929649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03E05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3C29B3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C846A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D4B095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B27A4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57BAD2D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6FC28F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BD333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63E0B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B0847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D623E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2CB6A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68EF8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63302F6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538053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12CA07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13CEE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F4D16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1133D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7FE31B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C53FE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3CAAD826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A97FAC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7D8FF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09F75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6285F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B9576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759DC3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61D16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19C16D1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132F61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Years^2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B175A0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E55C3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0F8CA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5.0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92A1C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(3.3)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E5620D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5.5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36E37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(3.2)</w:t>
            </w:r>
          </w:p>
        </w:tc>
      </w:tr>
      <w:tr w:rsidR="00C2015E" w:rsidRPr="0046353D" w14:paraId="3AE7DE16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C83579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C4DB5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200A2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4332B3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0D2EF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CFF26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9435F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6BED64A2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C3FCE3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D777E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014C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0C964F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342A5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148D25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BA878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74539812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D3A95F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B97D98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81F89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2AE18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1A804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FB8499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ECBE7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7F5E3149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5FDD74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637EE6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C1765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AE6367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C4FA1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BAB29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626F8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68931732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B95BF3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D5B15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23DD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0A262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66C55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9AC86C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BB254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5C2BAF18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DEDCEA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1DAF5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DB776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7FFD5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25B2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40299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8923B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281B2010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2E90B7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Years^3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6A266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502A8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E7BCF6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0D79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EBC3F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-0.1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CB0F6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(0.1)</w:t>
            </w:r>
          </w:p>
        </w:tc>
      </w:tr>
      <w:tr w:rsidR="00C2015E" w:rsidRPr="0046353D" w14:paraId="5B933EB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3A9D56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6C0D0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3DC6F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07261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4CD5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DA9B86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13042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175B43B5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ADA81B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AF5E5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C3EC8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456C44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39BB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869E53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A729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0E810FF7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3412E5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69C03F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2042E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7761E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F3CB3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C8A15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E2CA8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11141D86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84E259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903CCF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DA2C4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E10A1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4BEE1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0F9BFE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42ADD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397A40A3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BBD604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B23E31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B5B3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6765A5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74990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2001E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F4E82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0E40E7D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20E705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EF8FCF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C97F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2FE16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E84A5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878145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B029C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(0.0)</w:t>
            </w:r>
          </w:p>
        </w:tc>
      </w:tr>
      <w:tr w:rsidR="00C2015E" w:rsidRPr="0046353D" w14:paraId="302D3F00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B0B878F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Intercept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5C725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46.5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9B0A9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(1.4)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F2D37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612.8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68EE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(300.3)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9C559F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603.2</w:t>
            </w:r>
            <w:r w:rsidRPr="000905F0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18F9A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(299.6)</w:t>
            </w:r>
          </w:p>
        </w:tc>
      </w:tr>
      <w:tr w:rsidR="00C2015E" w:rsidRPr="0046353D" w14:paraId="7CF8168A" w14:textId="77777777" w:rsidTr="00070E20"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6AE9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Variance [% change]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2E5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FF57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85D4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F231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03E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96BC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2015E" w:rsidRPr="00B91759" w14:paraId="1A15B7B2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485B24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 xml:space="preserve">Years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81446D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EC78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F685D1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C7B177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[-63.1]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4EFFCF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C88EA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[-3.1]</w:t>
            </w:r>
          </w:p>
        </w:tc>
      </w:tr>
      <w:tr w:rsidR="00070E20" w:rsidRPr="00B91759" w14:paraId="2E6EF04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E34FA62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Years^2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1766FD2" w14:textId="05A868D1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ACAC8C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66447DB" w14:textId="4DD32B21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2583F5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[-50.5]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444152" w14:textId="159E9A39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8AAF2B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[-4.4]</w:t>
            </w:r>
          </w:p>
        </w:tc>
      </w:tr>
      <w:tr w:rsidR="00070E20" w:rsidRPr="00B91759" w14:paraId="43E2FACB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10547C2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Years^3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9EC77F" w14:textId="6371BC3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0.000002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58543D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A480CC" w14:textId="69DC66EF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0.000001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E0DBE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[-63.5]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9200A0" w14:textId="11D63A20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0.000001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2EC25B" w14:textId="77777777" w:rsidR="00070E20" w:rsidRPr="000905F0" w:rsidRDefault="00070E20" w:rsidP="00070E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[-15.2]</w:t>
            </w:r>
          </w:p>
        </w:tc>
      </w:tr>
      <w:tr w:rsidR="00C2015E" w:rsidRPr="00B91759" w14:paraId="0B550B78" w14:textId="77777777" w:rsidTr="00070E20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5BC2080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Intercept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37B7C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192.7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208B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6650988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99.8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2B70F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[-48.2]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6995CF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98.5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8F5FA6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[-1.3]</w:t>
            </w:r>
          </w:p>
        </w:tc>
      </w:tr>
      <w:tr w:rsidR="00C2015E" w:rsidRPr="00B91759" w14:paraId="1E834CBC" w14:textId="77777777" w:rsidTr="00070E20"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5BBD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8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Residual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4A26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8.6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79EE4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75743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9.1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754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[6.3]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6A7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9.1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3C46D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[0.0]</w:t>
            </w:r>
          </w:p>
        </w:tc>
      </w:tr>
      <w:tr w:rsidR="00C2015E" w:rsidRPr="0046353D" w14:paraId="469490DC" w14:textId="77777777" w:rsidTr="00070E20"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3988C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FFAF1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1595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ABF59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BA455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1595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C130A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34F62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905F0">
              <w:rPr>
                <w:rFonts w:cs="Times New Roman"/>
                <w:sz w:val="22"/>
                <w:szCs w:val="22"/>
              </w:rPr>
              <w:t>1595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93A0B" w14:textId="77777777" w:rsidR="00C2015E" w:rsidRPr="000905F0" w:rsidRDefault="00C2015E" w:rsidP="00AC25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EEAE56C" w14:textId="427B79A8" w:rsidR="00842E6D" w:rsidRPr="00C2015E" w:rsidRDefault="00C2015E" w:rsidP="005D41BB">
      <w:pPr>
        <w:rPr>
          <w:sz w:val="22"/>
          <w:szCs w:val="22"/>
        </w:rPr>
      </w:pPr>
      <w:r w:rsidRPr="00C2015E">
        <w:rPr>
          <w:sz w:val="22"/>
          <w:szCs w:val="22"/>
        </w:rPr>
        <w:t>* p &lt; .05</w:t>
      </w:r>
      <w:r>
        <w:rPr>
          <w:sz w:val="22"/>
          <w:szCs w:val="22"/>
        </w:rPr>
        <w:t xml:space="preserve"> (</w:t>
      </w:r>
      <w:r w:rsidR="000905F0">
        <w:rPr>
          <w:sz w:val="22"/>
          <w:szCs w:val="22"/>
        </w:rPr>
        <w:t>Most</w:t>
      </w:r>
      <w:r>
        <w:rPr>
          <w:sz w:val="22"/>
          <w:szCs w:val="22"/>
        </w:rPr>
        <w:t xml:space="preserve"> figures rounded to one decimal point for reasons of space).</w:t>
      </w:r>
    </w:p>
    <w:p w14:paraId="3BB69305" w14:textId="77777777" w:rsidR="00842E6D" w:rsidRDefault="00842E6D" w:rsidP="005D41BB"/>
    <w:p w14:paraId="4EE6509B" w14:textId="77777777" w:rsidR="00842E6D" w:rsidRDefault="00842E6D" w:rsidP="005D41BB"/>
    <w:p w14:paraId="3B900B86" w14:textId="0C41B0D5" w:rsidR="00BC4A77" w:rsidRDefault="00C2015E" w:rsidP="00390BE0">
      <w:pPr>
        <w:ind w:firstLine="720"/>
      </w:pPr>
      <w:r>
        <w:t xml:space="preserve">Table </w:t>
      </w:r>
      <w:r w:rsidR="0096372C">
        <w:t>S</w:t>
      </w:r>
      <w:r>
        <w:t>4 reports</w:t>
      </w:r>
      <w:r w:rsidRPr="00C2015E">
        <w:t xml:space="preserve"> </w:t>
      </w:r>
      <w:r w:rsidR="00070E20">
        <w:t xml:space="preserve">three </w:t>
      </w:r>
      <w:r w:rsidRPr="00C2015E">
        <w:t>nested models</w:t>
      </w:r>
      <w:r>
        <w:t xml:space="preserve">: </w:t>
      </w:r>
      <w:r w:rsidRPr="00C2015E">
        <w:t xml:space="preserve">a growth-curve model without </w:t>
      </w:r>
      <w:r>
        <w:t xml:space="preserve">any </w:t>
      </w:r>
      <w:r w:rsidRPr="00C2015E">
        <w:t>covariates</w:t>
      </w:r>
      <w:r>
        <w:t xml:space="preserve"> (</w:t>
      </w:r>
      <w:r w:rsidR="0096372C">
        <w:t>S</w:t>
      </w:r>
      <w:r>
        <w:t>4.1)</w:t>
      </w:r>
      <w:r w:rsidRPr="00C2015E">
        <w:t xml:space="preserve">, the same model with only level-2 </w:t>
      </w:r>
      <w:r>
        <w:t>c</w:t>
      </w:r>
      <w:r w:rsidR="00F87D05">
        <w:t>ovariates</w:t>
      </w:r>
      <w:r>
        <w:t xml:space="preserve"> (</w:t>
      </w:r>
      <w:r w:rsidR="0096372C">
        <w:t>S</w:t>
      </w:r>
      <w:r>
        <w:t>4.2)</w:t>
      </w:r>
      <w:r w:rsidRPr="00C2015E">
        <w:t xml:space="preserve">, and the full model reported in the body of the paper (Model </w:t>
      </w:r>
      <w:r w:rsidR="002B7210">
        <w:t>1</w:t>
      </w:r>
      <w:r w:rsidRPr="00C2015E">
        <w:t>.3</w:t>
      </w:r>
      <w:r w:rsidR="00070E20">
        <w:t xml:space="preserve"> in Table </w:t>
      </w:r>
      <w:r w:rsidR="002B7210">
        <w:t>1</w:t>
      </w:r>
      <w:r w:rsidRPr="00C2015E">
        <w:t xml:space="preserve">). </w:t>
      </w:r>
      <w:r w:rsidR="00070E20">
        <w:t>In order to assess the contribution of ou</w:t>
      </w:r>
      <w:r w:rsidR="00F87D05">
        <w:t>r</w:t>
      </w:r>
      <w:r w:rsidR="00070E20">
        <w:t xml:space="preserve"> approach</w:t>
      </w:r>
      <w:r w:rsidR="002C20B4">
        <w:t xml:space="preserve"> focused on </w:t>
      </w:r>
      <w:r w:rsidR="00F87D05">
        <w:t xml:space="preserve">the inclusion of level-2 </w:t>
      </w:r>
      <w:r w:rsidR="002C20B4">
        <w:t>country averages</w:t>
      </w:r>
      <w:r w:rsidR="00070E20">
        <w:t xml:space="preserve">, </w:t>
      </w:r>
      <w:r w:rsidR="002C20B4">
        <w:t>the bottom panel of the table compares the variance of random components across the three models. T</w:t>
      </w:r>
      <w:r w:rsidRPr="00C2015E">
        <w:t xml:space="preserve">he inclusion of level-2 averages accounts for almost 50% of the variance in country intercepts, and between 50 and 60% of the variance in latent trajectories. The inclusion of </w:t>
      </w:r>
      <w:r w:rsidR="00BC4A77">
        <w:t xml:space="preserve">additional </w:t>
      </w:r>
      <w:r w:rsidRPr="00C2015E">
        <w:t xml:space="preserve">level-1 predictors, however, </w:t>
      </w:r>
      <w:r w:rsidR="00BC4A77">
        <w:t>barely</w:t>
      </w:r>
      <w:r w:rsidRPr="00C2015E">
        <w:t xml:space="preserve"> improve</w:t>
      </w:r>
      <w:r w:rsidR="00BC4A77">
        <w:t>s</w:t>
      </w:r>
      <w:r w:rsidRPr="00C2015E">
        <w:t xml:space="preserve"> the </w:t>
      </w:r>
      <w:r w:rsidR="00BC4A77">
        <w:t>performance of M</w:t>
      </w:r>
      <w:r w:rsidRPr="00C2015E">
        <w:t xml:space="preserve">odel </w:t>
      </w:r>
      <w:r w:rsidR="00BA6215">
        <w:t>S</w:t>
      </w:r>
      <w:r w:rsidR="00BC4A77">
        <w:t xml:space="preserve">4.2. </w:t>
      </w:r>
      <w:r w:rsidR="003A5C8D">
        <w:t xml:space="preserve">A likelihood ratio test comparing Models </w:t>
      </w:r>
      <w:r w:rsidR="00BA6215">
        <w:t>S</w:t>
      </w:r>
      <w:r w:rsidR="003A5C8D">
        <w:t xml:space="preserve">4.1 and </w:t>
      </w:r>
      <w:r w:rsidR="00BA6215">
        <w:t>S</w:t>
      </w:r>
      <w:r w:rsidR="003A5C8D">
        <w:t xml:space="preserve">4.2 rejects the </w:t>
      </w:r>
      <w:r w:rsidR="005E232D">
        <w:t>null</w:t>
      </w:r>
      <w:r w:rsidR="003A5C8D">
        <w:t xml:space="preserve"> (</w:t>
      </w:r>
      <w:r w:rsidR="005E232D">
        <w:t>C</w:t>
      </w:r>
      <w:r w:rsidR="003A5C8D" w:rsidRPr="003A5C8D">
        <w:t>hi</w:t>
      </w:r>
      <w:r w:rsidR="003A5C8D" w:rsidRPr="003A5C8D">
        <w:rPr>
          <w:vertAlign w:val="superscript"/>
        </w:rPr>
        <w:t>2</w:t>
      </w:r>
      <w:r w:rsidR="005E232D">
        <w:t>[</w:t>
      </w:r>
      <w:r w:rsidR="003A5C8D" w:rsidRPr="003A5C8D">
        <w:t>24</w:t>
      </w:r>
      <w:r w:rsidR="005E232D">
        <w:t>]</w:t>
      </w:r>
      <w:r w:rsidR="003A5C8D" w:rsidRPr="003A5C8D">
        <w:t xml:space="preserve"> =</w:t>
      </w:r>
      <w:r w:rsidR="00003B2D">
        <w:t xml:space="preserve"> </w:t>
      </w:r>
      <w:r w:rsidR="003A5C8D" w:rsidRPr="003A5C8D">
        <w:t>113.90</w:t>
      </w:r>
      <w:r w:rsidR="003A5C8D">
        <w:t>, p &lt; .01)</w:t>
      </w:r>
      <w:r w:rsidR="005E232D">
        <w:t xml:space="preserve">, while a likelihood ratio test comparing Models </w:t>
      </w:r>
      <w:r w:rsidR="00BA6215">
        <w:t>S</w:t>
      </w:r>
      <w:r w:rsidR="005E232D">
        <w:t xml:space="preserve">4.2 and 2.3 shows no improvement in the </w:t>
      </w:r>
      <w:r w:rsidR="005E232D" w:rsidRPr="005E232D">
        <w:t xml:space="preserve">goodness of fit </w:t>
      </w:r>
      <w:r w:rsidR="005E232D">
        <w:t>(C</w:t>
      </w:r>
      <w:r w:rsidR="005E232D" w:rsidRPr="005E232D">
        <w:t>hi</w:t>
      </w:r>
      <w:r w:rsidR="005E232D" w:rsidRPr="005E232D">
        <w:rPr>
          <w:vertAlign w:val="superscript"/>
        </w:rPr>
        <w:t>2</w:t>
      </w:r>
      <w:r w:rsidR="005E232D">
        <w:t>[</w:t>
      </w:r>
      <w:r w:rsidR="005E232D" w:rsidRPr="005E232D">
        <w:t>5</w:t>
      </w:r>
      <w:r w:rsidR="005E232D">
        <w:t>]</w:t>
      </w:r>
      <w:r w:rsidR="005E232D" w:rsidRPr="005E232D">
        <w:t xml:space="preserve"> = 8.83</w:t>
      </w:r>
      <w:r w:rsidR="005E232D">
        <w:t xml:space="preserve">, p </w:t>
      </w:r>
      <w:r w:rsidR="00AD28C5">
        <w:t>&lt;</w:t>
      </w:r>
      <w:r w:rsidR="005E232D">
        <w:t xml:space="preserve"> .12). </w:t>
      </w:r>
      <w:r w:rsidR="00907B13">
        <w:t xml:space="preserve">Thus, the inclusion of the country averages accounts for the explanatory power of </w:t>
      </w:r>
      <w:r w:rsidR="00082C1F">
        <w:t>M</w:t>
      </w:r>
      <w:r w:rsidR="00907B13">
        <w:t>odel</w:t>
      </w:r>
      <w:r w:rsidR="00082C1F">
        <w:t xml:space="preserve"> </w:t>
      </w:r>
      <w:r w:rsidR="002B7210">
        <w:t>1</w:t>
      </w:r>
      <w:r w:rsidR="00082C1F">
        <w:t>.3</w:t>
      </w:r>
      <w:r w:rsidR="00907B13">
        <w:t>.</w:t>
      </w:r>
    </w:p>
    <w:p w14:paraId="42D2D63D" w14:textId="2D71C3CB" w:rsidR="009E1324" w:rsidRDefault="009E1324" w:rsidP="002C20B4"/>
    <w:p w14:paraId="4E4834A6" w14:textId="77777777" w:rsidR="009E1324" w:rsidRDefault="009E1324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C882D82" w14:textId="243DD3DD" w:rsidR="009E1324" w:rsidRDefault="009E1324" w:rsidP="009E1324">
      <w:pPr>
        <w:keepNext/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 xml:space="preserve">Table </w:t>
      </w:r>
      <w:r w:rsidR="00010B2C">
        <w:rPr>
          <w:rFonts w:cs="Times New Roman"/>
        </w:rPr>
        <w:t>S</w:t>
      </w:r>
      <w:r>
        <w:rPr>
          <w:rFonts w:cs="Times New Roman"/>
        </w:rPr>
        <w:t>5. Extended Fixed-Effects Models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6"/>
        <w:gridCol w:w="1416"/>
        <w:gridCol w:w="1416"/>
        <w:gridCol w:w="1416"/>
        <w:gridCol w:w="1416"/>
      </w:tblGrid>
      <w:tr w:rsidR="009E1324" w14:paraId="7606A6A3" w14:textId="77777777" w:rsidTr="009E1324">
        <w:tc>
          <w:tcPr>
            <w:tcW w:w="3216" w:type="dxa"/>
            <w:tcBorders>
              <w:top w:val="single" w:sz="4" w:space="0" w:color="auto"/>
              <w:left w:val="nil"/>
              <w:right w:val="nil"/>
            </w:tcBorders>
          </w:tcPr>
          <w:p w14:paraId="5F467CB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</w:tcPr>
          <w:p w14:paraId="2E2A5494" w14:textId="4F29A5EF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2B721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.3)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</w:tcPr>
          <w:p w14:paraId="28FB6B76" w14:textId="53B2A2A0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010B2C">
              <w:rPr>
                <w:rFonts w:cs="Times New Roman"/>
              </w:rPr>
              <w:t>S</w:t>
            </w:r>
            <w:r>
              <w:rPr>
                <w:rFonts w:cs="Times New Roman"/>
              </w:rPr>
              <w:t>5.1)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</w:tcPr>
          <w:p w14:paraId="50566276" w14:textId="654CB393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010B2C">
              <w:rPr>
                <w:rFonts w:cs="Times New Roman"/>
              </w:rPr>
              <w:t>S</w:t>
            </w:r>
            <w:r>
              <w:rPr>
                <w:rFonts w:cs="Times New Roman"/>
              </w:rPr>
              <w:t>5.2)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</w:tcPr>
          <w:p w14:paraId="1D0C257B" w14:textId="5C2B1150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010B2C">
              <w:rPr>
                <w:rFonts w:cs="Times New Roman"/>
              </w:rPr>
              <w:t>S</w:t>
            </w:r>
            <w:r>
              <w:rPr>
                <w:rFonts w:cs="Times New Roman"/>
              </w:rPr>
              <w:t>5.3)</w:t>
            </w:r>
          </w:p>
        </w:tc>
      </w:tr>
      <w:tr w:rsidR="009E1324" w14:paraId="2A3D483E" w14:textId="77777777" w:rsidTr="009E1324">
        <w:tc>
          <w:tcPr>
            <w:tcW w:w="3216" w:type="dxa"/>
            <w:tcBorders>
              <w:left w:val="nil"/>
              <w:bottom w:val="single" w:sz="4" w:space="0" w:color="auto"/>
              <w:right w:val="nil"/>
            </w:tcBorders>
          </w:tcPr>
          <w:p w14:paraId="7833BBF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Within Effects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14:paraId="73BDE8C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Growth Curve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14:paraId="579857E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TWFE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14:paraId="0A7261D7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Cumulative growth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14:paraId="61202BC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Dynamic panel</w:t>
            </w:r>
          </w:p>
        </w:tc>
      </w:tr>
      <w:tr w:rsidR="009E1324" w14:paraId="013B8853" w14:textId="77777777" w:rsidTr="008F34C2"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9342A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Economic growth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2E73A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D903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-0.065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22FE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5557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-0.018</w:t>
            </w:r>
          </w:p>
        </w:tc>
      </w:tr>
      <w:tr w:rsidR="009E1324" w14:paraId="4C6F8956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3E99B7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3FCF5E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(0.021)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715DA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A23A4B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73E044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(0.018)</w:t>
            </w:r>
          </w:p>
        </w:tc>
      </w:tr>
      <w:tr w:rsidR="009E1324" w14:paraId="61D29F0B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DF4930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Per capita GDP (thousands)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B8D41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ACABA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E41FBD7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0.313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467166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-0.164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9E1324" w14:paraId="23AB82F0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82C42FC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5129D2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(0.161)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23D8A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(0.091)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83C5A3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(0.063)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E5CA82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(0.037)</w:t>
            </w:r>
          </w:p>
        </w:tc>
      </w:tr>
      <w:tr w:rsidR="009E1324" w14:paraId="093020EB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5CAEF7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Gini index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5510CC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-0.079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65289C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D3A01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1B288A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0.011</w:t>
            </w:r>
          </w:p>
        </w:tc>
      </w:tr>
      <w:tr w:rsidR="009E1324" w14:paraId="2D519B9C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66B931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F6AA47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CEF463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265F024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BBA837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(0.025)</w:t>
            </w:r>
          </w:p>
        </w:tc>
      </w:tr>
      <w:tr w:rsidR="009E1324" w14:paraId="67BCE09D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ECB786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State capacity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D7D5B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92FECA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96D4E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73778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0.035</w:t>
            </w:r>
          </w:p>
        </w:tc>
      </w:tr>
      <w:tr w:rsidR="009E1324" w14:paraId="3F42CFF3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401C2D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29BDFA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(0.066)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0E11DE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(0.063)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745254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(0.060)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B2C52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(0.037)</w:t>
            </w:r>
          </w:p>
        </w:tc>
      </w:tr>
      <w:tr w:rsidR="009E1324" w14:paraId="5B545F3F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1306224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Regional democracy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831AFC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531680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0.066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37151E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0.100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D5EDD1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-0.012</w:t>
            </w:r>
          </w:p>
        </w:tc>
      </w:tr>
      <w:tr w:rsidR="009E1324" w14:paraId="00EBCAED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ED6CDF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A7C9D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CF7A39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(0.018)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34B80D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9A9FA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(0.010)</w:t>
            </w:r>
          </w:p>
        </w:tc>
      </w:tr>
      <w:tr w:rsidR="009E1324" w14:paraId="4ABB759F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0D496D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Cumulative growth, mean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ACC4B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046931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44512C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EACCB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9E1324" w14:paraId="1DC6D1C8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49C2E01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9DA81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94752E1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433C4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(0.089)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E6B848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9E1324" w14:paraId="0A03BF1B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F6AB0B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Democracy, t-1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B0AF64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E972E3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D4591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6A4C7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0.851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9E1324" w14:paraId="28931F63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CC734D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143FC1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82BF21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8F2A15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234EC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(0.018)</w:t>
            </w:r>
          </w:p>
        </w:tc>
      </w:tr>
      <w:tr w:rsidR="009E1324" w14:paraId="51106995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F27D7A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Intercept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8A095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603.198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8948A3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30.933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586803A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47.850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F1DF4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7.866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9E1324" w14:paraId="649E78AD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DAF667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FA2424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(299.629)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3495551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(6.337)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5ACEE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(3.804)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9C062E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(2.470)</w:t>
            </w:r>
          </w:p>
        </w:tc>
      </w:tr>
      <w:tr w:rsidR="009E1324" w14:paraId="50F9E8A2" w14:textId="77777777" w:rsidTr="008F34C2"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8795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Regime fixed effects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A99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162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1D3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DEBB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</w:tr>
      <w:tr w:rsidR="009E1324" w14:paraId="6CCAA7BC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E5E7E6C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Year fixed effects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A24BA7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E12612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2569DD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5AF735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</w:tr>
      <w:tr w:rsidR="009E1324" w14:paraId="2413FC7F" w14:textId="77777777" w:rsidTr="008F34C2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591D567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Latent growth curve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B49ED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3F8B4E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2D01551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3CE801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</w:tr>
      <w:tr w:rsidR="009E1324" w14:paraId="1C5346DE" w14:textId="77777777" w:rsidTr="00E96B00"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CA6952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RMSE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374D89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2.795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A661B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4.653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FE881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4.840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B7841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2.799</w:t>
            </w:r>
          </w:p>
        </w:tc>
      </w:tr>
      <w:tr w:rsidR="009E1324" w14:paraId="104DBAE1" w14:textId="77777777" w:rsidTr="00E96B00"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D2645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Change in RMSE (%)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5FAE67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B26E9F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66.</w:t>
            </w:r>
            <w:r>
              <w:rPr>
                <w:rFonts w:cs="Times New Roman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4AB55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870D1">
              <w:rPr>
                <w:rFonts w:cs="Times New Roman"/>
              </w:rPr>
              <w:t>73.</w:t>
            </w:r>
            <w:r>
              <w:rPr>
                <w:rFonts w:cs="Times New Roma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1C5DF8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</w:t>
            </w:r>
          </w:p>
        </w:tc>
      </w:tr>
      <w:tr w:rsidR="009E1324" w14:paraId="0796162E" w14:textId="77777777" w:rsidTr="008F34C2"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6FDAB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E37E0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2736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06E3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F35F6" w14:textId="77777777" w:rsidR="009E1324" w:rsidRDefault="009E1324" w:rsidP="008F3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1509</w:t>
            </w:r>
          </w:p>
        </w:tc>
      </w:tr>
    </w:tbl>
    <w:p w14:paraId="23DDA733" w14:textId="6FF0CA6E" w:rsidR="009E1324" w:rsidRDefault="009E1324" w:rsidP="009E1324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Entries are within-effects coefficients (s</w:t>
      </w:r>
      <w:r w:rsidRPr="000870D1">
        <w:rPr>
          <w:rFonts w:cs="Times New Roman"/>
        </w:rPr>
        <w:t>tandard errors</w:t>
      </w:r>
      <w:r>
        <w:rPr>
          <w:rFonts w:cs="Times New Roman"/>
        </w:rPr>
        <w:t xml:space="preserve">). </w:t>
      </w:r>
      <w:r w:rsidRPr="000870D1">
        <w:rPr>
          <w:rFonts w:cs="Times New Roman"/>
          <w:vertAlign w:val="superscript"/>
        </w:rPr>
        <w:t>*</w:t>
      </w:r>
      <w:r w:rsidRPr="000870D1">
        <w:rPr>
          <w:rFonts w:cs="Times New Roman"/>
        </w:rPr>
        <w:t xml:space="preserve"> </w:t>
      </w:r>
      <w:r w:rsidRPr="000870D1">
        <w:rPr>
          <w:rFonts w:cs="Times New Roman"/>
          <w:i/>
          <w:iCs/>
        </w:rPr>
        <w:t>p</w:t>
      </w:r>
      <w:r w:rsidRPr="000870D1">
        <w:rPr>
          <w:rFonts w:cs="Times New Roman"/>
        </w:rPr>
        <w:t xml:space="preserve"> &lt; 0.05</w:t>
      </w:r>
    </w:p>
    <w:p w14:paraId="0392CBF6" w14:textId="3DAD8352" w:rsidR="007445D8" w:rsidRPr="000870D1" w:rsidRDefault="007445D8" w:rsidP="009E1324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 xml:space="preserve">Note: </w:t>
      </w:r>
      <w:r w:rsidRPr="007445D8">
        <w:rPr>
          <w:rFonts w:cs="Times New Roman"/>
          <w:i/>
          <w:iCs/>
        </w:rPr>
        <w:t>Cumulative growth</w:t>
      </w:r>
      <w:r>
        <w:rPr>
          <w:rFonts w:cs="Times New Roman"/>
        </w:rPr>
        <w:t xml:space="preserve"> reflects the average growth rate between </w:t>
      </w:r>
      <w:r w:rsidRPr="007445D8">
        <w:rPr>
          <w:rFonts w:cs="Times New Roman"/>
          <w:i/>
          <w:iCs/>
        </w:rPr>
        <w:t>t</w:t>
      </w:r>
      <w:r>
        <w:rPr>
          <w:rFonts w:cs="Times New Roman"/>
        </w:rPr>
        <w:t xml:space="preserve"> = 0 and </w:t>
      </w:r>
      <w:r w:rsidRPr="007445D8">
        <w:rPr>
          <w:rFonts w:cs="Times New Roman"/>
          <w:i/>
          <w:iCs/>
        </w:rPr>
        <w:t>t</w:t>
      </w:r>
      <w:r>
        <w:rPr>
          <w:rFonts w:cs="Times New Roman"/>
        </w:rPr>
        <w:t xml:space="preserve">. </w:t>
      </w:r>
    </w:p>
    <w:p w14:paraId="0071103A" w14:textId="364BDB32" w:rsidR="009E1324" w:rsidRDefault="009E1324" w:rsidP="002C20B4"/>
    <w:p w14:paraId="67AA78D8" w14:textId="53E99C54" w:rsidR="00D02488" w:rsidRDefault="00D02488" w:rsidP="002B7210">
      <w:pPr>
        <w:ind w:firstLine="720"/>
        <w:rPr>
          <w:b/>
          <w:bCs/>
        </w:rPr>
      </w:pPr>
      <w:r w:rsidRPr="00D02488">
        <w:t xml:space="preserve">Table </w:t>
      </w:r>
      <w:r w:rsidR="00B32435">
        <w:t>S</w:t>
      </w:r>
      <w:r w:rsidRPr="00D02488">
        <w:t xml:space="preserve">5 compares </w:t>
      </w:r>
      <w:r>
        <w:t xml:space="preserve">the performance of </w:t>
      </w:r>
      <w:r w:rsidRPr="00D02488">
        <w:t xml:space="preserve">the growth curve </w:t>
      </w:r>
      <w:r w:rsidR="00F77DD2">
        <w:t>model (</w:t>
      </w:r>
      <w:r w:rsidR="002B7210">
        <w:t>1</w:t>
      </w:r>
      <w:r w:rsidR="00F77DD2">
        <w:t xml:space="preserve">.3, in Table </w:t>
      </w:r>
      <w:r w:rsidR="002B7210">
        <w:t>1</w:t>
      </w:r>
      <w:r w:rsidR="00F77DD2">
        <w:t xml:space="preserve">) </w:t>
      </w:r>
      <w:r w:rsidRPr="00D02488">
        <w:t xml:space="preserve">against three </w:t>
      </w:r>
      <w:r>
        <w:t>extended fixed-effects models</w:t>
      </w:r>
      <w:r w:rsidRPr="00D02488">
        <w:t xml:space="preserve">: a two-way </w:t>
      </w:r>
      <w:r>
        <w:t>fixed</w:t>
      </w:r>
      <w:r w:rsidR="00F77DD2">
        <w:t>-</w:t>
      </w:r>
      <w:r>
        <w:t>effects</w:t>
      </w:r>
      <w:r w:rsidRPr="00D02488">
        <w:t xml:space="preserve"> model including year fixed effects; a model including the average rate of economic growth up to time </w:t>
      </w:r>
      <w:r w:rsidRPr="00D02488">
        <w:rPr>
          <w:i/>
          <w:iCs/>
        </w:rPr>
        <w:t>t</w:t>
      </w:r>
      <w:r w:rsidRPr="00D02488">
        <w:t xml:space="preserve"> as a</w:t>
      </w:r>
      <w:r>
        <w:t xml:space="preserve"> time-varying</w:t>
      </w:r>
      <w:r w:rsidRPr="00D02488">
        <w:t xml:space="preserve"> </w:t>
      </w:r>
      <w:r>
        <w:t>covariate</w:t>
      </w:r>
      <w:r w:rsidRPr="00D02488">
        <w:t xml:space="preserve">, and a dynamic </w:t>
      </w:r>
      <w:r>
        <w:t xml:space="preserve">panel </w:t>
      </w:r>
      <w:r w:rsidRPr="00D02488">
        <w:t xml:space="preserve">model including a lagged dependent variable. Model </w:t>
      </w:r>
      <w:r w:rsidR="002B7210">
        <w:t>1</w:t>
      </w:r>
      <w:r w:rsidRPr="00D02488">
        <w:t xml:space="preserve">.3 outperforms the alternatives: the </w:t>
      </w:r>
      <w:r>
        <w:t>root mean squared error</w:t>
      </w:r>
      <w:r w:rsidRPr="00D02488">
        <w:t xml:space="preserve"> increases by 66% in the two-way fixed-effects model, by 73% in the cumulative growth model, and even (barely) by 0.1% in the dynamic panel model.</w:t>
      </w:r>
      <w:r w:rsidR="002B7210">
        <w:t xml:space="preserve"> </w:t>
      </w:r>
    </w:p>
    <w:p w14:paraId="7C3FCA96" w14:textId="77777777" w:rsidR="00D02488" w:rsidRDefault="00D0248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3356267" w14:textId="3D4BF1E7" w:rsidR="00AF5FA6" w:rsidRPr="00AF5FA6" w:rsidRDefault="00AF5FA6" w:rsidP="00901538">
      <w:pPr>
        <w:jc w:val="center"/>
        <w:rPr>
          <w:b/>
          <w:bCs/>
        </w:rPr>
      </w:pPr>
      <w:r w:rsidRPr="00AF5FA6">
        <w:rPr>
          <w:b/>
          <w:bCs/>
        </w:rPr>
        <w:lastRenderedPageBreak/>
        <w:t>Addressing Potential Endogeneity in Growth</w:t>
      </w:r>
      <w:r w:rsidR="0040054B">
        <w:rPr>
          <w:b/>
          <w:bCs/>
        </w:rPr>
        <w:t xml:space="preserve"> Curve Models</w:t>
      </w:r>
    </w:p>
    <w:p w14:paraId="34154D08" w14:textId="40BDD0F6" w:rsidR="00A334AB" w:rsidRDefault="00A334AB" w:rsidP="00A334AB">
      <w:pPr>
        <w:ind w:firstLine="720"/>
      </w:pPr>
      <w:r>
        <w:t xml:space="preserve">As discussed in the main body of the paper, one of the </w:t>
      </w:r>
      <w:r w:rsidRPr="00A334AB">
        <w:t>plausible mechanism</w:t>
      </w:r>
      <w:r>
        <w:t>s</w:t>
      </w:r>
      <w:r w:rsidRPr="00A334AB">
        <w:t xml:space="preserve"> </w:t>
      </w:r>
      <w:r>
        <w:t xml:space="preserve">explaining cumulative effects </w:t>
      </w:r>
      <w:r w:rsidRPr="00A334AB">
        <w:t>involves reverse causation, or the possibility that democracy itself conditions the rate of economic growth</w:t>
      </w:r>
      <w:r>
        <w:t>. Several studies have documented this possibility</w:t>
      </w:r>
      <w:r w:rsidRPr="00A334AB">
        <w:t xml:space="preserve"> (Acemoglu et al. 2008; 2019;</w:t>
      </w:r>
      <w:r>
        <w:t xml:space="preserve"> </w:t>
      </w:r>
      <w:r w:rsidRPr="00A334AB">
        <w:t>Colagrossi et al. 2020</w:t>
      </w:r>
      <w:r>
        <w:t>;</w:t>
      </w:r>
      <w:r w:rsidRPr="00A334AB">
        <w:t xml:space="preserve"> </w:t>
      </w:r>
      <w:proofErr w:type="spellStart"/>
      <w:r w:rsidRPr="00A334AB">
        <w:t>Przeworski</w:t>
      </w:r>
      <w:proofErr w:type="spellEnd"/>
      <w:r w:rsidRPr="00A334AB">
        <w:t xml:space="preserve"> et al. 2000). </w:t>
      </w:r>
      <w:r>
        <w:t>This possibility</w:t>
      </w:r>
      <w:r w:rsidR="00CD344C">
        <w:t xml:space="preserve"> </w:t>
      </w:r>
      <w:r>
        <w:t xml:space="preserve">introduces potential endogeneity bias in our estimates. </w:t>
      </w:r>
      <w:r w:rsidR="0040054B">
        <w:t>Such</w:t>
      </w:r>
      <w:r>
        <w:t xml:space="preserve"> bias is less relevant if we </w:t>
      </w:r>
      <w:r w:rsidR="00F34A21">
        <w:t xml:space="preserve">only </w:t>
      </w:r>
      <w:r>
        <w:t xml:space="preserve">seek to </w:t>
      </w:r>
      <w:r w:rsidRPr="00A334AB">
        <w:rPr>
          <w:i/>
          <w:iCs/>
        </w:rPr>
        <w:t>predict</w:t>
      </w:r>
      <w:r>
        <w:t xml:space="preserve"> democratic trajectories, but it is a source of concern if we seek to est</w:t>
      </w:r>
      <w:r w:rsidR="0040054B">
        <w:t>imate</w:t>
      </w:r>
      <w:r>
        <w:t xml:space="preserve"> the </w:t>
      </w:r>
      <w:r w:rsidRPr="00A334AB">
        <w:rPr>
          <w:i/>
          <w:iCs/>
        </w:rPr>
        <w:t>causal effect</w:t>
      </w:r>
      <w:r>
        <w:t xml:space="preserve"> of economic growth on democratic trajectories. </w:t>
      </w:r>
    </w:p>
    <w:p w14:paraId="0B1339FB" w14:textId="4D06567E" w:rsidR="00A334AB" w:rsidRDefault="00F950EB" w:rsidP="0040054B">
      <w:pPr>
        <w:ind w:firstLine="720"/>
      </w:pPr>
      <w:r>
        <w:t>Although w</w:t>
      </w:r>
      <w:r w:rsidR="00A334AB">
        <w:t>e do not intend to settle the direction of causal</w:t>
      </w:r>
      <w:r w:rsidR="00185774">
        <w:t>ity</w:t>
      </w:r>
      <w:r w:rsidR="0040054B">
        <w:t xml:space="preserve"> between</w:t>
      </w:r>
      <w:r>
        <w:t xml:space="preserve"> </w:t>
      </w:r>
      <w:r w:rsidR="0040054B">
        <w:t xml:space="preserve">economic </w:t>
      </w:r>
      <w:r>
        <w:t>growth and democracy in this article, this sectio</w:t>
      </w:r>
      <w:r w:rsidR="001305EB">
        <w:t>n</w:t>
      </w:r>
      <w:r>
        <w:t xml:space="preserve"> illustrate</w:t>
      </w:r>
      <w:r w:rsidR="001305EB">
        <w:t>s</w:t>
      </w:r>
      <w:r>
        <w:t xml:space="preserve"> potential solutions to endogeneity in the application of latent growth curve models.</w:t>
      </w:r>
      <w:r w:rsidR="00204667">
        <w:t xml:space="preserve"> A feasible two-stage estimator </w:t>
      </w:r>
      <w:r w:rsidR="0040054B">
        <w:t>for our growth curve model must address not only</w:t>
      </w:r>
      <w:r w:rsidR="00185774">
        <w:t xml:space="preserve"> the conventional problem of finding a </w:t>
      </w:r>
      <w:r w:rsidR="0040054B">
        <w:t>valid instrument</w:t>
      </w:r>
      <w:r w:rsidR="00185774">
        <w:t xml:space="preserve">, </w:t>
      </w:r>
      <w:r w:rsidR="0040054B">
        <w:t xml:space="preserve">but also </w:t>
      </w:r>
      <w:r w:rsidR="001320D6">
        <w:t>how to</w:t>
      </w:r>
      <w:r w:rsidR="00185774">
        <w:t xml:space="preserve"> incorporat</w:t>
      </w:r>
      <w:r w:rsidR="001320D6">
        <w:t>e</w:t>
      </w:r>
      <w:r w:rsidR="0040054B">
        <w:t xml:space="preserve"> </w:t>
      </w:r>
      <w:r w:rsidR="00185774">
        <w:t>th</w:t>
      </w:r>
      <w:r w:rsidR="00074C02">
        <w:t>is</w:t>
      </w:r>
      <w:r w:rsidR="00185774">
        <w:t xml:space="preserve"> </w:t>
      </w:r>
      <w:r w:rsidR="0040054B">
        <w:t xml:space="preserve">instrument </w:t>
      </w:r>
      <w:r w:rsidR="00F62776">
        <w:t>to</w:t>
      </w:r>
      <w:r w:rsidR="0040054B">
        <w:t xml:space="preserve"> a </w:t>
      </w:r>
      <w:r w:rsidR="00185774">
        <w:t xml:space="preserve">procedure in which </w:t>
      </w:r>
      <w:r w:rsidR="0040054B">
        <w:t xml:space="preserve">the endogenous variable is centered, and </w:t>
      </w:r>
      <w:r w:rsidR="00185774">
        <w:t>its unit</w:t>
      </w:r>
      <w:r w:rsidR="0040054B">
        <w:t xml:space="preserve"> average </w:t>
      </w:r>
      <w:r w:rsidR="00185774">
        <w:t>is</w:t>
      </w:r>
      <w:r w:rsidR="0040054B">
        <w:t xml:space="preserve"> interacted with multiple transformations of the time trend.</w:t>
      </w:r>
      <w:r w:rsidR="00185774">
        <w:t xml:space="preserve"> We address the two problems below.</w:t>
      </w:r>
    </w:p>
    <w:p w14:paraId="29A6564C" w14:textId="201AD494" w:rsidR="00FD4096" w:rsidRDefault="00FD4096" w:rsidP="0040054B">
      <w:pPr>
        <w:ind w:firstLine="720"/>
      </w:pPr>
      <w:r w:rsidRPr="00FD4096">
        <w:rPr>
          <w:b/>
          <w:bCs/>
        </w:rPr>
        <w:t>Instrument for Economic Growth</w:t>
      </w:r>
      <w:r>
        <w:t xml:space="preserve">. </w:t>
      </w:r>
      <w:r w:rsidR="00F45ECB">
        <w:t xml:space="preserve">The literature has used multiple instruments for economic growth, including geographic conditions, </w:t>
      </w:r>
      <w:r w:rsidR="004A7CA1">
        <w:t>policy</w:t>
      </w:r>
      <w:r w:rsidR="00F45ECB">
        <w:t xml:space="preserve"> shocks, and historical legacies. We identify an instrument consistent with the theoretical framework outlined in the body of the paper. A</w:t>
      </w:r>
      <w:r w:rsidR="00F45ECB" w:rsidRPr="00A334AB">
        <w:t>ssume that</w:t>
      </w:r>
      <w:r w:rsidR="00F45ECB">
        <w:t>, in a context of reverse causality,</w:t>
      </w:r>
      <w:r w:rsidR="00F45ECB" w:rsidRPr="00A334AB">
        <w:t xml:space="preserve"> economic performance</w:t>
      </w:r>
      <w:r w:rsidR="007C4D87">
        <w:t xml:space="preserve"> </w:t>
      </w:r>
      <w:r w:rsidR="007C4D87" w:rsidRPr="00A334AB">
        <w:rPr>
          <w:i/>
          <w:iCs/>
        </w:rPr>
        <w:t>g</w:t>
      </w:r>
      <w:r w:rsidR="007C4D87">
        <w:rPr>
          <w:vertAlign w:val="subscript"/>
        </w:rPr>
        <w:t>it</w:t>
      </w:r>
      <w:r w:rsidR="00F45ECB" w:rsidRPr="00A334AB">
        <w:t xml:space="preserve"> is shaped</w:t>
      </w:r>
      <w:r w:rsidR="007C4D87">
        <w:t xml:space="preserve"> </w:t>
      </w:r>
      <w:r w:rsidR="00F45ECB" w:rsidRPr="00A334AB">
        <w:t xml:space="preserve">by the institutional context </w:t>
      </w:r>
      <w:r w:rsidR="00F45ECB" w:rsidRPr="00A334AB">
        <w:rPr>
          <w:i/>
          <w:iCs/>
        </w:rPr>
        <w:t>d</w:t>
      </w:r>
      <w:r w:rsidR="00EE30DF">
        <w:rPr>
          <w:vertAlign w:val="subscript"/>
        </w:rPr>
        <w:t>it</w:t>
      </w:r>
      <w:r w:rsidR="00F45ECB" w:rsidRPr="00A334AB">
        <w:rPr>
          <w:vertAlign w:val="subscript"/>
        </w:rPr>
        <w:t>-1</w:t>
      </w:r>
      <w:r w:rsidR="00F45ECB" w:rsidRPr="00A334AB">
        <w:t xml:space="preserve">, and by a short-term economic shock </w:t>
      </w:r>
      <w:proofErr w:type="spellStart"/>
      <w:r w:rsidR="00F45ECB" w:rsidRPr="00A334AB">
        <w:t>u</w:t>
      </w:r>
      <w:r w:rsidR="00EE30DF">
        <w:rPr>
          <w:vertAlign w:val="subscript"/>
        </w:rPr>
        <w:t>it</w:t>
      </w:r>
      <w:proofErr w:type="spellEnd"/>
      <w:r w:rsidR="00F45ECB" w:rsidRPr="00A334AB">
        <w:t>, such that</w:t>
      </w:r>
      <w:r w:rsidR="00F45ECB">
        <w:t xml:space="preserve"> </w:t>
      </w:r>
      <w:bookmarkStart w:id="1" w:name="_Hlk173604273"/>
      <w:r w:rsidR="00F45ECB" w:rsidRPr="00A334AB">
        <w:rPr>
          <w:i/>
          <w:iCs/>
        </w:rPr>
        <w:t>g</w:t>
      </w:r>
      <w:r w:rsidR="00F45ECB">
        <w:rPr>
          <w:vertAlign w:val="subscript"/>
        </w:rPr>
        <w:t>it</w:t>
      </w:r>
      <w:r w:rsidR="00F45ECB" w:rsidRPr="00A334AB">
        <w:t xml:space="preserve"> =</w:t>
      </w:r>
      <w:r w:rsidR="00F45ECB">
        <w:t xml:space="preserve"> </w:t>
      </w:r>
      <w:r w:rsidR="00F45ECB">
        <w:rPr>
          <w:rFonts w:cs="Times New Roman"/>
        </w:rPr>
        <w:t>α</w:t>
      </w:r>
      <w:r w:rsidR="00F45ECB">
        <w:t xml:space="preserve"> +</w:t>
      </w:r>
      <w:r w:rsidR="00F45ECB" w:rsidRPr="00A334AB">
        <w:t xml:space="preserve"> </w:t>
      </w:r>
      <w:r w:rsidR="00F45ECB" w:rsidRPr="00F415FB">
        <w:rPr>
          <w:rFonts w:cs="Times New Roman"/>
        </w:rPr>
        <w:t>β</w:t>
      </w:r>
      <w:r w:rsidR="00F45ECB" w:rsidRPr="00A334AB">
        <w:rPr>
          <w:i/>
          <w:iCs/>
        </w:rPr>
        <w:t>d</w:t>
      </w:r>
      <w:r w:rsidR="00F45ECB">
        <w:rPr>
          <w:vertAlign w:val="subscript"/>
        </w:rPr>
        <w:t>it</w:t>
      </w:r>
      <w:r w:rsidR="00F45ECB" w:rsidRPr="00A334AB">
        <w:rPr>
          <w:vertAlign w:val="subscript"/>
        </w:rPr>
        <w:t>-1</w:t>
      </w:r>
      <w:r w:rsidR="00F45ECB" w:rsidRPr="00A334AB">
        <w:t xml:space="preserve"> + </w:t>
      </w:r>
      <w:proofErr w:type="spellStart"/>
      <w:r w:rsidR="00F45ECB" w:rsidRPr="00A334AB">
        <w:t>u</w:t>
      </w:r>
      <w:r w:rsidR="00F45ECB">
        <w:rPr>
          <w:vertAlign w:val="subscript"/>
        </w:rPr>
        <w:t>it</w:t>
      </w:r>
      <w:bookmarkEnd w:id="1"/>
      <w:proofErr w:type="spellEnd"/>
      <w:r w:rsidR="00F45ECB" w:rsidRPr="00A334AB">
        <w:t>.</w:t>
      </w:r>
      <w:r w:rsidR="00F45ECB">
        <w:t xml:space="preserve"> </w:t>
      </w:r>
      <w:r w:rsidR="00EE30DF">
        <w:t xml:space="preserve">We estimate this equation using OLS, under the strong assumption that any correlation between democracy at </w:t>
      </w:r>
      <w:r w:rsidR="00EE30DF" w:rsidRPr="00EE30DF">
        <w:rPr>
          <w:i/>
          <w:iCs/>
        </w:rPr>
        <w:t>t</w:t>
      </w:r>
      <w:r w:rsidR="00EE30DF">
        <w:t xml:space="preserve">-1 and economic growth at time </w:t>
      </w:r>
      <w:r w:rsidR="00EE30DF" w:rsidRPr="00EE30DF">
        <w:rPr>
          <w:i/>
          <w:iCs/>
        </w:rPr>
        <w:t>t</w:t>
      </w:r>
      <w:r w:rsidR="00EE30DF">
        <w:t xml:space="preserve"> is driven </w:t>
      </w:r>
      <w:r w:rsidR="00136CB1">
        <w:t xml:space="preserve">by the effects of the institutional </w:t>
      </w:r>
      <w:r w:rsidR="007C4D87">
        <w:lastRenderedPageBreak/>
        <w:t>context</w:t>
      </w:r>
      <w:r w:rsidR="005840EA">
        <w:t xml:space="preserve"> on economic performance</w:t>
      </w:r>
      <w:r w:rsidR="00136CB1">
        <w:t xml:space="preserve">, captured by coefficient </w:t>
      </w:r>
      <w:r w:rsidR="00136CB1" w:rsidRPr="00F415FB">
        <w:rPr>
          <w:rFonts w:cs="Times New Roman"/>
        </w:rPr>
        <w:t>β</w:t>
      </w:r>
      <w:r w:rsidR="00136CB1">
        <w:t>.</w:t>
      </w:r>
      <w:r w:rsidR="00867356">
        <w:rPr>
          <w:rStyle w:val="FootnoteReference"/>
        </w:rPr>
        <w:footnoteReference w:id="1"/>
      </w:r>
      <w:r w:rsidR="00136CB1">
        <w:t xml:space="preserve"> The error term of this equation, </w:t>
      </w:r>
      <w:proofErr w:type="spellStart"/>
      <w:r w:rsidR="00136CB1" w:rsidRPr="00A334AB">
        <w:t>u</w:t>
      </w:r>
      <w:r w:rsidR="00136CB1">
        <w:rPr>
          <w:vertAlign w:val="subscript"/>
        </w:rPr>
        <w:t>it</w:t>
      </w:r>
      <w:proofErr w:type="spellEnd"/>
      <w:r w:rsidR="00136CB1">
        <w:t xml:space="preserve">, captures </w:t>
      </w:r>
      <w:r w:rsidR="00136CB1" w:rsidRPr="00136CB1">
        <w:rPr>
          <w:i/>
          <w:iCs/>
        </w:rPr>
        <w:t>residual growth</w:t>
      </w:r>
      <w:r w:rsidR="00136CB1">
        <w:t xml:space="preserve">, the proportion of </w:t>
      </w:r>
      <w:r w:rsidR="004A7CA1">
        <w:t>economic</w:t>
      </w:r>
      <w:r w:rsidR="00136CB1">
        <w:t xml:space="preserve"> growth that cannot be attributed to the democratic environment. </w:t>
      </w:r>
      <w:r w:rsidR="006A7068">
        <w:t xml:space="preserve">We treat </w:t>
      </w:r>
      <w:r w:rsidR="006A7068" w:rsidRPr="00867356">
        <w:t>residual growth</w:t>
      </w:r>
      <w:r w:rsidR="006A7068">
        <w:t xml:space="preserve"> as a valid instrument</w:t>
      </w:r>
      <w:r w:rsidR="007C4D87">
        <w:t xml:space="preserve"> for the purpose of addressing reverse causation</w:t>
      </w:r>
      <w:r w:rsidR="006A7068">
        <w:t xml:space="preserve">. </w:t>
      </w:r>
      <w:r w:rsidR="007C4D87">
        <w:t>The instrument</w:t>
      </w:r>
      <w:r w:rsidR="006A7068">
        <w:t xml:space="preserve"> is relevant </w:t>
      </w:r>
      <w:r w:rsidR="007C4D87">
        <w:t xml:space="preserve">because, </w:t>
      </w:r>
      <w:r w:rsidR="006A7068">
        <w:t xml:space="preserve">by construction, </w:t>
      </w:r>
      <w:r w:rsidR="00CD344C">
        <w:t xml:space="preserve">it </w:t>
      </w:r>
      <w:r w:rsidR="006A7068">
        <w:t>is</w:t>
      </w:r>
      <w:r w:rsidR="007C4D87">
        <w:t xml:space="preserve"> correlated with the endogenous variable (r = .99). It also meets the exclusion restriction </w:t>
      </w:r>
      <w:r w:rsidR="007C4D87" w:rsidRPr="007C4D87">
        <w:rPr>
          <w:i/>
          <w:iCs/>
        </w:rPr>
        <w:t>if we assume that reverse causality is the</w:t>
      </w:r>
      <w:r w:rsidR="004A7CA1">
        <w:rPr>
          <w:i/>
          <w:iCs/>
        </w:rPr>
        <w:t xml:space="preserve"> sole</w:t>
      </w:r>
      <w:r w:rsidR="007C4D87" w:rsidRPr="007C4D87">
        <w:rPr>
          <w:i/>
          <w:iCs/>
        </w:rPr>
        <w:t xml:space="preserve"> source of endogeneity</w:t>
      </w:r>
      <w:r w:rsidR="007C4D87">
        <w:t xml:space="preserve">, because </w:t>
      </w:r>
      <w:proofErr w:type="spellStart"/>
      <w:r w:rsidR="007C4D87" w:rsidRPr="00A334AB">
        <w:t>u</w:t>
      </w:r>
      <w:r w:rsidR="007C4D87">
        <w:rPr>
          <w:vertAlign w:val="subscript"/>
        </w:rPr>
        <w:t>it</w:t>
      </w:r>
      <w:proofErr w:type="spellEnd"/>
      <w:r w:rsidR="007C4D87">
        <w:t xml:space="preserve"> only affect</w:t>
      </w:r>
      <w:r w:rsidR="00867356">
        <w:t>s</w:t>
      </w:r>
      <w:r w:rsidR="007C4D87">
        <w:t xml:space="preserve"> the dependent variable </w:t>
      </w:r>
      <w:proofErr w:type="spellStart"/>
      <w:r w:rsidR="007C4D87" w:rsidRPr="00A334AB">
        <w:rPr>
          <w:i/>
          <w:iCs/>
        </w:rPr>
        <w:t>d</w:t>
      </w:r>
      <w:r w:rsidR="007C4D87">
        <w:rPr>
          <w:vertAlign w:val="subscript"/>
        </w:rPr>
        <w:t>it</w:t>
      </w:r>
      <w:proofErr w:type="spellEnd"/>
      <w:r w:rsidR="007C4D87">
        <w:rPr>
          <w:vertAlign w:val="subscript"/>
        </w:rPr>
        <w:t xml:space="preserve"> </w:t>
      </w:r>
      <w:r w:rsidR="00867356">
        <w:t>as a component of</w:t>
      </w:r>
      <w:r w:rsidR="007C4D87">
        <w:t xml:space="preserve"> </w:t>
      </w:r>
      <w:r w:rsidR="007C4D87" w:rsidRPr="00A334AB">
        <w:rPr>
          <w:i/>
          <w:iCs/>
        </w:rPr>
        <w:t>g</w:t>
      </w:r>
      <w:r w:rsidR="007C4D87">
        <w:rPr>
          <w:vertAlign w:val="subscript"/>
        </w:rPr>
        <w:t>it</w:t>
      </w:r>
      <w:r w:rsidR="007C4D87">
        <w:t xml:space="preserve">, and because it has been “purged” of </w:t>
      </w:r>
      <w:r w:rsidR="00FA0F22">
        <w:t>any</w:t>
      </w:r>
      <w:r w:rsidR="007C4D87">
        <w:t xml:space="preserve"> influence of </w:t>
      </w:r>
      <w:r w:rsidR="007C4D87" w:rsidRPr="00A334AB">
        <w:rPr>
          <w:i/>
          <w:iCs/>
        </w:rPr>
        <w:t>d</w:t>
      </w:r>
      <w:r w:rsidR="007C4D87">
        <w:rPr>
          <w:vertAlign w:val="subscript"/>
        </w:rPr>
        <w:t>it-1</w:t>
      </w:r>
      <w:r w:rsidR="007C4D87">
        <w:t xml:space="preserve">. </w:t>
      </w:r>
      <w:r w:rsidR="006A7068">
        <w:t xml:space="preserve"> </w:t>
      </w:r>
    </w:p>
    <w:p w14:paraId="35C3B138" w14:textId="223284B8" w:rsidR="00867356" w:rsidRDefault="00867356" w:rsidP="0040054B">
      <w:pPr>
        <w:ind w:firstLine="720"/>
      </w:pPr>
      <w:r>
        <w:t xml:space="preserve">If we accept that error term </w:t>
      </w:r>
      <w:proofErr w:type="spellStart"/>
      <w:r w:rsidRPr="00A334AB">
        <w:t>u</w:t>
      </w:r>
      <w:r>
        <w:rPr>
          <w:vertAlign w:val="subscript"/>
        </w:rPr>
        <w:t>it</w:t>
      </w:r>
      <w:proofErr w:type="spellEnd"/>
      <w:r>
        <w:t xml:space="preserve"> represents “residual” </w:t>
      </w:r>
      <w:r w:rsidR="00901538">
        <w:t xml:space="preserve">economic </w:t>
      </w:r>
      <w:r>
        <w:t>growth we can</w:t>
      </w:r>
      <w:r w:rsidR="00973AAB">
        <w:t xml:space="preserve">, in principle, treat </w:t>
      </w:r>
      <w:r w:rsidR="00901538">
        <w:t>this</w:t>
      </w:r>
      <w:r w:rsidR="00973AAB">
        <w:t xml:space="preserve"> as a</w:t>
      </w:r>
      <w:r w:rsidR="00FA0F22">
        <w:t xml:space="preserve"> (partial)</w:t>
      </w:r>
      <w:r w:rsidR="00973AAB">
        <w:t xml:space="preserve"> indicator of </w:t>
      </w:r>
      <w:r w:rsidR="00901538">
        <w:t>our main independent variable</w:t>
      </w:r>
      <w:r w:rsidR="00973AAB">
        <w:t xml:space="preserve">. Table </w:t>
      </w:r>
      <w:r w:rsidR="007944BA">
        <w:t>S</w:t>
      </w:r>
      <w:r w:rsidR="00973AAB">
        <w:t>6 compares the results of our original growth curve model (</w:t>
      </w:r>
      <w:r w:rsidR="002B7210">
        <w:t>1</w:t>
      </w:r>
      <w:r w:rsidR="00973AAB">
        <w:t xml:space="preserve">.3 in Table </w:t>
      </w:r>
      <w:r w:rsidR="002B7210">
        <w:t>1</w:t>
      </w:r>
      <w:r w:rsidR="00973AAB">
        <w:t>) against an alternative model using this “purged” measure.</w:t>
      </w:r>
      <w:r w:rsidR="00901538">
        <w:t xml:space="preserve"> In Model </w:t>
      </w:r>
      <w:r w:rsidR="00640B37">
        <w:t>S</w:t>
      </w:r>
      <w:r w:rsidR="00901538">
        <w:t>6.1, all items referring to economic growth (the centered variable, the level-2 mean, and the three interactions with time) are calculated using residual growth (</w:t>
      </w:r>
      <w:proofErr w:type="spellStart"/>
      <w:r w:rsidR="00901538" w:rsidRPr="00A334AB">
        <w:t>u</w:t>
      </w:r>
      <w:r w:rsidR="00901538">
        <w:rPr>
          <w:vertAlign w:val="subscript"/>
        </w:rPr>
        <w:t>it</w:t>
      </w:r>
      <w:proofErr w:type="spellEnd"/>
      <w:r w:rsidR="00901538">
        <w:t>) rather than the observed change in per capita GDP (</w:t>
      </w:r>
      <w:r w:rsidR="00901538" w:rsidRPr="00A334AB">
        <w:rPr>
          <w:i/>
          <w:iCs/>
        </w:rPr>
        <w:t>g</w:t>
      </w:r>
      <w:r w:rsidR="00901538">
        <w:rPr>
          <w:vertAlign w:val="subscript"/>
        </w:rPr>
        <w:t>it</w:t>
      </w:r>
      <w:r w:rsidR="00901538">
        <w:t>). The results are consistent across both models.</w:t>
      </w:r>
      <w:r w:rsidR="00901538">
        <w:rPr>
          <w:rStyle w:val="FootnoteReference"/>
        </w:rPr>
        <w:footnoteReference w:id="2"/>
      </w:r>
      <w:r w:rsidR="00901538">
        <w:t xml:space="preserve">  </w:t>
      </w:r>
    </w:p>
    <w:p w14:paraId="184A70F9" w14:textId="77777777" w:rsidR="00EE30DF" w:rsidRDefault="00EE30DF" w:rsidP="0040054B">
      <w:pPr>
        <w:ind w:firstLine="720"/>
      </w:pPr>
    </w:p>
    <w:p w14:paraId="15A1F3B1" w14:textId="77777777" w:rsidR="00AF5FA6" w:rsidRDefault="00AF5FA6" w:rsidP="002C20B4"/>
    <w:p w14:paraId="4D20FC7D" w14:textId="2F9C8C6A" w:rsidR="00697988" w:rsidRDefault="00697988">
      <w:pPr>
        <w:spacing w:after="160" w:line="259" w:lineRule="auto"/>
      </w:pPr>
      <w:r>
        <w:br w:type="page"/>
      </w:r>
    </w:p>
    <w:p w14:paraId="20D26A5A" w14:textId="1C8B2BB2" w:rsidR="00697988" w:rsidRDefault="00697988" w:rsidP="00D6548A">
      <w:pPr>
        <w:keepNext/>
        <w:widowControl w:val="0"/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Table A6. Growth Curve Models with Instrumental Variables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6"/>
        <w:gridCol w:w="1008"/>
        <w:gridCol w:w="1008"/>
        <w:gridCol w:w="1008"/>
        <w:gridCol w:w="1008"/>
        <w:gridCol w:w="1008"/>
        <w:gridCol w:w="1008"/>
      </w:tblGrid>
      <w:tr w:rsidR="00697988" w14:paraId="7068A688" w14:textId="77777777" w:rsidTr="00C1520C"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6C88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6AD1F" w14:textId="071A5B71" w:rsidR="00697988" w:rsidRPr="00E65DA1" w:rsidRDefault="002B7210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697988" w:rsidRPr="00E65DA1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C30D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A72E3" w14:textId="2D9A2EAC" w:rsidR="00697988" w:rsidRPr="00E65DA1" w:rsidRDefault="001348D7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697988" w:rsidRPr="00E65DA1">
              <w:rPr>
                <w:rFonts w:cs="Times New Roman"/>
                <w:sz w:val="22"/>
                <w:szCs w:val="22"/>
              </w:rPr>
              <w:t>6.1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62C9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930DD" w14:textId="26673107" w:rsidR="00697988" w:rsidRPr="00E65DA1" w:rsidRDefault="001348D7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697988" w:rsidRPr="00E65DA1">
              <w:rPr>
                <w:rFonts w:cs="Times New Roman"/>
                <w:sz w:val="22"/>
                <w:szCs w:val="22"/>
              </w:rPr>
              <w:t>6.2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454D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97988" w14:paraId="75662906" w14:textId="77777777" w:rsidTr="00C1520C"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9A01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C01D" w14:textId="1932B44D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Original Table </w:t>
            </w:r>
            <w:r w:rsidR="002B721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9FB1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18F8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Residual growth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CB59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4EF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2SRI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65D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97988" w14:paraId="02D7C75B" w14:textId="77777777" w:rsidTr="00C1520C"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0C5A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CCA2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5071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se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D3ED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191C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se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18169" w14:textId="2DA59444" w:rsidR="00697988" w:rsidRPr="00E65DA1" w:rsidRDefault="00CD344C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E935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se</w:t>
            </w:r>
          </w:p>
        </w:tc>
      </w:tr>
      <w:tr w:rsidR="00697988" w:rsidRPr="00E6141E" w14:paraId="05716362" w14:textId="77777777" w:rsidTr="00C1520C"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7918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65DA1">
              <w:rPr>
                <w:rFonts w:cs="Times New Roman"/>
                <w:b/>
                <w:bCs/>
                <w:sz w:val="22"/>
                <w:szCs w:val="22"/>
              </w:rPr>
              <w:t>Within Effects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5B21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F18D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8D82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A420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35D1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7C3D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97988" w14:paraId="69AE3645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FE4A4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Economic growth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73FE3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ECC3A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1A833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-0.04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28622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4AE44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23B39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</w:tr>
      <w:tr w:rsidR="00697988" w14:paraId="14148710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B64E3B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Per capita GDP (thousands)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81880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B46A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E19E8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8A72B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5E89C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-0.57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867D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(0.12)</w:t>
            </w:r>
          </w:p>
        </w:tc>
      </w:tr>
      <w:tr w:rsidR="00697988" w14:paraId="6F78B766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28E302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Gini index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D9281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-0.08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E507B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65411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EA16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0330B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0.08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714BE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(0.03)</w:t>
            </w:r>
          </w:p>
        </w:tc>
      </w:tr>
      <w:tr w:rsidR="00697988" w14:paraId="67FF05F1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520BAE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State capacity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AE99F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556A1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D44B5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5A8DF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4016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0.29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B6EF1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(0.05)</w:t>
            </w:r>
          </w:p>
        </w:tc>
      </w:tr>
      <w:tr w:rsidR="00697988" w14:paraId="7287E85E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D93DE6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Regional democracy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C88FF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48533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E613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D55AB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0529F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27D79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</w:tr>
      <w:tr w:rsidR="00697988" w:rsidRPr="00663E11" w14:paraId="0A3CFBA4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2EA56D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65DA1">
              <w:rPr>
                <w:rFonts w:cs="Times New Roman"/>
                <w:b/>
                <w:bCs/>
                <w:sz w:val="22"/>
                <w:szCs w:val="22"/>
              </w:rPr>
              <w:t>Between Effects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13016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28965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1C78F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59BB7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7A1B0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6C928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97988" w14:paraId="7937B878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8E6C7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Growth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E3D95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1.06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14A1D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(0.40)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25FE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1.20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76A2E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(0.48)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5413F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0.94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8DDBD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(0.24)</w:t>
            </w:r>
          </w:p>
        </w:tc>
      </w:tr>
      <w:tr w:rsidR="00697988" w14:paraId="3DE70923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9ACCCF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Per cap GDP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40768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1.11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10CFF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(0.34)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083C2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1.19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F7BDA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(0.38)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34106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1.36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65291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(0.18)</w:t>
            </w:r>
          </w:p>
        </w:tc>
      </w:tr>
      <w:tr w:rsidR="00697988" w14:paraId="0386EA37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356681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Gini index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E5300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7029F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062BF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D170A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DBB34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7960E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(0.07)</w:t>
            </w:r>
          </w:p>
        </w:tc>
      </w:tr>
      <w:tr w:rsidR="00697988" w14:paraId="362128E1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9D3FC3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State capacity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FF20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7579F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D40C9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F4926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A0D86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99B0D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(0.08)</w:t>
            </w:r>
          </w:p>
        </w:tc>
      </w:tr>
      <w:tr w:rsidR="00697988" w14:paraId="72EFB14F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12A093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Regional democracy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170A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3AB9E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FB0F4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86561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A1596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0.18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F0260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(0.07)</w:t>
            </w:r>
          </w:p>
        </w:tc>
      </w:tr>
      <w:tr w:rsidR="00697988" w14:paraId="67AA1B68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0720A9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First year of democracy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0C926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58592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0CC5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-0.34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8BEEA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4FA70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-0.23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C89FD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(0.08)</w:t>
            </w:r>
          </w:p>
        </w:tc>
      </w:tr>
      <w:tr w:rsidR="00697988" w:rsidRPr="00663E11" w14:paraId="0E19EDC3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3EA461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E65DA1">
              <w:rPr>
                <w:rFonts w:cs="Times New Roman"/>
                <w:b/>
                <w:bCs/>
                <w:sz w:val="22"/>
                <w:szCs w:val="22"/>
              </w:rPr>
              <w:t>Latent Trend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909E8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1D77C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8900F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F7886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38D4D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4A653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97988" w14:paraId="25E234B7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3C3123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Years since transition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9E2FD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67.00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9EABA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(47.73)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2C810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38.56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5FF04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(46.68)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9250F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-8.81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39579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(21.45)</w:t>
            </w:r>
          </w:p>
        </w:tc>
      </w:tr>
      <w:tr w:rsidR="00697988" w14:paraId="2E3D0799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0D29C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093E5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0.40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AA6C1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(0.09)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01CDB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0.29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3E3FD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2340D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7A709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(0.06)</w:t>
            </w:r>
          </w:p>
        </w:tc>
      </w:tr>
      <w:tr w:rsidR="00697988" w14:paraId="73CF8E05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65956C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629A6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CA75B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123FC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25706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56521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9514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</w:tr>
      <w:tr w:rsidR="00697988" w14:paraId="501D3640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C883A7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6FF2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E76FF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BFD0D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0.05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BBAE1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123DA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D3602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</w:tr>
      <w:tr w:rsidR="00697988" w14:paraId="0755EC87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BB70CE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775AC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E2621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DA692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017BC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63D0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-0.03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8F6D0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</w:tr>
      <w:tr w:rsidR="00697988" w14:paraId="034B0119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65FA1C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CD311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E23B1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01D07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A79A1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CFEA3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59ACE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</w:tr>
      <w:tr w:rsidR="00697988" w14:paraId="3D8B8577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F75D42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57CAB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09697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20961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29996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EE3FE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178D1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</w:tr>
      <w:tr w:rsidR="00697988" w14:paraId="368A1754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C8BFA3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Years^2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0B4E4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5.51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C7A18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(3.25)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8CDC2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5.05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E5FCC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(3.70)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1E9AC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5.67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24D19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(1.66)</w:t>
            </w:r>
          </w:p>
        </w:tc>
      </w:tr>
      <w:tr w:rsidR="00697988" w14:paraId="714FB0E5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ADBA3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CD085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625A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9F8A6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8C77B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DA78F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5F2D0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7AD3D4B3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942405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B534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A58B9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E8719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5BDE3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67DA5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2FFB9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37AB3A59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B93D92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FF80D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FDBA3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DE16E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21F2A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672D8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BC40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2498200E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EEA35F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24D8B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9B913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1FD56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AE77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9EEDF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CE55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542D4653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B126D3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F580D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5BD30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BB8C1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ADC7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E8E0C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-0.01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031AF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68C2A322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7EFAF8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2D8B8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FCBA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44DCA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D1A67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EB2A9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DF87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34EA8AF8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DF9336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Years^3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4FCE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6527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26ED2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6410E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(0.11)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E89EA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-0.22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1AF30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(0.04)</w:t>
            </w:r>
          </w:p>
        </w:tc>
      </w:tr>
      <w:tr w:rsidR="00697988" w14:paraId="3C319270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E218B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*Growth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DC2A4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4DFBC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C08D9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045EE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B897C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A4B14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7C7CA7EF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4CB9B8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*Per cap GDP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1A0613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7C8B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8AF43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C7812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B27E3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A12E5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4AD82701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543693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*Gini index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881C2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069EF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0DE32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0B64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C6F9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-0.00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82ED5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5CA37528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15D29A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*State capacity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2DE4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62D0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91F5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14D566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4BA71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56BD2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2488CF7F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5D2604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*Regional democracy (mean)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C3D74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26E96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D50530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34C41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2EB3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1750F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35832549" w14:textId="77777777" w:rsidTr="00C1520C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F8CF97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 xml:space="preserve"> *First year of democracy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4B9BF4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AAC94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F8FA1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E4461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20DC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0.00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C7BBFA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(0.00)</w:t>
            </w:r>
          </w:p>
        </w:tc>
      </w:tr>
      <w:tr w:rsidR="00697988" w14:paraId="65D76A65" w14:textId="77777777" w:rsidTr="0090153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3A359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Control function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26B40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D63A8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903BD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55598F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59BFB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35.28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1C46D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(0.94)</w:t>
            </w:r>
          </w:p>
        </w:tc>
      </w:tr>
      <w:tr w:rsidR="00697988" w14:paraId="0681E8C5" w14:textId="77777777" w:rsidTr="00C1520C"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983E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Intercept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6EFC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603.20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915C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(299.63)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82D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732.43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9E64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(336.70)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4CA2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492.65</w:t>
            </w:r>
            <w:r w:rsidRPr="00E65DA1">
              <w:rPr>
                <w:rFonts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CEECD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(158.27)</w:t>
            </w:r>
          </w:p>
        </w:tc>
      </w:tr>
      <w:tr w:rsidR="00697988" w14:paraId="3FDF95DA" w14:textId="77777777" w:rsidTr="00C1520C"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B8D2E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3FFB7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1595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5FFCC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319AB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1509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C5F75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6D709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65DA1">
              <w:rPr>
                <w:rFonts w:cs="Times New Roman"/>
                <w:sz w:val="22"/>
                <w:szCs w:val="22"/>
              </w:rPr>
              <w:t>1509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42B58" w14:textId="77777777" w:rsidR="00697988" w:rsidRPr="00E65DA1" w:rsidRDefault="00697988" w:rsidP="00C152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F849F96" w14:textId="77777777" w:rsidR="00697988" w:rsidRDefault="00697988" w:rsidP="0069798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*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 &lt; 0.05 (Variance components omitted to save space)</w:t>
      </w:r>
    </w:p>
    <w:p w14:paraId="23C3925B" w14:textId="77777777" w:rsidR="00645FB2" w:rsidRDefault="00645FB2" w:rsidP="002C20B4"/>
    <w:p w14:paraId="2C57C555" w14:textId="1602BFF1" w:rsidR="0072319C" w:rsidRDefault="0072319C">
      <w:pPr>
        <w:spacing w:after="160" w:line="259" w:lineRule="auto"/>
      </w:pPr>
      <w:r>
        <w:br w:type="page"/>
      </w:r>
    </w:p>
    <w:p w14:paraId="19717718" w14:textId="7E886DA8" w:rsidR="00236EA8" w:rsidRDefault="0072319C" w:rsidP="007F67C1">
      <w:pPr>
        <w:ind w:firstLine="720"/>
      </w:pPr>
      <w:r w:rsidRPr="0072319C">
        <w:rPr>
          <w:b/>
          <w:bCs/>
        </w:rPr>
        <w:lastRenderedPageBreak/>
        <w:t>Two Stage Residual Inclusion</w:t>
      </w:r>
      <w:r>
        <w:t xml:space="preserve">. </w:t>
      </w:r>
      <w:r w:rsidR="00FA0F22">
        <w:t xml:space="preserve">The </w:t>
      </w:r>
      <w:r w:rsidR="0067018F">
        <w:t>reduced-form</w:t>
      </w:r>
      <w:r w:rsidR="00FA0F22">
        <w:t xml:space="preserve"> </w:t>
      </w:r>
      <w:r w:rsidR="0067018F">
        <w:t xml:space="preserve">equation </w:t>
      </w:r>
      <w:r w:rsidR="00002097">
        <w:t>implemented</w:t>
      </w:r>
      <w:r w:rsidR="00FA0F22">
        <w:t xml:space="preserve"> in Model </w:t>
      </w:r>
      <w:r w:rsidR="00FA5344">
        <w:t>S</w:t>
      </w:r>
      <w:r w:rsidR="00FA0F22">
        <w:t xml:space="preserve">6.1 is </w:t>
      </w:r>
      <w:r w:rsidR="0067018F">
        <w:t>intuitive</w:t>
      </w:r>
      <w:r w:rsidR="00FA0F22">
        <w:t xml:space="preserve"> because </w:t>
      </w:r>
      <w:proofErr w:type="spellStart"/>
      <w:r w:rsidR="00FA0F22" w:rsidRPr="00A334AB">
        <w:t>u</w:t>
      </w:r>
      <w:r w:rsidR="00FA0F22">
        <w:rPr>
          <w:vertAlign w:val="subscript"/>
        </w:rPr>
        <w:t>it</w:t>
      </w:r>
      <w:proofErr w:type="spellEnd"/>
      <w:r w:rsidR="00FA0F22">
        <w:t xml:space="preserve"> is a </w:t>
      </w:r>
      <w:r w:rsidR="00281DED">
        <w:t xml:space="preserve">partial </w:t>
      </w:r>
      <w:r w:rsidR="00FA0F22">
        <w:t xml:space="preserve">component of growth, rather than a </w:t>
      </w:r>
      <w:r w:rsidR="00281DED">
        <w:t xml:space="preserve">more </w:t>
      </w:r>
      <w:r w:rsidR="00FA0F22">
        <w:t xml:space="preserve">traditional exogenous instrument. </w:t>
      </w:r>
      <w:r w:rsidR="0032748B">
        <w:t>But f</w:t>
      </w:r>
      <w:r w:rsidR="004D34BF">
        <w:t>or general purposes, we</w:t>
      </w:r>
      <w:r w:rsidR="00C72E02">
        <w:t xml:space="preserve"> need an estimator able to accommodate </w:t>
      </w:r>
      <w:r w:rsidR="00281DED">
        <w:t>traditional instrument</w:t>
      </w:r>
      <w:r w:rsidR="00002097">
        <w:t>s</w:t>
      </w:r>
      <w:r w:rsidR="00236EA8">
        <w:t xml:space="preserve">. </w:t>
      </w:r>
      <w:r w:rsidR="00E82542">
        <w:t>C</w:t>
      </w:r>
      <w:r w:rsidR="00236EA8">
        <w:t xml:space="preserve">onventional two-stage least squares (2SLS) is not </w:t>
      </w:r>
      <w:r w:rsidR="0088548B">
        <w:t>practical</w:t>
      </w:r>
      <w:r w:rsidR="00236EA8">
        <w:t xml:space="preserve">, because </w:t>
      </w:r>
      <w:r w:rsidR="00E67438">
        <w:t>our growth curve estimator</w:t>
      </w:r>
      <w:r w:rsidR="00236EA8">
        <w:t xml:space="preserve"> require</w:t>
      </w:r>
      <w:r w:rsidR="006C7213">
        <w:t>s</w:t>
      </w:r>
      <w:r w:rsidR="00236EA8">
        <w:t xml:space="preserve"> multiple transformations of the </w:t>
      </w:r>
      <w:r w:rsidR="0088548B">
        <w:t xml:space="preserve">endogenous </w:t>
      </w:r>
      <w:r w:rsidR="00236EA8">
        <w:t xml:space="preserve">variable (centering, extracting the unit means, and interacting the unit means with the time trend) that </w:t>
      </w:r>
      <w:r w:rsidR="0088548B">
        <w:t>demand a large number of instruments (Wooldridge 2015, 429)</w:t>
      </w:r>
      <w:r w:rsidR="00E67438">
        <w:t>. As a feasible alternative, we propose the use of a two-stage residual inclusion (2SRI) estimator</w:t>
      </w:r>
      <w:r w:rsidR="00C3178B">
        <w:t xml:space="preserve"> (Terza et a</w:t>
      </w:r>
      <w:r w:rsidR="004B36EA">
        <w:t>l</w:t>
      </w:r>
      <w:r w:rsidR="00C3178B">
        <w:t xml:space="preserve">. 2008). </w:t>
      </w:r>
      <w:r w:rsidR="000F7EC8">
        <w:t xml:space="preserve">While 2SLS substitutes the endogenous variable with the predicted value of the first-stage equation, 2SRI preserves the endogenous variable and adds the residual of the first-stage equation as a control function in the second-stage equation. </w:t>
      </w:r>
      <w:r w:rsidR="007F67C1">
        <w:t xml:space="preserve">In the canonical case, </w:t>
      </w:r>
      <w:r w:rsidR="00B16452">
        <w:t xml:space="preserve">the estimate of </w:t>
      </w:r>
      <w:r w:rsidR="00903E10">
        <w:t>both approaches</w:t>
      </w:r>
      <w:r w:rsidR="007F67C1">
        <w:t xml:space="preserve"> </w:t>
      </w:r>
      <w:r w:rsidR="00B16452">
        <w:t>is</w:t>
      </w:r>
      <w:r w:rsidR="007F67C1">
        <w:t xml:space="preserve"> equivalent, but the 2SRI estimator offers a </w:t>
      </w:r>
      <w:r w:rsidR="00B16452">
        <w:t xml:space="preserve">more </w:t>
      </w:r>
      <w:r w:rsidR="007F67C1">
        <w:t>parsimonious way to account for endogeneity</w:t>
      </w:r>
      <w:r w:rsidR="008A2A09">
        <w:t xml:space="preserve"> when </w:t>
      </w:r>
      <w:r w:rsidR="007F67C1">
        <w:t xml:space="preserve">the endogenous variable interacts with several exogenous variables. </w:t>
      </w:r>
    </w:p>
    <w:p w14:paraId="57DA7793" w14:textId="03DA6458" w:rsidR="00800F19" w:rsidRDefault="00FF69F0" w:rsidP="007F67C1">
      <w:pPr>
        <w:ind w:firstLine="720"/>
      </w:pPr>
      <w:r>
        <w:t xml:space="preserve">Model </w:t>
      </w:r>
      <w:r w:rsidR="00FA5344">
        <w:t>S</w:t>
      </w:r>
      <w:r>
        <w:t xml:space="preserve">6.2 reflects the results of a 2SRI estimation in which the instrument </w:t>
      </w:r>
      <w:r w:rsidRPr="00FF69F0">
        <w:rPr>
          <w:i/>
          <w:iCs/>
        </w:rPr>
        <w:t>residual growth</w:t>
      </w:r>
      <w:r>
        <w:t xml:space="preserve">, plus all the exogenous predictors (including their level-2 means and interactions), are used to predict the rate of economic growth in the first-stage equation. The residual of this equation is then introduced as a control function in </w:t>
      </w:r>
      <w:r w:rsidR="00800F19">
        <w:t xml:space="preserve">the second-stage </w:t>
      </w:r>
      <w:r>
        <w:t>equation</w:t>
      </w:r>
      <w:r w:rsidR="00800F19">
        <w:t>, corresponding to the growth curve model</w:t>
      </w:r>
      <w:r>
        <w:t>.</w:t>
      </w:r>
      <w:r w:rsidR="00800F19">
        <w:t xml:space="preserve"> The results track closely the estimates of our original Model 2.3.</w:t>
      </w:r>
    </w:p>
    <w:p w14:paraId="4AA9E4CF" w14:textId="26A30275" w:rsidR="00431E3A" w:rsidRDefault="00E127D7" w:rsidP="00950323">
      <w:pPr>
        <w:ind w:firstLine="720"/>
      </w:pPr>
      <w:r>
        <w:t xml:space="preserve">To </w:t>
      </w:r>
      <w:r w:rsidR="007A1FAF">
        <w:t>compare</w:t>
      </w:r>
      <w:r>
        <w:t xml:space="preserve"> the results </w:t>
      </w:r>
      <w:r w:rsidR="007A1FAF">
        <w:t>of</w:t>
      </w:r>
      <w:r>
        <w:t xml:space="preserve"> the three models, Figure </w:t>
      </w:r>
      <w:r w:rsidR="00806A95">
        <w:t>S</w:t>
      </w:r>
      <w:r>
        <w:t xml:space="preserve">1 </w:t>
      </w:r>
      <w:r w:rsidR="007A1FAF">
        <w:t>displays</w:t>
      </w:r>
      <w:r w:rsidR="00950323">
        <w:t xml:space="preserve"> </w:t>
      </w:r>
      <w:r>
        <w:t xml:space="preserve">simulated democratic trajectories </w:t>
      </w:r>
      <w:r w:rsidR="007A1FAF">
        <w:t xml:space="preserve">for </w:t>
      </w:r>
      <w:r w:rsidR="00950323">
        <w:t xml:space="preserve">two </w:t>
      </w:r>
      <w:r w:rsidR="007A1FAF">
        <w:t xml:space="preserve">hypothetical regimes with 1% and 5% average growth rates, </w:t>
      </w:r>
      <w:r>
        <w:t xml:space="preserve">based on Models 2.3, </w:t>
      </w:r>
      <w:r w:rsidR="00806A95">
        <w:t>S</w:t>
      </w:r>
      <w:r>
        <w:t xml:space="preserve">6.1, and </w:t>
      </w:r>
      <w:r w:rsidR="00806A95">
        <w:t>S</w:t>
      </w:r>
      <w:r>
        <w:t xml:space="preserve">6.2. Although </w:t>
      </w:r>
      <w:r w:rsidR="007A1FAF">
        <w:t xml:space="preserve">the </w:t>
      </w:r>
      <w:r w:rsidR="004A7CA1">
        <w:t>predictions</w:t>
      </w:r>
      <w:r w:rsidR="007A1FAF">
        <w:t xml:space="preserve"> vary somewhat (with 2SRI showing the </w:t>
      </w:r>
      <w:r w:rsidR="00B263E8">
        <w:t>narrower gap between the two cases</w:t>
      </w:r>
      <w:r w:rsidR="007A1FAF">
        <w:t xml:space="preserve">) all figures </w:t>
      </w:r>
      <w:r w:rsidR="00950323">
        <w:t>reflect</w:t>
      </w:r>
      <w:r w:rsidR="007A1FAF">
        <w:t xml:space="preserve"> </w:t>
      </w:r>
      <w:r w:rsidR="004A7CA1">
        <w:t xml:space="preserve">a </w:t>
      </w:r>
      <w:r w:rsidR="00950323">
        <w:t>stronger democratic trajector</w:t>
      </w:r>
      <w:r w:rsidR="004A7CA1">
        <w:t>y</w:t>
      </w:r>
      <w:r w:rsidR="00950323">
        <w:t xml:space="preserve"> in contexts of sustained economic performance.</w:t>
      </w:r>
      <w:r w:rsidR="00431E3A">
        <w:br w:type="page"/>
      </w:r>
    </w:p>
    <w:p w14:paraId="7E42174E" w14:textId="004E1D02" w:rsidR="00431E3A" w:rsidRDefault="00431E3A" w:rsidP="00A537DB">
      <w:pPr>
        <w:spacing w:line="240" w:lineRule="auto"/>
        <w:jc w:val="center"/>
      </w:pPr>
      <w:r>
        <w:lastRenderedPageBreak/>
        <w:t xml:space="preserve">Figure </w:t>
      </w:r>
      <w:r w:rsidR="000D6290">
        <w:t>S</w:t>
      </w:r>
      <w:r>
        <w:t>1. Predicted Democratic Trajectories in Endogeneity Models</w:t>
      </w:r>
    </w:p>
    <w:p w14:paraId="37F19ACE" w14:textId="21C3BF6D" w:rsidR="005D41BB" w:rsidRDefault="00286746" w:rsidP="009A0BFD">
      <w:pPr>
        <w:spacing w:line="240" w:lineRule="auto"/>
        <w:jc w:val="center"/>
      </w:pPr>
      <w:r w:rsidRPr="00286746">
        <w:rPr>
          <w:noProof/>
        </w:rPr>
        <w:drawing>
          <wp:inline distT="0" distB="0" distL="0" distR="0" wp14:anchorId="55B2EF79" wp14:editId="1B527D09">
            <wp:extent cx="54864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922A" w14:textId="1298E8D4" w:rsidR="00431E3A" w:rsidRDefault="00431E3A" w:rsidP="00E65DA1">
      <w:pPr>
        <w:spacing w:line="240" w:lineRule="auto"/>
      </w:pPr>
      <w:r>
        <w:t xml:space="preserve">Note: Simulations based on models </w:t>
      </w:r>
      <w:r w:rsidR="002B7210">
        <w:t>1</w:t>
      </w:r>
      <w:r>
        <w:t xml:space="preserve">.3, </w:t>
      </w:r>
      <w:r w:rsidR="00DA6C2E">
        <w:t>S</w:t>
      </w:r>
      <w:r>
        <w:t xml:space="preserve">6.1, and </w:t>
      </w:r>
      <w:r w:rsidR="00DA6C2E">
        <w:t>S</w:t>
      </w:r>
      <w:r>
        <w:t xml:space="preserve">6.2 in Table </w:t>
      </w:r>
      <w:r w:rsidR="00DA6C2E">
        <w:t>S</w:t>
      </w:r>
      <w:r>
        <w:t>6</w:t>
      </w:r>
      <w:r w:rsidR="00E65DA1">
        <w:t xml:space="preserve">. The figure for model </w:t>
      </w:r>
      <w:r w:rsidR="002B7210">
        <w:t>1</w:t>
      </w:r>
      <w:r w:rsidR="00E65DA1">
        <w:t>.3 is equivalent to Figure 2.1 in the main body of the paper.</w:t>
      </w:r>
    </w:p>
    <w:p w14:paraId="68317F7C" w14:textId="77777777" w:rsidR="00431E3A" w:rsidRDefault="00431E3A" w:rsidP="005D41BB"/>
    <w:p w14:paraId="2876B9C9" w14:textId="752EC462" w:rsidR="005D41BB" w:rsidRDefault="005D41BB" w:rsidP="005D41BB"/>
    <w:p w14:paraId="4A6EF790" w14:textId="77777777" w:rsidR="00E31752" w:rsidRDefault="00E3175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30DD5D" w14:textId="67E15461" w:rsidR="0088548B" w:rsidRPr="004B36EA" w:rsidRDefault="0088548B" w:rsidP="004B36EA">
      <w:pPr>
        <w:jc w:val="center"/>
        <w:rPr>
          <w:b/>
          <w:bCs/>
        </w:rPr>
      </w:pPr>
      <w:r w:rsidRPr="004B36EA">
        <w:rPr>
          <w:b/>
          <w:bCs/>
        </w:rPr>
        <w:lastRenderedPageBreak/>
        <w:t>References</w:t>
      </w:r>
    </w:p>
    <w:p w14:paraId="64058A5B" w14:textId="77777777" w:rsidR="0088548B" w:rsidRPr="0088548B" w:rsidRDefault="0088548B" w:rsidP="004B36EA">
      <w:pPr>
        <w:spacing w:after="120" w:line="240" w:lineRule="auto"/>
        <w:ind w:left="720" w:hanging="720"/>
      </w:pPr>
      <w:r w:rsidRPr="0088548B">
        <w:t xml:space="preserve">Acemoglu, Daron, Simon Johnson, James A. Robinson, and Pierre </w:t>
      </w:r>
      <w:proofErr w:type="spellStart"/>
      <w:r w:rsidRPr="0088548B">
        <w:t>Yared</w:t>
      </w:r>
      <w:proofErr w:type="spellEnd"/>
      <w:r w:rsidRPr="0088548B">
        <w:t xml:space="preserve">. 2008. "Income and Democracy." </w:t>
      </w:r>
      <w:r w:rsidRPr="0088548B">
        <w:rPr>
          <w:i/>
          <w:iCs/>
        </w:rPr>
        <w:t xml:space="preserve">American Economic Review </w:t>
      </w:r>
      <w:r w:rsidRPr="0088548B">
        <w:t>98(3): 808-842.</w:t>
      </w:r>
    </w:p>
    <w:p w14:paraId="4399A5DE" w14:textId="77777777" w:rsidR="0088548B" w:rsidRPr="0088548B" w:rsidRDefault="0088548B" w:rsidP="004B36EA">
      <w:pPr>
        <w:spacing w:after="120" w:line="240" w:lineRule="auto"/>
        <w:ind w:left="720" w:hanging="720"/>
      </w:pPr>
      <w:r w:rsidRPr="0088548B">
        <w:t xml:space="preserve">Acemoglu, Daron, Suresh Naidu, Pascual Restrepo, and James A. Robinson. 2019. “Democracy Does Cause Growth.” </w:t>
      </w:r>
      <w:r w:rsidRPr="0088548B">
        <w:rPr>
          <w:i/>
          <w:iCs/>
        </w:rPr>
        <w:t>Journal of Political Economy</w:t>
      </w:r>
      <w:r w:rsidRPr="0088548B">
        <w:t xml:space="preserve"> 2019 127(1): 47-100.</w:t>
      </w:r>
    </w:p>
    <w:p w14:paraId="45652859" w14:textId="77777777" w:rsidR="0088548B" w:rsidRPr="0088548B" w:rsidRDefault="0088548B" w:rsidP="004B36EA">
      <w:pPr>
        <w:spacing w:after="120" w:line="240" w:lineRule="auto"/>
        <w:ind w:left="720" w:hanging="720"/>
      </w:pPr>
      <w:r w:rsidRPr="0088548B">
        <w:t xml:space="preserve">Colagrossi, Marco, Domenico </w:t>
      </w:r>
      <w:proofErr w:type="spellStart"/>
      <w:r w:rsidRPr="0088548B">
        <w:t>Rossignoli</w:t>
      </w:r>
      <w:proofErr w:type="spellEnd"/>
      <w:r w:rsidRPr="0088548B">
        <w:t xml:space="preserve">, and Mario A. </w:t>
      </w:r>
      <w:proofErr w:type="spellStart"/>
      <w:r w:rsidRPr="0088548B">
        <w:t>Maggioni</w:t>
      </w:r>
      <w:proofErr w:type="spellEnd"/>
      <w:r w:rsidRPr="0088548B">
        <w:t xml:space="preserve">. 2020. “Does democracy cause growth? A meta-analysis (of 2000 regressions).” </w:t>
      </w:r>
      <w:r w:rsidRPr="0088548B">
        <w:rPr>
          <w:i/>
          <w:iCs/>
        </w:rPr>
        <w:t>European Journal of Political Economy</w:t>
      </w:r>
      <w:r w:rsidRPr="0088548B">
        <w:t xml:space="preserve"> 61: 101824, https://doi.org/10.1016/j.ejpoleco.2019.101824</w:t>
      </w:r>
    </w:p>
    <w:p w14:paraId="06848307" w14:textId="77777777" w:rsidR="0088548B" w:rsidRPr="0088548B" w:rsidRDefault="0088548B" w:rsidP="004B36EA">
      <w:pPr>
        <w:spacing w:after="120" w:line="240" w:lineRule="auto"/>
        <w:ind w:left="720" w:hanging="720"/>
      </w:pPr>
      <w:proofErr w:type="spellStart"/>
      <w:r w:rsidRPr="0088548B">
        <w:t>Przeworski</w:t>
      </w:r>
      <w:proofErr w:type="spellEnd"/>
      <w:r w:rsidRPr="0088548B">
        <w:t xml:space="preserve">, Adam, Michael E. Alvarez, José Antonio </w:t>
      </w:r>
      <w:proofErr w:type="spellStart"/>
      <w:r w:rsidRPr="0088548B">
        <w:t>Cheibub</w:t>
      </w:r>
      <w:proofErr w:type="spellEnd"/>
      <w:r w:rsidRPr="0088548B">
        <w:t xml:space="preserve">, and Fernando </w:t>
      </w:r>
      <w:proofErr w:type="spellStart"/>
      <w:r w:rsidRPr="0088548B">
        <w:t>Limongi</w:t>
      </w:r>
      <w:proofErr w:type="spellEnd"/>
      <w:r w:rsidRPr="0088548B">
        <w:t xml:space="preserve">. 2000. </w:t>
      </w:r>
      <w:r w:rsidRPr="0088548B">
        <w:rPr>
          <w:i/>
          <w:iCs/>
        </w:rPr>
        <w:t>Democracy and Development: Political Institutions and Well-Being in the World, 1950–1990</w:t>
      </w:r>
      <w:r w:rsidRPr="0088548B">
        <w:t>. Cambridge: Cambridge University Press.</w:t>
      </w:r>
    </w:p>
    <w:p w14:paraId="59F59C85" w14:textId="3BE978EF" w:rsidR="0088548B" w:rsidRDefault="004B36EA" w:rsidP="004B36EA">
      <w:pPr>
        <w:spacing w:after="120" w:line="240" w:lineRule="auto"/>
        <w:ind w:left="720" w:hanging="720"/>
      </w:pPr>
      <w:r>
        <w:t xml:space="preserve">Terza, Joseph V., Anirban </w:t>
      </w:r>
      <w:proofErr w:type="spellStart"/>
      <w:r>
        <w:t>Basu</w:t>
      </w:r>
      <w:proofErr w:type="spellEnd"/>
      <w:r>
        <w:t xml:space="preserve">, and Paul J. </w:t>
      </w:r>
      <w:proofErr w:type="spellStart"/>
      <w:r>
        <w:t>Rathouz</w:t>
      </w:r>
      <w:proofErr w:type="spellEnd"/>
      <w:r>
        <w:t xml:space="preserve">. 2008. “Two-stage residual inclusion estimation: Addressing endogeneity in health econometric modeling.” </w:t>
      </w:r>
      <w:r w:rsidRPr="003A14AE">
        <w:rPr>
          <w:i/>
          <w:iCs/>
        </w:rPr>
        <w:t>Journal of Health Economics</w:t>
      </w:r>
      <w:r>
        <w:t>, 27(3): 531-543.</w:t>
      </w:r>
    </w:p>
    <w:p w14:paraId="7E8515CE" w14:textId="3E829007" w:rsidR="0088548B" w:rsidRDefault="0088548B" w:rsidP="004B36EA">
      <w:pPr>
        <w:spacing w:after="120" w:line="240" w:lineRule="auto"/>
        <w:ind w:left="720" w:hanging="720"/>
      </w:pPr>
      <w:r>
        <w:t xml:space="preserve">Wooldridge, Jeffrey M. 2015. “Control Function Methods in Applied Econometrics.” </w:t>
      </w:r>
      <w:r w:rsidRPr="0088548B">
        <w:rPr>
          <w:i/>
          <w:iCs/>
        </w:rPr>
        <w:t>Journal of Human Resources</w:t>
      </w:r>
      <w:r w:rsidRPr="0088548B">
        <w:t>, 50</w:t>
      </w:r>
      <w:r>
        <w:t>(</w:t>
      </w:r>
      <w:r w:rsidRPr="0088548B">
        <w:t>2</w:t>
      </w:r>
      <w:r>
        <w:t xml:space="preserve">): </w:t>
      </w:r>
      <w:r w:rsidRPr="0088548B">
        <w:t>420-445</w:t>
      </w:r>
      <w:r>
        <w:t>.</w:t>
      </w:r>
    </w:p>
    <w:p w14:paraId="37C3537A" w14:textId="093AE5BC" w:rsidR="0088548B" w:rsidRDefault="0088548B" w:rsidP="0088548B"/>
    <w:sectPr w:rsidR="008854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B4F2" w14:textId="77777777" w:rsidR="004C1347" w:rsidRDefault="004C1347" w:rsidP="00131695">
      <w:pPr>
        <w:spacing w:line="240" w:lineRule="auto"/>
      </w:pPr>
      <w:r>
        <w:separator/>
      </w:r>
    </w:p>
  </w:endnote>
  <w:endnote w:type="continuationSeparator" w:id="0">
    <w:p w14:paraId="1F9B8839" w14:textId="77777777" w:rsidR="004C1347" w:rsidRDefault="004C1347" w:rsidP="0013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82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179BF" w14:textId="3A79E051" w:rsidR="00131695" w:rsidRDefault="001316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35542" w14:textId="77777777" w:rsidR="00131695" w:rsidRDefault="0013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C02A" w14:textId="77777777" w:rsidR="004C1347" w:rsidRDefault="004C1347" w:rsidP="00131695">
      <w:pPr>
        <w:spacing w:line="240" w:lineRule="auto"/>
      </w:pPr>
      <w:r>
        <w:separator/>
      </w:r>
    </w:p>
  </w:footnote>
  <w:footnote w:type="continuationSeparator" w:id="0">
    <w:p w14:paraId="08BE3EB0" w14:textId="77777777" w:rsidR="004C1347" w:rsidRDefault="004C1347" w:rsidP="00131695">
      <w:pPr>
        <w:spacing w:line="240" w:lineRule="auto"/>
      </w:pPr>
      <w:r>
        <w:continuationSeparator/>
      </w:r>
    </w:p>
  </w:footnote>
  <w:footnote w:id="1">
    <w:p w14:paraId="1819DA7E" w14:textId="3B0F8107" w:rsidR="00867356" w:rsidRPr="00867356" w:rsidRDefault="00867356" w:rsidP="00867356">
      <w:pPr>
        <w:pStyle w:val="FootnoteText"/>
        <w:rPr>
          <w:sz w:val="24"/>
          <w:szCs w:val="24"/>
        </w:rPr>
      </w:pPr>
      <w:r w:rsidRPr="00867356">
        <w:rPr>
          <w:rStyle w:val="FootnoteReference"/>
          <w:sz w:val="24"/>
          <w:szCs w:val="24"/>
        </w:rPr>
        <w:footnoteRef/>
      </w:r>
      <w:r w:rsidRPr="008673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OLS </w:t>
      </w:r>
      <w:r w:rsidR="00E53BCF">
        <w:rPr>
          <w:sz w:val="24"/>
          <w:szCs w:val="24"/>
        </w:rPr>
        <w:t>results</w:t>
      </w:r>
      <w:r>
        <w:rPr>
          <w:sz w:val="24"/>
          <w:szCs w:val="24"/>
        </w:rPr>
        <w:t xml:space="preserve"> are </w:t>
      </w:r>
      <w:r w:rsidRPr="00A334AB">
        <w:rPr>
          <w:i/>
          <w:iCs/>
          <w:sz w:val="24"/>
          <w:szCs w:val="24"/>
        </w:rPr>
        <w:t>g</w:t>
      </w:r>
      <w:r w:rsidRPr="00867356">
        <w:rPr>
          <w:sz w:val="24"/>
          <w:szCs w:val="24"/>
          <w:vertAlign w:val="subscript"/>
        </w:rPr>
        <w:t>it</w:t>
      </w:r>
      <w:r w:rsidRPr="00A334AB">
        <w:rPr>
          <w:sz w:val="24"/>
          <w:szCs w:val="24"/>
        </w:rPr>
        <w:t xml:space="preserve"> =</w:t>
      </w:r>
      <w:r w:rsidRPr="00867356">
        <w:rPr>
          <w:sz w:val="24"/>
          <w:szCs w:val="24"/>
        </w:rPr>
        <w:t xml:space="preserve"> </w:t>
      </w:r>
      <w:r>
        <w:rPr>
          <w:sz w:val="24"/>
          <w:szCs w:val="24"/>
        </w:rPr>
        <w:t>1.14</w:t>
      </w:r>
      <w:r w:rsidRPr="00867356">
        <w:rPr>
          <w:sz w:val="24"/>
          <w:szCs w:val="24"/>
        </w:rPr>
        <w:t xml:space="preserve"> +</w:t>
      </w:r>
      <w:r w:rsidRPr="00A334AB">
        <w:rPr>
          <w:sz w:val="24"/>
          <w:szCs w:val="24"/>
        </w:rPr>
        <w:t xml:space="preserve"> </w:t>
      </w:r>
      <w:r>
        <w:rPr>
          <w:sz w:val="24"/>
          <w:szCs w:val="24"/>
        </w:rPr>
        <w:t>0.02(</w:t>
      </w:r>
      <w:r w:rsidRPr="00A334AB">
        <w:rPr>
          <w:i/>
          <w:iCs/>
          <w:sz w:val="24"/>
          <w:szCs w:val="24"/>
        </w:rPr>
        <w:t>d</w:t>
      </w:r>
      <w:r w:rsidRPr="00867356">
        <w:rPr>
          <w:sz w:val="24"/>
          <w:szCs w:val="24"/>
          <w:vertAlign w:val="subscript"/>
        </w:rPr>
        <w:t>it</w:t>
      </w:r>
      <w:r w:rsidRPr="00A334AB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) </w:t>
      </w:r>
      <w:r w:rsidRPr="00A334AB">
        <w:rPr>
          <w:sz w:val="24"/>
          <w:szCs w:val="24"/>
        </w:rPr>
        <w:t>+ u</w:t>
      </w:r>
      <w:r w:rsidRPr="00867356">
        <w:rPr>
          <w:sz w:val="24"/>
          <w:szCs w:val="24"/>
          <w:vertAlign w:val="subscript"/>
        </w:rPr>
        <w:t>it</w:t>
      </w:r>
      <w:r>
        <w:rPr>
          <w:sz w:val="24"/>
          <w:szCs w:val="24"/>
        </w:rPr>
        <w:t xml:space="preserve"> , with both estimates significant at p &lt; .001 </w:t>
      </w:r>
    </w:p>
  </w:footnote>
  <w:footnote w:id="2">
    <w:p w14:paraId="198F1A01" w14:textId="16EE895E" w:rsidR="00901538" w:rsidRPr="00901538" w:rsidRDefault="00901538">
      <w:pPr>
        <w:pStyle w:val="FootnoteText"/>
        <w:rPr>
          <w:sz w:val="24"/>
          <w:szCs w:val="24"/>
        </w:rPr>
      </w:pPr>
      <w:r w:rsidRPr="00901538">
        <w:rPr>
          <w:rStyle w:val="FootnoteReference"/>
          <w:sz w:val="24"/>
          <w:szCs w:val="24"/>
        </w:rPr>
        <w:footnoteRef/>
      </w:r>
      <w:r w:rsidRPr="00901538">
        <w:rPr>
          <w:sz w:val="24"/>
          <w:szCs w:val="24"/>
        </w:rPr>
        <w:t xml:space="preserve"> </w:t>
      </w:r>
      <w:r w:rsidR="006264B5">
        <w:rPr>
          <w:sz w:val="24"/>
          <w:szCs w:val="24"/>
        </w:rPr>
        <w:t>To facilitate the estimation</w:t>
      </w:r>
      <w:r>
        <w:rPr>
          <w:sz w:val="24"/>
          <w:szCs w:val="24"/>
        </w:rPr>
        <w:t xml:space="preserve">, we do not bootstrap the standard errors in models </w:t>
      </w:r>
      <w:r w:rsidR="000F2385">
        <w:rPr>
          <w:sz w:val="24"/>
          <w:szCs w:val="24"/>
        </w:rPr>
        <w:t>S</w:t>
      </w:r>
      <w:r>
        <w:rPr>
          <w:sz w:val="24"/>
          <w:szCs w:val="24"/>
        </w:rPr>
        <w:t xml:space="preserve">6.1 and </w:t>
      </w:r>
      <w:r w:rsidR="000F2385">
        <w:rPr>
          <w:sz w:val="24"/>
          <w:szCs w:val="24"/>
        </w:rPr>
        <w:t>S</w:t>
      </w:r>
      <w:r>
        <w:rPr>
          <w:sz w:val="24"/>
          <w:szCs w:val="24"/>
        </w:rPr>
        <w:t xml:space="preserve">6.2, since the p-values for individual coefficients are not particularly informative.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2"/>
    <w:rsid w:val="000017FA"/>
    <w:rsid w:val="00002097"/>
    <w:rsid w:val="00003B2D"/>
    <w:rsid w:val="00010B2C"/>
    <w:rsid w:val="00014B2D"/>
    <w:rsid w:val="00036DEB"/>
    <w:rsid w:val="00070E20"/>
    <w:rsid w:val="00074C02"/>
    <w:rsid w:val="00082C1F"/>
    <w:rsid w:val="000905F0"/>
    <w:rsid w:val="000C7109"/>
    <w:rsid w:val="000D6290"/>
    <w:rsid w:val="000F2385"/>
    <w:rsid w:val="000F7EC8"/>
    <w:rsid w:val="001066C8"/>
    <w:rsid w:val="001305EB"/>
    <w:rsid w:val="00131695"/>
    <w:rsid w:val="001320D6"/>
    <w:rsid w:val="001348D7"/>
    <w:rsid w:val="00136CB1"/>
    <w:rsid w:val="00147566"/>
    <w:rsid w:val="001604E2"/>
    <w:rsid w:val="00185774"/>
    <w:rsid w:val="00204667"/>
    <w:rsid w:val="00236D02"/>
    <w:rsid w:val="00236EA8"/>
    <w:rsid w:val="002651B8"/>
    <w:rsid w:val="00281DED"/>
    <w:rsid w:val="00286746"/>
    <w:rsid w:val="002A2FF4"/>
    <w:rsid w:val="002B7210"/>
    <w:rsid w:val="002C20B4"/>
    <w:rsid w:val="00315FE6"/>
    <w:rsid w:val="0032748B"/>
    <w:rsid w:val="00390BE0"/>
    <w:rsid w:val="003A14AE"/>
    <w:rsid w:val="003A5C8D"/>
    <w:rsid w:val="003B7231"/>
    <w:rsid w:val="003E3871"/>
    <w:rsid w:val="003F0491"/>
    <w:rsid w:val="003F3DCF"/>
    <w:rsid w:val="003F4166"/>
    <w:rsid w:val="0040054B"/>
    <w:rsid w:val="00417CB2"/>
    <w:rsid w:val="00424C2F"/>
    <w:rsid w:val="00431E3A"/>
    <w:rsid w:val="00444C9F"/>
    <w:rsid w:val="004A7CA1"/>
    <w:rsid w:val="004B36EA"/>
    <w:rsid w:val="004C1347"/>
    <w:rsid w:val="004D34BF"/>
    <w:rsid w:val="004E7147"/>
    <w:rsid w:val="00511657"/>
    <w:rsid w:val="005840EA"/>
    <w:rsid w:val="00585044"/>
    <w:rsid w:val="00585148"/>
    <w:rsid w:val="005D41BB"/>
    <w:rsid w:val="005E232D"/>
    <w:rsid w:val="005F2370"/>
    <w:rsid w:val="006264B5"/>
    <w:rsid w:val="00640B37"/>
    <w:rsid w:val="00645FB2"/>
    <w:rsid w:val="0067018F"/>
    <w:rsid w:val="00697988"/>
    <w:rsid w:val="006A1A6C"/>
    <w:rsid w:val="006A7068"/>
    <w:rsid w:val="006C7213"/>
    <w:rsid w:val="0072319C"/>
    <w:rsid w:val="007445D8"/>
    <w:rsid w:val="007944BA"/>
    <w:rsid w:val="007A1FAF"/>
    <w:rsid w:val="007A55C8"/>
    <w:rsid w:val="007B3C88"/>
    <w:rsid w:val="007C4D87"/>
    <w:rsid w:val="007F67C1"/>
    <w:rsid w:val="00800F19"/>
    <w:rsid w:val="00806A95"/>
    <w:rsid w:val="00842E6D"/>
    <w:rsid w:val="00867356"/>
    <w:rsid w:val="0088548B"/>
    <w:rsid w:val="00895782"/>
    <w:rsid w:val="008A2A09"/>
    <w:rsid w:val="008A51C0"/>
    <w:rsid w:val="008B47B4"/>
    <w:rsid w:val="008D69E7"/>
    <w:rsid w:val="00901538"/>
    <w:rsid w:val="00903E10"/>
    <w:rsid w:val="00907B13"/>
    <w:rsid w:val="0094653E"/>
    <w:rsid w:val="00950323"/>
    <w:rsid w:val="00960F59"/>
    <w:rsid w:val="0096372C"/>
    <w:rsid w:val="00973AAB"/>
    <w:rsid w:val="009A0BFD"/>
    <w:rsid w:val="009D0ECF"/>
    <w:rsid w:val="009E1324"/>
    <w:rsid w:val="00A334AB"/>
    <w:rsid w:val="00A42312"/>
    <w:rsid w:val="00A537DB"/>
    <w:rsid w:val="00A82DAD"/>
    <w:rsid w:val="00A93729"/>
    <w:rsid w:val="00AB6A88"/>
    <w:rsid w:val="00AD28C5"/>
    <w:rsid w:val="00AF5FA6"/>
    <w:rsid w:val="00B12A77"/>
    <w:rsid w:val="00B16452"/>
    <w:rsid w:val="00B24D3C"/>
    <w:rsid w:val="00B263E8"/>
    <w:rsid w:val="00B26625"/>
    <w:rsid w:val="00B32435"/>
    <w:rsid w:val="00B37D9D"/>
    <w:rsid w:val="00B70D14"/>
    <w:rsid w:val="00BA6215"/>
    <w:rsid w:val="00BC4A77"/>
    <w:rsid w:val="00C2015E"/>
    <w:rsid w:val="00C3178B"/>
    <w:rsid w:val="00C3489F"/>
    <w:rsid w:val="00C5650A"/>
    <w:rsid w:val="00C72E02"/>
    <w:rsid w:val="00CC438A"/>
    <w:rsid w:val="00CC568D"/>
    <w:rsid w:val="00CD344C"/>
    <w:rsid w:val="00D02488"/>
    <w:rsid w:val="00D35D4E"/>
    <w:rsid w:val="00D6548A"/>
    <w:rsid w:val="00DA6C2E"/>
    <w:rsid w:val="00DA6D1E"/>
    <w:rsid w:val="00DC1CD2"/>
    <w:rsid w:val="00DF7636"/>
    <w:rsid w:val="00E06864"/>
    <w:rsid w:val="00E127D7"/>
    <w:rsid w:val="00E31752"/>
    <w:rsid w:val="00E53BCF"/>
    <w:rsid w:val="00E626E0"/>
    <w:rsid w:val="00E65DA1"/>
    <w:rsid w:val="00E67438"/>
    <w:rsid w:val="00E720FC"/>
    <w:rsid w:val="00E82542"/>
    <w:rsid w:val="00E96B00"/>
    <w:rsid w:val="00EA541A"/>
    <w:rsid w:val="00EB60AC"/>
    <w:rsid w:val="00ED6FD9"/>
    <w:rsid w:val="00EE30DF"/>
    <w:rsid w:val="00EF3E0C"/>
    <w:rsid w:val="00F1698B"/>
    <w:rsid w:val="00F261DB"/>
    <w:rsid w:val="00F34A21"/>
    <w:rsid w:val="00F45ECB"/>
    <w:rsid w:val="00F62776"/>
    <w:rsid w:val="00F77DD2"/>
    <w:rsid w:val="00F87D05"/>
    <w:rsid w:val="00F950EB"/>
    <w:rsid w:val="00FA0F22"/>
    <w:rsid w:val="00FA5344"/>
    <w:rsid w:val="00FD4096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1E79"/>
  <w15:chartTrackingRefBased/>
  <w15:docId w15:val="{3A72A524-BB0C-470C-92FC-C111780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C8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5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A55C8"/>
    <w:pPr>
      <w:spacing w:after="120" w:line="36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A55C8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A55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6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95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1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735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35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356"/>
    <w:rPr>
      <w:vertAlign w:val="superscript"/>
    </w:rPr>
  </w:style>
  <w:style w:type="paragraph" w:styleId="Revision">
    <w:name w:val="Revision"/>
    <w:hidden/>
    <w:uiPriority w:val="99"/>
    <w:semiHidden/>
    <w:rsid w:val="00CD344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2A7B-4F88-4BF1-86A4-90AED58D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Perez-Linan</dc:creator>
  <cp:keywords/>
  <dc:description/>
  <cp:lastModifiedBy>Anibal Perez-Linan</cp:lastModifiedBy>
  <cp:revision>130</cp:revision>
  <dcterms:created xsi:type="dcterms:W3CDTF">2022-10-20T14:24:00Z</dcterms:created>
  <dcterms:modified xsi:type="dcterms:W3CDTF">2025-05-10T16:30:00Z</dcterms:modified>
</cp:coreProperties>
</file>