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63D72D" w14:textId="6173EA41" w:rsidR="003174E1" w:rsidRPr="00577BC4" w:rsidRDefault="00AA638F" w:rsidP="003174E1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  <w:lang w:eastAsia="en-GB"/>
        </w:rPr>
      </w:pPr>
      <w:bookmarkStart w:id="0" w:name="_Hlk147413660"/>
      <w:r w:rsidRPr="00577BC4">
        <w:rPr>
          <w:rFonts w:ascii="Garamond" w:eastAsia="Times New Roman" w:hAnsi="Garamond" w:cs="Times New Roman"/>
          <w:b/>
          <w:sz w:val="28"/>
          <w:szCs w:val="28"/>
          <w:lang w:eastAsia="en-GB"/>
        </w:rPr>
        <w:t>Regionally</w:t>
      </w:r>
      <w:r w:rsidR="00577BC4" w:rsidRPr="00577BC4">
        <w:rPr>
          <w:rFonts w:ascii="Garamond" w:eastAsia="Times New Roman" w:hAnsi="Garamond" w:cs="Times New Roman"/>
          <w:b/>
          <w:sz w:val="28"/>
          <w:szCs w:val="28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/>
          <w:sz w:val="28"/>
          <w:szCs w:val="28"/>
          <w:lang w:eastAsia="en-GB"/>
        </w:rPr>
        <w:t>Disaggregated</w:t>
      </w:r>
      <w:r w:rsidR="00577BC4" w:rsidRPr="00577BC4">
        <w:rPr>
          <w:rFonts w:ascii="Garamond" w:eastAsia="Times New Roman" w:hAnsi="Garamond" w:cs="Times New Roman"/>
          <w:b/>
          <w:sz w:val="28"/>
          <w:szCs w:val="28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/>
          <w:sz w:val="28"/>
          <w:szCs w:val="28"/>
          <w:lang w:eastAsia="en-GB"/>
        </w:rPr>
        <w:t>Country</w:t>
      </w:r>
      <w:r w:rsidR="00577BC4" w:rsidRPr="00577BC4">
        <w:rPr>
          <w:rFonts w:ascii="Garamond" w:eastAsia="Times New Roman" w:hAnsi="Garamond" w:cs="Times New Roman"/>
          <w:b/>
          <w:sz w:val="28"/>
          <w:szCs w:val="28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/>
          <w:sz w:val="28"/>
          <w:szCs w:val="28"/>
          <w:lang w:eastAsia="en-GB"/>
        </w:rPr>
        <w:t>Elections</w:t>
      </w:r>
      <w:r w:rsidR="00577BC4" w:rsidRPr="00577BC4">
        <w:rPr>
          <w:rFonts w:ascii="Garamond" w:eastAsia="Times New Roman" w:hAnsi="Garamond" w:cs="Times New Roman"/>
          <w:b/>
          <w:sz w:val="28"/>
          <w:szCs w:val="28"/>
          <w:lang w:eastAsia="en-GB"/>
        </w:rPr>
        <w:t xml:space="preserve"> </w:t>
      </w:r>
      <w:r w:rsidR="000728C1">
        <w:rPr>
          <w:rFonts w:ascii="Garamond" w:eastAsia="Times New Roman" w:hAnsi="Garamond" w:cs="Times New Roman"/>
          <w:b/>
          <w:sz w:val="28"/>
          <w:szCs w:val="28"/>
          <w:lang w:eastAsia="en-GB"/>
        </w:rPr>
        <w:t>D</w:t>
      </w:r>
      <w:r w:rsidRPr="00577BC4">
        <w:rPr>
          <w:rFonts w:ascii="Garamond" w:eastAsia="Times New Roman" w:hAnsi="Garamond" w:cs="Times New Roman"/>
          <w:b/>
          <w:sz w:val="28"/>
          <w:szCs w:val="28"/>
          <w:lang w:eastAsia="en-GB"/>
        </w:rPr>
        <w:t>ataset</w:t>
      </w:r>
      <w:r w:rsidR="00577BC4" w:rsidRPr="00577BC4">
        <w:rPr>
          <w:rFonts w:ascii="Garamond" w:eastAsia="Times New Roman" w:hAnsi="Garamond" w:cs="Times New Roman"/>
          <w:b/>
          <w:sz w:val="28"/>
          <w:szCs w:val="28"/>
          <w:lang w:eastAsia="en-GB"/>
        </w:rPr>
        <w:t xml:space="preserve"> </w:t>
      </w:r>
      <w:r w:rsidR="00907AAF" w:rsidRPr="00577BC4">
        <w:rPr>
          <w:rFonts w:ascii="Garamond" w:eastAsia="Times New Roman" w:hAnsi="Garamond" w:cs="Times New Roman"/>
          <w:b/>
          <w:sz w:val="28"/>
          <w:szCs w:val="28"/>
          <w:lang w:eastAsia="en-GB"/>
        </w:rPr>
        <w:t>(</w:t>
      </w:r>
      <w:r w:rsidR="001F5A0D" w:rsidRPr="00577BC4">
        <w:rPr>
          <w:rFonts w:ascii="Garamond" w:eastAsia="Times New Roman" w:hAnsi="Garamond" w:cs="Times New Roman"/>
          <w:b/>
          <w:sz w:val="28"/>
          <w:szCs w:val="28"/>
          <w:lang w:eastAsia="en-GB"/>
        </w:rPr>
        <w:t>RD|</w:t>
      </w:r>
      <w:r w:rsidR="00B16945" w:rsidRPr="00577BC4">
        <w:rPr>
          <w:rFonts w:ascii="Garamond" w:eastAsia="Times New Roman" w:hAnsi="Garamond" w:cs="Times New Roman"/>
          <w:b/>
          <w:sz w:val="28"/>
          <w:szCs w:val="28"/>
          <w:lang w:eastAsia="en-GB"/>
        </w:rPr>
        <w:t>C</w:t>
      </w:r>
      <w:r w:rsidR="001F5A0D" w:rsidRPr="00577BC4">
        <w:rPr>
          <w:rFonts w:ascii="Garamond" w:eastAsia="Times New Roman" w:hAnsi="Garamond" w:cs="Times New Roman"/>
          <w:b/>
          <w:sz w:val="28"/>
          <w:szCs w:val="28"/>
          <w:lang w:eastAsia="en-GB"/>
        </w:rPr>
        <w:t>ED</w:t>
      </w:r>
      <w:r w:rsidR="00907AAF" w:rsidRPr="00577BC4">
        <w:rPr>
          <w:rFonts w:ascii="Garamond" w:eastAsia="Times New Roman" w:hAnsi="Garamond" w:cs="Times New Roman"/>
          <w:b/>
          <w:sz w:val="28"/>
          <w:szCs w:val="28"/>
          <w:lang w:eastAsia="en-GB"/>
        </w:rPr>
        <w:t>)</w:t>
      </w:r>
    </w:p>
    <w:p w14:paraId="0C8B3EEE" w14:textId="54F9D52D" w:rsidR="00F42F2A" w:rsidRPr="00577BC4" w:rsidRDefault="00F42F2A" w:rsidP="003174E1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  <w:lang w:eastAsia="en-GB"/>
        </w:rPr>
      </w:pPr>
      <w:r w:rsidRPr="00577BC4">
        <w:rPr>
          <w:rFonts w:ascii="Garamond" w:eastAsia="Times New Roman" w:hAnsi="Garamond" w:cs="Times New Roman"/>
          <w:b/>
          <w:sz w:val="28"/>
          <w:szCs w:val="28"/>
          <w:lang w:eastAsia="en-GB"/>
        </w:rPr>
        <w:t>Codebook</w:t>
      </w:r>
    </w:p>
    <w:p w14:paraId="6F3137D9" w14:textId="77777777" w:rsidR="00F42F2A" w:rsidRPr="00577BC4" w:rsidRDefault="00F42F2A" w:rsidP="003174E1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  <w:lang w:eastAsia="en-GB"/>
        </w:rPr>
      </w:pPr>
    </w:p>
    <w:p w14:paraId="3E4370EC" w14:textId="1A29D572" w:rsidR="001F5A0D" w:rsidRPr="00577BC4" w:rsidRDefault="000B1917" w:rsidP="003174E1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  <w:lang w:eastAsia="en-GB"/>
        </w:rPr>
      </w:pPr>
      <w:r w:rsidRPr="00577BC4">
        <w:rPr>
          <w:rFonts w:ascii="Garamond" w:eastAsia="Times New Roman" w:hAnsi="Garamond" w:cs="Times New Roman"/>
          <w:b/>
          <w:sz w:val="28"/>
          <w:szCs w:val="28"/>
          <w:lang w:eastAsia="en-GB"/>
        </w:rPr>
        <w:t>Version</w:t>
      </w:r>
      <w:r w:rsidR="00577BC4" w:rsidRPr="00577BC4">
        <w:rPr>
          <w:rFonts w:ascii="Garamond" w:eastAsia="Times New Roman" w:hAnsi="Garamond" w:cs="Times New Roman"/>
          <w:b/>
          <w:sz w:val="28"/>
          <w:szCs w:val="28"/>
          <w:lang w:eastAsia="en-GB"/>
        </w:rPr>
        <w:t xml:space="preserve"> </w:t>
      </w:r>
      <w:r w:rsidR="001F5A0D" w:rsidRPr="00577BC4">
        <w:rPr>
          <w:rFonts w:ascii="Garamond" w:eastAsia="Times New Roman" w:hAnsi="Garamond" w:cs="Times New Roman"/>
          <w:b/>
          <w:sz w:val="28"/>
          <w:szCs w:val="28"/>
          <w:lang w:eastAsia="en-GB"/>
        </w:rPr>
        <w:t>202</w:t>
      </w:r>
      <w:r w:rsidR="007402F5" w:rsidRPr="00577BC4">
        <w:rPr>
          <w:rFonts w:ascii="Garamond" w:eastAsia="Times New Roman" w:hAnsi="Garamond" w:cs="Times New Roman"/>
          <w:b/>
          <w:sz w:val="28"/>
          <w:szCs w:val="28"/>
          <w:lang w:eastAsia="en-GB"/>
        </w:rPr>
        <w:t>4</w:t>
      </w:r>
    </w:p>
    <w:p w14:paraId="7A17C33F" w14:textId="77777777" w:rsidR="008C34EE" w:rsidRPr="00577BC4" w:rsidRDefault="008C34EE" w:rsidP="000B1917">
      <w:pPr>
        <w:spacing w:after="0" w:line="240" w:lineRule="auto"/>
        <w:jc w:val="center"/>
        <w:rPr>
          <w:rFonts w:ascii="Garamond" w:eastAsia="Times New Roman" w:hAnsi="Garamond" w:cs="Times New Roman"/>
          <w:sz w:val="28"/>
          <w:szCs w:val="28"/>
          <w:lang w:eastAsia="en-GB"/>
        </w:rPr>
      </w:pPr>
      <w:bookmarkStart w:id="1" w:name="_Hlk169010806"/>
    </w:p>
    <w:p w14:paraId="7CAA4071" w14:textId="026895E2" w:rsidR="008C34EE" w:rsidRPr="00577BC4" w:rsidRDefault="008C34EE" w:rsidP="000B1917">
      <w:pPr>
        <w:spacing w:after="0" w:line="240" w:lineRule="auto"/>
        <w:jc w:val="center"/>
        <w:rPr>
          <w:rFonts w:ascii="Garamond" w:eastAsia="Times New Roman" w:hAnsi="Garamond" w:cs="Times New Roman"/>
          <w:sz w:val="28"/>
          <w:szCs w:val="28"/>
          <w:lang w:eastAsia="en-GB"/>
        </w:rPr>
      </w:pPr>
      <w:r w:rsidRPr="00577BC4">
        <w:rPr>
          <w:rFonts w:ascii="Garamond" w:eastAsia="Times New Roman" w:hAnsi="Garamond" w:cs="Times New Roman"/>
          <w:sz w:val="28"/>
          <w:szCs w:val="28"/>
          <w:lang w:eastAsia="en-GB"/>
        </w:rPr>
        <w:t>Published</w:t>
      </w:r>
      <w:r w:rsidR="00577BC4" w:rsidRPr="00577BC4">
        <w:rPr>
          <w:rFonts w:ascii="Garamond" w:eastAsia="Times New Roman" w:hAnsi="Garamond" w:cs="Times New Roman"/>
          <w:sz w:val="28"/>
          <w:szCs w:val="28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sz w:val="28"/>
          <w:szCs w:val="28"/>
          <w:lang w:eastAsia="en-GB"/>
        </w:rPr>
        <w:t>together</w:t>
      </w:r>
      <w:r w:rsidR="00577BC4" w:rsidRPr="00577BC4">
        <w:rPr>
          <w:rFonts w:ascii="Garamond" w:eastAsia="Times New Roman" w:hAnsi="Garamond" w:cs="Times New Roman"/>
          <w:sz w:val="28"/>
          <w:szCs w:val="28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sz w:val="28"/>
          <w:szCs w:val="28"/>
          <w:lang w:eastAsia="en-GB"/>
        </w:rPr>
        <w:t>with</w:t>
      </w:r>
      <w:r w:rsidR="00577BC4" w:rsidRPr="00577BC4">
        <w:rPr>
          <w:rFonts w:ascii="Garamond" w:eastAsia="Times New Roman" w:hAnsi="Garamond" w:cs="Times New Roman"/>
          <w:sz w:val="28"/>
          <w:szCs w:val="28"/>
          <w:lang w:eastAsia="en-GB"/>
        </w:rPr>
        <w:t xml:space="preserve"> </w:t>
      </w:r>
      <w:r w:rsidR="000B1917" w:rsidRPr="00577BC4">
        <w:rPr>
          <w:rFonts w:ascii="Garamond" w:eastAsia="Times New Roman" w:hAnsi="Garamond" w:cs="Times New Roman"/>
          <w:sz w:val="28"/>
          <w:szCs w:val="28"/>
          <w:lang w:eastAsia="en-GB"/>
        </w:rPr>
        <w:br/>
      </w:r>
      <w:r w:rsidRPr="00577BC4">
        <w:rPr>
          <w:rFonts w:ascii="Garamond" w:eastAsia="Times New Roman" w:hAnsi="Garamond" w:cs="Times New Roman"/>
          <w:sz w:val="28"/>
          <w:szCs w:val="28"/>
          <w:lang w:eastAsia="en-GB"/>
        </w:rPr>
        <w:t>“Studying</w:t>
      </w:r>
      <w:r w:rsidR="00577BC4" w:rsidRPr="00577BC4">
        <w:rPr>
          <w:rFonts w:ascii="Garamond" w:eastAsia="Times New Roman" w:hAnsi="Garamond" w:cs="Times New Roman"/>
          <w:sz w:val="28"/>
          <w:szCs w:val="28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sz w:val="28"/>
          <w:szCs w:val="28"/>
          <w:lang w:eastAsia="en-GB"/>
        </w:rPr>
        <w:t>multi-level</w:t>
      </w:r>
      <w:r w:rsidR="00577BC4" w:rsidRPr="00577BC4">
        <w:rPr>
          <w:rFonts w:ascii="Garamond" w:eastAsia="Times New Roman" w:hAnsi="Garamond" w:cs="Times New Roman"/>
          <w:sz w:val="28"/>
          <w:szCs w:val="28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sz w:val="28"/>
          <w:szCs w:val="28"/>
          <w:lang w:eastAsia="en-GB"/>
        </w:rPr>
        <w:t>systems</w:t>
      </w:r>
      <w:r w:rsidR="00577BC4" w:rsidRPr="00577BC4">
        <w:rPr>
          <w:rFonts w:ascii="Garamond" w:eastAsia="Times New Roman" w:hAnsi="Garamond" w:cs="Times New Roman"/>
          <w:sz w:val="28"/>
          <w:szCs w:val="28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sz w:val="28"/>
          <w:szCs w:val="28"/>
          <w:lang w:eastAsia="en-GB"/>
        </w:rPr>
        <w:t>with</w:t>
      </w:r>
      <w:r w:rsidR="00577BC4" w:rsidRPr="00577BC4">
        <w:rPr>
          <w:rFonts w:ascii="Garamond" w:eastAsia="Times New Roman" w:hAnsi="Garamond" w:cs="Times New Roman"/>
          <w:sz w:val="28"/>
          <w:szCs w:val="28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sz w:val="28"/>
          <w:szCs w:val="28"/>
          <w:lang w:eastAsia="en-GB"/>
        </w:rPr>
        <w:t>cross-level</w:t>
      </w:r>
      <w:r w:rsidR="00577BC4" w:rsidRPr="00577BC4">
        <w:rPr>
          <w:rFonts w:ascii="Garamond" w:eastAsia="Times New Roman" w:hAnsi="Garamond" w:cs="Times New Roman"/>
          <w:sz w:val="28"/>
          <w:szCs w:val="28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sz w:val="28"/>
          <w:szCs w:val="28"/>
          <w:lang w:eastAsia="en-GB"/>
        </w:rPr>
        <w:t>data:</w:t>
      </w:r>
      <w:r w:rsidR="00577BC4" w:rsidRPr="00577BC4">
        <w:rPr>
          <w:rFonts w:ascii="Garamond" w:eastAsia="Times New Roman" w:hAnsi="Garamond" w:cs="Times New Roman"/>
          <w:sz w:val="28"/>
          <w:szCs w:val="28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sz w:val="28"/>
          <w:szCs w:val="28"/>
          <w:lang w:eastAsia="en-GB"/>
        </w:rPr>
        <w:t>Introducing</w:t>
      </w:r>
      <w:r w:rsidR="00577BC4" w:rsidRPr="00577BC4">
        <w:rPr>
          <w:rFonts w:ascii="Garamond" w:eastAsia="Times New Roman" w:hAnsi="Garamond" w:cs="Times New Roman"/>
          <w:sz w:val="28"/>
          <w:szCs w:val="28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sz w:val="28"/>
          <w:szCs w:val="28"/>
          <w:lang w:eastAsia="en-GB"/>
        </w:rPr>
        <w:t>three</w:t>
      </w:r>
      <w:r w:rsidR="00577BC4" w:rsidRPr="00577BC4">
        <w:rPr>
          <w:rFonts w:ascii="Garamond" w:eastAsia="Times New Roman" w:hAnsi="Garamond" w:cs="Times New Roman"/>
          <w:sz w:val="28"/>
          <w:szCs w:val="28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sz w:val="28"/>
          <w:szCs w:val="28"/>
          <w:lang w:eastAsia="en-GB"/>
        </w:rPr>
        <w:t>integrated</w:t>
      </w:r>
      <w:r w:rsidR="00577BC4" w:rsidRPr="00577BC4">
        <w:rPr>
          <w:rFonts w:ascii="Garamond" w:eastAsia="Times New Roman" w:hAnsi="Garamond" w:cs="Times New Roman"/>
          <w:sz w:val="28"/>
          <w:szCs w:val="28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sz w:val="28"/>
          <w:szCs w:val="28"/>
          <w:lang w:eastAsia="en-GB"/>
        </w:rPr>
        <w:t>datasets”</w:t>
      </w:r>
    </w:p>
    <w:p w14:paraId="3ADDD108" w14:textId="21BA2644" w:rsidR="008C34EE" w:rsidRPr="00577BC4" w:rsidRDefault="008C34EE" w:rsidP="000B1917">
      <w:pPr>
        <w:spacing w:after="0" w:line="240" w:lineRule="auto"/>
        <w:jc w:val="center"/>
        <w:rPr>
          <w:rFonts w:ascii="Garamond" w:eastAsia="Times New Roman" w:hAnsi="Garamond" w:cs="Times New Roman"/>
          <w:sz w:val="28"/>
          <w:szCs w:val="28"/>
          <w:lang w:eastAsia="en-GB"/>
        </w:rPr>
      </w:pPr>
      <w:r w:rsidRPr="00577BC4">
        <w:rPr>
          <w:rFonts w:ascii="Garamond" w:eastAsia="Times New Roman" w:hAnsi="Garamond" w:cs="Times New Roman"/>
          <w:i/>
          <w:sz w:val="28"/>
          <w:szCs w:val="28"/>
          <w:lang w:eastAsia="en-GB"/>
        </w:rPr>
        <w:t>British</w:t>
      </w:r>
      <w:r w:rsidR="00577BC4" w:rsidRPr="00577BC4">
        <w:rPr>
          <w:rFonts w:ascii="Garamond" w:eastAsia="Times New Roman" w:hAnsi="Garamond" w:cs="Times New Roman"/>
          <w:i/>
          <w:sz w:val="28"/>
          <w:szCs w:val="28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i/>
          <w:sz w:val="28"/>
          <w:szCs w:val="28"/>
          <w:lang w:eastAsia="en-GB"/>
        </w:rPr>
        <w:t>Journal</w:t>
      </w:r>
      <w:r w:rsidR="00577BC4" w:rsidRPr="00577BC4">
        <w:rPr>
          <w:rFonts w:ascii="Garamond" w:eastAsia="Times New Roman" w:hAnsi="Garamond" w:cs="Times New Roman"/>
          <w:i/>
          <w:sz w:val="28"/>
          <w:szCs w:val="28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i/>
          <w:sz w:val="28"/>
          <w:szCs w:val="28"/>
          <w:lang w:eastAsia="en-GB"/>
        </w:rPr>
        <w:t>of</w:t>
      </w:r>
      <w:r w:rsidR="00577BC4" w:rsidRPr="00577BC4">
        <w:rPr>
          <w:rFonts w:ascii="Garamond" w:eastAsia="Times New Roman" w:hAnsi="Garamond" w:cs="Times New Roman"/>
          <w:i/>
          <w:sz w:val="28"/>
          <w:szCs w:val="28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i/>
          <w:sz w:val="28"/>
          <w:szCs w:val="28"/>
          <w:lang w:eastAsia="en-GB"/>
        </w:rPr>
        <w:t>Political</w:t>
      </w:r>
      <w:r w:rsidR="00577BC4" w:rsidRPr="00577BC4">
        <w:rPr>
          <w:rFonts w:ascii="Garamond" w:eastAsia="Times New Roman" w:hAnsi="Garamond" w:cs="Times New Roman"/>
          <w:i/>
          <w:sz w:val="28"/>
          <w:szCs w:val="28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i/>
          <w:sz w:val="28"/>
          <w:szCs w:val="28"/>
          <w:lang w:eastAsia="en-GB"/>
        </w:rPr>
        <w:t>Science</w:t>
      </w:r>
    </w:p>
    <w:p w14:paraId="2D891620" w14:textId="77777777" w:rsidR="000B1917" w:rsidRPr="00577BC4" w:rsidRDefault="000B1917" w:rsidP="000B1917">
      <w:pPr>
        <w:spacing w:after="0" w:line="240" w:lineRule="auto"/>
        <w:jc w:val="center"/>
        <w:rPr>
          <w:rFonts w:ascii="Garamond" w:eastAsia="Times New Roman" w:hAnsi="Garamond" w:cs="Times New Roman"/>
          <w:sz w:val="28"/>
          <w:szCs w:val="28"/>
          <w:lang w:eastAsia="en-GB"/>
        </w:rPr>
      </w:pPr>
    </w:p>
    <w:p w14:paraId="6AA8F120" w14:textId="621FDCE0" w:rsidR="008C34EE" w:rsidRPr="00577BC4" w:rsidRDefault="008C34EE" w:rsidP="000B1917">
      <w:pPr>
        <w:spacing w:after="0" w:line="240" w:lineRule="auto"/>
        <w:jc w:val="center"/>
        <w:rPr>
          <w:rFonts w:ascii="Garamond" w:eastAsia="Times New Roman" w:hAnsi="Garamond" w:cs="Times New Roman"/>
          <w:sz w:val="28"/>
          <w:szCs w:val="28"/>
          <w:lang w:eastAsia="en-GB"/>
        </w:rPr>
      </w:pPr>
      <w:r w:rsidRPr="00577BC4">
        <w:rPr>
          <w:rFonts w:ascii="Garamond" w:eastAsia="Times New Roman" w:hAnsi="Garamond" w:cs="Times New Roman"/>
          <w:sz w:val="28"/>
          <w:szCs w:val="28"/>
          <w:lang w:eastAsia="en-GB"/>
        </w:rPr>
        <w:t>Leonce</w:t>
      </w:r>
      <w:r w:rsidR="00577BC4" w:rsidRPr="00577BC4">
        <w:rPr>
          <w:rFonts w:ascii="Garamond" w:eastAsia="Times New Roman" w:hAnsi="Garamond" w:cs="Times New Roman"/>
          <w:sz w:val="28"/>
          <w:szCs w:val="28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sz w:val="28"/>
          <w:szCs w:val="28"/>
          <w:lang w:eastAsia="en-GB"/>
        </w:rPr>
        <w:t>Röth</w:t>
      </w:r>
      <w:proofErr w:type="spellEnd"/>
      <w:r w:rsidRPr="00577BC4">
        <w:rPr>
          <w:rFonts w:ascii="Garamond" w:eastAsia="Times New Roman" w:hAnsi="Garamond" w:cs="Times New Roman"/>
          <w:sz w:val="28"/>
          <w:szCs w:val="28"/>
          <w:lang w:eastAsia="en-GB"/>
        </w:rPr>
        <w:t>,</w:t>
      </w:r>
      <w:r w:rsidR="00577BC4" w:rsidRPr="00577BC4">
        <w:rPr>
          <w:rFonts w:ascii="Garamond" w:eastAsia="Times New Roman" w:hAnsi="Garamond" w:cs="Times New Roman"/>
          <w:sz w:val="28"/>
          <w:szCs w:val="28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sz w:val="28"/>
          <w:szCs w:val="28"/>
          <w:lang w:eastAsia="en-GB"/>
        </w:rPr>
        <w:t>Daniel</w:t>
      </w:r>
      <w:r w:rsidR="00577BC4" w:rsidRPr="00577BC4">
        <w:rPr>
          <w:rFonts w:ascii="Garamond" w:eastAsia="Times New Roman" w:hAnsi="Garamond" w:cs="Times New Roman"/>
          <w:sz w:val="28"/>
          <w:szCs w:val="28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sz w:val="28"/>
          <w:szCs w:val="28"/>
          <w:lang w:eastAsia="en-GB"/>
        </w:rPr>
        <w:t>Saldivia</w:t>
      </w:r>
      <w:proofErr w:type="spellEnd"/>
      <w:r w:rsidR="00577BC4" w:rsidRPr="00577BC4">
        <w:rPr>
          <w:rFonts w:ascii="Garamond" w:eastAsia="Times New Roman" w:hAnsi="Garamond" w:cs="Times New Roman"/>
          <w:sz w:val="28"/>
          <w:szCs w:val="28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sz w:val="28"/>
          <w:szCs w:val="28"/>
          <w:lang w:eastAsia="en-GB"/>
        </w:rPr>
        <w:t>Gonzatti</w:t>
      </w:r>
      <w:proofErr w:type="spellEnd"/>
      <w:r w:rsidRPr="00577BC4">
        <w:rPr>
          <w:rFonts w:ascii="Garamond" w:eastAsia="Times New Roman" w:hAnsi="Garamond" w:cs="Times New Roman"/>
          <w:sz w:val="28"/>
          <w:szCs w:val="28"/>
          <w:lang w:eastAsia="en-GB"/>
        </w:rPr>
        <w:t>,</w:t>
      </w:r>
      <w:r w:rsidR="00577BC4" w:rsidRPr="00577BC4">
        <w:rPr>
          <w:rFonts w:ascii="Garamond" w:eastAsia="Times New Roman" w:hAnsi="Garamond" w:cs="Times New Roman"/>
          <w:sz w:val="28"/>
          <w:szCs w:val="28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sz w:val="28"/>
          <w:szCs w:val="28"/>
          <w:lang w:eastAsia="en-GB"/>
        </w:rPr>
        <w:t>Lea</w:t>
      </w:r>
      <w:r w:rsidR="00577BC4" w:rsidRPr="00577BC4">
        <w:rPr>
          <w:rFonts w:ascii="Garamond" w:eastAsia="Times New Roman" w:hAnsi="Garamond" w:cs="Times New Roman"/>
          <w:sz w:val="28"/>
          <w:szCs w:val="28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sz w:val="28"/>
          <w:szCs w:val="28"/>
          <w:lang w:eastAsia="en-GB"/>
        </w:rPr>
        <w:t>Kaftan,</w:t>
      </w:r>
      <w:r w:rsidR="00577BC4" w:rsidRPr="00577BC4">
        <w:rPr>
          <w:rFonts w:ascii="Garamond" w:eastAsia="Times New Roman" w:hAnsi="Garamond" w:cs="Times New Roman"/>
          <w:sz w:val="28"/>
          <w:szCs w:val="28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sz w:val="28"/>
          <w:szCs w:val="28"/>
          <w:lang w:eastAsia="en-GB"/>
        </w:rPr>
        <w:t>André</w:t>
      </w:r>
      <w:r w:rsidR="00577BC4" w:rsidRPr="00577BC4">
        <w:rPr>
          <w:rFonts w:ascii="Garamond" w:eastAsia="Times New Roman" w:hAnsi="Garamond" w:cs="Times New Roman"/>
          <w:sz w:val="28"/>
          <w:szCs w:val="28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sz w:val="28"/>
          <w:szCs w:val="28"/>
          <w:lang w:eastAsia="en-GB"/>
        </w:rPr>
        <w:t>Kaiser</w:t>
      </w:r>
    </w:p>
    <w:p w14:paraId="6E3754EE" w14:textId="77777777" w:rsidR="008C34EE" w:rsidRPr="00577BC4" w:rsidRDefault="008C34EE" w:rsidP="008C34EE">
      <w:pPr>
        <w:spacing w:after="0" w:line="240" w:lineRule="auto"/>
        <w:rPr>
          <w:rFonts w:ascii="Garamond" w:eastAsia="Times New Roman" w:hAnsi="Garamond" w:cs="Times New Roman"/>
          <w:b/>
          <w:sz w:val="28"/>
          <w:szCs w:val="28"/>
          <w:lang w:eastAsia="en-GB"/>
        </w:rPr>
      </w:pPr>
    </w:p>
    <w:p w14:paraId="075F9D07" w14:textId="77777777" w:rsidR="008C34EE" w:rsidRPr="00577BC4" w:rsidRDefault="008C34EE" w:rsidP="008C34EE">
      <w:pPr>
        <w:spacing w:after="0" w:line="240" w:lineRule="auto"/>
        <w:rPr>
          <w:rFonts w:ascii="Garamond" w:eastAsia="Times New Roman" w:hAnsi="Garamond" w:cs="Times New Roman"/>
          <w:b/>
          <w:sz w:val="28"/>
          <w:szCs w:val="28"/>
          <w:lang w:eastAsia="en-GB"/>
        </w:rPr>
      </w:pPr>
    </w:p>
    <w:p w14:paraId="0216792B" w14:textId="77777777" w:rsidR="00616D69" w:rsidRPr="00577BC4" w:rsidRDefault="00616D69" w:rsidP="008C34EE">
      <w:pPr>
        <w:spacing w:after="0" w:line="240" w:lineRule="auto"/>
        <w:rPr>
          <w:rFonts w:ascii="Garamond" w:eastAsia="Times New Roman" w:hAnsi="Garamond" w:cs="Times New Roman"/>
          <w:b/>
          <w:sz w:val="28"/>
          <w:szCs w:val="28"/>
          <w:lang w:eastAsia="en-GB"/>
        </w:rPr>
      </w:pPr>
    </w:p>
    <w:bookmarkEnd w:id="1"/>
    <w:p w14:paraId="3C4FE028" w14:textId="39A89F0B" w:rsidR="009F2C34" w:rsidRPr="00577BC4" w:rsidRDefault="009F2C34" w:rsidP="009F2C34">
      <w:pPr>
        <w:ind w:left="1440" w:hanging="1440"/>
        <w:jc w:val="both"/>
        <w:rPr>
          <w:rFonts w:ascii="Garamond" w:hAnsi="Garamond" w:cs="Times New Roman"/>
          <w:color w:val="222222"/>
          <w:shd w:val="clear" w:color="auto" w:fill="FFFFFF"/>
        </w:rPr>
      </w:pPr>
      <w:r w:rsidRPr="00577BC4">
        <w:rPr>
          <w:rFonts w:ascii="Garamond" w:eastAsia="Times New Roman" w:hAnsi="Garamond" w:cs="Times New Roman"/>
          <w:b/>
          <w:lang w:eastAsia="en-GB"/>
        </w:rPr>
        <w:t>Citation:</w:t>
      </w:r>
      <w:r w:rsidR="00577BC4" w:rsidRPr="00577BC4">
        <w:rPr>
          <w:rFonts w:ascii="Garamond" w:eastAsia="Times New Roman" w:hAnsi="Garamond" w:cs="Times New Roman"/>
          <w:b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/>
          <w:lang w:eastAsia="en-GB"/>
        </w:rPr>
        <w:tab/>
      </w:r>
      <w:r w:rsidR="00604C0B" w:rsidRPr="00577BC4">
        <w:rPr>
          <w:rFonts w:ascii="Garamond" w:hAnsi="Garamond" w:cs="Times New Roman"/>
          <w:i/>
          <w:color w:val="222222"/>
          <w:shd w:val="clear" w:color="auto" w:fill="FFFFFF"/>
        </w:rPr>
        <w:t>W</w:t>
      </w:r>
      <w:r w:rsidR="00F42F2A" w:rsidRPr="00577BC4">
        <w:rPr>
          <w:rFonts w:ascii="Garamond" w:hAnsi="Garamond" w:cs="Times New Roman"/>
          <w:i/>
          <w:color w:val="222222"/>
          <w:shd w:val="clear" w:color="auto" w:fill="FFFFFF"/>
        </w:rPr>
        <w:t>hen</w:t>
      </w:r>
      <w:r w:rsidR="00577BC4" w:rsidRPr="00577BC4">
        <w:rPr>
          <w:rFonts w:ascii="Garamond" w:hAnsi="Garamond" w:cs="Times New Roman"/>
          <w:i/>
          <w:color w:val="222222"/>
          <w:shd w:val="clear" w:color="auto" w:fill="FFFFFF"/>
        </w:rPr>
        <w:t xml:space="preserve"> </w:t>
      </w:r>
      <w:r w:rsidR="00F42F2A" w:rsidRPr="00577BC4">
        <w:rPr>
          <w:rFonts w:ascii="Garamond" w:hAnsi="Garamond" w:cs="Times New Roman"/>
          <w:i/>
          <w:color w:val="222222"/>
          <w:shd w:val="clear" w:color="auto" w:fill="FFFFFF"/>
        </w:rPr>
        <w:t>using</w:t>
      </w:r>
      <w:r w:rsidR="00577BC4" w:rsidRPr="00577BC4">
        <w:rPr>
          <w:rFonts w:ascii="Garamond" w:hAnsi="Garamond" w:cs="Times New Roman"/>
          <w:i/>
          <w:color w:val="222222"/>
          <w:shd w:val="clear" w:color="auto" w:fill="FFFFFF"/>
        </w:rPr>
        <w:t xml:space="preserve"> </w:t>
      </w:r>
      <w:r w:rsidR="00F42F2A" w:rsidRPr="00577BC4">
        <w:rPr>
          <w:rFonts w:ascii="Garamond" w:hAnsi="Garamond" w:cs="Times New Roman"/>
          <w:i/>
          <w:color w:val="222222"/>
          <w:shd w:val="clear" w:color="auto" w:fill="FFFFFF"/>
        </w:rPr>
        <w:t>our</w:t>
      </w:r>
      <w:r w:rsidR="00577BC4" w:rsidRPr="00577BC4">
        <w:rPr>
          <w:rFonts w:ascii="Garamond" w:hAnsi="Garamond" w:cs="Times New Roman"/>
          <w:i/>
          <w:color w:val="222222"/>
          <w:shd w:val="clear" w:color="auto" w:fill="FFFFFF"/>
        </w:rPr>
        <w:t xml:space="preserve"> </w:t>
      </w:r>
      <w:r w:rsidR="00F42F2A" w:rsidRPr="00577BC4">
        <w:rPr>
          <w:rFonts w:ascii="Garamond" w:hAnsi="Garamond" w:cs="Times New Roman"/>
          <w:i/>
          <w:color w:val="222222"/>
          <w:shd w:val="clear" w:color="auto" w:fill="FFFFFF"/>
        </w:rPr>
        <w:t>data</w:t>
      </w:r>
      <w:r w:rsidR="00604C0B" w:rsidRPr="00577BC4">
        <w:rPr>
          <w:rFonts w:ascii="Garamond" w:hAnsi="Garamond" w:cs="Times New Roman"/>
          <w:i/>
          <w:color w:val="222222"/>
          <w:shd w:val="clear" w:color="auto" w:fill="FFFFFF"/>
        </w:rPr>
        <w:t>,</w:t>
      </w:r>
      <w:r w:rsidR="00577BC4" w:rsidRPr="00577BC4">
        <w:rPr>
          <w:rFonts w:ascii="Garamond" w:hAnsi="Garamond" w:cs="Times New Roman"/>
          <w:i/>
          <w:color w:val="222222"/>
          <w:shd w:val="clear" w:color="auto" w:fill="FFFFFF"/>
        </w:rPr>
        <w:t xml:space="preserve"> </w:t>
      </w:r>
      <w:r w:rsidR="00604C0B" w:rsidRPr="00577BC4">
        <w:rPr>
          <w:rFonts w:ascii="Garamond" w:hAnsi="Garamond" w:cs="Times New Roman"/>
          <w:i/>
          <w:color w:val="222222"/>
          <w:shd w:val="clear" w:color="auto" w:fill="FFFFFF"/>
        </w:rPr>
        <w:t>please</w:t>
      </w:r>
      <w:r w:rsidR="00577BC4" w:rsidRPr="00577BC4">
        <w:rPr>
          <w:rFonts w:ascii="Garamond" w:hAnsi="Garamond" w:cs="Times New Roman"/>
          <w:i/>
          <w:color w:val="222222"/>
          <w:shd w:val="clear" w:color="auto" w:fill="FFFFFF"/>
        </w:rPr>
        <w:t xml:space="preserve"> </w:t>
      </w:r>
      <w:r w:rsidR="00604C0B" w:rsidRPr="00577BC4">
        <w:rPr>
          <w:rFonts w:ascii="Garamond" w:hAnsi="Garamond" w:cs="Times New Roman"/>
          <w:i/>
          <w:color w:val="222222"/>
          <w:shd w:val="clear" w:color="auto" w:fill="FFFFFF"/>
        </w:rPr>
        <w:t>cite</w:t>
      </w:r>
      <w:r w:rsidR="00577BC4" w:rsidRPr="00577BC4">
        <w:rPr>
          <w:rFonts w:ascii="Garamond" w:hAnsi="Garamond" w:cs="Times New Roman"/>
          <w:i/>
          <w:color w:val="222222"/>
          <w:shd w:val="clear" w:color="auto" w:fill="FFFFFF"/>
        </w:rPr>
        <w:t xml:space="preserve"> </w:t>
      </w:r>
      <w:r w:rsidR="00604C0B" w:rsidRPr="00577BC4">
        <w:rPr>
          <w:rFonts w:ascii="Garamond" w:hAnsi="Garamond" w:cs="Times New Roman"/>
          <w:i/>
          <w:color w:val="222222"/>
          <w:shd w:val="clear" w:color="auto" w:fill="FFFFFF"/>
        </w:rPr>
        <w:t>the</w:t>
      </w:r>
      <w:r w:rsidR="00577BC4" w:rsidRPr="00577BC4">
        <w:rPr>
          <w:rFonts w:ascii="Garamond" w:hAnsi="Garamond" w:cs="Times New Roman"/>
          <w:i/>
          <w:color w:val="222222"/>
          <w:shd w:val="clear" w:color="auto" w:fill="FFFFFF"/>
        </w:rPr>
        <w:t xml:space="preserve"> </w:t>
      </w:r>
      <w:r w:rsidR="00604C0B" w:rsidRPr="00577BC4">
        <w:rPr>
          <w:rFonts w:ascii="Garamond" w:hAnsi="Garamond" w:cs="Times New Roman"/>
          <w:i/>
          <w:color w:val="222222"/>
          <w:shd w:val="clear" w:color="auto" w:fill="FFFFFF"/>
        </w:rPr>
        <w:t>accompanying</w:t>
      </w:r>
      <w:r w:rsidR="00577BC4" w:rsidRPr="00577BC4">
        <w:rPr>
          <w:rFonts w:ascii="Garamond" w:hAnsi="Garamond" w:cs="Times New Roman"/>
          <w:i/>
          <w:color w:val="222222"/>
          <w:shd w:val="clear" w:color="auto" w:fill="FFFFFF"/>
        </w:rPr>
        <w:t xml:space="preserve"> </w:t>
      </w:r>
      <w:r w:rsidR="00604C0B" w:rsidRPr="00577BC4">
        <w:rPr>
          <w:rFonts w:ascii="Garamond" w:hAnsi="Garamond" w:cs="Times New Roman"/>
          <w:i/>
          <w:color w:val="222222"/>
          <w:shd w:val="clear" w:color="auto" w:fill="FFFFFF"/>
        </w:rPr>
        <w:t>BJPS</w:t>
      </w:r>
      <w:r w:rsidR="00577BC4" w:rsidRPr="00577BC4">
        <w:rPr>
          <w:rFonts w:ascii="Garamond" w:hAnsi="Garamond" w:cs="Times New Roman"/>
          <w:i/>
          <w:color w:val="222222"/>
          <w:shd w:val="clear" w:color="auto" w:fill="FFFFFF"/>
        </w:rPr>
        <w:t xml:space="preserve"> </w:t>
      </w:r>
      <w:r w:rsidR="00604C0B" w:rsidRPr="00577BC4">
        <w:rPr>
          <w:rFonts w:ascii="Garamond" w:hAnsi="Garamond" w:cs="Times New Roman"/>
          <w:i/>
          <w:color w:val="222222"/>
          <w:shd w:val="clear" w:color="auto" w:fill="FFFFFF"/>
        </w:rPr>
        <w:t>publication</w:t>
      </w:r>
      <w:r w:rsidR="00F42F2A" w:rsidRPr="00577BC4">
        <w:rPr>
          <w:rFonts w:ascii="Garamond" w:hAnsi="Garamond" w:cs="Times New Roman"/>
          <w:i/>
          <w:color w:val="222222"/>
          <w:shd w:val="clear" w:color="auto" w:fill="FFFFFF"/>
        </w:rPr>
        <w:t>:</w:t>
      </w:r>
      <w:r w:rsidR="00577BC4" w:rsidRPr="00577BC4">
        <w:rPr>
          <w:rFonts w:ascii="Garamond" w:hAnsi="Garamond" w:cs="Times New Roman"/>
          <w:i/>
          <w:color w:val="222222"/>
          <w:shd w:val="clear" w:color="auto" w:fill="FFFFFF"/>
        </w:rPr>
        <w:t xml:space="preserve"> </w:t>
      </w:r>
      <w:proofErr w:type="spellStart"/>
      <w:r w:rsidR="00F42F2A" w:rsidRPr="00577BC4">
        <w:rPr>
          <w:rFonts w:ascii="Garamond" w:hAnsi="Garamond" w:cs="Times New Roman"/>
          <w:color w:val="222222"/>
          <w:shd w:val="clear" w:color="auto" w:fill="FFFFFF"/>
        </w:rPr>
        <w:t>Röth</w:t>
      </w:r>
      <w:proofErr w:type="spellEnd"/>
      <w:r w:rsidR="00F42F2A" w:rsidRPr="00577BC4">
        <w:rPr>
          <w:rFonts w:ascii="Garamond" w:hAnsi="Garamond" w:cs="Times New Roman"/>
          <w:color w:val="222222"/>
          <w:shd w:val="clear" w:color="auto" w:fill="FFFFFF"/>
        </w:rPr>
        <w:t>,</w:t>
      </w:r>
      <w:r w:rsidR="00577BC4" w:rsidRPr="00577BC4">
        <w:rPr>
          <w:rFonts w:ascii="Garamond" w:hAnsi="Garamond" w:cs="Times New Roman"/>
          <w:color w:val="222222"/>
          <w:shd w:val="clear" w:color="auto" w:fill="FFFFFF"/>
        </w:rPr>
        <w:t xml:space="preserve"> </w:t>
      </w:r>
      <w:r w:rsidR="00F42F2A" w:rsidRPr="00577BC4">
        <w:rPr>
          <w:rFonts w:ascii="Garamond" w:hAnsi="Garamond" w:cs="Times New Roman"/>
          <w:color w:val="222222"/>
          <w:shd w:val="clear" w:color="auto" w:fill="FFFFFF"/>
        </w:rPr>
        <w:t>Leonce,</w:t>
      </w:r>
      <w:r w:rsidR="00577BC4" w:rsidRPr="00577BC4">
        <w:rPr>
          <w:rFonts w:ascii="Garamond" w:hAnsi="Garamond" w:cs="Times New Roman"/>
          <w:color w:val="222222"/>
          <w:shd w:val="clear" w:color="auto" w:fill="FFFFFF"/>
        </w:rPr>
        <w:t xml:space="preserve"> </w:t>
      </w:r>
      <w:r w:rsidR="00F42F2A" w:rsidRPr="00577BC4">
        <w:rPr>
          <w:rFonts w:ascii="Garamond" w:hAnsi="Garamond" w:cs="Times New Roman"/>
          <w:color w:val="222222"/>
          <w:shd w:val="clear" w:color="auto" w:fill="FFFFFF"/>
        </w:rPr>
        <w:t>Daniel</w:t>
      </w:r>
      <w:r w:rsidR="00577BC4" w:rsidRPr="00577BC4">
        <w:rPr>
          <w:rFonts w:ascii="Garamond" w:hAnsi="Garamond" w:cs="Times New Roman"/>
          <w:color w:val="222222"/>
          <w:shd w:val="clear" w:color="auto" w:fill="FFFFFF"/>
        </w:rPr>
        <w:t xml:space="preserve"> </w:t>
      </w:r>
      <w:r w:rsidR="00F42F2A" w:rsidRPr="00577BC4">
        <w:rPr>
          <w:rFonts w:ascii="Garamond" w:hAnsi="Garamond" w:cs="Times New Roman"/>
          <w:color w:val="222222"/>
          <w:shd w:val="clear" w:color="auto" w:fill="FFFFFF"/>
        </w:rPr>
        <w:t>Felipe</w:t>
      </w:r>
      <w:r w:rsidR="00577BC4" w:rsidRPr="00577BC4">
        <w:rPr>
          <w:rFonts w:ascii="Garamond" w:hAnsi="Garamond" w:cs="Times New Roman"/>
          <w:color w:val="222222"/>
          <w:shd w:val="clear" w:color="auto" w:fill="FFFFFF"/>
        </w:rPr>
        <w:t xml:space="preserve"> </w:t>
      </w:r>
      <w:proofErr w:type="spellStart"/>
      <w:r w:rsidR="00F42F2A" w:rsidRPr="00577BC4">
        <w:rPr>
          <w:rFonts w:ascii="Garamond" w:hAnsi="Garamond" w:cs="Times New Roman"/>
          <w:color w:val="222222"/>
          <w:shd w:val="clear" w:color="auto" w:fill="FFFFFF"/>
        </w:rPr>
        <w:t>Saldivia</w:t>
      </w:r>
      <w:proofErr w:type="spellEnd"/>
      <w:r w:rsidR="00577BC4" w:rsidRPr="00577BC4">
        <w:rPr>
          <w:rFonts w:ascii="Garamond" w:hAnsi="Garamond" w:cs="Times New Roman"/>
          <w:color w:val="222222"/>
          <w:shd w:val="clear" w:color="auto" w:fill="FFFFFF"/>
        </w:rPr>
        <w:t xml:space="preserve"> </w:t>
      </w:r>
      <w:proofErr w:type="spellStart"/>
      <w:r w:rsidR="00F42F2A" w:rsidRPr="00577BC4">
        <w:rPr>
          <w:rFonts w:ascii="Garamond" w:hAnsi="Garamond" w:cs="Times New Roman"/>
          <w:color w:val="222222"/>
          <w:shd w:val="clear" w:color="auto" w:fill="FFFFFF"/>
        </w:rPr>
        <w:t>Gonzatti</w:t>
      </w:r>
      <w:proofErr w:type="spellEnd"/>
      <w:r w:rsidR="00F42F2A" w:rsidRPr="00577BC4">
        <w:rPr>
          <w:rFonts w:ascii="Garamond" w:hAnsi="Garamond" w:cs="Times New Roman"/>
          <w:color w:val="222222"/>
          <w:shd w:val="clear" w:color="auto" w:fill="FFFFFF"/>
        </w:rPr>
        <w:t>,</w:t>
      </w:r>
      <w:r w:rsidR="00577BC4" w:rsidRPr="00577BC4">
        <w:rPr>
          <w:rFonts w:ascii="Garamond" w:hAnsi="Garamond" w:cs="Times New Roman"/>
          <w:color w:val="222222"/>
          <w:shd w:val="clear" w:color="auto" w:fill="FFFFFF"/>
        </w:rPr>
        <w:t xml:space="preserve"> </w:t>
      </w:r>
      <w:r w:rsidR="00F42F2A" w:rsidRPr="00577BC4">
        <w:rPr>
          <w:rFonts w:ascii="Garamond" w:hAnsi="Garamond" w:cs="Times New Roman"/>
          <w:color w:val="222222"/>
          <w:shd w:val="clear" w:color="auto" w:fill="FFFFFF"/>
        </w:rPr>
        <w:t>Lea</w:t>
      </w:r>
      <w:r w:rsidR="00577BC4" w:rsidRPr="00577BC4">
        <w:rPr>
          <w:rFonts w:ascii="Garamond" w:hAnsi="Garamond" w:cs="Times New Roman"/>
          <w:color w:val="222222"/>
          <w:shd w:val="clear" w:color="auto" w:fill="FFFFFF"/>
        </w:rPr>
        <w:t xml:space="preserve"> </w:t>
      </w:r>
      <w:r w:rsidR="00F42F2A" w:rsidRPr="00577BC4">
        <w:rPr>
          <w:rFonts w:ascii="Garamond" w:hAnsi="Garamond" w:cs="Times New Roman"/>
          <w:color w:val="222222"/>
          <w:shd w:val="clear" w:color="auto" w:fill="FFFFFF"/>
        </w:rPr>
        <w:t>Kaftan,</w:t>
      </w:r>
      <w:r w:rsidR="00577BC4" w:rsidRPr="00577BC4">
        <w:rPr>
          <w:rFonts w:ascii="Garamond" w:hAnsi="Garamond" w:cs="Times New Roman"/>
          <w:color w:val="222222"/>
          <w:shd w:val="clear" w:color="auto" w:fill="FFFFFF"/>
        </w:rPr>
        <w:t xml:space="preserve"> </w:t>
      </w:r>
      <w:r w:rsidR="00F42F2A" w:rsidRPr="00577BC4">
        <w:rPr>
          <w:rFonts w:ascii="Garamond" w:hAnsi="Garamond" w:cs="Times New Roman"/>
          <w:color w:val="222222"/>
          <w:shd w:val="clear" w:color="auto" w:fill="FFFFFF"/>
        </w:rPr>
        <w:t>André</w:t>
      </w:r>
      <w:r w:rsidR="00577BC4" w:rsidRPr="00577BC4">
        <w:rPr>
          <w:rFonts w:ascii="Garamond" w:hAnsi="Garamond" w:cs="Times New Roman"/>
          <w:color w:val="222222"/>
          <w:shd w:val="clear" w:color="auto" w:fill="FFFFFF"/>
        </w:rPr>
        <w:t xml:space="preserve"> </w:t>
      </w:r>
      <w:r w:rsidR="00F42F2A" w:rsidRPr="00577BC4">
        <w:rPr>
          <w:rFonts w:ascii="Garamond" w:hAnsi="Garamond" w:cs="Times New Roman"/>
          <w:color w:val="222222"/>
          <w:shd w:val="clear" w:color="auto" w:fill="FFFFFF"/>
        </w:rPr>
        <w:t>Kaiser</w:t>
      </w:r>
      <w:r w:rsidR="00577BC4" w:rsidRPr="00577BC4">
        <w:rPr>
          <w:rFonts w:ascii="Garamond" w:hAnsi="Garamond" w:cs="Times New Roman"/>
          <w:color w:val="222222"/>
          <w:shd w:val="clear" w:color="auto" w:fill="FFFFFF"/>
        </w:rPr>
        <w:t xml:space="preserve"> </w:t>
      </w:r>
      <w:r w:rsidR="00F42F2A" w:rsidRPr="00577BC4">
        <w:rPr>
          <w:rFonts w:ascii="Garamond" w:hAnsi="Garamond" w:cs="Times New Roman"/>
          <w:color w:val="222222"/>
          <w:shd w:val="clear" w:color="auto" w:fill="FFFFFF"/>
        </w:rPr>
        <w:t>(2024)</w:t>
      </w:r>
      <w:r w:rsidR="00577BC4" w:rsidRPr="00577BC4">
        <w:rPr>
          <w:rFonts w:ascii="Garamond" w:hAnsi="Garamond" w:cs="Times New Roman"/>
          <w:color w:val="222222"/>
          <w:shd w:val="clear" w:color="auto" w:fill="FFFFFF"/>
        </w:rPr>
        <w:t xml:space="preserve"> </w:t>
      </w:r>
      <w:r w:rsidR="00F42F2A" w:rsidRPr="00577BC4">
        <w:rPr>
          <w:rFonts w:ascii="Garamond" w:hAnsi="Garamond" w:cs="Times New Roman"/>
          <w:color w:val="222222"/>
          <w:shd w:val="clear" w:color="auto" w:fill="FFFFFF"/>
        </w:rPr>
        <w:t>Studying</w:t>
      </w:r>
      <w:r w:rsidR="00577BC4" w:rsidRPr="00577BC4">
        <w:rPr>
          <w:rFonts w:ascii="Garamond" w:hAnsi="Garamond" w:cs="Times New Roman"/>
          <w:color w:val="222222"/>
          <w:shd w:val="clear" w:color="auto" w:fill="FFFFFF"/>
        </w:rPr>
        <w:t xml:space="preserve"> </w:t>
      </w:r>
      <w:r w:rsidR="00F42F2A" w:rsidRPr="00577BC4">
        <w:rPr>
          <w:rFonts w:ascii="Garamond" w:hAnsi="Garamond" w:cs="Times New Roman"/>
          <w:color w:val="222222"/>
          <w:shd w:val="clear" w:color="auto" w:fill="FFFFFF"/>
        </w:rPr>
        <w:t>multi-level</w:t>
      </w:r>
      <w:r w:rsidR="00577BC4" w:rsidRPr="00577BC4">
        <w:rPr>
          <w:rFonts w:ascii="Garamond" w:hAnsi="Garamond" w:cs="Times New Roman"/>
          <w:color w:val="222222"/>
          <w:shd w:val="clear" w:color="auto" w:fill="FFFFFF"/>
        </w:rPr>
        <w:t xml:space="preserve"> </w:t>
      </w:r>
      <w:r w:rsidR="00F42F2A" w:rsidRPr="00577BC4">
        <w:rPr>
          <w:rFonts w:ascii="Garamond" w:hAnsi="Garamond" w:cs="Times New Roman"/>
          <w:color w:val="222222"/>
          <w:shd w:val="clear" w:color="auto" w:fill="FFFFFF"/>
        </w:rPr>
        <w:t>systems</w:t>
      </w:r>
      <w:r w:rsidR="00577BC4" w:rsidRPr="00577BC4">
        <w:rPr>
          <w:rFonts w:ascii="Garamond" w:hAnsi="Garamond" w:cs="Times New Roman"/>
          <w:color w:val="222222"/>
          <w:shd w:val="clear" w:color="auto" w:fill="FFFFFF"/>
        </w:rPr>
        <w:t xml:space="preserve"> </w:t>
      </w:r>
      <w:r w:rsidR="00F42F2A" w:rsidRPr="00577BC4">
        <w:rPr>
          <w:rFonts w:ascii="Garamond" w:hAnsi="Garamond" w:cs="Times New Roman"/>
          <w:color w:val="222222"/>
          <w:shd w:val="clear" w:color="auto" w:fill="FFFFFF"/>
        </w:rPr>
        <w:t>with</w:t>
      </w:r>
      <w:r w:rsidR="00577BC4" w:rsidRPr="00577BC4">
        <w:rPr>
          <w:rFonts w:ascii="Garamond" w:hAnsi="Garamond" w:cs="Times New Roman"/>
          <w:color w:val="222222"/>
          <w:shd w:val="clear" w:color="auto" w:fill="FFFFFF"/>
        </w:rPr>
        <w:t xml:space="preserve"> </w:t>
      </w:r>
      <w:r w:rsidR="00F42F2A" w:rsidRPr="00577BC4">
        <w:rPr>
          <w:rFonts w:ascii="Garamond" w:hAnsi="Garamond" w:cs="Times New Roman"/>
          <w:color w:val="222222"/>
          <w:shd w:val="clear" w:color="auto" w:fill="FFFFFF"/>
        </w:rPr>
        <w:t>cross-level</w:t>
      </w:r>
      <w:r w:rsidR="00577BC4" w:rsidRPr="00577BC4">
        <w:rPr>
          <w:rFonts w:ascii="Garamond" w:hAnsi="Garamond" w:cs="Times New Roman"/>
          <w:color w:val="222222"/>
          <w:shd w:val="clear" w:color="auto" w:fill="FFFFFF"/>
        </w:rPr>
        <w:t xml:space="preserve"> </w:t>
      </w:r>
      <w:r w:rsidR="00F42F2A" w:rsidRPr="00577BC4">
        <w:rPr>
          <w:rFonts w:ascii="Garamond" w:hAnsi="Garamond" w:cs="Times New Roman"/>
          <w:color w:val="222222"/>
          <w:shd w:val="clear" w:color="auto" w:fill="FFFFFF"/>
        </w:rPr>
        <w:t>data:</w:t>
      </w:r>
      <w:r w:rsidR="00577BC4" w:rsidRPr="00577BC4">
        <w:rPr>
          <w:rFonts w:ascii="Garamond" w:hAnsi="Garamond" w:cs="Times New Roman"/>
          <w:color w:val="222222"/>
          <w:shd w:val="clear" w:color="auto" w:fill="FFFFFF"/>
        </w:rPr>
        <w:t xml:space="preserve"> </w:t>
      </w:r>
      <w:r w:rsidR="00F42F2A" w:rsidRPr="00577BC4">
        <w:rPr>
          <w:rFonts w:ascii="Garamond" w:hAnsi="Garamond" w:cs="Times New Roman"/>
          <w:color w:val="222222"/>
          <w:shd w:val="clear" w:color="auto" w:fill="FFFFFF"/>
        </w:rPr>
        <w:t>Introducing</w:t>
      </w:r>
      <w:r w:rsidR="00577BC4" w:rsidRPr="00577BC4">
        <w:rPr>
          <w:rFonts w:ascii="Garamond" w:hAnsi="Garamond" w:cs="Times New Roman"/>
          <w:color w:val="222222"/>
          <w:shd w:val="clear" w:color="auto" w:fill="FFFFFF"/>
        </w:rPr>
        <w:t xml:space="preserve"> </w:t>
      </w:r>
      <w:r w:rsidR="00F42F2A" w:rsidRPr="00577BC4">
        <w:rPr>
          <w:rFonts w:ascii="Garamond" w:hAnsi="Garamond" w:cs="Times New Roman"/>
          <w:color w:val="222222"/>
          <w:shd w:val="clear" w:color="auto" w:fill="FFFFFF"/>
        </w:rPr>
        <w:t>three</w:t>
      </w:r>
      <w:r w:rsidR="00577BC4" w:rsidRPr="00577BC4">
        <w:rPr>
          <w:rFonts w:ascii="Garamond" w:hAnsi="Garamond" w:cs="Times New Roman"/>
          <w:color w:val="222222"/>
          <w:shd w:val="clear" w:color="auto" w:fill="FFFFFF"/>
        </w:rPr>
        <w:t xml:space="preserve"> </w:t>
      </w:r>
      <w:r w:rsidR="00F42F2A" w:rsidRPr="00577BC4">
        <w:rPr>
          <w:rFonts w:ascii="Garamond" w:hAnsi="Garamond" w:cs="Times New Roman"/>
          <w:color w:val="222222"/>
          <w:shd w:val="clear" w:color="auto" w:fill="FFFFFF"/>
        </w:rPr>
        <w:t>integrated</w:t>
      </w:r>
      <w:r w:rsidR="00577BC4" w:rsidRPr="00577BC4">
        <w:rPr>
          <w:rFonts w:ascii="Garamond" w:hAnsi="Garamond" w:cs="Times New Roman"/>
          <w:color w:val="222222"/>
          <w:shd w:val="clear" w:color="auto" w:fill="FFFFFF"/>
        </w:rPr>
        <w:t xml:space="preserve"> </w:t>
      </w:r>
      <w:r w:rsidR="00F42F2A" w:rsidRPr="00577BC4">
        <w:rPr>
          <w:rFonts w:ascii="Garamond" w:hAnsi="Garamond" w:cs="Times New Roman"/>
          <w:color w:val="222222"/>
          <w:shd w:val="clear" w:color="auto" w:fill="FFFFFF"/>
        </w:rPr>
        <w:t>datasets.</w:t>
      </w:r>
      <w:r w:rsidR="00577BC4" w:rsidRPr="00577BC4">
        <w:rPr>
          <w:rFonts w:ascii="Garamond" w:hAnsi="Garamond" w:cs="Times New Roman"/>
          <w:color w:val="222222"/>
          <w:shd w:val="clear" w:color="auto" w:fill="FFFFFF"/>
        </w:rPr>
        <w:t xml:space="preserve"> </w:t>
      </w:r>
      <w:r w:rsidR="00F42F2A" w:rsidRPr="00577BC4">
        <w:rPr>
          <w:rFonts w:ascii="Garamond" w:hAnsi="Garamond" w:cs="Times New Roman"/>
          <w:i/>
          <w:color w:val="222222"/>
          <w:shd w:val="clear" w:color="auto" w:fill="FFFFFF"/>
        </w:rPr>
        <w:t>British</w:t>
      </w:r>
      <w:r w:rsidR="00577BC4" w:rsidRPr="00577BC4">
        <w:rPr>
          <w:rFonts w:ascii="Garamond" w:hAnsi="Garamond" w:cs="Times New Roman"/>
          <w:i/>
          <w:color w:val="222222"/>
          <w:shd w:val="clear" w:color="auto" w:fill="FFFFFF"/>
        </w:rPr>
        <w:t xml:space="preserve"> </w:t>
      </w:r>
      <w:r w:rsidR="00F42F2A" w:rsidRPr="00577BC4">
        <w:rPr>
          <w:rFonts w:ascii="Garamond" w:hAnsi="Garamond" w:cs="Times New Roman"/>
          <w:i/>
          <w:color w:val="222222"/>
          <w:shd w:val="clear" w:color="auto" w:fill="FFFFFF"/>
        </w:rPr>
        <w:t>Journal</w:t>
      </w:r>
      <w:r w:rsidR="00577BC4" w:rsidRPr="00577BC4">
        <w:rPr>
          <w:rFonts w:ascii="Garamond" w:hAnsi="Garamond" w:cs="Times New Roman"/>
          <w:i/>
          <w:color w:val="222222"/>
          <w:shd w:val="clear" w:color="auto" w:fill="FFFFFF"/>
        </w:rPr>
        <w:t xml:space="preserve"> </w:t>
      </w:r>
      <w:r w:rsidR="00F42F2A" w:rsidRPr="00577BC4">
        <w:rPr>
          <w:rFonts w:ascii="Garamond" w:hAnsi="Garamond" w:cs="Times New Roman"/>
          <w:i/>
          <w:color w:val="222222"/>
          <w:shd w:val="clear" w:color="auto" w:fill="FFFFFF"/>
        </w:rPr>
        <w:t>for</w:t>
      </w:r>
      <w:r w:rsidR="00577BC4" w:rsidRPr="00577BC4">
        <w:rPr>
          <w:rFonts w:ascii="Garamond" w:hAnsi="Garamond" w:cs="Times New Roman"/>
          <w:i/>
          <w:color w:val="222222"/>
          <w:shd w:val="clear" w:color="auto" w:fill="FFFFFF"/>
        </w:rPr>
        <w:t xml:space="preserve"> </w:t>
      </w:r>
      <w:r w:rsidR="00F42F2A" w:rsidRPr="00577BC4">
        <w:rPr>
          <w:rFonts w:ascii="Garamond" w:hAnsi="Garamond" w:cs="Times New Roman"/>
          <w:i/>
          <w:color w:val="222222"/>
          <w:shd w:val="clear" w:color="auto" w:fill="FFFFFF"/>
        </w:rPr>
        <w:t>Political</w:t>
      </w:r>
      <w:r w:rsidR="00577BC4" w:rsidRPr="00577BC4">
        <w:rPr>
          <w:rFonts w:ascii="Garamond" w:hAnsi="Garamond" w:cs="Times New Roman"/>
          <w:i/>
          <w:color w:val="222222"/>
          <w:shd w:val="clear" w:color="auto" w:fill="FFFFFF"/>
        </w:rPr>
        <w:t xml:space="preserve"> </w:t>
      </w:r>
      <w:r w:rsidR="00F42F2A" w:rsidRPr="00577BC4">
        <w:rPr>
          <w:rFonts w:ascii="Garamond" w:hAnsi="Garamond" w:cs="Times New Roman"/>
          <w:i/>
          <w:color w:val="222222"/>
          <w:shd w:val="clear" w:color="auto" w:fill="FFFFFF"/>
        </w:rPr>
        <w:t>Science</w:t>
      </w:r>
      <w:r w:rsidR="00F42F2A" w:rsidRPr="00577BC4">
        <w:rPr>
          <w:rFonts w:ascii="Garamond" w:hAnsi="Garamond" w:cs="Times New Roman"/>
          <w:color w:val="222222"/>
          <w:shd w:val="clear" w:color="auto" w:fill="FFFFFF"/>
        </w:rPr>
        <w:t>,</w:t>
      </w:r>
      <w:r w:rsidR="00577BC4" w:rsidRPr="00577BC4">
        <w:rPr>
          <w:rFonts w:ascii="Garamond" w:hAnsi="Garamond" w:cs="Times New Roman"/>
          <w:color w:val="222222"/>
          <w:shd w:val="clear" w:color="auto" w:fill="FFFFFF"/>
        </w:rPr>
        <w:t xml:space="preserve"> </w:t>
      </w:r>
      <w:r w:rsidR="00F42F2A" w:rsidRPr="00577BC4">
        <w:rPr>
          <w:rFonts w:ascii="Garamond" w:hAnsi="Garamond" w:cs="Times New Roman"/>
          <w:color w:val="222222"/>
          <w:shd w:val="clear" w:color="auto" w:fill="FFFFFF"/>
        </w:rPr>
        <w:t>forthcoming.</w:t>
      </w:r>
    </w:p>
    <w:p w14:paraId="5F5730E0" w14:textId="7C4637A5" w:rsidR="009F2C34" w:rsidRPr="00577BC4" w:rsidRDefault="009F2C34" w:rsidP="009F2C34">
      <w:pPr>
        <w:ind w:left="1440" w:hanging="1440"/>
        <w:jc w:val="both"/>
        <w:rPr>
          <w:rFonts w:ascii="Garamond" w:hAnsi="Garamond" w:cs="Times New Roman"/>
        </w:rPr>
      </w:pPr>
      <w:r w:rsidRPr="00577BC4">
        <w:rPr>
          <w:rFonts w:ascii="Garamond" w:eastAsia="Times New Roman" w:hAnsi="Garamond" w:cs="Times New Roman"/>
          <w:b/>
          <w:lang w:eastAsia="en-GB"/>
        </w:rPr>
        <w:tab/>
      </w:r>
      <w:r w:rsidRPr="00577BC4">
        <w:rPr>
          <w:rFonts w:ascii="Garamond" w:hAnsi="Garamond" w:cs="Times New Roman"/>
        </w:rPr>
        <w:t>The</w:t>
      </w:r>
      <w:r w:rsidR="00577BC4" w:rsidRPr="00577BC4">
        <w:rPr>
          <w:rFonts w:ascii="Garamond" w:hAnsi="Garamond" w:cs="Times New Roman"/>
        </w:rPr>
        <w:t xml:space="preserve"> </w:t>
      </w:r>
      <w:r w:rsidRPr="00577BC4">
        <w:rPr>
          <w:rFonts w:ascii="Garamond" w:hAnsi="Garamond" w:cs="Times New Roman"/>
        </w:rPr>
        <w:t>datasets</w:t>
      </w:r>
      <w:r w:rsidR="00577BC4" w:rsidRPr="00577BC4">
        <w:rPr>
          <w:rFonts w:ascii="Garamond" w:hAnsi="Garamond" w:cs="Times New Roman"/>
        </w:rPr>
        <w:t xml:space="preserve"> </w:t>
      </w:r>
      <w:r w:rsidR="00AF009D" w:rsidRPr="00577BC4">
        <w:rPr>
          <w:rFonts w:ascii="Garamond" w:hAnsi="Garamond" w:cs="Times New Roman"/>
        </w:rPr>
        <w:t>contain</w:t>
      </w:r>
      <w:r w:rsidR="00577BC4" w:rsidRPr="00577BC4">
        <w:rPr>
          <w:rFonts w:ascii="Garamond" w:hAnsi="Garamond" w:cs="Times New Roman"/>
        </w:rPr>
        <w:t xml:space="preserve"> </w:t>
      </w:r>
      <w:r w:rsidRPr="00577BC4">
        <w:rPr>
          <w:rFonts w:ascii="Garamond" w:hAnsi="Garamond" w:cs="Times New Roman"/>
        </w:rPr>
        <w:t>variables</w:t>
      </w:r>
      <w:r w:rsidR="00577BC4" w:rsidRPr="00577BC4">
        <w:rPr>
          <w:rFonts w:ascii="Garamond" w:hAnsi="Garamond" w:cs="Times New Roman"/>
        </w:rPr>
        <w:t xml:space="preserve"> </w:t>
      </w:r>
      <w:r w:rsidRPr="00577BC4">
        <w:rPr>
          <w:rFonts w:ascii="Garamond" w:hAnsi="Garamond" w:cs="Times New Roman"/>
        </w:rPr>
        <w:t>that</w:t>
      </w:r>
      <w:r w:rsidR="00577BC4" w:rsidRPr="00577BC4">
        <w:rPr>
          <w:rFonts w:ascii="Garamond" w:hAnsi="Garamond" w:cs="Times New Roman"/>
        </w:rPr>
        <w:t xml:space="preserve"> </w:t>
      </w:r>
      <w:r w:rsidRPr="00577BC4">
        <w:rPr>
          <w:rFonts w:ascii="Garamond" w:hAnsi="Garamond" w:cs="Times New Roman"/>
        </w:rPr>
        <w:t>have</w:t>
      </w:r>
      <w:r w:rsidR="00577BC4" w:rsidRPr="00577BC4">
        <w:rPr>
          <w:rFonts w:ascii="Garamond" w:hAnsi="Garamond" w:cs="Times New Roman"/>
        </w:rPr>
        <w:t xml:space="preserve"> </w:t>
      </w:r>
      <w:r w:rsidRPr="00577BC4">
        <w:rPr>
          <w:rFonts w:ascii="Garamond" w:hAnsi="Garamond" w:cs="Times New Roman"/>
        </w:rPr>
        <w:t>been</w:t>
      </w:r>
      <w:r w:rsidR="00577BC4" w:rsidRPr="00577BC4">
        <w:rPr>
          <w:rFonts w:ascii="Garamond" w:hAnsi="Garamond" w:cs="Times New Roman"/>
        </w:rPr>
        <w:t xml:space="preserve"> </w:t>
      </w:r>
      <w:r w:rsidRPr="00577BC4">
        <w:rPr>
          <w:rFonts w:ascii="Garamond" w:hAnsi="Garamond" w:cs="Times New Roman"/>
        </w:rPr>
        <w:t>collected</w:t>
      </w:r>
      <w:r w:rsidR="00577BC4" w:rsidRPr="00577BC4">
        <w:rPr>
          <w:rFonts w:ascii="Garamond" w:hAnsi="Garamond" w:cs="Times New Roman"/>
        </w:rPr>
        <w:t xml:space="preserve"> </w:t>
      </w:r>
      <w:r w:rsidRPr="00577BC4">
        <w:rPr>
          <w:rFonts w:ascii="Garamond" w:hAnsi="Garamond" w:cs="Times New Roman"/>
        </w:rPr>
        <w:t>by</w:t>
      </w:r>
      <w:r w:rsidR="00577BC4" w:rsidRPr="00577BC4">
        <w:rPr>
          <w:rFonts w:ascii="Garamond" w:hAnsi="Garamond" w:cs="Times New Roman"/>
        </w:rPr>
        <w:t xml:space="preserve"> </w:t>
      </w:r>
      <w:r w:rsidRPr="00577BC4">
        <w:rPr>
          <w:rFonts w:ascii="Garamond" w:hAnsi="Garamond" w:cs="Times New Roman"/>
        </w:rPr>
        <w:t>other</w:t>
      </w:r>
      <w:r w:rsidR="00577BC4" w:rsidRPr="00577BC4">
        <w:rPr>
          <w:rFonts w:ascii="Garamond" w:hAnsi="Garamond" w:cs="Times New Roman"/>
        </w:rPr>
        <w:t xml:space="preserve"> </w:t>
      </w:r>
      <w:r w:rsidRPr="00577BC4">
        <w:rPr>
          <w:rFonts w:ascii="Garamond" w:hAnsi="Garamond" w:cs="Times New Roman"/>
        </w:rPr>
        <w:t>researchers</w:t>
      </w:r>
      <w:r w:rsidR="00577BC4" w:rsidRPr="00577BC4">
        <w:rPr>
          <w:rFonts w:ascii="Garamond" w:hAnsi="Garamond" w:cs="Times New Roman"/>
        </w:rPr>
        <w:t xml:space="preserve"> </w:t>
      </w:r>
      <w:r w:rsidRPr="00577BC4">
        <w:rPr>
          <w:rFonts w:ascii="Garamond" w:hAnsi="Garamond" w:cs="Times New Roman"/>
        </w:rPr>
        <w:t>or</w:t>
      </w:r>
      <w:r w:rsidR="00577BC4" w:rsidRPr="00577BC4">
        <w:rPr>
          <w:rFonts w:ascii="Garamond" w:hAnsi="Garamond" w:cs="Times New Roman"/>
        </w:rPr>
        <w:t xml:space="preserve"> </w:t>
      </w:r>
      <w:r w:rsidRPr="00577BC4">
        <w:rPr>
          <w:rFonts w:ascii="Garamond" w:hAnsi="Garamond" w:cs="Times New Roman"/>
        </w:rPr>
        <w:t>institutions.</w:t>
      </w:r>
      <w:r w:rsidR="00577BC4" w:rsidRPr="00577BC4">
        <w:rPr>
          <w:rFonts w:ascii="Garamond" w:hAnsi="Garamond" w:cs="Times New Roman"/>
        </w:rPr>
        <w:t xml:space="preserve"> </w:t>
      </w:r>
      <w:r w:rsidRPr="00577BC4">
        <w:rPr>
          <w:rFonts w:ascii="Garamond" w:hAnsi="Garamond" w:cs="Times New Roman"/>
        </w:rPr>
        <w:t>All</w:t>
      </w:r>
      <w:r w:rsidR="00577BC4" w:rsidRPr="00577BC4">
        <w:rPr>
          <w:rFonts w:ascii="Garamond" w:hAnsi="Garamond" w:cs="Times New Roman"/>
        </w:rPr>
        <w:t xml:space="preserve"> </w:t>
      </w:r>
      <w:r w:rsidRPr="00577BC4">
        <w:rPr>
          <w:rFonts w:ascii="Garamond" w:hAnsi="Garamond" w:cs="Times New Roman"/>
        </w:rPr>
        <w:t>those</w:t>
      </w:r>
      <w:r w:rsidR="00577BC4" w:rsidRPr="00577BC4">
        <w:rPr>
          <w:rFonts w:ascii="Garamond" w:hAnsi="Garamond" w:cs="Times New Roman"/>
        </w:rPr>
        <w:t xml:space="preserve"> </w:t>
      </w:r>
      <w:r w:rsidRPr="00577BC4">
        <w:rPr>
          <w:rFonts w:ascii="Garamond" w:hAnsi="Garamond" w:cs="Times New Roman"/>
        </w:rPr>
        <w:t>are</w:t>
      </w:r>
      <w:r w:rsidR="00577BC4" w:rsidRPr="00577BC4">
        <w:rPr>
          <w:rFonts w:ascii="Garamond" w:hAnsi="Garamond" w:cs="Times New Roman"/>
        </w:rPr>
        <w:t xml:space="preserve"> </w:t>
      </w:r>
      <w:r w:rsidRPr="00577BC4">
        <w:rPr>
          <w:rFonts w:ascii="Garamond" w:hAnsi="Garamond" w:cs="Times New Roman"/>
        </w:rPr>
        <w:t>referenced.</w:t>
      </w:r>
      <w:r w:rsidR="00577BC4" w:rsidRPr="00577BC4">
        <w:rPr>
          <w:rFonts w:ascii="Garamond" w:hAnsi="Garamond" w:cs="Times New Roman"/>
        </w:rPr>
        <w:t xml:space="preserve"> </w:t>
      </w:r>
      <w:r w:rsidRPr="00577BC4">
        <w:rPr>
          <w:rFonts w:ascii="Garamond" w:hAnsi="Garamond" w:cs="Times New Roman"/>
        </w:rPr>
        <w:t>We</w:t>
      </w:r>
      <w:r w:rsidR="00577BC4" w:rsidRPr="00577BC4">
        <w:rPr>
          <w:rFonts w:ascii="Garamond" w:hAnsi="Garamond" w:cs="Times New Roman"/>
        </w:rPr>
        <w:t xml:space="preserve"> </w:t>
      </w:r>
      <w:r w:rsidRPr="00577BC4">
        <w:rPr>
          <w:rFonts w:ascii="Garamond" w:hAnsi="Garamond" w:cs="Times New Roman"/>
        </w:rPr>
        <w:t>would</w:t>
      </w:r>
      <w:r w:rsidR="00577BC4" w:rsidRPr="00577BC4">
        <w:rPr>
          <w:rFonts w:ascii="Garamond" w:hAnsi="Garamond" w:cs="Times New Roman"/>
        </w:rPr>
        <w:t xml:space="preserve"> </w:t>
      </w:r>
      <w:r w:rsidRPr="00577BC4">
        <w:rPr>
          <w:rFonts w:ascii="Garamond" w:hAnsi="Garamond" w:cs="Times New Roman"/>
        </w:rPr>
        <w:t>like</w:t>
      </w:r>
      <w:r w:rsidR="00577BC4" w:rsidRPr="00577BC4">
        <w:rPr>
          <w:rFonts w:ascii="Garamond" w:hAnsi="Garamond" w:cs="Times New Roman"/>
        </w:rPr>
        <w:t xml:space="preserve"> </w:t>
      </w:r>
      <w:r w:rsidRPr="00577BC4">
        <w:rPr>
          <w:rFonts w:ascii="Garamond" w:hAnsi="Garamond" w:cs="Times New Roman"/>
        </w:rPr>
        <w:t>to</w:t>
      </w:r>
      <w:r w:rsidR="00577BC4" w:rsidRPr="00577BC4">
        <w:rPr>
          <w:rFonts w:ascii="Garamond" w:hAnsi="Garamond" w:cs="Times New Roman"/>
        </w:rPr>
        <w:t xml:space="preserve"> </w:t>
      </w:r>
      <w:r w:rsidRPr="00577BC4">
        <w:rPr>
          <w:rFonts w:ascii="Garamond" w:hAnsi="Garamond" w:cs="Times New Roman"/>
        </w:rPr>
        <w:t>remind</w:t>
      </w:r>
      <w:r w:rsidR="00577BC4" w:rsidRPr="00577BC4">
        <w:rPr>
          <w:rFonts w:ascii="Garamond" w:hAnsi="Garamond" w:cs="Times New Roman"/>
        </w:rPr>
        <w:t xml:space="preserve"> </w:t>
      </w:r>
      <w:r w:rsidRPr="00577BC4">
        <w:rPr>
          <w:rFonts w:ascii="Garamond" w:hAnsi="Garamond" w:cs="Times New Roman"/>
        </w:rPr>
        <w:t>you</w:t>
      </w:r>
      <w:r w:rsidR="00577BC4" w:rsidRPr="00577BC4">
        <w:rPr>
          <w:rFonts w:ascii="Garamond" w:hAnsi="Garamond" w:cs="Times New Roman"/>
        </w:rPr>
        <w:t xml:space="preserve"> </w:t>
      </w:r>
      <w:r w:rsidRPr="00577BC4">
        <w:rPr>
          <w:rFonts w:ascii="Garamond" w:hAnsi="Garamond" w:cs="Times New Roman"/>
        </w:rPr>
        <w:t>that</w:t>
      </w:r>
      <w:r w:rsidR="00577BC4" w:rsidRPr="00577BC4">
        <w:rPr>
          <w:rFonts w:ascii="Garamond" w:hAnsi="Garamond" w:cs="Times New Roman"/>
        </w:rPr>
        <w:t xml:space="preserve"> </w:t>
      </w:r>
      <w:r w:rsidRPr="00577BC4">
        <w:rPr>
          <w:rFonts w:ascii="Garamond" w:hAnsi="Garamond" w:cs="Times New Roman"/>
        </w:rPr>
        <w:t>appropriate</w:t>
      </w:r>
      <w:r w:rsidR="00577BC4" w:rsidRPr="00577BC4">
        <w:rPr>
          <w:rFonts w:ascii="Garamond" w:hAnsi="Garamond" w:cs="Times New Roman"/>
        </w:rPr>
        <w:t xml:space="preserve"> </w:t>
      </w:r>
      <w:r w:rsidRPr="00577BC4">
        <w:rPr>
          <w:rFonts w:ascii="Garamond" w:hAnsi="Garamond" w:cs="Times New Roman"/>
        </w:rPr>
        <w:t>citation</w:t>
      </w:r>
      <w:r w:rsidR="00577BC4" w:rsidRPr="00577BC4">
        <w:rPr>
          <w:rFonts w:ascii="Garamond" w:hAnsi="Garamond" w:cs="Times New Roman"/>
        </w:rPr>
        <w:t xml:space="preserve"> </w:t>
      </w:r>
      <w:r w:rsidRPr="00577BC4">
        <w:rPr>
          <w:rFonts w:ascii="Garamond" w:hAnsi="Garamond" w:cs="Times New Roman"/>
        </w:rPr>
        <w:t>refers</w:t>
      </w:r>
      <w:r w:rsidR="00577BC4" w:rsidRPr="00577BC4">
        <w:rPr>
          <w:rFonts w:ascii="Garamond" w:hAnsi="Garamond" w:cs="Times New Roman"/>
        </w:rPr>
        <w:t xml:space="preserve"> </w:t>
      </w:r>
      <w:r w:rsidRPr="00577BC4">
        <w:rPr>
          <w:rFonts w:ascii="Garamond" w:hAnsi="Garamond" w:cs="Times New Roman"/>
        </w:rPr>
        <w:t>to</w:t>
      </w:r>
      <w:r w:rsidR="00577BC4" w:rsidRPr="00577BC4">
        <w:rPr>
          <w:rFonts w:ascii="Garamond" w:hAnsi="Garamond" w:cs="Times New Roman"/>
        </w:rPr>
        <w:t xml:space="preserve"> </w:t>
      </w:r>
      <w:r w:rsidRPr="00577BC4">
        <w:rPr>
          <w:rFonts w:ascii="Garamond" w:hAnsi="Garamond" w:cs="Times New Roman"/>
        </w:rPr>
        <w:t>the</w:t>
      </w:r>
      <w:r w:rsidR="00577BC4" w:rsidRPr="00577BC4">
        <w:rPr>
          <w:rFonts w:ascii="Garamond" w:hAnsi="Garamond" w:cs="Times New Roman"/>
        </w:rPr>
        <w:t xml:space="preserve"> </w:t>
      </w:r>
      <w:r w:rsidRPr="00577BC4">
        <w:rPr>
          <w:rFonts w:ascii="Garamond" w:hAnsi="Garamond" w:cs="Times New Roman"/>
        </w:rPr>
        <w:t>real</w:t>
      </w:r>
      <w:r w:rsidR="00577BC4" w:rsidRPr="00577BC4">
        <w:rPr>
          <w:rFonts w:ascii="Garamond" w:hAnsi="Garamond" w:cs="Times New Roman"/>
        </w:rPr>
        <w:t xml:space="preserve"> </w:t>
      </w:r>
      <w:r w:rsidRPr="00577BC4">
        <w:rPr>
          <w:rFonts w:ascii="Garamond" w:hAnsi="Garamond" w:cs="Times New Roman"/>
        </w:rPr>
        <w:t>creators</w:t>
      </w:r>
      <w:r w:rsidR="00577BC4" w:rsidRPr="00577BC4">
        <w:rPr>
          <w:rFonts w:ascii="Garamond" w:hAnsi="Garamond" w:cs="Times New Roman"/>
        </w:rPr>
        <w:t xml:space="preserve"> </w:t>
      </w:r>
      <w:r w:rsidRPr="00577BC4">
        <w:rPr>
          <w:rFonts w:ascii="Garamond" w:hAnsi="Garamond" w:cs="Times New Roman"/>
        </w:rPr>
        <w:t>of</w:t>
      </w:r>
      <w:r w:rsidR="00577BC4" w:rsidRPr="00577BC4">
        <w:rPr>
          <w:rFonts w:ascii="Garamond" w:hAnsi="Garamond" w:cs="Times New Roman"/>
        </w:rPr>
        <w:t xml:space="preserve"> </w:t>
      </w:r>
      <w:r w:rsidRPr="00577BC4">
        <w:rPr>
          <w:rFonts w:ascii="Garamond" w:hAnsi="Garamond" w:cs="Times New Roman"/>
        </w:rPr>
        <w:t>those</w:t>
      </w:r>
      <w:r w:rsidR="00577BC4" w:rsidRPr="00577BC4">
        <w:rPr>
          <w:rFonts w:ascii="Garamond" w:hAnsi="Garamond" w:cs="Times New Roman"/>
        </w:rPr>
        <w:t xml:space="preserve"> </w:t>
      </w:r>
      <w:r w:rsidRPr="00577BC4">
        <w:rPr>
          <w:rFonts w:ascii="Garamond" w:hAnsi="Garamond" w:cs="Times New Roman"/>
        </w:rPr>
        <w:t>data</w:t>
      </w:r>
      <w:r w:rsidR="00577BC4" w:rsidRPr="00577BC4">
        <w:rPr>
          <w:rFonts w:ascii="Garamond" w:hAnsi="Garamond" w:cs="Times New Roman"/>
        </w:rPr>
        <w:t xml:space="preserve"> </w:t>
      </w:r>
      <w:r w:rsidRPr="00577BC4">
        <w:rPr>
          <w:rFonts w:ascii="Garamond" w:hAnsi="Garamond" w:cs="Times New Roman"/>
        </w:rPr>
        <w:t>even</w:t>
      </w:r>
      <w:r w:rsidR="00577BC4" w:rsidRPr="00577BC4">
        <w:rPr>
          <w:rFonts w:ascii="Garamond" w:hAnsi="Garamond" w:cs="Times New Roman"/>
        </w:rPr>
        <w:t xml:space="preserve"> </w:t>
      </w:r>
      <w:r w:rsidRPr="00577BC4">
        <w:rPr>
          <w:rFonts w:ascii="Garamond" w:hAnsi="Garamond" w:cs="Times New Roman"/>
        </w:rPr>
        <w:t>if</w:t>
      </w:r>
      <w:r w:rsidR="00577BC4" w:rsidRPr="00577BC4">
        <w:rPr>
          <w:rFonts w:ascii="Garamond" w:hAnsi="Garamond" w:cs="Times New Roman"/>
        </w:rPr>
        <w:t xml:space="preserve"> </w:t>
      </w:r>
      <w:r w:rsidRPr="00577BC4">
        <w:rPr>
          <w:rFonts w:ascii="Garamond" w:hAnsi="Garamond" w:cs="Times New Roman"/>
        </w:rPr>
        <w:t>they</w:t>
      </w:r>
      <w:r w:rsidR="00577BC4" w:rsidRPr="00577BC4">
        <w:rPr>
          <w:rFonts w:ascii="Garamond" w:hAnsi="Garamond" w:cs="Times New Roman"/>
        </w:rPr>
        <w:t xml:space="preserve"> </w:t>
      </w:r>
      <w:r w:rsidRPr="00577BC4">
        <w:rPr>
          <w:rFonts w:ascii="Garamond" w:hAnsi="Garamond" w:cs="Times New Roman"/>
        </w:rPr>
        <w:t>have</w:t>
      </w:r>
      <w:r w:rsidR="00577BC4" w:rsidRPr="00577BC4">
        <w:rPr>
          <w:rFonts w:ascii="Garamond" w:hAnsi="Garamond" w:cs="Times New Roman"/>
        </w:rPr>
        <w:t xml:space="preserve"> </w:t>
      </w:r>
      <w:r w:rsidRPr="00577BC4">
        <w:rPr>
          <w:rFonts w:ascii="Garamond" w:hAnsi="Garamond" w:cs="Times New Roman"/>
        </w:rPr>
        <w:t>been</w:t>
      </w:r>
      <w:r w:rsidR="00577BC4" w:rsidRPr="00577BC4">
        <w:rPr>
          <w:rFonts w:ascii="Garamond" w:hAnsi="Garamond" w:cs="Times New Roman"/>
        </w:rPr>
        <w:t xml:space="preserve"> </w:t>
      </w:r>
      <w:r w:rsidRPr="00577BC4">
        <w:rPr>
          <w:rFonts w:ascii="Garamond" w:hAnsi="Garamond" w:cs="Times New Roman"/>
        </w:rPr>
        <w:t>used</w:t>
      </w:r>
      <w:r w:rsidR="00577BC4" w:rsidRPr="00577BC4">
        <w:rPr>
          <w:rFonts w:ascii="Garamond" w:hAnsi="Garamond" w:cs="Times New Roman"/>
        </w:rPr>
        <w:t xml:space="preserve"> </w:t>
      </w:r>
      <w:r w:rsidRPr="00577BC4">
        <w:rPr>
          <w:rFonts w:ascii="Garamond" w:hAnsi="Garamond" w:cs="Times New Roman"/>
        </w:rPr>
        <w:t>based</w:t>
      </w:r>
      <w:r w:rsidR="00577BC4" w:rsidRPr="00577BC4">
        <w:rPr>
          <w:rFonts w:ascii="Garamond" w:hAnsi="Garamond" w:cs="Times New Roman"/>
        </w:rPr>
        <w:t xml:space="preserve"> </w:t>
      </w:r>
      <w:r w:rsidRPr="00577BC4">
        <w:rPr>
          <w:rFonts w:ascii="Garamond" w:hAnsi="Garamond" w:cs="Times New Roman"/>
        </w:rPr>
        <w:t>on</w:t>
      </w:r>
      <w:r w:rsidR="00577BC4" w:rsidRPr="00577BC4">
        <w:rPr>
          <w:rFonts w:ascii="Garamond" w:hAnsi="Garamond" w:cs="Times New Roman"/>
        </w:rPr>
        <w:t xml:space="preserve"> </w:t>
      </w:r>
      <w:r w:rsidRPr="00577BC4">
        <w:rPr>
          <w:rFonts w:ascii="Garamond" w:hAnsi="Garamond" w:cs="Times New Roman"/>
        </w:rPr>
        <w:t>our</w:t>
      </w:r>
      <w:r w:rsidR="00577BC4" w:rsidRPr="00577BC4">
        <w:rPr>
          <w:rFonts w:ascii="Garamond" w:hAnsi="Garamond" w:cs="Times New Roman"/>
        </w:rPr>
        <w:t xml:space="preserve"> </w:t>
      </w:r>
      <w:r w:rsidRPr="00577BC4">
        <w:rPr>
          <w:rFonts w:ascii="Garamond" w:hAnsi="Garamond" w:cs="Times New Roman"/>
        </w:rPr>
        <w:t>dataset!</w:t>
      </w:r>
    </w:p>
    <w:p w14:paraId="2EFAF31E" w14:textId="2BB97737" w:rsidR="009F2C34" w:rsidRPr="00577BC4" w:rsidRDefault="009F2C34" w:rsidP="009F2C34">
      <w:pPr>
        <w:jc w:val="both"/>
        <w:rPr>
          <w:rFonts w:ascii="Garamond" w:hAnsi="Garamond" w:cs="Times New Roman"/>
        </w:rPr>
      </w:pPr>
      <w:r w:rsidRPr="00577BC4">
        <w:rPr>
          <w:rFonts w:ascii="Garamond" w:hAnsi="Garamond" w:cs="Times New Roman"/>
          <w:b/>
          <w:bCs/>
        </w:rPr>
        <w:t>Access:</w:t>
      </w:r>
      <w:r w:rsidR="00577BC4" w:rsidRPr="00577BC4">
        <w:rPr>
          <w:rFonts w:ascii="Garamond" w:hAnsi="Garamond" w:cs="Times New Roman"/>
        </w:rPr>
        <w:t xml:space="preserve"> </w:t>
      </w:r>
      <w:r w:rsidRPr="00577BC4">
        <w:rPr>
          <w:rFonts w:ascii="Garamond" w:hAnsi="Garamond" w:cs="Times New Roman"/>
        </w:rPr>
        <w:tab/>
        <w:t>via</w:t>
      </w:r>
      <w:r w:rsidR="00577BC4" w:rsidRPr="00577BC4">
        <w:rPr>
          <w:rFonts w:ascii="Garamond" w:hAnsi="Garamond" w:cs="Times New Roman"/>
        </w:rPr>
        <w:t xml:space="preserve"> </w:t>
      </w:r>
      <w:r w:rsidR="009517DF" w:rsidRPr="00577BC4">
        <w:rPr>
          <w:rFonts w:ascii="Garamond" w:hAnsi="Garamond" w:cs="Times New Roman"/>
        </w:rPr>
        <w:t>the</w:t>
      </w:r>
      <w:r w:rsidR="00577BC4" w:rsidRPr="00577BC4">
        <w:rPr>
          <w:rFonts w:ascii="Garamond" w:hAnsi="Garamond" w:cs="Times New Roman"/>
        </w:rPr>
        <w:t xml:space="preserve"> </w:t>
      </w:r>
      <w:r w:rsidR="009517DF" w:rsidRPr="00577BC4">
        <w:rPr>
          <w:rFonts w:ascii="Garamond" w:hAnsi="Garamond" w:cs="Times New Roman"/>
        </w:rPr>
        <w:t>BJPS</w:t>
      </w:r>
      <w:r w:rsidR="00577BC4" w:rsidRPr="00577BC4">
        <w:rPr>
          <w:rFonts w:ascii="Garamond" w:hAnsi="Garamond" w:cs="Times New Roman"/>
        </w:rPr>
        <w:t xml:space="preserve"> </w:t>
      </w:r>
      <w:r w:rsidR="009517DF" w:rsidRPr="00577BC4">
        <w:rPr>
          <w:rFonts w:ascii="Garamond" w:hAnsi="Garamond" w:cs="Times New Roman"/>
        </w:rPr>
        <w:t>Harvard</w:t>
      </w:r>
      <w:r w:rsidR="00577BC4" w:rsidRPr="00577BC4">
        <w:rPr>
          <w:rFonts w:ascii="Garamond" w:hAnsi="Garamond" w:cs="Times New Roman"/>
        </w:rPr>
        <w:t xml:space="preserve"> </w:t>
      </w:r>
      <w:proofErr w:type="spellStart"/>
      <w:r w:rsidR="009517DF" w:rsidRPr="00577BC4">
        <w:rPr>
          <w:rFonts w:ascii="Garamond" w:hAnsi="Garamond" w:cs="Times New Roman"/>
        </w:rPr>
        <w:t>Dataverse</w:t>
      </w:r>
      <w:proofErr w:type="spellEnd"/>
      <w:r w:rsidR="00577BC4" w:rsidRPr="00577BC4">
        <w:rPr>
          <w:rFonts w:ascii="Garamond" w:hAnsi="Garamond" w:cs="Times New Roman"/>
        </w:rPr>
        <w:t xml:space="preserve"> </w:t>
      </w:r>
      <w:r w:rsidR="009517DF" w:rsidRPr="00577BC4">
        <w:rPr>
          <w:rFonts w:ascii="Garamond" w:hAnsi="Garamond" w:cs="Times New Roman"/>
        </w:rPr>
        <w:t>(link</w:t>
      </w:r>
      <w:r w:rsidR="00577BC4" w:rsidRPr="00577BC4">
        <w:rPr>
          <w:rFonts w:ascii="Garamond" w:hAnsi="Garamond" w:cs="Times New Roman"/>
        </w:rPr>
        <w:t xml:space="preserve"> </w:t>
      </w:r>
      <w:r w:rsidR="002A237A" w:rsidRPr="002A237A">
        <w:rPr>
          <w:rFonts w:ascii="Garamond" w:hAnsi="Garamond" w:cs="Times New Roman"/>
          <w:i/>
        </w:rPr>
        <w:t>https://dataverse.harvard.edu/dataverse/mld</w:t>
      </w:r>
      <w:r w:rsidR="009517DF" w:rsidRPr="00577BC4">
        <w:rPr>
          <w:rFonts w:ascii="Garamond" w:hAnsi="Garamond" w:cs="Times New Roman"/>
        </w:rPr>
        <w:t>)</w:t>
      </w:r>
    </w:p>
    <w:p w14:paraId="6C4D9565" w14:textId="414E4AE2" w:rsidR="009F2C34" w:rsidRPr="00577BC4" w:rsidRDefault="009F2C34" w:rsidP="009F2C34">
      <w:pPr>
        <w:ind w:left="1440" w:hanging="1440"/>
        <w:jc w:val="both"/>
        <w:rPr>
          <w:rFonts w:ascii="Garamond" w:eastAsia="Times New Roman" w:hAnsi="Garamond" w:cs="Times New Roman"/>
          <w:bCs/>
          <w:color w:val="000000"/>
          <w:lang w:eastAsia="en-GB"/>
        </w:rPr>
      </w:pPr>
      <w:r w:rsidRPr="00577BC4">
        <w:rPr>
          <w:rFonts w:ascii="Garamond" w:eastAsia="Times New Roman" w:hAnsi="Garamond" w:cs="Times New Roman"/>
          <w:b/>
          <w:bCs/>
          <w:color w:val="000000"/>
          <w:lang w:eastAsia="en-GB"/>
        </w:rPr>
        <w:t>Funding:</w:t>
      </w:r>
      <w:r w:rsidR="00577BC4" w:rsidRPr="00577BC4">
        <w:rPr>
          <w:rFonts w:ascii="Garamond" w:eastAsia="Times New Roman" w:hAnsi="Garamond" w:cs="Times New Roman"/>
          <w:b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/>
          <w:bCs/>
          <w:color w:val="000000"/>
          <w:lang w:eastAsia="en-GB"/>
        </w:rPr>
        <w:tab/>
      </w:r>
      <w:r w:rsidR="00C111A9" w:rsidRPr="00577BC4">
        <w:rPr>
          <w:rFonts w:ascii="Garamond" w:eastAsia="Times New Roman" w:hAnsi="Garamond" w:cs="Times New Roman"/>
          <w:bCs/>
          <w:color w:val="000000"/>
          <w:lang w:eastAsia="en-GB"/>
        </w:rPr>
        <w:t>We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C111A9" w:rsidRPr="00577BC4">
        <w:rPr>
          <w:rFonts w:ascii="Garamond" w:eastAsia="Times New Roman" w:hAnsi="Garamond" w:cs="Times New Roman"/>
          <w:bCs/>
          <w:color w:val="000000"/>
          <w:lang w:eastAsia="en-GB"/>
        </w:rPr>
        <w:t>are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C111A9" w:rsidRPr="00577BC4">
        <w:rPr>
          <w:rFonts w:ascii="Garamond" w:eastAsia="Times New Roman" w:hAnsi="Garamond" w:cs="Times New Roman"/>
          <w:bCs/>
          <w:color w:val="000000"/>
          <w:lang w:eastAsia="en-GB"/>
        </w:rPr>
        <w:t>very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C111A9" w:rsidRPr="00577BC4">
        <w:rPr>
          <w:rFonts w:ascii="Garamond" w:eastAsia="Times New Roman" w:hAnsi="Garamond" w:cs="Times New Roman"/>
          <w:bCs/>
          <w:color w:val="000000"/>
          <w:lang w:eastAsia="en-GB"/>
        </w:rPr>
        <w:t>thankful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C111A9" w:rsidRPr="00577BC4">
        <w:rPr>
          <w:rFonts w:ascii="Garamond" w:eastAsia="Times New Roman" w:hAnsi="Garamond" w:cs="Times New Roman"/>
          <w:bCs/>
          <w:color w:val="000000"/>
          <w:lang w:eastAsia="en-GB"/>
        </w:rPr>
        <w:t>for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C111A9"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C111A9" w:rsidRPr="00577BC4">
        <w:rPr>
          <w:rFonts w:ascii="Garamond" w:eastAsia="Times New Roman" w:hAnsi="Garamond" w:cs="Times New Roman"/>
          <w:bCs/>
          <w:color w:val="000000"/>
          <w:lang w:eastAsia="en-GB"/>
        </w:rPr>
        <w:t>generous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C111A9" w:rsidRPr="00577BC4">
        <w:rPr>
          <w:rFonts w:ascii="Garamond" w:eastAsia="Times New Roman" w:hAnsi="Garamond" w:cs="Times New Roman"/>
          <w:bCs/>
          <w:color w:val="000000"/>
          <w:lang w:eastAsia="en-GB"/>
        </w:rPr>
        <w:t>funding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C111A9" w:rsidRPr="00577BC4">
        <w:rPr>
          <w:rFonts w:ascii="Garamond" w:eastAsia="Times New Roman" w:hAnsi="Garamond" w:cs="Times New Roman"/>
          <w:bCs/>
          <w:color w:val="000000"/>
          <w:lang w:eastAsia="en-GB"/>
        </w:rPr>
        <w:t>by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C111A9"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C111A9" w:rsidRPr="00577BC4">
        <w:rPr>
          <w:rFonts w:ascii="Garamond" w:eastAsia="Times New Roman" w:hAnsi="Garamond" w:cs="Times New Roman"/>
          <w:bCs/>
          <w:color w:val="000000"/>
          <w:lang w:eastAsia="en-GB"/>
        </w:rPr>
        <w:t>Deutsche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="00C111A9" w:rsidRPr="00577BC4">
        <w:rPr>
          <w:rFonts w:ascii="Garamond" w:eastAsia="Times New Roman" w:hAnsi="Garamond" w:cs="Times New Roman"/>
          <w:bCs/>
          <w:color w:val="000000"/>
          <w:lang w:eastAsia="en-GB"/>
        </w:rPr>
        <w:t>Forschungsgemeinschaft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C111A9" w:rsidRPr="00577BC4">
        <w:rPr>
          <w:rFonts w:ascii="Garamond" w:eastAsia="Times New Roman" w:hAnsi="Garamond" w:cs="Times New Roman"/>
          <w:bCs/>
          <w:color w:val="000000"/>
          <w:lang w:eastAsia="en-GB"/>
        </w:rPr>
        <w:t>(DFG)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C111A9" w:rsidRPr="00577BC4">
        <w:rPr>
          <w:rFonts w:ascii="Garamond" w:eastAsia="Times New Roman" w:hAnsi="Garamond" w:cs="Times New Roman"/>
          <w:bCs/>
          <w:color w:val="000000"/>
          <w:lang w:eastAsia="en-GB"/>
        </w:rPr>
        <w:t>-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C111A9" w:rsidRPr="00577BC4">
        <w:rPr>
          <w:rFonts w:ascii="Garamond" w:eastAsia="Times New Roman" w:hAnsi="Garamond" w:cs="Times New Roman"/>
          <w:bCs/>
          <w:color w:val="000000"/>
          <w:lang w:eastAsia="en-GB"/>
        </w:rPr>
        <w:t>Grant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C111A9" w:rsidRPr="00577BC4">
        <w:rPr>
          <w:rFonts w:ascii="Garamond" w:eastAsia="Times New Roman" w:hAnsi="Garamond" w:cs="Times New Roman"/>
          <w:bCs/>
          <w:color w:val="000000"/>
          <w:lang w:eastAsia="en-GB"/>
        </w:rPr>
        <w:t>numbers: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C111A9" w:rsidRPr="00577BC4">
        <w:rPr>
          <w:rFonts w:ascii="Garamond" w:eastAsia="Times New Roman" w:hAnsi="Garamond" w:cs="Times New Roman"/>
          <w:bCs/>
          <w:color w:val="000000"/>
          <w:lang w:eastAsia="en-GB"/>
        </w:rPr>
        <w:t>KA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C111A9" w:rsidRPr="00577BC4">
        <w:rPr>
          <w:rFonts w:ascii="Garamond" w:eastAsia="Times New Roman" w:hAnsi="Garamond" w:cs="Times New Roman"/>
          <w:bCs/>
          <w:color w:val="000000"/>
          <w:lang w:eastAsia="en-GB"/>
        </w:rPr>
        <w:t>1741/10-1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C111A9" w:rsidRPr="00577BC4">
        <w:rPr>
          <w:rFonts w:ascii="Garamond" w:eastAsia="Times New Roman" w:hAnsi="Garamond" w:cs="Times New Roman"/>
          <w:bCs/>
          <w:color w:val="000000"/>
          <w:lang w:eastAsia="en-GB"/>
        </w:rPr>
        <w:t>and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C111A9" w:rsidRPr="00577BC4">
        <w:rPr>
          <w:rFonts w:ascii="Garamond" w:eastAsia="Times New Roman" w:hAnsi="Garamond" w:cs="Times New Roman"/>
          <w:bCs/>
          <w:color w:val="000000"/>
          <w:lang w:eastAsia="en-GB"/>
        </w:rPr>
        <w:t>KA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C111A9" w:rsidRPr="00577BC4">
        <w:rPr>
          <w:rFonts w:ascii="Garamond" w:eastAsia="Times New Roman" w:hAnsi="Garamond" w:cs="Times New Roman"/>
          <w:bCs/>
          <w:color w:val="000000"/>
          <w:lang w:eastAsia="en-GB"/>
        </w:rPr>
        <w:t>1741/10-2.</w:t>
      </w:r>
    </w:p>
    <w:p w14:paraId="7769392D" w14:textId="58139F28" w:rsidR="009F2C34" w:rsidRPr="00577BC4" w:rsidRDefault="009F2C34" w:rsidP="009F2C34">
      <w:pPr>
        <w:ind w:left="1440" w:hanging="1440"/>
        <w:jc w:val="both"/>
        <w:rPr>
          <w:rFonts w:ascii="Garamond" w:eastAsia="Times New Roman" w:hAnsi="Garamond" w:cs="Times New Roman"/>
          <w:lang w:eastAsia="en-GB"/>
        </w:rPr>
      </w:pPr>
      <w:r w:rsidRPr="00577BC4">
        <w:rPr>
          <w:rFonts w:ascii="Garamond" w:eastAsia="Times New Roman" w:hAnsi="Garamond" w:cs="Times New Roman"/>
          <w:b/>
          <w:bCs/>
          <w:color w:val="000000"/>
          <w:lang w:eastAsia="en-GB"/>
        </w:rPr>
        <w:t>Feedback:</w:t>
      </w:r>
      <w:r w:rsidRPr="00577BC4">
        <w:rPr>
          <w:rFonts w:ascii="Garamond" w:eastAsia="Times New Roman" w:hAnsi="Garamond" w:cs="Times New Roman"/>
          <w:b/>
          <w:color w:val="000000"/>
          <w:lang w:eastAsia="en-GB"/>
        </w:rPr>
        <w:tab/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We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are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very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grateful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for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constructive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comments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suggestions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for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improvement.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Please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provide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feedback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via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hAnsi="Garamond"/>
          <w:b/>
          <w:bCs/>
          <w:color w:val="1F3864" w:themeColor="accent1" w:themeShade="80"/>
          <w:lang w:eastAsia="en-GB"/>
        </w:rPr>
        <w:t>GitHub</w:t>
      </w:r>
      <w:r w:rsidR="00577BC4" w:rsidRPr="00577BC4">
        <w:rPr>
          <w:rFonts w:ascii="Garamond" w:hAnsi="Garamond"/>
          <w:b/>
          <w:bCs/>
          <w:color w:val="1F3864" w:themeColor="accent1" w:themeShade="80"/>
          <w:lang w:eastAsia="en-GB"/>
        </w:rPr>
        <w:t xml:space="preserve"> </w:t>
      </w:r>
      <w:r w:rsidRPr="00577BC4">
        <w:rPr>
          <w:rFonts w:ascii="Garamond" w:hAnsi="Garamond"/>
          <w:b/>
          <w:bCs/>
          <w:color w:val="1F3864" w:themeColor="accent1" w:themeShade="80"/>
          <w:lang w:eastAsia="en-GB"/>
        </w:rPr>
        <w:t>repository.</w:t>
      </w:r>
      <w:r w:rsidR="00577BC4" w:rsidRPr="00577BC4">
        <w:rPr>
          <w:rFonts w:ascii="Garamond" w:eastAsia="Times New Roman" w:hAnsi="Garamond" w:cs="Times New Roman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lang w:eastAsia="en-GB"/>
        </w:rPr>
        <w:t>(link</w:t>
      </w:r>
      <w:r w:rsidR="00577BC4" w:rsidRPr="00577BC4">
        <w:rPr>
          <w:rFonts w:ascii="Garamond" w:eastAsia="Times New Roman" w:hAnsi="Garamond" w:cs="Times New Roman"/>
          <w:lang w:eastAsia="en-GB"/>
        </w:rPr>
        <w:t xml:space="preserve"> </w:t>
      </w:r>
      <w:r w:rsidR="002A237A" w:rsidRPr="002A237A">
        <w:rPr>
          <w:rFonts w:ascii="Garamond" w:eastAsia="Times New Roman" w:hAnsi="Garamond" w:cs="Times New Roman"/>
          <w:i/>
          <w:lang w:eastAsia="en-GB"/>
        </w:rPr>
        <w:t>https://github.com/leonce-collab/Multi-level-Data</w:t>
      </w:r>
      <w:r w:rsidRPr="00577BC4">
        <w:rPr>
          <w:rFonts w:ascii="Garamond" w:eastAsia="Times New Roman" w:hAnsi="Garamond" w:cs="Times New Roman"/>
          <w:lang w:eastAsia="en-GB"/>
        </w:rPr>
        <w:t>)</w:t>
      </w:r>
    </w:p>
    <w:p w14:paraId="3A99960F" w14:textId="0C835689" w:rsidR="00EF154F" w:rsidRPr="00577BC4" w:rsidRDefault="00EF154F" w:rsidP="00EF154F">
      <w:pPr>
        <w:ind w:left="1440" w:hanging="1440"/>
        <w:jc w:val="both"/>
        <w:rPr>
          <w:rFonts w:ascii="Garamond" w:eastAsia="Times New Roman" w:hAnsi="Garamond" w:cs="Times New Roman"/>
          <w:lang w:eastAsia="en-GB"/>
        </w:rPr>
      </w:pPr>
      <w:r w:rsidRPr="00577BC4">
        <w:rPr>
          <w:rFonts w:ascii="Garamond" w:eastAsia="Times New Roman" w:hAnsi="Garamond" w:cs="Times New Roman"/>
          <w:b/>
          <w:bCs/>
          <w:color w:val="000000"/>
          <w:lang w:eastAsia="en-GB"/>
        </w:rPr>
        <w:t>Explore:</w:t>
      </w:r>
      <w:r w:rsidRPr="00577BC4">
        <w:rPr>
          <w:rFonts w:ascii="Garamond" w:eastAsia="Times New Roman" w:hAnsi="Garamond" w:cs="Times New Roman"/>
          <w:lang w:eastAsia="en-GB"/>
        </w:rPr>
        <w:tab/>
        <w:t>Visit</w:t>
      </w:r>
      <w:r>
        <w:rPr>
          <w:rFonts w:ascii="Garamond" w:eastAsia="Times New Roman" w:hAnsi="Garamond" w:cs="Times New Roman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lang w:eastAsia="en-GB"/>
        </w:rPr>
        <w:t>our</w:t>
      </w:r>
      <w:r>
        <w:rPr>
          <w:rFonts w:ascii="Garamond" w:eastAsia="Times New Roman" w:hAnsi="Garamond" w:cs="Times New Roman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lang w:eastAsia="en-GB"/>
        </w:rPr>
        <w:t>dashboard</w:t>
      </w:r>
      <w:r>
        <w:rPr>
          <w:rFonts w:ascii="Garamond" w:eastAsia="Times New Roman" w:hAnsi="Garamond" w:cs="Times New Roman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lang w:eastAsia="en-GB"/>
        </w:rPr>
        <w:t>to</w:t>
      </w:r>
      <w:r>
        <w:rPr>
          <w:rFonts w:ascii="Garamond" w:eastAsia="Times New Roman" w:hAnsi="Garamond" w:cs="Times New Roman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lang w:eastAsia="en-GB"/>
        </w:rPr>
        <w:t>explore</w:t>
      </w:r>
      <w:r>
        <w:rPr>
          <w:rFonts w:ascii="Garamond" w:eastAsia="Times New Roman" w:hAnsi="Garamond" w:cs="Times New Roman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lang w:eastAsia="en-GB"/>
        </w:rPr>
        <w:t>the</w:t>
      </w:r>
      <w:r>
        <w:rPr>
          <w:rFonts w:ascii="Garamond" w:eastAsia="Times New Roman" w:hAnsi="Garamond" w:cs="Times New Roman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lang w:eastAsia="en-GB"/>
        </w:rPr>
        <w:t>data</w:t>
      </w:r>
      <w:r>
        <w:rPr>
          <w:rFonts w:ascii="Garamond" w:eastAsia="Times New Roman" w:hAnsi="Garamond" w:cs="Times New Roman"/>
          <w:i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lang w:eastAsia="en-GB"/>
        </w:rPr>
        <w:t>within</w:t>
      </w:r>
      <w:r>
        <w:rPr>
          <w:rFonts w:ascii="Garamond" w:eastAsia="Times New Roman" w:hAnsi="Garamond" w:cs="Times New Roman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lang w:eastAsia="en-GB"/>
        </w:rPr>
        <w:t>interactive</w:t>
      </w:r>
      <w:r>
        <w:rPr>
          <w:rFonts w:ascii="Garamond" w:eastAsia="Times New Roman" w:hAnsi="Garamond" w:cs="Times New Roman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lang w:eastAsia="en-GB"/>
        </w:rPr>
        <w:t>maps</w:t>
      </w:r>
      <w:r>
        <w:rPr>
          <w:rFonts w:ascii="Garamond" w:eastAsia="Times New Roman" w:hAnsi="Garamond" w:cs="Times New Roman"/>
          <w:lang w:eastAsia="en-GB"/>
        </w:rPr>
        <w:t xml:space="preserve">: </w:t>
      </w:r>
      <w:hyperlink r:id="rId7" w:history="1">
        <w:r w:rsidR="002A237A" w:rsidRPr="00E94F36">
          <w:rPr>
            <w:rStyle w:val="Hyperlink"/>
            <w:rFonts w:ascii="Garamond" w:hAnsi="Garamond"/>
            <w:b/>
            <w:bCs/>
          </w:rPr>
          <w:t>http://multi-level-cross-level-politics.eu/</w:t>
        </w:r>
      </w:hyperlink>
      <w:r w:rsidRPr="00577BC4">
        <w:rPr>
          <w:rFonts w:ascii="Garamond" w:eastAsia="Times New Roman" w:hAnsi="Garamond" w:cs="Times New Roman"/>
          <w:lang w:eastAsia="en-GB"/>
        </w:rPr>
        <w:t>.</w:t>
      </w:r>
    </w:p>
    <w:p w14:paraId="5620C662" w14:textId="77777777" w:rsidR="009F2C34" w:rsidRPr="00577BC4" w:rsidRDefault="009F2C34" w:rsidP="009F2C34">
      <w:pPr>
        <w:rPr>
          <w:rFonts w:ascii="Garamond" w:hAnsi="Garamond"/>
        </w:rPr>
      </w:pPr>
    </w:p>
    <w:p w14:paraId="41FE3C00" w14:textId="77777777" w:rsidR="00D8789D" w:rsidRPr="00577BC4" w:rsidRDefault="00D8789D" w:rsidP="009F2C34">
      <w:pPr>
        <w:rPr>
          <w:rFonts w:ascii="Garamond" w:hAnsi="Garamond"/>
        </w:rPr>
      </w:pPr>
    </w:p>
    <w:p w14:paraId="023C086F" w14:textId="32786236" w:rsidR="009F2C34" w:rsidRPr="00577BC4" w:rsidRDefault="009F2C34" w:rsidP="00EB2F39">
      <w:pPr>
        <w:jc w:val="both"/>
        <w:rPr>
          <w:rFonts w:ascii="Garamond" w:eastAsia="Times New Roman" w:hAnsi="Garamond" w:cstheme="majorBidi"/>
          <w:bCs/>
          <w:lang w:eastAsia="en-GB"/>
        </w:rPr>
      </w:pPr>
      <w:r w:rsidRPr="00577BC4">
        <w:rPr>
          <w:rFonts w:ascii="Garamond" w:eastAsia="Times New Roman" w:hAnsi="Garamond" w:cstheme="majorBidi"/>
          <w:b/>
          <w:bCs/>
          <w:lang w:eastAsia="en-GB"/>
        </w:rPr>
        <w:t>Acknowledgments</w:t>
      </w:r>
      <w:r w:rsidR="00577BC4" w:rsidRPr="00577BC4">
        <w:rPr>
          <w:rFonts w:ascii="Garamond" w:eastAsia="Times New Roman" w:hAnsi="Garamond" w:cstheme="majorBidi"/>
          <w:b/>
          <w:bCs/>
          <w:lang w:eastAsia="en-GB"/>
        </w:rPr>
        <w:t xml:space="preserve"> </w:t>
      </w:r>
      <w:bookmarkStart w:id="2" w:name="_Hlk169010678"/>
      <w:r w:rsidR="008C34EE" w:rsidRPr="00577BC4">
        <w:rPr>
          <w:rFonts w:ascii="Garamond" w:eastAsia="Times New Roman" w:hAnsi="Garamond" w:cs="Times New Roman"/>
          <w:lang w:eastAsia="en-GB"/>
        </w:rPr>
        <w:br/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We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are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very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thankful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for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all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the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student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assistants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that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have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worked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on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the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project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over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the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years: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Ben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Stefani,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proofErr w:type="spellStart"/>
      <w:r w:rsidR="008C34EE" w:rsidRPr="00577BC4">
        <w:rPr>
          <w:rFonts w:ascii="Garamond" w:eastAsia="Times New Roman" w:hAnsi="Garamond" w:cstheme="majorBidi"/>
          <w:bCs/>
          <w:lang w:eastAsia="en-GB"/>
        </w:rPr>
        <w:t>Çağan</w:t>
      </w:r>
      <w:proofErr w:type="spellEnd"/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proofErr w:type="spellStart"/>
      <w:r w:rsidR="008C34EE" w:rsidRPr="00577BC4">
        <w:rPr>
          <w:rFonts w:ascii="Garamond" w:eastAsia="Times New Roman" w:hAnsi="Garamond" w:cstheme="majorBidi"/>
          <w:bCs/>
          <w:lang w:eastAsia="en-GB"/>
        </w:rPr>
        <w:t>Varol</w:t>
      </w:r>
      <w:proofErr w:type="spellEnd"/>
      <w:r w:rsidR="008C34EE" w:rsidRPr="00577BC4">
        <w:rPr>
          <w:rFonts w:ascii="Garamond" w:eastAsia="Times New Roman" w:hAnsi="Garamond" w:cstheme="majorBidi"/>
          <w:bCs/>
          <w:lang w:eastAsia="en-GB"/>
        </w:rPr>
        <w:t>,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Keno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proofErr w:type="spellStart"/>
      <w:r w:rsidR="008C34EE" w:rsidRPr="00577BC4">
        <w:rPr>
          <w:rFonts w:ascii="Garamond" w:eastAsia="Times New Roman" w:hAnsi="Garamond" w:cstheme="majorBidi"/>
          <w:bCs/>
          <w:lang w:eastAsia="en-GB"/>
        </w:rPr>
        <w:t>Röller</w:t>
      </w:r>
      <w:proofErr w:type="spellEnd"/>
      <w:r w:rsidR="008C34EE" w:rsidRPr="00577BC4">
        <w:rPr>
          <w:rFonts w:ascii="Garamond" w:eastAsia="Times New Roman" w:hAnsi="Garamond" w:cstheme="majorBidi"/>
          <w:bCs/>
          <w:lang w:eastAsia="en-GB"/>
        </w:rPr>
        <w:t>-Siedenburg,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Kristina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proofErr w:type="spellStart"/>
      <w:r w:rsidR="008C34EE" w:rsidRPr="00577BC4">
        <w:rPr>
          <w:rFonts w:ascii="Garamond" w:eastAsia="Times New Roman" w:hAnsi="Garamond" w:cstheme="majorBidi"/>
          <w:bCs/>
          <w:lang w:eastAsia="en-GB"/>
        </w:rPr>
        <w:t>Ophey</w:t>
      </w:r>
      <w:proofErr w:type="spellEnd"/>
      <w:r w:rsidR="008C34EE" w:rsidRPr="00577BC4">
        <w:rPr>
          <w:rFonts w:ascii="Garamond" w:eastAsia="Times New Roman" w:hAnsi="Garamond" w:cstheme="majorBidi"/>
          <w:bCs/>
          <w:lang w:eastAsia="en-GB"/>
        </w:rPr>
        <w:t>,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Marcel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Buchwald,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proofErr w:type="spellStart"/>
      <w:r w:rsidR="008C34EE" w:rsidRPr="00577BC4">
        <w:rPr>
          <w:rFonts w:ascii="Garamond" w:eastAsia="Times New Roman" w:hAnsi="Garamond" w:cstheme="majorBidi"/>
          <w:bCs/>
          <w:lang w:eastAsia="en-GB"/>
        </w:rPr>
        <w:t>Mingyi</w:t>
      </w:r>
      <w:proofErr w:type="spellEnd"/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Zhang,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Rebecca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Kittel,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Saskia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Gottschalk,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Taiwo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A.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Ahmed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and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Vera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proofErr w:type="spellStart"/>
      <w:r w:rsidR="008C34EE" w:rsidRPr="00577BC4">
        <w:rPr>
          <w:rFonts w:ascii="Garamond" w:eastAsia="Times New Roman" w:hAnsi="Garamond" w:cstheme="majorBidi"/>
          <w:bCs/>
          <w:lang w:eastAsia="en-GB"/>
        </w:rPr>
        <w:t>Serbenyuk</w:t>
      </w:r>
      <w:proofErr w:type="spellEnd"/>
      <w:r w:rsidR="008C34EE" w:rsidRPr="00577BC4">
        <w:rPr>
          <w:rFonts w:ascii="Garamond" w:eastAsia="Times New Roman" w:hAnsi="Garamond" w:cstheme="majorBidi"/>
          <w:bCs/>
          <w:lang w:eastAsia="en-GB"/>
        </w:rPr>
        <w:t>.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We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further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had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a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fruitful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collaboration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with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external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researchers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such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as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Arjan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proofErr w:type="spellStart"/>
      <w:r w:rsidR="008C34EE" w:rsidRPr="00577BC4">
        <w:rPr>
          <w:rFonts w:ascii="Garamond" w:eastAsia="Times New Roman" w:hAnsi="Garamond" w:cstheme="majorBidi"/>
          <w:bCs/>
          <w:lang w:eastAsia="en-GB"/>
        </w:rPr>
        <w:t>Schakel</w:t>
      </w:r>
      <w:proofErr w:type="spellEnd"/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(University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of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Bergen),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Sandra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León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(Universidad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Carlos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III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de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Madrid)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and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Emanuele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proofErr w:type="spellStart"/>
      <w:r w:rsidR="008C34EE" w:rsidRPr="00577BC4">
        <w:rPr>
          <w:rFonts w:ascii="Garamond" w:eastAsia="Times New Roman" w:hAnsi="Garamond" w:cstheme="majorBidi"/>
          <w:bCs/>
          <w:lang w:eastAsia="en-GB"/>
        </w:rPr>
        <w:t>Massetti</w:t>
      </w:r>
      <w:proofErr w:type="spellEnd"/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(University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of</w:t>
      </w:r>
      <w:r w:rsidR="00577BC4" w:rsidRPr="00577BC4">
        <w:rPr>
          <w:rFonts w:ascii="Garamond" w:eastAsia="Times New Roman" w:hAnsi="Garamond" w:cstheme="majorBidi"/>
          <w:bCs/>
          <w:lang w:eastAsia="en-GB"/>
        </w:rPr>
        <w:t xml:space="preserve"> </w:t>
      </w:r>
      <w:r w:rsidR="008C34EE" w:rsidRPr="00577BC4">
        <w:rPr>
          <w:rFonts w:ascii="Garamond" w:eastAsia="Times New Roman" w:hAnsi="Garamond" w:cstheme="majorBidi"/>
          <w:bCs/>
          <w:lang w:eastAsia="en-GB"/>
        </w:rPr>
        <w:t>Trento).</w:t>
      </w:r>
    </w:p>
    <w:p w14:paraId="1FB7669B" w14:textId="77777777" w:rsidR="00D8789D" w:rsidRPr="00577BC4" w:rsidRDefault="00D8789D" w:rsidP="00EB2F39">
      <w:pPr>
        <w:jc w:val="both"/>
        <w:rPr>
          <w:rFonts w:ascii="Garamond" w:eastAsia="Times New Roman" w:hAnsi="Garamond" w:cstheme="majorBidi"/>
          <w:bCs/>
          <w:lang w:eastAsia="en-GB"/>
        </w:rPr>
      </w:pPr>
    </w:p>
    <w:bookmarkEnd w:id="2"/>
    <w:p w14:paraId="6737CBBF" w14:textId="77777777" w:rsidR="00F42F2A" w:rsidRPr="00577BC4" w:rsidRDefault="007402F5" w:rsidP="00F42F2A">
      <w:pPr>
        <w:rPr>
          <w:rFonts w:ascii="Garamond" w:hAnsi="Garamond"/>
        </w:rPr>
      </w:pP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br w:type="page"/>
      </w:r>
    </w:p>
    <w:p w14:paraId="62903A19" w14:textId="201B993F" w:rsidR="00F42F2A" w:rsidRPr="00577BC4" w:rsidRDefault="002E6914" w:rsidP="00F42F2A">
      <w:pPr>
        <w:rPr>
          <w:rFonts w:ascii="Garamond" w:hAnsi="Garamond"/>
          <w:b/>
          <w:sz w:val="28"/>
          <w:szCs w:val="28"/>
        </w:rPr>
      </w:pPr>
      <w:bookmarkStart w:id="3" w:name="_Hlk169088700"/>
      <w:r w:rsidRPr="00577BC4">
        <w:rPr>
          <w:rFonts w:ascii="Garamond" w:hAnsi="Garamond"/>
          <w:b/>
          <w:sz w:val="28"/>
          <w:szCs w:val="28"/>
        </w:rPr>
        <w:lastRenderedPageBreak/>
        <w:t>Content</w:t>
      </w:r>
    </w:p>
    <w:p w14:paraId="545EC029" w14:textId="177D30DC" w:rsidR="002E6914" w:rsidRPr="00577BC4" w:rsidRDefault="00F42F2A" w:rsidP="00445D0F">
      <w:pPr>
        <w:pStyle w:val="Listenabsatz"/>
        <w:numPr>
          <w:ilvl w:val="0"/>
          <w:numId w:val="5"/>
        </w:numPr>
        <w:rPr>
          <w:rFonts w:ascii="Garamond" w:hAnsi="Garamond"/>
          <w:lang w:eastAsia="en-GB"/>
        </w:rPr>
      </w:pPr>
      <w:r w:rsidRPr="00577BC4">
        <w:rPr>
          <w:rFonts w:ascii="Garamond" w:hAnsi="Garamond"/>
          <w:lang w:eastAsia="en-GB"/>
        </w:rPr>
        <w:t>Conceptual</w:t>
      </w:r>
      <w:r w:rsidR="00577BC4" w:rsidRPr="00577BC4">
        <w:rPr>
          <w:rFonts w:ascii="Garamond" w:hAnsi="Garamond"/>
          <w:lang w:eastAsia="en-GB"/>
        </w:rPr>
        <w:t xml:space="preserve"> </w:t>
      </w:r>
      <w:r w:rsidRPr="00577BC4">
        <w:rPr>
          <w:rFonts w:ascii="Garamond" w:hAnsi="Garamond"/>
          <w:lang w:eastAsia="en-GB"/>
        </w:rPr>
        <w:t>information</w:t>
      </w:r>
      <w:r w:rsidR="00577BC4" w:rsidRPr="00577BC4">
        <w:rPr>
          <w:rFonts w:ascii="Garamond" w:hAnsi="Garamond"/>
          <w:lang w:eastAsia="en-GB"/>
        </w:rPr>
        <w:t xml:space="preserve"> </w:t>
      </w:r>
    </w:p>
    <w:p w14:paraId="638C91A2" w14:textId="77777777" w:rsidR="002E6914" w:rsidRPr="00577BC4" w:rsidRDefault="00F42F2A" w:rsidP="00445D0F">
      <w:pPr>
        <w:pStyle w:val="Listenabsatz"/>
        <w:numPr>
          <w:ilvl w:val="0"/>
          <w:numId w:val="5"/>
        </w:numPr>
        <w:rPr>
          <w:rFonts w:ascii="Garamond" w:hAnsi="Garamond"/>
          <w:lang w:eastAsia="en-GB"/>
        </w:rPr>
      </w:pPr>
      <w:r w:rsidRPr="00577BC4">
        <w:rPr>
          <w:rFonts w:ascii="Garamond" w:hAnsi="Garamond"/>
          <w:lang w:eastAsia="en-GB"/>
        </w:rPr>
        <w:t>Coverage</w:t>
      </w:r>
    </w:p>
    <w:p w14:paraId="05CC727C" w14:textId="77777777" w:rsidR="002E6914" w:rsidRPr="00577BC4" w:rsidRDefault="00F42F2A" w:rsidP="00445D0F">
      <w:pPr>
        <w:pStyle w:val="Listenabsatz"/>
        <w:numPr>
          <w:ilvl w:val="0"/>
          <w:numId w:val="5"/>
        </w:numPr>
        <w:rPr>
          <w:rFonts w:ascii="Garamond" w:hAnsi="Garamond"/>
        </w:rPr>
      </w:pPr>
      <w:r w:rsidRPr="00577BC4">
        <w:rPr>
          <w:rFonts w:ascii="Garamond" w:hAnsi="Garamond"/>
          <w:lang w:eastAsia="en-GB"/>
        </w:rPr>
        <w:t>Variables</w:t>
      </w:r>
    </w:p>
    <w:p w14:paraId="2C7BD2C6" w14:textId="6FA1EBCB" w:rsidR="002E6914" w:rsidRPr="00577BC4" w:rsidRDefault="00F42F2A" w:rsidP="00445D0F">
      <w:pPr>
        <w:pStyle w:val="Listenabsatz"/>
        <w:numPr>
          <w:ilvl w:val="0"/>
          <w:numId w:val="5"/>
        </w:numPr>
        <w:rPr>
          <w:rFonts w:ascii="Garamond" w:hAnsi="Garamond"/>
        </w:rPr>
      </w:pPr>
      <w:r w:rsidRPr="00577BC4">
        <w:rPr>
          <w:rFonts w:ascii="Garamond" w:hAnsi="Garamond"/>
        </w:rPr>
        <w:t>Country</w:t>
      </w:r>
      <w:r w:rsidR="00577BC4" w:rsidRPr="00577BC4">
        <w:rPr>
          <w:rFonts w:ascii="Garamond" w:hAnsi="Garamond"/>
        </w:rPr>
        <w:t xml:space="preserve"> </w:t>
      </w:r>
      <w:r w:rsidRPr="00577BC4">
        <w:rPr>
          <w:rFonts w:ascii="Garamond" w:hAnsi="Garamond"/>
        </w:rPr>
        <w:t>Notes</w:t>
      </w:r>
    </w:p>
    <w:p w14:paraId="0993235D" w14:textId="056C72C6" w:rsidR="00F42F2A" w:rsidRPr="00577BC4" w:rsidRDefault="00F42F2A" w:rsidP="00445D0F">
      <w:pPr>
        <w:pStyle w:val="Listenabsatz"/>
        <w:numPr>
          <w:ilvl w:val="0"/>
          <w:numId w:val="5"/>
        </w:numPr>
        <w:rPr>
          <w:rFonts w:ascii="Garamond" w:hAnsi="Garamond"/>
        </w:rPr>
      </w:pPr>
      <w:r w:rsidRPr="00577BC4">
        <w:rPr>
          <w:rFonts w:ascii="Garamond" w:hAnsi="Garamond"/>
        </w:rPr>
        <w:t>References</w:t>
      </w:r>
    </w:p>
    <w:p w14:paraId="4D312B9F" w14:textId="2CA6933E" w:rsidR="007402F5" w:rsidRPr="00577BC4" w:rsidRDefault="007402F5" w:rsidP="00EB2F39">
      <w:pPr>
        <w:jc w:val="both"/>
        <w:rPr>
          <w:rFonts w:ascii="Garamond" w:eastAsia="Times New Roman" w:hAnsi="Garamond" w:cs="Times New Roman"/>
          <w:bCs/>
          <w:color w:val="000000"/>
          <w:lang w:eastAsia="en-GB"/>
        </w:rPr>
      </w:pPr>
    </w:p>
    <w:bookmarkEnd w:id="0"/>
    <w:bookmarkEnd w:id="3"/>
    <w:p w14:paraId="72634F38" w14:textId="6FCA716C" w:rsidR="007402F5" w:rsidRPr="00577BC4" w:rsidRDefault="007402F5" w:rsidP="007402F5">
      <w:pPr>
        <w:pStyle w:val="berschrift1"/>
        <w:numPr>
          <w:ilvl w:val="0"/>
          <w:numId w:val="1"/>
        </w:numPr>
        <w:rPr>
          <w:rFonts w:ascii="Garamond" w:eastAsia="Times New Roman" w:hAnsi="Garamond"/>
          <w:b/>
          <w:bCs/>
          <w:color w:val="auto"/>
          <w:sz w:val="28"/>
          <w:szCs w:val="28"/>
          <w:lang w:eastAsia="en-GB"/>
        </w:rPr>
      </w:pPr>
      <w:r w:rsidRPr="00577BC4">
        <w:rPr>
          <w:rFonts w:ascii="Garamond" w:eastAsia="Times New Roman" w:hAnsi="Garamond"/>
          <w:b/>
          <w:bCs/>
          <w:color w:val="auto"/>
          <w:sz w:val="28"/>
          <w:szCs w:val="28"/>
          <w:lang w:eastAsia="en-GB"/>
        </w:rPr>
        <w:t>Conceptual</w:t>
      </w:r>
      <w:r w:rsidR="00577BC4" w:rsidRPr="00577BC4">
        <w:rPr>
          <w:rFonts w:ascii="Garamond" w:eastAsia="Times New Roman" w:hAnsi="Garamond"/>
          <w:b/>
          <w:bCs/>
          <w:color w:val="auto"/>
          <w:sz w:val="28"/>
          <w:szCs w:val="28"/>
          <w:lang w:eastAsia="en-GB"/>
        </w:rPr>
        <w:t xml:space="preserve"> </w:t>
      </w:r>
      <w:r w:rsidRPr="00577BC4">
        <w:rPr>
          <w:rFonts w:ascii="Garamond" w:eastAsia="Times New Roman" w:hAnsi="Garamond"/>
          <w:b/>
          <w:bCs/>
          <w:color w:val="auto"/>
          <w:sz w:val="28"/>
          <w:szCs w:val="28"/>
          <w:lang w:eastAsia="en-GB"/>
        </w:rPr>
        <w:t>information</w:t>
      </w:r>
    </w:p>
    <w:p w14:paraId="66E31D17" w14:textId="77777777" w:rsidR="007402F5" w:rsidRPr="00577BC4" w:rsidRDefault="007402F5" w:rsidP="007402F5">
      <w:pPr>
        <w:pStyle w:val="Flietext0"/>
        <w:spacing w:after="240"/>
        <w:ind w:firstLine="0"/>
        <w:jc w:val="both"/>
        <w:rPr>
          <w:rFonts w:ascii="Garamond" w:hAnsi="Garamond"/>
          <w:b/>
          <w:i/>
          <w:sz w:val="22"/>
          <w:szCs w:val="22"/>
          <w:lang w:val="en-GB"/>
        </w:rPr>
      </w:pPr>
    </w:p>
    <w:p w14:paraId="31DFDE0A" w14:textId="52DB4DFE" w:rsidR="007402F5" w:rsidRPr="00577BC4" w:rsidRDefault="007402F5" w:rsidP="007402F5">
      <w:pPr>
        <w:pStyle w:val="Flietext0"/>
        <w:spacing w:after="240"/>
        <w:ind w:firstLine="0"/>
        <w:jc w:val="both"/>
        <w:rPr>
          <w:rFonts w:ascii="Garamond" w:hAnsi="Garamond"/>
          <w:sz w:val="22"/>
          <w:szCs w:val="22"/>
          <w:lang w:val="en-GB"/>
        </w:rPr>
      </w:pPr>
      <w:r w:rsidRPr="00577BC4">
        <w:rPr>
          <w:rFonts w:ascii="Garamond" w:hAnsi="Garamond"/>
          <w:b/>
          <w:sz w:val="22"/>
          <w:szCs w:val="22"/>
          <w:lang w:val="en-GB"/>
        </w:rPr>
        <w:t>Definition</w:t>
      </w:r>
      <w:r w:rsidR="00577BC4" w:rsidRPr="00577BC4">
        <w:rPr>
          <w:rFonts w:ascii="Garamond" w:hAnsi="Garamond"/>
          <w:b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b/>
          <w:sz w:val="22"/>
          <w:szCs w:val="22"/>
          <w:lang w:val="en-GB"/>
        </w:rPr>
        <w:t>of</w:t>
      </w:r>
      <w:r w:rsidR="00577BC4" w:rsidRPr="00577BC4">
        <w:rPr>
          <w:rFonts w:ascii="Garamond" w:hAnsi="Garamond"/>
          <w:b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b/>
          <w:sz w:val="22"/>
          <w:szCs w:val="22"/>
          <w:lang w:val="en-GB"/>
        </w:rPr>
        <w:t>a</w:t>
      </w:r>
      <w:r w:rsidR="00577BC4" w:rsidRPr="00577BC4">
        <w:rPr>
          <w:rFonts w:ascii="Garamond" w:hAnsi="Garamond"/>
          <w:b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b/>
          <w:sz w:val="22"/>
          <w:szCs w:val="22"/>
          <w:lang w:val="en-GB"/>
        </w:rPr>
        <w:t>region: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The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definition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of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a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region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is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closely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related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to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the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definition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within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the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dataset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of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the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Regional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Authority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Index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(</w:t>
      </w:r>
      <w:proofErr w:type="spellStart"/>
      <w:r w:rsidRPr="00577BC4">
        <w:rPr>
          <w:rFonts w:ascii="Garamond" w:hAnsi="Garamond"/>
          <w:sz w:val="22"/>
          <w:szCs w:val="22"/>
          <w:lang w:val="en-GB"/>
        </w:rPr>
        <w:t>Hooghe</w:t>
      </w:r>
      <w:proofErr w:type="spellEnd"/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et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al.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2016).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A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region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is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defined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as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a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jurisdiction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between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the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country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government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and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local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government.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We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do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not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apply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the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population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criterion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used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by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proofErr w:type="spellStart"/>
      <w:r w:rsidRPr="00577BC4">
        <w:rPr>
          <w:rFonts w:ascii="Garamond" w:hAnsi="Garamond"/>
          <w:sz w:val="22"/>
          <w:szCs w:val="22"/>
          <w:lang w:val="en-GB"/>
        </w:rPr>
        <w:t>Hooghe</w:t>
      </w:r>
      <w:proofErr w:type="spellEnd"/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et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al.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(2016),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but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define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a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region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as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the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second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jurisdictional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tier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below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the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country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level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(compare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the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coverage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table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in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the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Appendix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as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well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as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the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codebooks).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</w:p>
    <w:p w14:paraId="7455E193" w14:textId="11BBA26D" w:rsidR="007402F5" w:rsidRPr="00577BC4" w:rsidRDefault="007402F5" w:rsidP="007402F5">
      <w:pPr>
        <w:pStyle w:val="Flietext0"/>
        <w:spacing w:after="240"/>
        <w:ind w:firstLine="0"/>
        <w:jc w:val="both"/>
        <w:rPr>
          <w:rFonts w:ascii="Garamond" w:hAnsi="Garamond"/>
          <w:sz w:val="22"/>
          <w:szCs w:val="22"/>
          <w:lang w:val="en-GB"/>
        </w:rPr>
      </w:pPr>
      <w:r w:rsidRPr="00577BC4">
        <w:rPr>
          <w:rFonts w:ascii="Garamond" w:hAnsi="Garamond"/>
          <w:b/>
          <w:sz w:val="22"/>
          <w:szCs w:val="22"/>
          <w:lang w:val="en-GB"/>
        </w:rPr>
        <w:t>Definition</w:t>
      </w:r>
      <w:r w:rsidR="00577BC4" w:rsidRPr="00577BC4">
        <w:rPr>
          <w:rFonts w:ascii="Garamond" w:hAnsi="Garamond"/>
          <w:b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b/>
          <w:sz w:val="22"/>
          <w:szCs w:val="22"/>
          <w:lang w:val="en-GB"/>
        </w:rPr>
        <w:t>of</w:t>
      </w:r>
      <w:r w:rsidR="00577BC4" w:rsidRPr="00577BC4">
        <w:rPr>
          <w:rFonts w:ascii="Garamond" w:hAnsi="Garamond"/>
          <w:b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b/>
          <w:sz w:val="22"/>
          <w:szCs w:val="22"/>
          <w:lang w:val="en-GB"/>
        </w:rPr>
        <w:t>a</w:t>
      </w:r>
      <w:r w:rsidR="00577BC4" w:rsidRPr="00577BC4">
        <w:rPr>
          <w:rFonts w:ascii="Garamond" w:hAnsi="Garamond"/>
          <w:b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b/>
          <w:sz w:val="22"/>
          <w:szCs w:val="22"/>
          <w:lang w:val="en-GB"/>
        </w:rPr>
        <w:t>party: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We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use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the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definition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of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a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political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party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as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indicated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by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our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sources.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However,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we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put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in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a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great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deal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of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effort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to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identify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and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synchronize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the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partisan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names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and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IDs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across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sources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and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levels.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The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IDs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always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favour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continuity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over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change.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For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example,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a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party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might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change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its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name,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but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otherwise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remain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the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same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in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terms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of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organization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and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personnel;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here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we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change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the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name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but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retain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the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old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ID.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This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solution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has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the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advantage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that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more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fine-grained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distinctions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can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easily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be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made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ex-post,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whereas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the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harmonization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of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IDs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in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case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of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different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party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names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would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be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more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demanding.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</w:p>
    <w:p w14:paraId="1DBBAA3B" w14:textId="34E3169B" w:rsidR="007402F5" w:rsidRDefault="007402F5" w:rsidP="007402F5">
      <w:pPr>
        <w:pStyle w:val="Flietext0"/>
        <w:spacing w:after="240"/>
        <w:ind w:firstLine="0"/>
        <w:jc w:val="both"/>
        <w:rPr>
          <w:rFonts w:ascii="Garamond" w:hAnsi="Garamond"/>
          <w:sz w:val="22"/>
          <w:szCs w:val="22"/>
          <w:lang w:val="en-GB"/>
        </w:rPr>
      </w:pPr>
      <w:r w:rsidRPr="00577BC4">
        <w:rPr>
          <w:rFonts w:ascii="Garamond" w:hAnsi="Garamond"/>
          <w:b/>
          <w:sz w:val="22"/>
          <w:szCs w:val="22"/>
          <w:lang w:val="en-GB"/>
        </w:rPr>
        <w:t>Temporal</w:t>
      </w:r>
      <w:r w:rsidR="00577BC4" w:rsidRPr="00577BC4">
        <w:rPr>
          <w:rFonts w:ascii="Garamond" w:hAnsi="Garamond"/>
          <w:b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b/>
          <w:sz w:val="22"/>
          <w:szCs w:val="22"/>
          <w:lang w:val="en-GB"/>
        </w:rPr>
        <w:t>specification: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We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provide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two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distinct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temporal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configurations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of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the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dataset.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In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its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standard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configuration,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the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dataset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is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based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on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electoral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periods.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A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second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specification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provides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yearly</w:t>
      </w:r>
      <w:r w:rsidR="00577BC4" w:rsidRPr="00577BC4">
        <w:rPr>
          <w:rFonts w:ascii="Garamond" w:hAnsi="Garamond"/>
          <w:sz w:val="22"/>
          <w:szCs w:val="22"/>
          <w:lang w:val="en-GB"/>
        </w:rPr>
        <w:t xml:space="preserve"> </w:t>
      </w:r>
      <w:r w:rsidRPr="00577BC4">
        <w:rPr>
          <w:rFonts w:ascii="Garamond" w:hAnsi="Garamond"/>
          <w:sz w:val="22"/>
          <w:szCs w:val="22"/>
          <w:lang w:val="en-GB"/>
        </w:rPr>
        <w:t>data.</w:t>
      </w:r>
    </w:p>
    <w:p w14:paraId="796E9730" w14:textId="4DD2F53C" w:rsidR="00FE1798" w:rsidRPr="00FE1798" w:rsidRDefault="00FE1798" w:rsidP="007402F5">
      <w:pPr>
        <w:pStyle w:val="Flietext0"/>
        <w:spacing w:after="240"/>
        <w:ind w:firstLine="0"/>
        <w:jc w:val="both"/>
        <w:rPr>
          <w:rFonts w:ascii="Garamond" w:hAnsi="Garamond"/>
          <w:sz w:val="22"/>
          <w:szCs w:val="22"/>
          <w:lang w:val="en-GB"/>
        </w:rPr>
      </w:pPr>
      <w:bookmarkStart w:id="4" w:name="_Hlk169166596"/>
      <w:r w:rsidRPr="00FE1798">
        <w:rPr>
          <w:rFonts w:ascii="Garamond" w:hAnsi="Garamond"/>
          <w:b/>
          <w:sz w:val="22"/>
          <w:szCs w:val="22"/>
          <w:lang w:val="en-GB"/>
        </w:rPr>
        <w:t>Unit of analysis in the RD|CED</w:t>
      </w:r>
      <w:r>
        <w:rPr>
          <w:rFonts w:ascii="Garamond" w:hAnsi="Garamond"/>
          <w:sz w:val="22"/>
          <w:szCs w:val="22"/>
          <w:lang w:val="en-GB"/>
        </w:rPr>
        <w:t xml:space="preserve">: </w:t>
      </w:r>
      <w:r w:rsidRPr="00FE1798">
        <w:rPr>
          <w:rFonts w:ascii="Garamond" w:hAnsi="Garamond"/>
          <w:sz w:val="22"/>
          <w:szCs w:val="22"/>
          <w:lang w:val="en-GB"/>
        </w:rPr>
        <w:t>The RD|CED</w:t>
      </w:r>
      <w:r>
        <w:rPr>
          <w:rFonts w:ascii="Garamond" w:hAnsi="Garamond"/>
          <w:i/>
          <w:sz w:val="22"/>
          <w:szCs w:val="22"/>
          <w:lang w:val="en-GB"/>
        </w:rPr>
        <w:t xml:space="preserve"> </w:t>
      </w:r>
      <w:r>
        <w:rPr>
          <w:rFonts w:ascii="Garamond" w:hAnsi="Garamond"/>
          <w:sz w:val="22"/>
          <w:szCs w:val="22"/>
          <w:lang w:val="en-GB"/>
        </w:rPr>
        <w:t xml:space="preserve">contains </w:t>
      </w:r>
      <w:r w:rsidRPr="00266CE1">
        <w:rPr>
          <w:rFonts w:ascii="Garamond" w:hAnsi="Garamond"/>
          <w:b/>
          <w:sz w:val="22"/>
          <w:szCs w:val="22"/>
          <w:lang w:val="en-GB"/>
        </w:rPr>
        <w:t>party-level data</w:t>
      </w:r>
      <w:r>
        <w:rPr>
          <w:rFonts w:ascii="Garamond" w:hAnsi="Garamond"/>
          <w:sz w:val="22"/>
          <w:szCs w:val="22"/>
          <w:lang w:val="en-GB"/>
        </w:rPr>
        <w:t xml:space="preserve">, including election results for country elections at the regional and country level, cabinet composition, ideological positions of parties and cabinets, the electoral importance of a region for country elections, and several ID based links to other datasets. </w:t>
      </w:r>
    </w:p>
    <w:bookmarkEnd w:id="4"/>
    <w:p w14:paraId="437E6D94" w14:textId="77777777" w:rsidR="001F5A0D" w:rsidRPr="00577BC4" w:rsidRDefault="001F5A0D" w:rsidP="001F5A0D">
      <w:pPr>
        <w:rPr>
          <w:rFonts w:ascii="Garamond" w:eastAsia="Times New Roman" w:hAnsi="Garamond" w:cs="Times New Roman"/>
          <w:bCs/>
          <w:color w:val="000000"/>
          <w:sz w:val="24"/>
          <w:szCs w:val="24"/>
          <w:lang w:eastAsia="en-GB"/>
        </w:rPr>
        <w:sectPr w:rsidR="001F5A0D" w:rsidRPr="00577BC4"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577BC4">
        <w:rPr>
          <w:rFonts w:ascii="Garamond" w:eastAsia="Times New Roman" w:hAnsi="Garamond" w:cs="Times New Roman"/>
          <w:bCs/>
          <w:color w:val="000000"/>
          <w:sz w:val="24"/>
          <w:szCs w:val="24"/>
          <w:lang w:eastAsia="en-GB"/>
        </w:rPr>
        <w:br w:type="page"/>
      </w:r>
    </w:p>
    <w:p w14:paraId="643E9FEE" w14:textId="77777777" w:rsidR="007402F5" w:rsidRPr="00577BC4" w:rsidRDefault="007402F5" w:rsidP="007402F5">
      <w:pPr>
        <w:pStyle w:val="berschrift1"/>
        <w:numPr>
          <w:ilvl w:val="0"/>
          <w:numId w:val="1"/>
        </w:numPr>
        <w:rPr>
          <w:rFonts w:ascii="Garamond" w:eastAsia="Times New Roman" w:hAnsi="Garamond"/>
          <w:b/>
          <w:bCs/>
          <w:color w:val="auto"/>
          <w:lang w:eastAsia="en-GB"/>
        </w:rPr>
      </w:pPr>
      <w:bookmarkStart w:id="5" w:name="_Toc144200395"/>
      <w:r w:rsidRPr="00577BC4">
        <w:rPr>
          <w:rFonts w:ascii="Garamond" w:eastAsia="Times New Roman" w:hAnsi="Garamond"/>
          <w:b/>
          <w:bCs/>
          <w:color w:val="auto"/>
          <w:lang w:eastAsia="en-GB"/>
        </w:rPr>
        <w:lastRenderedPageBreak/>
        <w:t>Coverage</w:t>
      </w:r>
    </w:p>
    <w:bookmarkEnd w:id="5"/>
    <w:p w14:paraId="518A4D25" w14:textId="77777777" w:rsidR="001F5A0D" w:rsidRPr="00577BC4" w:rsidRDefault="001F5A0D" w:rsidP="001F5A0D">
      <w:pPr>
        <w:rPr>
          <w:rFonts w:ascii="Garamond" w:hAnsi="Garamond"/>
          <w:lang w:eastAsia="en-GB"/>
        </w:rPr>
      </w:pPr>
    </w:p>
    <w:p w14:paraId="41BE5C8F" w14:textId="246B45CF" w:rsidR="007402F5" w:rsidRPr="00577BC4" w:rsidRDefault="007402F5" w:rsidP="007402F5">
      <w:pPr>
        <w:jc w:val="both"/>
        <w:rPr>
          <w:rFonts w:ascii="Garamond" w:hAnsi="Garamond"/>
          <w:b/>
          <w:sz w:val="20"/>
          <w:szCs w:val="20"/>
        </w:rPr>
      </w:pPr>
      <w:r w:rsidRPr="00577BC4">
        <w:rPr>
          <w:rFonts w:ascii="Garamond" w:hAnsi="Garamond"/>
          <w:b/>
          <w:sz w:val="20"/>
          <w:szCs w:val="20"/>
        </w:rPr>
        <w:t>Table</w:t>
      </w:r>
      <w:r w:rsidR="00577BC4" w:rsidRPr="00577BC4">
        <w:rPr>
          <w:rFonts w:ascii="Garamond" w:hAnsi="Garamond"/>
          <w:b/>
          <w:sz w:val="20"/>
          <w:szCs w:val="20"/>
        </w:rPr>
        <w:t xml:space="preserve"> </w:t>
      </w:r>
      <w:r w:rsidRPr="00577BC4">
        <w:rPr>
          <w:rFonts w:ascii="Garamond" w:hAnsi="Garamond"/>
          <w:b/>
          <w:sz w:val="20"/>
          <w:szCs w:val="20"/>
        </w:rPr>
        <w:fldChar w:fldCharType="begin"/>
      </w:r>
      <w:r w:rsidRPr="00577BC4">
        <w:rPr>
          <w:rFonts w:ascii="Garamond" w:hAnsi="Garamond"/>
          <w:b/>
          <w:sz w:val="20"/>
          <w:szCs w:val="20"/>
        </w:rPr>
        <w:instrText xml:space="preserve"> SEQ Table \* ARABIC </w:instrText>
      </w:r>
      <w:r w:rsidRPr="00577BC4">
        <w:rPr>
          <w:rFonts w:ascii="Garamond" w:hAnsi="Garamond"/>
          <w:b/>
          <w:sz w:val="20"/>
          <w:szCs w:val="20"/>
        </w:rPr>
        <w:fldChar w:fldCharType="separate"/>
      </w:r>
      <w:r w:rsidR="00C32295">
        <w:rPr>
          <w:rFonts w:ascii="Garamond" w:hAnsi="Garamond"/>
          <w:b/>
          <w:noProof/>
          <w:sz w:val="20"/>
          <w:szCs w:val="20"/>
        </w:rPr>
        <w:t>1</w:t>
      </w:r>
      <w:r w:rsidRPr="00577BC4">
        <w:rPr>
          <w:rFonts w:ascii="Garamond" w:hAnsi="Garamond"/>
          <w:b/>
          <w:sz w:val="20"/>
          <w:szCs w:val="20"/>
        </w:rPr>
        <w:fldChar w:fldCharType="end"/>
      </w:r>
      <w:r w:rsidRPr="00577BC4">
        <w:rPr>
          <w:rFonts w:ascii="Garamond" w:hAnsi="Garamond"/>
          <w:b/>
          <w:sz w:val="20"/>
          <w:szCs w:val="20"/>
        </w:rPr>
        <w:t>:</w:t>
      </w:r>
      <w:r w:rsidR="00577BC4" w:rsidRPr="00577BC4">
        <w:rPr>
          <w:rFonts w:ascii="Garamond" w:hAnsi="Garamond"/>
          <w:b/>
          <w:sz w:val="20"/>
          <w:szCs w:val="20"/>
        </w:rPr>
        <w:t xml:space="preserve"> </w:t>
      </w:r>
      <w:r w:rsidRPr="00577BC4">
        <w:rPr>
          <w:rFonts w:ascii="Garamond" w:hAnsi="Garamond"/>
          <w:sz w:val="20"/>
          <w:szCs w:val="20"/>
        </w:rPr>
        <w:t>Coverage</w:t>
      </w:r>
      <w:r w:rsidR="00577BC4" w:rsidRPr="00577BC4">
        <w:rPr>
          <w:rFonts w:ascii="Garamond" w:hAnsi="Garamond"/>
          <w:sz w:val="20"/>
          <w:szCs w:val="20"/>
        </w:rPr>
        <w:t xml:space="preserve"> </w:t>
      </w:r>
      <w:r w:rsidRPr="00577BC4">
        <w:rPr>
          <w:rFonts w:ascii="Garamond" w:hAnsi="Garamond"/>
          <w:sz w:val="20"/>
          <w:szCs w:val="20"/>
        </w:rPr>
        <w:t>of</w:t>
      </w:r>
      <w:r w:rsidR="00577BC4" w:rsidRPr="00577BC4">
        <w:rPr>
          <w:rFonts w:ascii="Garamond" w:hAnsi="Garamond"/>
          <w:sz w:val="20"/>
          <w:szCs w:val="20"/>
        </w:rPr>
        <w:t xml:space="preserve"> </w:t>
      </w:r>
      <w:r w:rsidRPr="00577BC4">
        <w:rPr>
          <w:rFonts w:ascii="Garamond" w:hAnsi="Garamond"/>
          <w:sz w:val="20"/>
          <w:szCs w:val="20"/>
        </w:rPr>
        <w:t>RD|</w:t>
      </w:r>
      <w:r w:rsidR="00B16945" w:rsidRPr="00577BC4">
        <w:rPr>
          <w:rFonts w:ascii="Garamond" w:hAnsi="Garamond"/>
          <w:sz w:val="20"/>
          <w:szCs w:val="20"/>
        </w:rPr>
        <w:t>C</w:t>
      </w:r>
      <w:r w:rsidRPr="00577BC4">
        <w:rPr>
          <w:rFonts w:ascii="Garamond" w:hAnsi="Garamond"/>
          <w:sz w:val="20"/>
          <w:szCs w:val="20"/>
        </w:rPr>
        <w:t>ED</w:t>
      </w:r>
    </w:p>
    <w:tbl>
      <w:tblPr>
        <w:tblW w:w="1360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426"/>
        <w:gridCol w:w="6945"/>
        <w:gridCol w:w="1134"/>
        <w:gridCol w:w="993"/>
        <w:gridCol w:w="1381"/>
        <w:gridCol w:w="1028"/>
      </w:tblGrid>
      <w:tr w:rsidR="001F5A0D" w:rsidRPr="00577BC4" w14:paraId="108F79CD" w14:textId="77777777" w:rsidTr="00577BC4">
        <w:trPr>
          <w:trHeight w:val="28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F1A4CE" w14:textId="77777777" w:rsidR="001F5A0D" w:rsidRPr="00577BC4" w:rsidRDefault="001F5A0D" w:rsidP="00577BC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4C37EB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0A1E58" w14:textId="77777777" w:rsidR="001F5A0D" w:rsidRPr="00577BC4" w:rsidRDefault="001F5A0D" w:rsidP="00577BC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14:paraId="793AE5FD" w14:textId="0F27B101" w:rsidR="001F5A0D" w:rsidRPr="00577BC4" w:rsidRDefault="001F5A0D" w:rsidP="00577BC4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Election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cross-sectional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structure</w:t>
            </w:r>
          </w:p>
        </w:tc>
        <w:tc>
          <w:tcPr>
            <w:tcW w:w="2409" w:type="dxa"/>
            <w:gridSpan w:val="2"/>
            <w:tcBorders>
              <w:bottom w:val="dotted" w:sz="4" w:space="0" w:color="auto"/>
            </w:tcBorders>
            <w:vAlign w:val="bottom"/>
          </w:tcPr>
          <w:p w14:paraId="63961AD0" w14:textId="1CEFD4BC" w:rsidR="001F5A0D" w:rsidRPr="00577BC4" w:rsidRDefault="001F5A0D" w:rsidP="00577BC4">
            <w:pPr>
              <w:spacing w:after="0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  <w:t>Panel</w:t>
            </w:r>
            <w:r w:rsidR="00577BC4" w:rsidRPr="00577BC4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  <w:t>structure</w:t>
            </w:r>
          </w:p>
        </w:tc>
      </w:tr>
      <w:tr w:rsidR="001F5A0D" w:rsidRPr="00577BC4" w14:paraId="231C2A88" w14:textId="77777777" w:rsidTr="00577BC4">
        <w:trPr>
          <w:trHeight w:val="288"/>
        </w:trPr>
        <w:tc>
          <w:tcPr>
            <w:tcW w:w="1701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B4077F3" w14:textId="77777777" w:rsidR="001F5A0D" w:rsidRPr="00577BC4" w:rsidRDefault="001F5A0D" w:rsidP="00577BC4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  <w:t>Country</w:t>
            </w:r>
          </w:p>
        </w:tc>
        <w:tc>
          <w:tcPr>
            <w:tcW w:w="42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469440" w14:textId="77777777" w:rsidR="001F5A0D" w:rsidRPr="00577BC4" w:rsidRDefault="001F5A0D" w:rsidP="00577BC4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  <w:t>ID</w:t>
            </w:r>
          </w:p>
        </w:tc>
        <w:tc>
          <w:tcPr>
            <w:tcW w:w="694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5B20F2C" w14:textId="77777777" w:rsidR="001F5A0D" w:rsidRPr="00577BC4" w:rsidRDefault="001F5A0D" w:rsidP="00577BC4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  <w:t>Regions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AFD0677" w14:textId="4BB5CF91" w:rsidR="001F5A0D" w:rsidRPr="00577BC4" w:rsidRDefault="001F5A0D" w:rsidP="00577BC4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  <w:t>Number</w:t>
            </w:r>
            <w:r w:rsidR="00577BC4" w:rsidRPr="00577BC4"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  <w:t>of</w:t>
            </w:r>
            <w:r w:rsidR="00577BC4" w:rsidRPr="00577BC4"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  <w:t>observations</w:t>
            </w:r>
            <w:r w:rsidR="00577BC4" w:rsidRPr="00577BC4"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  <w:t>as</w:t>
            </w:r>
            <w:r w:rsidR="00577BC4" w:rsidRPr="00577BC4"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  <w:t>party</w:t>
            </w:r>
            <w:r w:rsidR="00577BC4" w:rsidRPr="00577BC4"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  <w:t xml:space="preserve"> </w:t>
            </w:r>
            <w:r w:rsidR="002071B2" w:rsidRPr="00577BC4"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  <w:t>country</w:t>
            </w:r>
            <w:r w:rsidR="00577BC4" w:rsidRPr="00577BC4"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  <w:t>cabinet</w:t>
            </w:r>
            <w:r w:rsidR="00577BC4" w:rsidRPr="00577BC4"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  <w:t>dyad</w:t>
            </w:r>
          </w:p>
        </w:tc>
        <w:tc>
          <w:tcPr>
            <w:tcW w:w="993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EDEA41" w14:textId="38658028" w:rsidR="001F5A0D" w:rsidRPr="00577BC4" w:rsidRDefault="001F5A0D" w:rsidP="00577BC4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  <w:t>Electoral</w:t>
            </w:r>
            <w:r w:rsidR="00577BC4" w:rsidRPr="00577BC4"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  <w:t>period</w:t>
            </w:r>
          </w:p>
        </w:tc>
        <w:tc>
          <w:tcPr>
            <w:tcW w:w="1381" w:type="dxa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5D40B686" w14:textId="5A00BB4F" w:rsidR="001F5A0D" w:rsidRPr="00577BC4" w:rsidRDefault="001F5A0D" w:rsidP="00577BC4">
            <w:pPr>
              <w:spacing w:after="0"/>
              <w:jc w:val="center"/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  <w:t>Number</w:t>
            </w:r>
            <w:r w:rsidR="00577BC4" w:rsidRPr="00577BC4"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  <w:t>of</w:t>
            </w:r>
            <w:r w:rsidR="00577BC4" w:rsidRPr="00577BC4"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  <w:t>observations</w:t>
            </w:r>
            <w:r w:rsidR="00577BC4" w:rsidRPr="00577BC4"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  <w:t>as</w:t>
            </w:r>
            <w:r w:rsidR="00577BC4" w:rsidRPr="00577BC4"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  <w:t>yearly</w:t>
            </w:r>
            <w:r w:rsidR="00577BC4" w:rsidRPr="00577BC4"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  <w:t>party</w:t>
            </w:r>
            <w:r w:rsidR="00577BC4" w:rsidRPr="00577BC4"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  <w:t>observations</w:t>
            </w:r>
          </w:p>
        </w:tc>
        <w:tc>
          <w:tcPr>
            <w:tcW w:w="1028" w:type="dxa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16A716A3" w14:textId="56514903" w:rsidR="001F5A0D" w:rsidRPr="00577BC4" w:rsidRDefault="001F5A0D" w:rsidP="00577BC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  <w:t>Electoral</w:t>
            </w:r>
            <w:r w:rsidR="00577BC4" w:rsidRPr="00577BC4"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  <w:t>period</w:t>
            </w:r>
          </w:p>
        </w:tc>
      </w:tr>
      <w:tr w:rsidR="001F5A0D" w:rsidRPr="00577BC4" w14:paraId="607E4943" w14:textId="77777777" w:rsidTr="002E2462">
        <w:trPr>
          <w:trHeight w:val="288"/>
        </w:trPr>
        <w:tc>
          <w:tcPr>
            <w:tcW w:w="1701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98698B" w14:textId="77777777" w:rsidR="001F5A0D" w:rsidRPr="00577BC4" w:rsidRDefault="001F5A0D" w:rsidP="00577BC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Australia</w:t>
            </w:r>
          </w:p>
        </w:tc>
        <w:tc>
          <w:tcPr>
            <w:tcW w:w="426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15AD93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2</w:t>
            </w:r>
          </w:p>
        </w:tc>
        <w:tc>
          <w:tcPr>
            <w:tcW w:w="6945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B09D19" w14:textId="6E204D69" w:rsidR="001F5A0D" w:rsidRPr="00577BC4" w:rsidRDefault="001F5A0D" w:rsidP="00577BC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Australian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Capital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Territory,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New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South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Wales,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Northern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Territory,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Queensland,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South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Australia,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Tasmania,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Victoria,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Western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Australia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878080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1683</w:t>
            </w: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59A617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1946-2019</w:t>
            </w:r>
          </w:p>
        </w:tc>
        <w:tc>
          <w:tcPr>
            <w:tcW w:w="138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67456FEF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2723</w:t>
            </w:r>
          </w:p>
        </w:tc>
        <w:tc>
          <w:tcPr>
            <w:tcW w:w="102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6DE40AC6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1949-2019</w:t>
            </w:r>
          </w:p>
        </w:tc>
      </w:tr>
      <w:tr w:rsidR="001F5A0D" w:rsidRPr="00577BC4" w14:paraId="5DC198CB" w14:textId="77777777" w:rsidTr="002E2462">
        <w:trPr>
          <w:trHeight w:val="288"/>
        </w:trPr>
        <w:tc>
          <w:tcPr>
            <w:tcW w:w="170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CD6894" w14:textId="77777777" w:rsidR="001F5A0D" w:rsidRPr="00577BC4" w:rsidRDefault="001F5A0D" w:rsidP="00577BC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Austria</w:t>
            </w:r>
          </w:p>
        </w:tc>
        <w:tc>
          <w:tcPr>
            <w:tcW w:w="4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31DC6B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</w:t>
            </w:r>
          </w:p>
        </w:tc>
        <w:tc>
          <w:tcPr>
            <w:tcW w:w="694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E1C8DD" w14:textId="75ACC10D" w:rsidR="001F5A0D" w:rsidRPr="003C676A" w:rsidRDefault="001F5A0D" w:rsidP="00577BC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</w:pP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Burgenland,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Kärnten,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Niederösterreich,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Oberösterreich,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Salzburg,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Steiermark,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Tirol,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Vorarlberg,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Wien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E3B7E1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1243</w:t>
            </w:r>
          </w:p>
        </w:tc>
        <w:tc>
          <w:tcPr>
            <w:tcW w:w="9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11F44D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1945-2017</w:t>
            </w:r>
          </w:p>
        </w:tc>
        <w:tc>
          <w:tcPr>
            <w:tcW w:w="13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D60557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2552</w:t>
            </w:r>
          </w:p>
        </w:tc>
        <w:tc>
          <w:tcPr>
            <w:tcW w:w="10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897AC81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1949-2017</w:t>
            </w:r>
          </w:p>
        </w:tc>
      </w:tr>
      <w:tr w:rsidR="001F5A0D" w:rsidRPr="00577BC4" w14:paraId="20FEDFD7" w14:textId="77777777" w:rsidTr="002E2462">
        <w:trPr>
          <w:trHeight w:val="288"/>
        </w:trPr>
        <w:tc>
          <w:tcPr>
            <w:tcW w:w="170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0F8BF8" w14:textId="77777777" w:rsidR="001F5A0D" w:rsidRPr="00577BC4" w:rsidRDefault="001F5A0D" w:rsidP="00577BC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Belgium</w:t>
            </w:r>
          </w:p>
        </w:tc>
        <w:tc>
          <w:tcPr>
            <w:tcW w:w="4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799C55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3</w:t>
            </w:r>
          </w:p>
        </w:tc>
        <w:tc>
          <w:tcPr>
            <w:tcW w:w="694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6F50A9" w14:textId="40F694FB" w:rsidR="001F5A0D" w:rsidRPr="003C676A" w:rsidRDefault="001F5A0D" w:rsidP="00577BC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</w:pP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Flandern,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Wallonien,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Brüssel-Halle-</w:t>
            </w:r>
            <w:proofErr w:type="spellStart"/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Vilvoorde</w:t>
            </w:r>
            <w:proofErr w:type="spellEnd"/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760675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1007</w:t>
            </w:r>
          </w:p>
        </w:tc>
        <w:tc>
          <w:tcPr>
            <w:tcW w:w="9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E2B703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1946-2014</w:t>
            </w:r>
          </w:p>
        </w:tc>
        <w:tc>
          <w:tcPr>
            <w:tcW w:w="13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938EFB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1616</w:t>
            </w:r>
          </w:p>
        </w:tc>
        <w:tc>
          <w:tcPr>
            <w:tcW w:w="10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E1296B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1949-2014</w:t>
            </w:r>
          </w:p>
        </w:tc>
      </w:tr>
      <w:tr w:rsidR="001F5A0D" w:rsidRPr="00577BC4" w14:paraId="0C4D3BB2" w14:textId="77777777" w:rsidTr="002E2462">
        <w:trPr>
          <w:trHeight w:val="288"/>
        </w:trPr>
        <w:tc>
          <w:tcPr>
            <w:tcW w:w="170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DDF925" w14:textId="6BC7DA20" w:rsidR="001F5A0D" w:rsidRPr="00577BC4" w:rsidRDefault="001F5A0D" w:rsidP="00577BC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Bosnia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and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Herzegovina</w:t>
            </w:r>
          </w:p>
        </w:tc>
        <w:tc>
          <w:tcPr>
            <w:tcW w:w="4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ABE992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40</w:t>
            </w:r>
          </w:p>
        </w:tc>
        <w:tc>
          <w:tcPr>
            <w:tcW w:w="694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2C3385" w14:textId="5E801FE0" w:rsidR="001F5A0D" w:rsidRPr="00577BC4" w:rsidRDefault="001F5A0D" w:rsidP="00577BC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Federation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of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Bosnia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and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Herzegovina,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Serb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Republic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C158F8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324</w:t>
            </w:r>
          </w:p>
        </w:tc>
        <w:tc>
          <w:tcPr>
            <w:tcW w:w="9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7F1242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1996-2018</w:t>
            </w:r>
          </w:p>
        </w:tc>
        <w:tc>
          <w:tcPr>
            <w:tcW w:w="13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EC6AF6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497</w:t>
            </w:r>
          </w:p>
        </w:tc>
        <w:tc>
          <w:tcPr>
            <w:tcW w:w="10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D011F2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1996-2018</w:t>
            </w:r>
          </w:p>
        </w:tc>
      </w:tr>
      <w:tr w:rsidR="001F5A0D" w:rsidRPr="00577BC4" w14:paraId="1CE23271" w14:textId="77777777" w:rsidTr="002E2462">
        <w:trPr>
          <w:trHeight w:val="288"/>
        </w:trPr>
        <w:tc>
          <w:tcPr>
            <w:tcW w:w="170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F7D9C9" w14:textId="77777777" w:rsidR="001F5A0D" w:rsidRPr="00577BC4" w:rsidRDefault="001F5A0D" w:rsidP="00577BC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Canada</w:t>
            </w:r>
          </w:p>
        </w:tc>
        <w:tc>
          <w:tcPr>
            <w:tcW w:w="4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6A9764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4</w:t>
            </w:r>
          </w:p>
        </w:tc>
        <w:tc>
          <w:tcPr>
            <w:tcW w:w="694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3E809E" w14:textId="13A08E2B" w:rsidR="001F5A0D" w:rsidRPr="00577BC4" w:rsidRDefault="001F5A0D" w:rsidP="00577BC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Alberta,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British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Columbia,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Manitoba,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New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Brunswick,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Newfoundland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and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Labrador,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Northwest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Territories,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Nova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Scotia,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Ontario,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Prince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Edward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Island,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Quebec,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Saskatchewan,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Yukon,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Nunavut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D8E418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1579</w:t>
            </w:r>
          </w:p>
        </w:tc>
        <w:tc>
          <w:tcPr>
            <w:tcW w:w="9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B35D7C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1945-2015</w:t>
            </w:r>
          </w:p>
        </w:tc>
        <w:tc>
          <w:tcPr>
            <w:tcW w:w="13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16460D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4949</w:t>
            </w:r>
          </w:p>
        </w:tc>
        <w:tc>
          <w:tcPr>
            <w:tcW w:w="10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8A18B3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1949-2015</w:t>
            </w:r>
          </w:p>
        </w:tc>
      </w:tr>
      <w:tr w:rsidR="001F5A0D" w:rsidRPr="00577BC4" w14:paraId="047D661B" w14:textId="77777777" w:rsidTr="002E2462">
        <w:trPr>
          <w:trHeight w:val="288"/>
        </w:trPr>
        <w:tc>
          <w:tcPr>
            <w:tcW w:w="170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B5E15C" w14:textId="77777777" w:rsidR="001F5A0D" w:rsidRPr="00577BC4" w:rsidRDefault="001F5A0D" w:rsidP="00577BC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Denmark</w:t>
            </w:r>
          </w:p>
        </w:tc>
        <w:tc>
          <w:tcPr>
            <w:tcW w:w="4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9344C3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5</w:t>
            </w:r>
          </w:p>
        </w:tc>
        <w:tc>
          <w:tcPr>
            <w:tcW w:w="694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C1CB7A" w14:textId="50E54DC7" w:rsidR="001F5A0D" w:rsidRPr="003C676A" w:rsidRDefault="001F5A0D" w:rsidP="00577BC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Copenhagen</w:t>
            </w:r>
            <w:proofErr w:type="spellEnd"/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-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Frederiksberg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proofErr w:type="spellStart"/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Faroe</w:t>
            </w:r>
            <w:proofErr w:type="spellEnd"/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Islands,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Greenland,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Islands,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proofErr w:type="spellStart"/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Jutland</w:t>
            </w:r>
            <w:proofErr w:type="spellEnd"/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proofErr w:type="spellStart"/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Hovedstaden</w:t>
            </w:r>
            <w:proofErr w:type="spellEnd"/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Midtjylland,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proofErr w:type="spellStart"/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Nordjylland</w:t>
            </w:r>
            <w:proofErr w:type="spellEnd"/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proofErr w:type="spellStart"/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Sjælland</w:t>
            </w:r>
            <w:proofErr w:type="spellEnd"/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Syddanmark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A7CA9B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904</w:t>
            </w:r>
          </w:p>
        </w:tc>
        <w:tc>
          <w:tcPr>
            <w:tcW w:w="9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147A7E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1950-2007</w:t>
            </w:r>
          </w:p>
        </w:tc>
        <w:tc>
          <w:tcPr>
            <w:tcW w:w="13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AC19FA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1717</w:t>
            </w:r>
          </w:p>
        </w:tc>
        <w:tc>
          <w:tcPr>
            <w:tcW w:w="10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6D5C5E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1950-2007</w:t>
            </w:r>
          </w:p>
        </w:tc>
      </w:tr>
      <w:tr w:rsidR="001F5A0D" w:rsidRPr="00577BC4" w14:paraId="6BB7AF22" w14:textId="77777777" w:rsidTr="002E2462">
        <w:trPr>
          <w:trHeight w:val="288"/>
        </w:trPr>
        <w:tc>
          <w:tcPr>
            <w:tcW w:w="170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C2D91F" w14:textId="77777777" w:rsidR="001F5A0D" w:rsidRPr="00577BC4" w:rsidRDefault="001F5A0D" w:rsidP="00577BC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France</w:t>
            </w:r>
          </w:p>
        </w:tc>
        <w:tc>
          <w:tcPr>
            <w:tcW w:w="4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1066C3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17</w:t>
            </w:r>
          </w:p>
        </w:tc>
        <w:tc>
          <w:tcPr>
            <w:tcW w:w="694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42FAEA" w14:textId="6B5F600A" w:rsidR="001F5A0D" w:rsidRPr="003C676A" w:rsidRDefault="001F5A0D" w:rsidP="00577BC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</w:pP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>Alsace,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>Aquitaine,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>Auvergne,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>Basse-Normandie,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>Bourgogne,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>Bretagne,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>Centre,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>Champagne-Ardenne,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>Corse,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 xml:space="preserve"> </w:t>
            </w:r>
            <w:proofErr w:type="spellStart"/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>Franche-Comte</w:t>
            </w:r>
            <w:proofErr w:type="spellEnd"/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>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>Haute-Normandie,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>Ile-de-France,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>Languedoc-Roussillon,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>Limousin,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>Lorraine,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 xml:space="preserve"> </w:t>
            </w:r>
            <w:proofErr w:type="spellStart"/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>Nord-pas-de-Calais</w:t>
            </w:r>
            <w:proofErr w:type="spellEnd"/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>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>Pays-de-la-Loire,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>Picardie,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 xml:space="preserve"> </w:t>
            </w:r>
            <w:proofErr w:type="spellStart"/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>Poitou-Charente</w:t>
            </w:r>
            <w:proofErr w:type="spellEnd"/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>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 xml:space="preserve"> </w:t>
            </w:r>
            <w:proofErr w:type="spellStart"/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>Provence-Alpes-Cote-d'Azur</w:t>
            </w:r>
            <w:proofErr w:type="spellEnd"/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>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 xml:space="preserve"> </w:t>
            </w:r>
            <w:proofErr w:type="spellStart"/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>Pyrenees</w:t>
            </w:r>
            <w:proofErr w:type="spellEnd"/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>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 xml:space="preserve"> </w:t>
            </w:r>
            <w:proofErr w:type="spellStart"/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fr-FR" w:eastAsia="de-DE"/>
              </w:rPr>
              <w:t>Rhone-Alpes</w:t>
            </w:r>
            <w:proofErr w:type="spellEnd"/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A0C60F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3784</w:t>
            </w:r>
          </w:p>
        </w:tc>
        <w:tc>
          <w:tcPr>
            <w:tcW w:w="9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DB329A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1962-2012</w:t>
            </w:r>
          </w:p>
        </w:tc>
        <w:tc>
          <w:tcPr>
            <w:tcW w:w="13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530E8E1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5703</w:t>
            </w:r>
          </w:p>
        </w:tc>
        <w:tc>
          <w:tcPr>
            <w:tcW w:w="10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62DCA7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1962-2012</w:t>
            </w:r>
          </w:p>
        </w:tc>
      </w:tr>
      <w:tr w:rsidR="001F5A0D" w:rsidRPr="00577BC4" w14:paraId="0FD3068C" w14:textId="77777777" w:rsidTr="002E2462">
        <w:trPr>
          <w:trHeight w:val="288"/>
        </w:trPr>
        <w:tc>
          <w:tcPr>
            <w:tcW w:w="170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C69B9A" w14:textId="77777777" w:rsidR="001F5A0D" w:rsidRPr="00577BC4" w:rsidRDefault="001F5A0D" w:rsidP="00577BC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Germany</w:t>
            </w:r>
          </w:p>
        </w:tc>
        <w:tc>
          <w:tcPr>
            <w:tcW w:w="4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4C0230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8</w:t>
            </w:r>
          </w:p>
        </w:tc>
        <w:tc>
          <w:tcPr>
            <w:tcW w:w="694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FCE1D4" w14:textId="0BC95F1D" w:rsidR="001F5A0D" w:rsidRPr="003C676A" w:rsidRDefault="001F5A0D" w:rsidP="00577BC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</w:pP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Baden-Württemberg,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Bayern,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Bremen,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Hamburg,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Hessen,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Niedersachsen,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Nordrhein-Westfalen,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Rheinland-Pfalz,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Schleswig-Holstein,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Saarland,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Berlin,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Brandenburg,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Mecklenburg-Vorpommern,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Sachsen,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Sachsen-Anhalt,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Thüringen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7040A9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3827</w:t>
            </w:r>
          </w:p>
        </w:tc>
        <w:tc>
          <w:tcPr>
            <w:tcW w:w="9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6D412D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1949-2017</w:t>
            </w:r>
          </w:p>
        </w:tc>
        <w:tc>
          <w:tcPr>
            <w:tcW w:w="13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6A3483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10461</w:t>
            </w:r>
          </w:p>
        </w:tc>
        <w:tc>
          <w:tcPr>
            <w:tcW w:w="10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6D6546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1949-2017</w:t>
            </w:r>
          </w:p>
        </w:tc>
      </w:tr>
      <w:tr w:rsidR="001F5A0D" w:rsidRPr="00577BC4" w14:paraId="69A7F45B" w14:textId="77777777" w:rsidTr="002E2462">
        <w:trPr>
          <w:trHeight w:val="288"/>
        </w:trPr>
        <w:tc>
          <w:tcPr>
            <w:tcW w:w="170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AEF3B7" w14:textId="77777777" w:rsidR="001F5A0D" w:rsidRPr="00577BC4" w:rsidRDefault="001F5A0D" w:rsidP="00577BC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Italy</w:t>
            </w:r>
          </w:p>
        </w:tc>
        <w:tc>
          <w:tcPr>
            <w:tcW w:w="4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C87891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10</w:t>
            </w:r>
          </w:p>
        </w:tc>
        <w:tc>
          <w:tcPr>
            <w:tcW w:w="694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C61849" w14:textId="4835EBA7" w:rsidR="001F5A0D" w:rsidRPr="00577BC4" w:rsidRDefault="001F5A0D" w:rsidP="00577BC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Abruzzo,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Basilicata,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Calabria,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Campania,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Emilia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Romagna,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Friuli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Venezia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Giulia,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Lazio,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Liguria,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Lombardia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Marche,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Molise,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Piemonte,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Puglia,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Sardegna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Sicilia,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Toscana,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Trentino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Alto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Adige,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Umbria,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Valle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d'Aosta,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Veneto,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Circoscrizione</w:t>
            </w:r>
            <w:proofErr w:type="spellEnd"/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Estero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9E788A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6244</w:t>
            </w:r>
          </w:p>
        </w:tc>
        <w:tc>
          <w:tcPr>
            <w:tcW w:w="9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83460A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1948-2018</w:t>
            </w:r>
          </w:p>
        </w:tc>
        <w:tc>
          <w:tcPr>
            <w:tcW w:w="13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722A381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6294</w:t>
            </w:r>
          </w:p>
        </w:tc>
        <w:tc>
          <w:tcPr>
            <w:tcW w:w="10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E77CB5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1948-2018</w:t>
            </w:r>
          </w:p>
        </w:tc>
      </w:tr>
      <w:tr w:rsidR="001F5A0D" w:rsidRPr="00577BC4" w14:paraId="6ACEF6E7" w14:textId="77777777" w:rsidTr="002E2462">
        <w:trPr>
          <w:trHeight w:val="288"/>
        </w:trPr>
        <w:tc>
          <w:tcPr>
            <w:tcW w:w="170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5647A2" w14:textId="77777777" w:rsidR="001F5A0D" w:rsidRPr="00577BC4" w:rsidRDefault="001F5A0D" w:rsidP="00577BC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Mexico</w:t>
            </w:r>
          </w:p>
        </w:tc>
        <w:tc>
          <w:tcPr>
            <w:tcW w:w="4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07065D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36</w:t>
            </w:r>
          </w:p>
        </w:tc>
        <w:tc>
          <w:tcPr>
            <w:tcW w:w="694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8C0901" w14:textId="270C2CA2" w:rsidR="001F5A0D" w:rsidRPr="00577BC4" w:rsidRDefault="001F5A0D" w:rsidP="00577BC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Aguascalientes,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Baja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California,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Baja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California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Sur,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Campeche,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Chiapas,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Chihuahua,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Coahuila,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Colima,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Distrito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Federal,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Durango,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Guanajuato,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Guerrero,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Hidalgo,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Jalisco,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Mexico,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Michoacan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Morelos,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Nayarit,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Nuevo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Leon,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Oaxaca,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Puebla,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Queretaro,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Quintana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Roo,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San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Luis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Potosí,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Sinaloa,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Sonora,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Tabasco,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Tamaulipas,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Tlaxcala,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Veracruz,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Yucatan,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Zacatecas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4268CB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2963</w:t>
            </w:r>
          </w:p>
        </w:tc>
        <w:tc>
          <w:tcPr>
            <w:tcW w:w="9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BB1048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1964-2015</w:t>
            </w:r>
          </w:p>
        </w:tc>
        <w:tc>
          <w:tcPr>
            <w:tcW w:w="13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6C8081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8889</w:t>
            </w:r>
          </w:p>
        </w:tc>
        <w:tc>
          <w:tcPr>
            <w:tcW w:w="10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8AD9B5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1964-2015</w:t>
            </w:r>
          </w:p>
        </w:tc>
      </w:tr>
      <w:tr w:rsidR="001F5A0D" w:rsidRPr="00577BC4" w14:paraId="4CA24E54" w14:textId="77777777" w:rsidTr="002E2462">
        <w:trPr>
          <w:trHeight w:val="288"/>
        </w:trPr>
        <w:tc>
          <w:tcPr>
            <w:tcW w:w="170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E2E964" w14:textId="77777777" w:rsidR="001F5A0D" w:rsidRPr="00577BC4" w:rsidRDefault="001F5A0D" w:rsidP="00577BC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Nicaragua</w:t>
            </w:r>
          </w:p>
        </w:tc>
        <w:tc>
          <w:tcPr>
            <w:tcW w:w="4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206357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55</w:t>
            </w:r>
          </w:p>
        </w:tc>
        <w:tc>
          <w:tcPr>
            <w:tcW w:w="694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8FDB6B" w14:textId="6E05469B" w:rsidR="001F5A0D" w:rsidRPr="00577BC4" w:rsidRDefault="001F5A0D" w:rsidP="00577BC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Boaco,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Carazo,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Chinandega,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Chontales,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Estelí,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Granada,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Jinotega,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León,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Madriz,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Managua,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Masaya,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Matagalpa,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Nueva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Segovia,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Región</w:t>
            </w:r>
            <w:proofErr w:type="spellEnd"/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Autónoma</w:t>
            </w:r>
            <w:proofErr w:type="spellEnd"/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Atlántico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Norte,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Región</w:t>
            </w:r>
            <w:proofErr w:type="spellEnd"/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Autónoma</w:t>
            </w:r>
            <w:proofErr w:type="spellEnd"/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Atlántico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Sur,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Río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San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Juan,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Rivas,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Chontales-Boaco-Zelaya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Central,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Las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Segovias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Matagalpa-Jinotega,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Occidente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Oriente</w:t>
            </w:r>
            <w:proofErr w:type="spellEnd"/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E17768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460</w:t>
            </w:r>
          </w:p>
        </w:tc>
        <w:tc>
          <w:tcPr>
            <w:tcW w:w="9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AE9AF6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1984-2016</w:t>
            </w:r>
          </w:p>
        </w:tc>
        <w:tc>
          <w:tcPr>
            <w:tcW w:w="13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F7BA277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2280</w:t>
            </w:r>
          </w:p>
        </w:tc>
        <w:tc>
          <w:tcPr>
            <w:tcW w:w="10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5147391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1984-2016</w:t>
            </w:r>
          </w:p>
        </w:tc>
      </w:tr>
      <w:tr w:rsidR="001F5A0D" w:rsidRPr="00577BC4" w14:paraId="2A6695E5" w14:textId="77777777" w:rsidTr="002E2462">
        <w:trPr>
          <w:trHeight w:val="288"/>
        </w:trPr>
        <w:tc>
          <w:tcPr>
            <w:tcW w:w="170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A3BF64" w14:textId="77777777" w:rsidR="001F5A0D" w:rsidRPr="00577BC4" w:rsidRDefault="001F5A0D" w:rsidP="00577BC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Norway</w:t>
            </w:r>
          </w:p>
        </w:tc>
        <w:tc>
          <w:tcPr>
            <w:tcW w:w="4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F20EC1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13</w:t>
            </w:r>
          </w:p>
        </w:tc>
        <w:tc>
          <w:tcPr>
            <w:tcW w:w="694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2D017F" w14:textId="36C498D8" w:rsidR="001F5A0D" w:rsidRPr="00577BC4" w:rsidRDefault="001F5A0D" w:rsidP="00577BC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Akershus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Aust-Agder,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Buskerud,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Finnmark</w:t>
            </w:r>
            <w:proofErr w:type="spellEnd"/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-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Finnmárku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Hedmark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Hordaland,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Møre</w:t>
            </w:r>
            <w:proofErr w:type="spellEnd"/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og</w:t>
            </w:r>
            <w:proofErr w:type="spellEnd"/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Romsdal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Nord-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Trøndelag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Nordland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Oppland,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Oslo,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Østfold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Rogaland,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Sogn</w:t>
            </w:r>
            <w:proofErr w:type="spellEnd"/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og</w:t>
            </w:r>
            <w:proofErr w:type="spellEnd"/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Fjordane,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Sør-Trøndelag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Telemark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Troms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-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Romsa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Vest-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Agder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Vestfold,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Bergen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9F1086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6668</w:t>
            </w:r>
          </w:p>
        </w:tc>
        <w:tc>
          <w:tcPr>
            <w:tcW w:w="9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499EAC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1945-2017</w:t>
            </w:r>
          </w:p>
        </w:tc>
        <w:tc>
          <w:tcPr>
            <w:tcW w:w="13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F591CF4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13185</w:t>
            </w:r>
          </w:p>
        </w:tc>
        <w:tc>
          <w:tcPr>
            <w:tcW w:w="10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8B888D9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1949-2017</w:t>
            </w:r>
          </w:p>
        </w:tc>
      </w:tr>
      <w:tr w:rsidR="001F5A0D" w:rsidRPr="00577BC4" w14:paraId="41DE7836" w14:textId="77777777" w:rsidTr="002E2462">
        <w:trPr>
          <w:trHeight w:val="288"/>
        </w:trPr>
        <w:tc>
          <w:tcPr>
            <w:tcW w:w="170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13A59" w14:textId="77777777" w:rsidR="001F5A0D" w:rsidRPr="00577BC4" w:rsidRDefault="001F5A0D" w:rsidP="00577BC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Portugal</w:t>
            </w:r>
          </w:p>
        </w:tc>
        <w:tc>
          <w:tcPr>
            <w:tcW w:w="42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83F1A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53</w:t>
            </w:r>
          </w:p>
        </w:tc>
        <w:tc>
          <w:tcPr>
            <w:tcW w:w="6945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988F5" w14:textId="12648C0D" w:rsidR="001F5A0D" w:rsidRPr="00577BC4" w:rsidRDefault="001F5A0D" w:rsidP="00577BC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Açores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Aveiro,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Beja,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Braga,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Bragança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Castelo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Branco,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Coimbra,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Europa,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Évora,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Faro,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Fora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de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Europa,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Guarda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Leiria,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Lisboa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Madeira,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Portalegre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Porto,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Santarém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Setúbal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Viana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do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Castelo,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Vila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Real,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Viseu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Emigraçao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Macau,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Moçambique</w:t>
            </w:r>
            <w:proofErr w:type="spellEnd"/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807E8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3045</w:t>
            </w:r>
          </w:p>
        </w:tc>
        <w:tc>
          <w:tcPr>
            <w:tcW w:w="99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40E26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1975-2015</w:t>
            </w:r>
          </w:p>
        </w:tc>
        <w:tc>
          <w:tcPr>
            <w:tcW w:w="1381" w:type="dxa"/>
            <w:tcBorders>
              <w:top w:val="dotted" w:sz="4" w:space="0" w:color="auto"/>
            </w:tcBorders>
            <w:vAlign w:val="center"/>
          </w:tcPr>
          <w:p w14:paraId="1ADF8A7E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5768</w:t>
            </w:r>
          </w:p>
        </w:tc>
        <w:tc>
          <w:tcPr>
            <w:tcW w:w="1028" w:type="dxa"/>
            <w:tcBorders>
              <w:top w:val="dotted" w:sz="4" w:space="0" w:color="auto"/>
            </w:tcBorders>
            <w:vAlign w:val="center"/>
          </w:tcPr>
          <w:p w14:paraId="0CD0D094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1975-2015</w:t>
            </w:r>
          </w:p>
        </w:tc>
      </w:tr>
      <w:tr w:rsidR="000E24AB" w:rsidRPr="00577BC4" w14:paraId="1522566C" w14:textId="77777777" w:rsidTr="00445D0F">
        <w:trPr>
          <w:trHeight w:val="288"/>
        </w:trPr>
        <w:tc>
          <w:tcPr>
            <w:tcW w:w="13608" w:type="dxa"/>
            <w:gridSpan w:val="7"/>
            <w:tcBorders>
              <w:top w:val="dotted" w:sz="4" w:space="0" w:color="auto"/>
              <w:left w:val="nil"/>
              <w:bottom w:val="nil"/>
            </w:tcBorders>
            <w:shd w:val="clear" w:color="auto" w:fill="auto"/>
            <w:noWrap/>
            <w:vAlign w:val="center"/>
          </w:tcPr>
          <w:p w14:paraId="5E73A233" w14:textId="6DC7C3E0" w:rsidR="000E24AB" w:rsidRPr="000E24AB" w:rsidRDefault="000E24AB" w:rsidP="000E24AB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i/>
                <w:color w:val="000000"/>
                <w:sz w:val="16"/>
                <w:szCs w:val="16"/>
                <w:lang w:eastAsia="de-DE"/>
              </w:rPr>
            </w:pPr>
            <w:r w:rsidRPr="000E24AB">
              <w:rPr>
                <w:rFonts w:ascii="Garamond" w:eastAsia="Times New Roman" w:hAnsi="Garamond" w:cstheme="minorHAnsi"/>
                <w:i/>
                <w:color w:val="000000"/>
                <w:sz w:val="16"/>
                <w:szCs w:val="16"/>
                <w:lang w:eastAsia="de-DE"/>
              </w:rPr>
              <w:t>table continued on following page</w:t>
            </w:r>
          </w:p>
        </w:tc>
      </w:tr>
      <w:tr w:rsidR="000E24AB" w:rsidRPr="00577BC4" w14:paraId="44C9C79D" w14:textId="77777777" w:rsidTr="00B16945">
        <w:trPr>
          <w:trHeight w:val="288"/>
        </w:trPr>
        <w:tc>
          <w:tcPr>
            <w:tcW w:w="1701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B67D2C" w14:textId="78A6BAE7" w:rsidR="000E24AB" w:rsidRPr="00577BC4" w:rsidRDefault="000E24AB" w:rsidP="000E24AB">
            <w:pPr>
              <w:spacing w:after="0" w:line="240" w:lineRule="auto"/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  <w:lastRenderedPageBreak/>
              <w:t>Country</w:t>
            </w:r>
          </w:p>
        </w:tc>
        <w:tc>
          <w:tcPr>
            <w:tcW w:w="42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ECB464" w14:textId="26A134B3" w:rsidR="000E24AB" w:rsidRPr="00577BC4" w:rsidRDefault="000E24AB" w:rsidP="000E24AB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  <w:t>ID</w:t>
            </w:r>
          </w:p>
        </w:tc>
        <w:tc>
          <w:tcPr>
            <w:tcW w:w="694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D104AB" w14:textId="7F2C90CB" w:rsidR="000E24AB" w:rsidRPr="00577BC4" w:rsidRDefault="000E24AB" w:rsidP="000E24AB">
            <w:pPr>
              <w:spacing w:after="0" w:line="240" w:lineRule="auto"/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  <w:t>Regions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5ACF1A1" w14:textId="1A5D1F84" w:rsidR="000E24AB" w:rsidRPr="00577BC4" w:rsidRDefault="000E24AB" w:rsidP="000E24AB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  <w:t>Number of observations as party country cabinet dyad</w:t>
            </w:r>
          </w:p>
        </w:tc>
        <w:tc>
          <w:tcPr>
            <w:tcW w:w="993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6BEA1B4" w14:textId="5C93CEFA" w:rsidR="000E24AB" w:rsidRPr="00577BC4" w:rsidRDefault="000E24AB" w:rsidP="000E24AB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  <w:t>Electoral period</w:t>
            </w:r>
          </w:p>
        </w:tc>
        <w:tc>
          <w:tcPr>
            <w:tcW w:w="1381" w:type="dxa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4A4E45AA" w14:textId="76223682" w:rsidR="000E24AB" w:rsidRPr="00577BC4" w:rsidRDefault="000E24AB" w:rsidP="000E24AB">
            <w:pPr>
              <w:spacing w:after="0"/>
              <w:jc w:val="center"/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  <w:t>Number of observations as yearly party observations</w:t>
            </w:r>
          </w:p>
        </w:tc>
        <w:tc>
          <w:tcPr>
            <w:tcW w:w="1028" w:type="dxa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37D36B57" w14:textId="1595BABF" w:rsidR="000E24AB" w:rsidRPr="00577BC4" w:rsidRDefault="000E24AB" w:rsidP="000E24A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b/>
                <w:color w:val="000000"/>
                <w:sz w:val="16"/>
                <w:szCs w:val="16"/>
                <w:lang w:eastAsia="de-DE"/>
              </w:rPr>
              <w:t>Electoral period</w:t>
            </w:r>
          </w:p>
        </w:tc>
      </w:tr>
      <w:tr w:rsidR="001F5A0D" w:rsidRPr="00577BC4" w14:paraId="53F0980F" w14:textId="77777777" w:rsidTr="002E2462">
        <w:trPr>
          <w:trHeight w:val="288"/>
        </w:trPr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FBB82A" w14:textId="77777777" w:rsidR="001F5A0D" w:rsidRPr="00577BC4" w:rsidRDefault="001F5A0D" w:rsidP="00577BC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Serbia</w:t>
            </w:r>
          </w:p>
        </w:tc>
        <w:tc>
          <w:tcPr>
            <w:tcW w:w="42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D4ECD6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45</w:t>
            </w:r>
          </w:p>
        </w:tc>
        <w:tc>
          <w:tcPr>
            <w:tcW w:w="694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8EB5D1" w14:textId="51D7788D" w:rsidR="001F5A0D" w:rsidRPr="00577BC4" w:rsidRDefault="001F5A0D" w:rsidP="00577BC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Central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Serbia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(Republic),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Kosovo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and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Metohija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(Autonomous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Province),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Vojvodina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(Autonomous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Province)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E1F83A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449</w:t>
            </w:r>
          </w:p>
        </w:tc>
        <w:tc>
          <w:tcPr>
            <w:tcW w:w="99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FCB916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2000-2016</w:t>
            </w:r>
          </w:p>
        </w:tc>
        <w:tc>
          <w:tcPr>
            <w:tcW w:w="1381" w:type="dxa"/>
            <w:tcBorders>
              <w:bottom w:val="dotted" w:sz="4" w:space="0" w:color="auto"/>
            </w:tcBorders>
            <w:vAlign w:val="center"/>
          </w:tcPr>
          <w:p w14:paraId="5B55701C" w14:textId="77777777" w:rsidR="001F5A0D" w:rsidRPr="00577BC4" w:rsidRDefault="001F5A0D" w:rsidP="00B16945">
            <w:pPr>
              <w:jc w:val="center"/>
              <w:rPr>
                <w:rFonts w:ascii="Garamond" w:eastAsia="Times New Roman" w:hAnsi="Garamond" w:cstheme="minorHAnsi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  <w:t>811</w:t>
            </w:r>
          </w:p>
        </w:tc>
        <w:tc>
          <w:tcPr>
            <w:tcW w:w="1028" w:type="dxa"/>
            <w:tcBorders>
              <w:bottom w:val="dotted" w:sz="4" w:space="0" w:color="auto"/>
            </w:tcBorders>
            <w:vAlign w:val="center"/>
          </w:tcPr>
          <w:p w14:paraId="77BACA52" w14:textId="77777777" w:rsidR="001F5A0D" w:rsidRPr="00577BC4" w:rsidRDefault="001F5A0D" w:rsidP="00B16945">
            <w:pPr>
              <w:jc w:val="center"/>
              <w:rPr>
                <w:rFonts w:ascii="Garamond" w:eastAsia="Times New Roman" w:hAnsi="Garamond" w:cstheme="minorHAnsi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  <w:t>2000-2016</w:t>
            </w:r>
          </w:p>
        </w:tc>
      </w:tr>
      <w:tr w:rsidR="001F5A0D" w:rsidRPr="00577BC4" w14:paraId="3FA2A6C3" w14:textId="77777777" w:rsidTr="002E2462">
        <w:trPr>
          <w:trHeight w:val="288"/>
        </w:trPr>
        <w:tc>
          <w:tcPr>
            <w:tcW w:w="170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06636C" w14:textId="77777777" w:rsidR="001F5A0D" w:rsidRPr="00577BC4" w:rsidRDefault="001F5A0D" w:rsidP="00577BC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Spain</w:t>
            </w:r>
          </w:p>
        </w:tc>
        <w:tc>
          <w:tcPr>
            <w:tcW w:w="4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20F643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14</w:t>
            </w:r>
          </w:p>
        </w:tc>
        <w:tc>
          <w:tcPr>
            <w:tcW w:w="694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941B84" w14:textId="73682521" w:rsidR="001F5A0D" w:rsidRPr="00577BC4" w:rsidRDefault="001F5A0D" w:rsidP="00577BC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Andalusia,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Aragon,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Asturias,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Balearic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Islands,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Canary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Islands,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Cantabria,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Castille</w:t>
            </w:r>
            <w:proofErr w:type="spellEnd"/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and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Leon,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Castille</w:t>
            </w:r>
            <w:proofErr w:type="spellEnd"/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la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Mancha,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Catalonia,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Ceuta,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Extremadura,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Galicia,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La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Rioja,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Madrid,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Melilla,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Murcia,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Navarra,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Pais</w:t>
            </w:r>
            <w:proofErr w:type="spellEnd"/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Vasco,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Valencia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F0731D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1848</w:t>
            </w:r>
          </w:p>
        </w:tc>
        <w:tc>
          <w:tcPr>
            <w:tcW w:w="9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7D096A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1977-2019</w:t>
            </w:r>
          </w:p>
        </w:tc>
        <w:tc>
          <w:tcPr>
            <w:tcW w:w="13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1DECDF3" w14:textId="77777777" w:rsidR="001F5A0D" w:rsidRPr="00577BC4" w:rsidRDefault="001F5A0D" w:rsidP="00B16945">
            <w:pPr>
              <w:jc w:val="center"/>
              <w:rPr>
                <w:rFonts w:ascii="Garamond" w:eastAsia="Times New Roman" w:hAnsi="Garamond" w:cstheme="minorHAnsi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  <w:t>4242</w:t>
            </w:r>
          </w:p>
        </w:tc>
        <w:tc>
          <w:tcPr>
            <w:tcW w:w="10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8F9DBA" w14:textId="77777777" w:rsidR="001F5A0D" w:rsidRPr="00577BC4" w:rsidRDefault="001F5A0D" w:rsidP="00B16945">
            <w:pPr>
              <w:jc w:val="center"/>
              <w:rPr>
                <w:rFonts w:ascii="Garamond" w:eastAsia="Times New Roman" w:hAnsi="Garamond" w:cstheme="minorHAnsi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  <w:t>1977-2019</w:t>
            </w:r>
          </w:p>
        </w:tc>
      </w:tr>
      <w:tr w:rsidR="001F5A0D" w:rsidRPr="00577BC4" w14:paraId="7709650F" w14:textId="77777777" w:rsidTr="002E2462">
        <w:trPr>
          <w:trHeight w:val="288"/>
        </w:trPr>
        <w:tc>
          <w:tcPr>
            <w:tcW w:w="170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E45789" w14:textId="77777777" w:rsidR="001F5A0D" w:rsidRPr="00577BC4" w:rsidRDefault="001F5A0D" w:rsidP="00577BC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Sweden</w:t>
            </w:r>
          </w:p>
        </w:tc>
        <w:tc>
          <w:tcPr>
            <w:tcW w:w="4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FF14AA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15</w:t>
            </w:r>
          </w:p>
        </w:tc>
        <w:tc>
          <w:tcPr>
            <w:tcW w:w="694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C874D5" w14:textId="613274AF" w:rsidR="001F5A0D" w:rsidRPr="00577BC4" w:rsidRDefault="001F5A0D" w:rsidP="00577BC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Aelvsborg</w:t>
            </w:r>
            <w:proofErr w:type="spellEnd"/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läns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Blekinge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läns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Fyrstads</w:t>
            </w:r>
            <w:proofErr w:type="spellEnd"/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Läns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Gävleborgs</w:t>
            </w:r>
            <w:proofErr w:type="spellEnd"/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läns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Göteborgs</w:t>
            </w:r>
            <w:proofErr w:type="spellEnd"/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och</w:t>
            </w:r>
            <w:proofErr w:type="spellEnd"/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Bohus</w:t>
            </w:r>
            <w:proofErr w:type="spellEnd"/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läns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Gotlands</w:t>
            </w:r>
            <w:proofErr w:type="spellEnd"/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läns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Hallands</w:t>
            </w:r>
            <w:proofErr w:type="spellEnd"/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läns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Jämtlands</w:t>
            </w:r>
            <w:proofErr w:type="spellEnd"/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läns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Jönköpings</w:t>
            </w:r>
            <w:proofErr w:type="spellEnd"/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läns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Kalmar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läns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Kopparberg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läns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Kristianstads</w:t>
            </w:r>
            <w:proofErr w:type="spellEnd"/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läns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Kronobergs</w:t>
            </w:r>
            <w:proofErr w:type="spellEnd"/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läns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Malmöhus</w:t>
            </w:r>
            <w:proofErr w:type="spellEnd"/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läns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Norrbottens</w:t>
            </w:r>
            <w:proofErr w:type="spellEnd"/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läns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Oerebro</w:t>
            </w:r>
            <w:proofErr w:type="spellEnd"/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läns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Oestergötlands</w:t>
            </w:r>
            <w:proofErr w:type="spellEnd"/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läns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Skaraborgs</w:t>
            </w:r>
            <w:proofErr w:type="spellEnd"/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läns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Södermanlands</w:t>
            </w:r>
            <w:proofErr w:type="spellEnd"/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läns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Stockholm,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Uppsala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läns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Värmlands</w:t>
            </w:r>
            <w:proofErr w:type="spellEnd"/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läns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Västerbottens</w:t>
            </w:r>
            <w:proofErr w:type="spellEnd"/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läns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Västernorrlands</w:t>
            </w:r>
            <w:proofErr w:type="spellEnd"/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läns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Västmanlands</w:t>
            </w:r>
            <w:proofErr w:type="spellEnd"/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läns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Malmös</w:t>
            </w:r>
            <w:proofErr w:type="spellEnd"/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Läns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Dalarnas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län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Skåne</w:t>
            </w:r>
            <w:proofErr w:type="spellEnd"/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läns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Västra</w:t>
            </w:r>
            <w:proofErr w:type="spellEnd"/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Götalands</w:t>
            </w:r>
            <w:proofErr w:type="spellEnd"/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län</w:t>
            </w:r>
            <w:proofErr w:type="spellEnd"/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36D642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5106</w:t>
            </w:r>
          </w:p>
        </w:tc>
        <w:tc>
          <w:tcPr>
            <w:tcW w:w="9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C69BBC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1944-2018</w:t>
            </w:r>
          </w:p>
        </w:tc>
        <w:tc>
          <w:tcPr>
            <w:tcW w:w="13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4515B81" w14:textId="77777777" w:rsidR="001F5A0D" w:rsidRPr="00577BC4" w:rsidRDefault="001F5A0D" w:rsidP="00B16945">
            <w:pPr>
              <w:jc w:val="center"/>
              <w:rPr>
                <w:rFonts w:ascii="Garamond" w:eastAsia="Times New Roman" w:hAnsi="Garamond" w:cstheme="minorHAnsi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  <w:t>10823</w:t>
            </w:r>
          </w:p>
        </w:tc>
        <w:tc>
          <w:tcPr>
            <w:tcW w:w="10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0304665" w14:textId="77777777" w:rsidR="001F5A0D" w:rsidRPr="00577BC4" w:rsidRDefault="001F5A0D" w:rsidP="00B16945">
            <w:pPr>
              <w:jc w:val="center"/>
              <w:rPr>
                <w:rFonts w:ascii="Garamond" w:eastAsia="Times New Roman" w:hAnsi="Garamond" w:cstheme="minorHAnsi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  <w:t>1948-2018</w:t>
            </w:r>
          </w:p>
        </w:tc>
      </w:tr>
      <w:tr w:rsidR="001F5A0D" w:rsidRPr="00577BC4" w14:paraId="234590A7" w14:textId="77777777" w:rsidTr="002E2462">
        <w:trPr>
          <w:trHeight w:val="288"/>
        </w:trPr>
        <w:tc>
          <w:tcPr>
            <w:tcW w:w="170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76DE85" w14:textId="77777777" w:rsidR="001F5A0D" w:rsidRPr="00577BC4" w:rsidRDefault="001F5A0D" w:rsidP="00577BC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Switzerland</w:t>
            </w:r>
          </w:p>
        </w:tc>
        <w:tc>
          <w:tcPr>
            <w:tcW w:w="4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4367B5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16</w:t>
            </w:r>
          </w:p>
        </w:tc>
        <w:tc>
          <w:tcPr>
            <w:tcW w:w="694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EE9153" w14:textId="4D36533E" w:rsidR="001F5A0D" w:rsidRPr="003C676A" w:rsidRDefault="001F5A0D" w:rsidP="00577BC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</w:pP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Aargau,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Appenzell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Ausserrhoden,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Appenzell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Innerrhoden,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Basel-Landschaft,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Basel-Stadt,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Bern,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Freiburg,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Genf,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Glarus,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Graubünden,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Luzern,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Neuenburg,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Nidwalden,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Obwalden,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Sankt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Gallen,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Schaffhausen,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Schwyz,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Solothurn,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Tessin,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Thurgau,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Uri,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proofErr w:type="spellStart"/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Waad</w:t>
            </w:r>
            <w:proofErr w:type="spellEnd"/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Wallis,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Zug,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Zürich,</w:t>
            </w:r>
            <w:r w:rsidR="00577BC4"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3C676A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val="de-DE" w:eastAsia="de-DE"/>
              </w:rPr>
              <w:t>Jura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49FFAE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6826</w:t>
            </w:r>
          </w:p>
        </w:tc>
        <w:tc>
          <w:tcPr>
            <w:tcW w:w="9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E2B0F1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1947-2015</w:t>
            </w:r>
          </w:p>
        </w:tc>
        <w:tc>
          <w:tcPr>
            <w:tcW w:w="13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8AAFBC6" w14:textId="77777777" w:rsidR="001F5A0D" w:rsidRPr="00577BC4" w:rsidRDefault="001F5A0D" w:rsidP="00B16945">
            <w:pPr>
              <w:jc w:val="center"/>
              <w:rPr>
                <w:rFonts w:ascii="Garamond" w:eastAsia="Times New Roman" w:hAnsi="Garamond" w:cstheme="minorHAnsi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  <w:t>25036</w:t>
            </w:r>
          </w:p>
        </w:tc>
        <w:tc>
          <w:tcPr>
            <w:tcW w:w="10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28995D2" w14:textId="77777777" w:rsidR="001F5A0D" w:rsidRPr="00577BC4" w:rsidRDefault="001F5A0D" w:rsidP="00B16945">
            <w:pPr>
              <w:jc w:val="center"/>
              <w:rPr>
                <w:rFonts w:ascii="Garamond" w:eastAsia="Times New Roman" w:hAnsi="Garamond" w:cstheme="minorHAnsi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  <w:t>1947-2015</w:t>
            </w:r>
          </w:p>
        </w:tc>
      </w:tr>
      <w:tr w:rsidR="001F5A0D" w:rsidRPr="00577BC4" w14:paraId="055E5D73" w14:textId="77777777" w:rsidTr="002E2462">
        <w:trPr>
          <w:trHeight w:val="288"/>
        </w:trPr>
        <w:tc>
          <w:tcPr>
            <w:tcW w:w="170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CB17C8" w14:textId="77777777" w:rsidR="001F5A0D" w:rsidRPr="00577BC4" w:rsidRDefault="001F5A0D" w:rsidP="00577BC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Turkey</w:t>
            </w:r>
          </w:p>
        </w:tc>
        <w:tc>
          <w:tcPr>
            <w:tcW w:w="4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5C2794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44</w:t>
            </w:r>
          </w:p>
        </w:tc>
        <w:tc>
          <w:tcPr>
            <w:tcW w:w="694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671D07" w14:textId="20687A19" w:rsidR="001F5A0D" w:rsidRPr="00577BC4" w:rsidRDefault="001F5A0D" w:rsidP="00577BC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Adana,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Adiyaman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Afyon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Agri,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Amasya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Ankara,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Antalya,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Artvin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Aydin,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Balikesir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Bilecik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Bingöl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Bitlis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Bolu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Burdur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Bursa,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Canakkale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Cankiri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Corum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Denizli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Diyarbakir,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Edirne,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Elazig,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Erzincan,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Erzurum,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Eskisehir,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Gaziantep,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Giresun,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Gümüshane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Hakkari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Hatay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Icel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Isparta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Istanbul,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Izmir,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Kahramanmaras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Kars,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Kastamonu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Kayseri,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Kirklareli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Kirsehir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Kocaeli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Konya,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Kütahya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Malatya,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Manisa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Mardin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Mugla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Mus,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Nevsehir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Nigde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Ordu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Rize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Sakarya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Samsun,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Sanliurfa,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Siirt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Sinop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Sivas,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Tekirdag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Tokat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Trabzon,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Tunceli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Usak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Van,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Yozgat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Zonguldak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Aksaray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Bartin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Batman,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Bayburt,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Karaman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Kirikkale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Sirnak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Ardahan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Düzce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Igdir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Karabük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Kilis,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Osmaniye</w:t>
            </w:r>
            <w:proofErr w:type="spellEnd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Yalova</w:t>
            </w:r>
            <w:proofErr w:type="spellEnd"/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D15B3A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10207</w:t>
            </w:r>
          </w:p>
        </w:tc>
        <w:tc>
          <w:tcPr>
            <w:tcW w:w="9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A59711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1950-2015</w:t>
            </w:r>
          </w:p>
        </w:tc>
        <w:tc>
          <w:tcPr>
            <w:tcW w:w="13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DA1163B" w14:textId="77777777" w:rsidR="001F5A0D" w:rsidRPr="00577BC4" w:rsidRDefault="001F5A0D" w:rsidP="00B16945">
            <w:pPr>
              <w:jc w:val="center"/>
              <w:rPr>
                <w:rFonts w:ascii="Garamond" w:eastAsia="Times New Roman" w:hAnsi="Garamond" w:cstheme="minorHAnsi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  <w:t>14873</w:t>
            </w:r>
          </w:p>
        </w:tc>
        <w:tc>
          <w:tcPr>
            <w:tcW w:w="10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7DEB1F9" w14:textId="77777777" w:rsidR="001F5A0D" w:rsidRPr="00577BC4" w:rsidRDefault="001F5A0D" w:rsidP="00B16945">
            <w:pPr>
              <w:jc w:val="center"/>
              <w:rPr>
                <w:rFonts w:ascii="Garamond" w:eastAsia="Times New Roman" w:hAnsi="Garamond" w:cstheme="minorHAnsi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  <w:t>1950-2011</w:t>
            </w:r>
          </w:p>
        </w:tc>
      </w:tr>
      <w:tr w:rsidR="001F5A0D" w:rsidRPr="00577BC4" w14:paraId="5B563AF8" w14:textId="77777777" w:rsidTr="002E2462">
        <w:trPr>
          <w:trHeight w:val="288"/>
        </w:trPr>
        <w:tc>
          <w:tcPr>
            <w:tcW w:w="1701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33BCE7" w14:textId="7E910C0B" w:rsidR="001F5A0D" w:rsidRPr="00577BC4" w:rsidRDefault="001F5A0D" w:rsidP="00577BC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United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Kingdom</w:t>
            </w:r>
          </w:p>
        </w:tc>
        <w:tc>
          <w:tcPr>
            <w:tcW w:w="426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E29F45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18</w:t>
            </w:r>
          </w:p>
        </w:tc>
        <w:tc>
          <w:tcPr>
            <w:tcW w:w="6945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04DA22" w14:textId="1953B056" w:rsidR="001F5A0D" w:rsidRPr="00577BC4" w:rsidRDefault="001F5A0D" w:rsidP="00577BC4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England,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Northern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Ireland,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Scotland,</w:t>
            </w:r>
            <w:r w:rsidR="00577BC4"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Wales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310971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449</w:t>
            </w:r>
          </w:p>
        </w:tc>
        <w:tc>
          <w:tcPr>
            <w:tcW w:w="993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440BA5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color w:val="000000"/>
                <w:sz w:val="16"/>
                <w:szCs w:val="16"/>
                <w:lang w:eastAsia="de-DE"/>
              </w:rPr>
              <w:t>1945-2017</w:t>
            </w:r>
          </w:p>
        </w:tc>
        <w:tc>
          <w:tcPr>
            <w:tcW w:w="1381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1E7F7962" w14:textId="77777777" w:rsidR="001F5A0D" w:rsidRPr="00577BC4" w:rsidRDefault="001F5A0D" w:rsidP="00B16945">
            <w:pPr>
              <w:jc w:val="center"/>
              <w:rPr>
                <w:rFonts w:ascii="Garamond" w:eastAsia="Times New Roman" w:hAnsi="Garamond" w:cstheme="minorHAnsi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  <w:t>1074</w:t>
            </w:r>
          </w:p>
        </w:tc>
        <w:tc>
          <w:tcPr>
            <w:tcW w:w="1028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1B60602C" w14:textId="77777777" w:rsidR="001F5A0D" w:rsidRPr="00577BC4" w:rsidRDefault="001F5A0D" w:rsidP="00B16945">
            <w:pPr>
              <w:jc w:val="center"/>
              <w:rPr>
                <w:rFonts w:ascii="Garamond" w:eastAsia="Times New Roman" w:hAnsi="Garamond" w:cstheme="minorHAnsi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  <w:t>1950-2017</w:t>
            </w:r>
          </w:p>
        </w:tc>
      </w:tr>
      <w:tr w:rsidR="001F5A0D" w:rsidRPr="00577BC4" w14:paraId="21EA8416" w14:textId="77777777" w:rsidTr="00B16945">
        <w:trPr>
          <w:trHeight w:val="288"/>
        </w:trPr>
        <w:tc>
          <w:tcPr>
            <w:tcW w:w="1701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162124C5" w14:textId="3C8DC4CF" w:rsidR="001F5A0D" w:rsidRPr="00577BC4" w:rsidRDefault="001F5A0D" w:rsidP="00577BC4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b/>
                <w:bCs/>
                <w:color w:val="000000"/>
                <w:sz w:val="16"/>
                <w:szCs w:val="16"/>
                <w:lang w:eastAsia="de-DE"/>
              </w:rPr>
              <w:t>19</w:t>
            </w:r>
            <w:r w:rsidR="00577BC4" w:rsidRPr="00577BC4">
              <w:rPr>
                <w:rFonts w:ascii="Garamond" w:eastAsia="Times New Roman" w:hAnsi="Garamond" w:cstheme="minorHAnsi"/>
                <w:b/>
                <w:bCs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b/>
                <w:bCs/>
                <w:color w:val="000000"/>
                <w:sz w:val="16"/>
                <w:szCs w:val="16"/>
                <w:lang w:eastAsia="de-DE"/>
              </w:rPr>
              <w:t>countries</w:t>
            </w:r>
          </w:p>
        </w:tc>
        <w:tc>
          <w:tcPr>
            <w:tcW w:w="426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108C69E5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6945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5C71EE0" w14:textId="6BD0D2AF" w:rsidR="001F5A0D" w:rsidRPr="00577BC4" w:rsidRDefault="001F5A0D" w:rsidP="00577BC4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b/>
                <w:bCs/>
                <w:sz w:val="16"/>
                <w:szCs w:val="16"/>
                <w:lang w:eastAsia="de-DE"/>
              </w:rPr>
              <w:t>365</w:t>
            </w:r>
            <w:r w:rsidR="00577BC4" w:rsidRPr="00577BC4">
              <w:rPr>
                <w:rFonts w:ascii="Garamond" w:eastAsia="Times New Roman" w:hAnsi="Garamond" w:cstheme="minorHAnsi"/>
                <w:b/>
                <w:bCs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theme="minorHAnsi"/>
                <w:b/>
                <w:bCs/>
                <w:sz w:val="16"/>
                <w:szCs w:val="16"/>
                <w:lang w:eastAsia="de-DE"/>
              </w:rPr>
              <w:t>regions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2F8696A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b/>
                <w:bCs/>
                <w:color w:val="000000"/>
                <w:sz w:val="16"/>
                <w:szCs w:val="16"/>
                <w:lang w:eastAsia="de-DE"/>
              </w:rPr>
              <w:t>58,616</w:t>
            </w: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3EF0F308" w14:textId="77777777" w:rsidR="001F5A0D" w:rsidRPr="00577BC4" w:rsidRDefault="001F5A0D" w:rsidP="00B169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theme="minorHAnsi"/>
                <w:b/>
                <w:bCs/>
                <w:color w:val="000000"/>
                <w:sz w:val="16"/>
                <w:szCs w:val="16"/>
                <w:lang w:eastAsia="de-DE"/>
              </w:rPr>
              <w:t>1944-2019</w:t>
            </w:r>
          </w:p>
        </w:tc>
        <w:tc>
          <w:tcPr>
            <w:tcW w:w="1381" w:type="dxa"/>
            <w:tcBorders>
              <w:top w:val="double" w:sz="4" w:space="0" w:color="auto"/>
            </w:tcBorders>
          </w:tcPr>
          <w:p w14:paraId="3CA8468F" w14:textId="77777777" w:rsidR="001F5A0D" w:rsidRPr="00577BC4" w:rsidRDefault="001F5A0D" w:rsidP="00B16945">
            <w:pPr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="Calibri"/>
                <w:b/>
                <w:bCs/>
                <w:color w:val="000000"/>
                <w:sz w:val="16"/>
                <w:szCs w:val="16"/>
                <w:lang w:eastAsia="de-DE"/>
              </w:rPr>
              <w:t>123,493</w:t>
            </w:r>
          </w:p>
        </w:tc>
        <w:tc>
          <w:tcPr>
            <w:tcW w:w="1028" w:type="dxa"/>
            <w:tcBorders>
              <w:top w:val="double" w:sz="4" w:space="0" w:color="auto"/>
            </w:tcBorders>
          </w:tcPr>
          <w:p w14:paraId="1EA7AED3" w14:textId="77777777" w:rsidR="001F5A0D" w:rsidRPr="00577BC4" w:rsidRDefault="001F5A0D" w:rsidP="00B16945">
            <w:pPr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="Calibri"/>
                <w:b/>
                <w:bCs/>
                <w:color w:val="000000"/>
                <w:sz w:val="16"/>
                <w:szCs w:val="16"/>
                <w:lang w:eastAsia="de-DE"/>
              </w:rPr>
              <w:t>1948-2019</w:t>
            </w:r>
          </w:p>
        </w:tc>
      </w:tr>
    </w:tbl>
    <w:p w14:paraId="3CD9F2A5" w14:textId="77777777" w:rsidR="001F5A0D" w:rsidRPr="00577BC4" w:rsidRDefault="001F5A0D" w:rsidP="001F5A0D">
      <w:pPr>
        <w:rPr>
          <w:rFonts w:ascii="Garamond" w:hAnsi="Garamond"/>
          <w:lang w:eastAsia="en-GB"/>
        </w:rPr>
      </w:pPr>
    </w:p>
    <w:p w14:paraId="103E75B1" w14:textId="77777777" w:rsidR="001F5A0D" w:rsidRPr="00577BC4" w:rsidRDefault="001F5A0D" w:rsidP="001F5A0D">
      <w:pPr>
        <w:rPr>
          <w:rFonts w:ascii="Garamond" w:hAnsi="Garamond"/>
          <w:lang w:eastAsia="en-GB"/>
        </w:rPr>
      </w:pPr>
    </w:p>
    <w:p w14:paraId="4735C14C" w14:textId="77777777" w:rsidR="001F5A0D" w:rsidRPr="00577BC4" w:rsidRDefault="001F5A0D" w:rsidP="003C676A">
      <w:pPr>
        <w:rPr>
          <w:lang w:eastAsia="en-GB"/>
        </w:rPr>
      </w:pPr>
      <w:r w:rsidRPr="00577BC4">
        <w:rPr>
          <w:lang w:eastAsia="en-GB"/>
        </w:rPr>
        <w:tab/>
      </w:r>
    </w:p>
    <w:p w14:paraId="74454AB6" w14:textId="77777777" w:rsidR="001F5A0D" w:rsidRPr="00577BC4" w:rsidRDefault="001F5A0D">
      <w:pPr>
        <w:rPr>
          <w:rFonts w:ascii="Garamond" w:hAnsi="Garamond"/>
        </w:rPr>
      </w:pPr>
      <w:r w:rsidRPr="00577BC4">
        <w:rPr>
          <w:rFonts w:ascii="Garamond" w:hAnsi="Garamond"/>
        </w:rPr>
        <w:br w:type="page"/>
      </w:r>
    </w:p>
    <w:p w14:paraId="21501A9C" w14:textId="77777777" w:rsidR="002071B2" w:rsidRPr="00577BC4" w:rsidRDefault="002071B2" w:rsidP="002071B2">
      <w:pPr>
        <w:pStyle w:val="berschrift1"/>
        <w:numPr>
          <w:ilvl w:val="0"/>
          <w:numId w:val="1"/>
        </w:numPr>
        <w:rPr>
          <w:rFonts w:ascii="Garamond" w:eastAsia="Times New Roman" w:hAnsi="Garamond"/>
          <w:b/>
          <w:bCs/>
          <w:color w:val="auto"/>
          <w:lang w:eastAsia="en-GB"/>
        </w:rPr>
      </w:pPr>
      <w:r w:rsidRPr="00577BC4">
        <w:rPr>
          <w:rFonts w:ascii="Garamond" w:eastAsia="Times New Roman" w:hAnsi="Garamond"/>
          <w:b/>
          <w:bCs/>
          <w:color w:val="auto"/>
          <w:lang w:eastAsia="en-GB"/>
        </w:rPr>
        <w:lastRenderedPageBreak/>
        <w:t>Variables</w:t>
      </w:r>
    </w:p>
    <w:p w14:paraId="19199B21" w14:textId="77777777" w:rsidR="002071B2" w:rsidRPr="00577BC4" w:rsidRDefault="002071B2" w:rsidP="00B16945">
      <w:pPr>
        <w:jc w:val="both"/>
        <w:rPr>
          <w:rFonts w:ascii="Garamond" w:hAnsi="Garamond"/>
          <w:b/>
          <w:sz w:val="20"/>
          <w:szCs w:val="20"/>
        </w:rPr>
      </w:pPr>
    </w:p>
    <w:p w14:paraId="06610D45" w14:textId="44956E29" w:rsidR="00B16945" w:rsidRPr="00577BC4" w:rsidRDefault="00B16945" w:rsidP="00B16945">
      <w:pPr>
        <w:jc w:val="both"/>
        <w:rPr>
          <w:rFonts w:ascii="Garamond" w:hAnsi="Garamond"/>
          <w:sz w:val="20"/>
          <w:szCs w:val="20"/>
        </w:rPr>
      </w:pPr>
      <w:r w:rsidRPr="00577BC4">
        <w:rPr>
          <w:rFonts w:ascii="Garamond" w:hAnsi="Garamond"/>
          <w:b/>
          <w:sz w:val="20"/>
          <w:szCs w:val="20"/>
        </w:rPr>
        <w:t>Tab</w:t>
      </w:r>
      <w:r w:rsidR="00136EAB" w:rsidRPr="00577BC4">
        <w:rPr>
          <w:rFonts w:ascii="Garamond" w:hAnsi="Garamond"/>
          <w:b/>
          <w:sz w:val="20"/>
          <w:szCs w:val="20"/>
        </w:rPr>
        <w:t>le</w:t>
      </w:r>
      <w:r w:rsidR="00577BC4" w:rsidRPr="00577BC4">
        <w:rPr>
          <w:rFonts w:ascii="Garamond" w:hAnsi="Garamond"/>
          <w:b/>
          <w:sz w:val="20"/>
          <w:szCs w:val="20"/>
        </w:rPr>
        <w:t xml:space="preserve"> </w:t>
      </w:r>
      <w:r w:rsidRPr="00577BC4">
        <w:rPr>
          <w:rFonts w:ascii="Garamond" w:hAnsi="Garamond"/>
          <w:b/>
          <w:sz w:val="20"/>
          <w:szCs w:val="20"/>
        </w:rPr>
        <w:t>2:</w:t>
      </w:r>
      <w:r w:rsidR="00577BC4" w:rsidRPr="00577BC4">
        <w:rPr>
          <w:rFonts w:ascii="Garamond" w:hAnsi="Garamond"/>
          <w:b/>
          <w:sz w:val="20"/>
          <w:szCs w:val="20"/>
        </w:rPr>
        <w:t xml:space="preserve"> </w:t>
      </w:r>
      <w:r w:rsidR="00136EAB" w:rsidRPr="00577BC4">
        <w:rPr>
          <w:rFonts w:ascii="Garamond" w:hAnsi="Garamond"/>
          <w:sz w:val="20"/>
          <w:szCs w:val="20"/>
        </w:rPr>
        <w:t>Description</w:t>
      </w:r>
      <w:r w:rsidR="00577BC4" w:rsidRPr="00577BC4">
        <w:rPr>
          <w:rFonts w:ascii="Garamond" w:hAnsi="Garamond"/>
          <w:sz w:val="20"/>
          <w:szCs w:val="20"/>
        </w:rPr>
        <w:t xml:space="preserve"> </w:t>
      </w:r>
      <w:r w:rsidR="00136EAB" w:rsidRPr="00577BC4">
        <w:rPr>
          <w:rFonts w:ascii="Garamond" w:hAnsi="Garamond"/>
          <w:sz w:val="20"/>
          <w:szCs w:val="20"/>
        </w:rPr>
        <w:t>of</w:t>
      </w:r>
      <w:r w:rsidR="00577BC4" w:rsidRPr="00577BC4">
        <w:rPr>
          <w:rFonts w:ascii="Garamond" w:hAnsi="Garamond"/>
          <w:sz w:val="20"/>
          <w:szCs w:val="20"/>
        </w:rPr>
        <w:t xml:space="preserve"> </w:t>
      </w:r>
      <w:r w:rsidR="00136EAB" w:rsidRPr="00577BC4">
        <w:rPr>
          <w:rFonts w:ascii="Garamond" w:hAnsi="Garamond"/>
          <w:sz w:val="20"/>
          <w:szCs w:val="20"/>
        </w:rPr>
        <w:t>variables</w:t>
      </w:r>
      <w:r w:rsidR="00577BC4" w:rsidRPr="00577BC4">
        <w:rPr>
          <w:rFonts w:ascii="Garamond" w:hAnsi="Garamond"/>
          <w:sz w:val="20"/>
          <w:szCs w:val="20"/>
        </w:rPr>
        <w:t xml:space="preserve"> </w:t>
      </w:r>
      <w:r w:rsidR="00136EAB" w:rsidRPr="00577BC4">
        <w:rPr>
          <w:rFonts w:ascii="Garamond" w:hAnsi="Garamond"/>
          <w:sz w:val="20"/>
          <w:szCs w:val="20"/>
        </w:rPr>
        <w:t>of</w:t>
      </w:r>
      <w:r w:rsidR="00577BC4" w:rsidRPr="00577BC4">
        <w:rPr>
          <w:rFonts w:ascii="Garamond" w:hAnsi="Garamond"/>
          <w:sz w:val="20"/>
          <w:szCs w:val="20"/>
        </w:rPr>
        <w:t xml:space="preserve"> </w:t>
      </w:r>
      <w:r w:rsidRPr="00577BC4">
        <w:rPr>
          <w:rFonts w:ascii="Garamond" w:hAnsi="Garamond"/>
          <w:sz w:val="20"/>
          <w:szCs w:val="20"/>
        </w:rPr>
        <w:t>RD|CED</w:t>
      </w:r>
    </w:p>
    <w:tbl>
      <w:tblPr>
        <w:tblW w:w="1431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1701"/>
        <w:gridCol w:w="8222"/>
        <w:gridCol w:w="2126"/>
      </w:tblGrid>
      <w:tr w:rsidR="00136EAB" w:rsidRPr="00577BC4" w14:paraId="3944431E" w14:textId="77777777" w:rsidTr="00994BEC">
        <w:trPr>
          <w:trHeight w:val="490"/>
        </w:trPr>
        <w:tc>
          <w:tcPr>
            <w:tcW w:w="14317" w:type="dxa"/>
            <w:gridSpan w:val="4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446C018" w14:textId="45B09CCC" w:rsidR="00136EAB" w:rsidRPr="00577BC4" w:rsidRDefault="00136EAB" w:rsidP="00906B7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>Temporal,</w:t>
            </w:r>
            <w:r w:rsidR="00577BC4"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>Geographic</w:t>
            </w:r>
            <w:r w:rsidR="00577BC4"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>and</w:t>
            </w:r>
            <w:r w:rsidR="00577BC4"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>Party</w:t>
            </w:r>
            <w:r w:rsidR="00577BC4"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>Identification</w:t>
            </w:r>
          </w:p>
        </w:tc>
      </w:tr>
      <w:tr w:rsidR="00994BEC" w:rsidRPr="00577BC4" w14:paraId="231989B8" w14:textId="77777777" w:rsidTr="000260D6">
        <w:trPr>
          <w:trHeight w:val="20"/>
        </w:trPr>
        <w:tc>
          <w:tcPr>
            <w:tcW w:w="2268" w:type="dxa"/>
            <w:tcBorders>
              <w:top w:val="nil"/>
              <w:left w:val="nil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ACFAD0B" w14:textId="77777777" w:rsidR="00994BEC" w:rsidRPr="00577BC4" w:rsidRDefault="00994BEC" w:rsidP="001A3D4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>Variable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2E3BFD" w14:textId="77777777" w:rsidR="00994BEC" w:rsidRPr="00577BC4" w:rsidRDefault="00994BEC" w:rsidP="00B721CC">
            <w:pPr>
              <w:spacing w:after="0" w:line="240" w:lineRule="auto"/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>Name</w:t>
            </w:r>
          </w:p>
        </w:tc>
        <w:tc>
          <w:tcPr>
            <w:tcW w:w="822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C02D34" w14:textId="77777777" w:rsidR="00994BEC" w:rsidRPr="00577BC4" w:rsidRDefault="00994BEC" w:rsidP="00B721CC">
            <w:pPr>
              <w:spacing w:after="0" w:line="240" w:lineRule="auto"/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>Description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930AFF" w14:textId="25F27B47" w:rsidR="00994BEC" w:rsidRPr="00577BC4" w:rsidRDefault="00994BEC" w:rsidP="001A3D44">
            <w:pPr>
              <w:spacing w:after="0" w:line="240" w:lineRule="auto"/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>Data</w:t>
            </w:r>
            <w:r w:rsidR="00577BC4"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>format</w:t>
            </w:r>
            <w:r w:rsidR="00577BC4"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 xml:space="preserve"> </w:t>
            </w:r>
          </w:p>
        </w:tc>
      </w:tr>
      <w:tr w:rsidR="00136EAB" w:rsidRPr="00577BC4" w14:paraId="2AD59AD9" w14:textId="77777777" w:rsidTr="000260D6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50A59" w14:textId="77777777" w:rsidR="00136EAB" w:rsidRPr="00577BC4" w:rsidRDefault="00136EAB" w:rsidP="00906B79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  <w:t>country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32ABC25" w14:textId="1F0B0E8E" w:rsidR="00136EAB" w:rsidRPr="00577BC4" w:rsidRDefault="00136EAB" w:rsidP="00B721CC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Style w:val="Andere"/>
              </w:rPr>
              <w:t>Country</w:t>
            </w:r>
            <w:r w:rsidR="00577BC4" w:rsidRPr="00577BC4">
              <w:rPr>
                <w:rStyle w:val="Andere"/>
              </w:rPr>
              <w:t xml:space="preserve"> </w:t>
            </w:r>
            <w:r w:rsidR="008A28D7">
              <w:rPr>
                <w:rStyle w:val="Andere"/>
              </w:rPr>
              <w:t>n</w:t>
            </w:r>
            <w:r w:rsidRPr="00577BC4">
              <w:rPr>
                <w:rStyle w:val="Andere"/>
              </w:rPr>
              <w:t>ame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98099AD" w14:textId="4B7D4E41" w:rsidR="00136EAB" w:rsidRPr="00577BC4" w:rsidRDefault="00136EAB" w:rsidP="00B721CC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Style w:val="Andere"/>
              </w:rPr>
              <w:t>Name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of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the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country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in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English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947192" w14:textId="77777777" w:rsidR="00136EAB" w:rsidRPr="00577BC4" w:rsidRDefault="00136EAB" w:rsidP="00906B79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Style w:val="Andere"/>
              </w:rPr>
              <w:t>string</w:t>
            </w:r>
          </w:p>
        </w:tc>
      </w:tr>
      <w:tr w:rsidR="00136EAB" w:rsidRPr="00577BC4" w14:paraId="07ED0969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24222" w14:textId="77777777" w:rsidR="00136EAB" w:rsidRPr="00577BC4" w:rsidRDefault="00136EAB" w:rsidP="00906B79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577BC4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  <w:t>country_id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ED0013E" w14:textId="4875B8A3" w:rsidR="00136EAB" w:rsidRPr="00577BC4" w:rsidRDefault="00136EAB" w:rsidP="00B721CC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Style w:val="Andere"/>
              </w:rPr>
              <w:t>Country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ID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CCCA122" w14:textId="29B18898" w:rsidR="00136EAB" w:rsidRPr="00577BC4" w:rsidRDefault="008A28D7" w:rsidP="00B721CC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r w:rsidRPr="000F1E59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  <w:t>Unique</w:t>
            </w:r>
            <w:r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0F1E59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  <w:t>identification</w:t>
            </w:r>
            <w:r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0F1E59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  <w:t>of</w:t>
            </w:r>
            <w:r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0F1E59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  <w:t>country</w:t>
            </w:r>
            <w:r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  <w:t xml:space="preserve"> within the project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14E67B3" w14:textId="35260096" w:rsidR="00136EAB" w:rsidRPr="00577BC4" w:rsidRDefault="00136EAB" w:rsidP="00906B79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Style w:val="Andere"/>
              </w:rPr>
              <w:t>two-digit</w:t>
            </w:r>
            <w:r w:rsidR="009935ED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code</w:t>
            </w:r>
          </w:p>
        </w:tc>
      </w:tr>
      <w:tr w:rsidR="00136EAB" w:rsidRPr="00577BC4" w14:paraId="532DA496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EAA48" w14:textId="77777777" w:rsidR="00136EAB" w:rsidRPr="00577BC4" w:rsidRDefault="00136EAB" w:rsidP="00906B79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  <w:t>region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B275B48" w14:textId="506EC07B" w:rsidR="00136EAB" w:rsidRPr="00577BC4" w:rsidRDefault="00136EAB" w:rsidP="00B721CC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Style w:val="Andere"/>
              </w:rPr>
              <w:t>Region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name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FE5ABCD" w14:textId="70DB0D42" w:rsidR="00136EAB" w:rsidRPr="00577BC4" w:rsidRDefault="00136EAB" w:rsidP="00B721CC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Style w:val="Andere"/>
              </w:rPr>
              <w:t>Name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of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the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region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(different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languages;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accent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formats)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8FCBEB9" w14:textId="77777777" w:rsidR="00136EAB" w:rsidRPr="00577BC4" w:rsidRDefault="00136EAB" w:rsidP="00906B79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Style w:val="Andere"/>
              </w:rPr>
              <w:t>string</w:t>
            </w:r>
          </w:p>
        </w:tc>
      </w:tr>
      <w:tr w:rsidR="00136EAB" w:rsidRPr="00577BC4" w14:paraId="7AA3B4B4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FDF1E" w14:textId="77777777" w:rsidR="00136EAB" w:rsidRPr="00577BC4" w:rsidRDefault="00136EAB" w:rsidP="00906B79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577BC4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  <w:t>region_id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0EF4676" w14:textId="3070D513" w:rsidR="00136EAB" w:rsidRPr="00577BC4" w:rsidRDefault="00136EAB" w:rsidP="00B721CC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Style w:val="Andere"/>
              </w:rPr>
              <w:t>Region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ID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66ED80F" w14:textId="1E988FD8" w:rsidR="00136EAB" w:rsidRPr="00577BC4" w:rsidRDefault="00136EAB" w:rsidP="00B721CC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Style w:val="Andere"/>
              </w:rPr>
              <w:t>Unique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identification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number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of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the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region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composed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by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the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'</w:t>
            </w:r>
            <w:proofErr w:type="spellStart"/>
            <w:r w:rsidRPr="00577BC4">
              <w:rPr>
                <w:rStyle w:val="Andere"/>
              </w:rPr>
              <w:t>country_id</w:t>
            </w:r>
            <w:proofErr w:type="spellEnd"/>
            <w:r w:rsidRPr="00577BC4">
              <w:rPr>
                <w:rStyle w:val="Andere"/>
              </w:rPr>
              <w:t>'</w:t>
            </w:r>
            <w:r w:rsidR="00577BC4" w:rsidRPr="00577BC4">
              <w:rPr>
                <w:rStyle w:val="Andere"/>
              </w:rPr>
              <w:t xml:space="preserve"> </w:t>
            </w:r>
            <w:r w:rsidR="007A7658">
              <w:rPr>
                <w:rStyle w:val="Andere"/>
              </w:rPr>
              <w:t>and a two-digit code for each region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563A452" w14:textId="70A399A0" w:rsidR="00136EAB" w:rsidRPr="00577BC4" w:rsidRDefault="00136EAB" w:rsidP="00906B79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577BC4">
              <w:rPr>
                <w:rStyle w:val="Andere"/>
              </w:rPr>
              <w:t>country_id</w:t>
            </w:r>
            <w:proofErr w:type="spellEnd"/>
            <w:r w:rsidR="009935ED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+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two-digit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code</w:t>
            </w:r>
          </w:p>
        </w:tc>
      </w:tr>
      <w:tr w:rsidR="00136EAB" w:rsidRPr="00577BC4" w14:paraId="3C33B9CC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85233" w14:textId="48683641" w:rsidR="00136EAB" w:rsidRPr="00577BC4" w:rsidRDefault="00136EAB" w:rsidP="00906B79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  <w:t>year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856759F" w14:textId="7865270F" w:rsidR="00136EAB" w:rsidRPr="00577BC4" w:rsidRDefault="00136EAB" w:rsidP="00B721CC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Style w:val="Andere"/>
              </w:rPr>
              <w:t>Parliamentary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year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7EB41C9" w14:textId="7660B3C5" w:rsidR="00136EAB" w:rsidRPr="00577BC4" w:rsidRDefault="00136EAB" w:rsidP="00B721CC">
            <w:pPr>
              <w:pStyle w:val="Andere0"/>
              <w:spacing w:line="180" w:lineRule="auto"/>
              <w:rPr>
                <w:rFonts w:eastAsia="Times New Roman" w:cs="Calibri"/>
                <w:color w:val="000000"/>
                <w:lang w:val="en-GB" w:eastAsia="de-DE"/>
              </w:rPr>
            </w:pPr>
            <w:r w:rsidRPr="00577BC4">
              <w:rPr>
                <w:rStyle w:val="Andere"/>
                <w:lang w:val="en-GB"/>
              </w:rPr>
              <w:t>Year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parliamentary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election.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'b'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added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end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this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was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second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election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that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year</w:t>
            </w:r>
            <w:r w:rsidR="008A5C58">
              <w:rPr>
                <w:rStyle w:val="Andere"/>
                <w:lang w:val="en-GB"/>
              </w:rPr>
              <w:t>.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477A82" w14:textId="39312786" w:rsidR="00136EAB" w:rsidRPr="00577BC4" w:rsidRDefault="00136EAB" w:rsidP="00906B79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Style w:val="Andere"/>
              </w:rPr>
              <w:t>YYYY</w:t>
            </w:r>
            <w:r w:rsidR="008A28D7">
              <w:rPr>
                <w:rStyle w:val="Andere"/>
              </w:rPr>
              <w:t xml:space="preserve"> (+b)</w:t>
            </w:r>
          </w:p>
        </w:tc>
      </w:tr>
      <w:tr w:rsidR="00136EAB" w:rsidRPr="00577BC4" w14:paraId="1A49725B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BA885" w14:textId="77777777" w:rsidR="00136EAB" w:rsidRPr="0021019B" w:rsidRDefault="00136EAB" w:rsidP="00906B79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21019B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  <w:t>parl_year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82CAEE3" w14:textId="68B94FE2" w:rsidR="00136EAB" w:rsidRPr="0021019B" w:rsidRDefault="00136EAB" w:rsidP="00B721CC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r w:rsidRPr="0021019B">
              <w:rPr>
                <w:rStyle w:val="Andere"/>
              </w:rPr>
              <w:t>Parliamentary</w:t>
            </w:r>
            <w:r w:rsidR="00577BC4" w:rsidRPr="0021019B">
              <w:rPr>
                <w:rStyle w:val="Andere"/>
              </w:rPr>
              <w:t xml:space="preserve"> </w:t>
            </w:r>
            <w:r w:rsidRPr="0021019B">
              <w:rPr>
                <w:rStyle w:val="Andere"/>
              </w:rPr>
              <w:t>year</w:t>
            </w:r>
            <w:r w:rsidR="00577BC4" w:rsidRPr="0021019B">
              <w:rPr>
                <w:rStyle w:val="Andere"/>
              </w:rPr>
              <w:t xml:space="preserve"> </w:t>
            </w:r>
            <w:r w:rsidRPr="0021019B">
              <w:rPr>
                <w:rStyle w:val="Andere"/>
              </w:rPr>
              <w:t>(numeric)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53E19A0" w14:textId="18BD8C1B" w:rsidR="00136EAB" w:rsidRPr="0021019B" w:rsidRDefault="00136EAB" w:rsidP="00B721CC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r w:rsidRPr="0021019B">
              <w:rPr>
                <w:rStyle w:val="Andere"/>
              </w:rPr>
              <w:t>Year</w:t>
            </w:r>
            <w:r w:rsidR="00577BC4" w:rsidRPr="0021019B">
              <w:rPr>
                <w:rStyle w:val="Andere"/>
              </w:rPr>
              <w:t xml:space="preserve"> </w:t>
            </w:r>
            <w:r w:rsidRPr="0021019B">
              <w:rPr>
                <w:rStyle w:val="Andere"/>
              </w:rPr>
              <w:t>of</w:t>
            </w:r>
            <w:r w:rsidR="00577BC4" w:rsidRPr="0021019B">
              <w:rPr>
                <w:rStyle w:val="Andere"/>
              </w:rPr>
              <w:t xml:space="preserve"> </w:t>
            </w:r>
            <w:r w:rsidRPr="0021019B">
              <w:rPr>
                <w:rStyle w:val="Andere"/>
              </w:rPr>
              <w:t>parliamentary</w:t>
            </w:r>
            <w:r w:rsidR="00577BC4" w:rsidRPr="0021019B">
              <w:rPr>
                <w:rStyle w:val="Andere"/>
              </w:rPr>
              <w:t xml:space="preserve"> </w:t>
            </w:r>
            <w:r w:rsidRPr="0021019B">
              <w:rPr>
                <w:rStyle w:val="Andere"/>
              </w:rPr>
              <w:t>election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0A69DCD4" w14:textId="77777777" w:rsidR="00136EAB" w:rsidRPr="0021019B" w:rsidRDefault="00136EAB" w:rsidP="00906B79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r w:rsidRPr="0021019B">
              <w:rPr>
                <w:rStyle w:val="Andere"/>
              </w:rPr>
              <w:t>YYYY</w:t>
            </w:r>
          </w:p>
        </w:tc>
      </w:tr>
      <w:tr w:rsidR="00136EAB" w:rsidRPr="00577BC4" w14:paraId="36A4DF58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4CF86" w14:textId="77777777" w:rsidR="00136EAB" w:rsidRPr="0021019B" w:rsidRDefault="00136EAB" w:rsidP="00906B79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bookmarkStart w:id="6" w:name="_GoBack"/>
            <w:proofErr w:type="spellStart"/>
            <w:r w:rsidRPr="00776DBB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  <w:t>parl_year_b</w:t>
            </w:r>
            <w:bookmarkEnd w:id="6"/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989FF93" w14:textId="79A38C01" w:rsidR="00136EAB" w:rsidRPr="0021019B" w:rsidRDefault="00F31C3C" w:rsidP="00B721CC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r w:rsidRPr="0021019B">
              <w:rPr>
                <w:rStyle w:val="Andere"/>
              </w:rPr>
              <w:t>Parliamentary</w:t>
            </w:r>
            <w:r w:rsidR="00577BC4" w:rsidRPr="0021019B">
              <w:rPr>
                <w:rStyle w:val="Andere"/>
              </w:rPr>
              <w:t xml:space="preserve"> </w:t>
            </w:r>
            <w:r w:rsidRPr="0021019B">
              <w:rPr>
                <w:rStyle w:val="Andere"/>
              </w:rPr>
              <w:t>year</w:t>
            </w:r>
            <w:r w:rsidR="00577BC4" w:rsidRPr="0021019B">
              <w:rPr>
                <w:rStyle w:val="Andere"/>
              </w:rPr>
              <w:t xml:space="preserve"> </w:t>
            </w:r>
            <w:r w:rsidRPr="0021019B">
              <w:rPr>
                <w:rStyle w:val="Andere"/>
              </w:rPr>
              <w:t>(numeric)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E1E9793" w14:textId="0214E34D" w:rsidR="00136EAB" w:rsidRPr="0021019B" w:rsidRDefault="00F31C3C" w:rsidP="00B721CC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r w:rsidRPr="0021019B">
              <w:rPr>
                <w:rStyle w:val="Andere"/>
              </w:rPr>
              <w:t>Year</w:t>
            </w:r>
            <w:r w:rsidR="00577BC4" w:rsidRPr="0021019B">
              <w:rPr>
                <w:rStyle w:val="Andere"/>
              </w:rPr>
              <w:t xml:space="preserve"> </w:t>
            </w:r>
            <w:r w:rsidRPr="0021019B">
              <w:rPr>
                <w:rStyle w:val="Andere"/>
              </w:rPr>
              <w:t>of</w:t>
            </w:r>
            <w:r w:rsidR="00577BC4" w:rsidRPr="0021019B">
              <w:rPr>
                <w:rStyle w:val="Andere"/>
              </w:rPr>
              <w:t xml:space="preserve"> </w:t>
            </w:r>
            <w:r w:rsidRPr="0021019B">
              <w:rPr>
                <w:rStyle w:val="Andere"/>
              </w:rPr>
              <w:t>the</w:t>
            </w:r>
            <w:r w:rsidR="00577BC4" w:rsidRPr="0021019B">
              <w:rPr>
                <w:rStyle w:val="Andere"/>
              </w:rPr>
              <w:t xml:space="preserve"> </w:t>
            </w:r>
            <w:r w:rsidRPr="0021019B">
              <w:rPr>
                <w:rStyle w:val="Andere"/>
              </w:rPr>
              <w:t>parliamentary</w:t>
            </w:r>
            <w:r w:rsidR="00577BC4" w:rsidRPr="0021019B">
              <w:rPr>
                <w:rStyle w:val="Andere"/>
              </w:rPr>
              <w:t xml:space="preserve"> </w:t>
            </w:r>
            <w:r w:rsidRPr="0021019B">
              <w:rPr>
                <w:rStyle w:val="Andere"/>
              </w:rPr>
              <w:t>election.</w:t>
            </w:r>
            <w:r w:rsidR="00577BC4" w:rsidRPr="0021019B">
              <w:rPr>
                <w:rStyle w:val="Andere"/>
              </w:rPr>
              <w:t xml:space="preserve"> </w:t>
            </w:r>
            <w:r w:rsidRPr="0021019B">
              <w:rPr>
                <w:rStyle w:val="Andere"/>
              </w:rPr>
              <w:t>A</w:t>
            </w:r>
            <w:r w:rsidR="00577BC4" w:rsidRPr="0021019B">
              <w:rPr>
                <w:rStyle w:val="Andere"/>
              </w:rPr>
              <w:t xml:space="preserve"> </w:t>
            </w:r>
            <w:r w:rsidRPr="0021019B">
              <w:rPr>
                <w:rStyle w:val="Andere"/>
              </w:rPr>
              <w:t>'b'</w:t>
            </w:r>
            <w:r w:rsidR="00577BC4" w:rsidRPr="0021019B">
              <w:rPr>
                <w:rStyle w:val="Andere"/>
              </w:rPr>
              <w:t xml:space="preserve"> </w:t>
            </w:r>
            <w:r w:rsidRPr="0021019B">
              <w:rPr>
                <w:rStyle w:val="Andere"/>
              </w:rPr>
              <w:t>is</w:t>
            </w:r>
            <w:r w:rsidR="00577BC4" w:rsidRPr="0021019B">
              <w:rPr>
                <w:rStyle w:val="Andere"/>
              </w:rPr>
              <w:t xml:space="preserve"> </w:t>
            </w:r>
            <w:r w:rsidRPr="0021019B">
              <w:rPr>
                <w:rStyle w:val="Andere"/>
              </w:rPr>
              <w:t>added</w:t>
            </w:r>
            <w:r w:rsidR="00577BC4" w:rsidRPr="0021019B">
              <w:rPr>
                <w:rStyle w:val="Andere"/>
              </w:rPr>
              <w:t xml:space="preserve"> </w:t>
            </w:r>
            <w:r w:rsidRPr="0021019B">
              <w:rPr>
                <w:rStyle w:val="Andere"/>
              </w:rPr>
              <w:t>at</w:t>
            </w:r>
            <w:r w:rsidR="00577BC4" w:rsidRPr="0021019B">
              <w:rPr>
                <w:rStyle w:val="Andere"/>
              </w:rPr>
              <w:t xml:space="preserve"> </w:t>
            </w:r>
            <w:r w:rsidRPr="0021019B">
              <w:rPr>
                <w:rStyle w:val="Andere"/>
              </w:rPr>
              <w:t>the</w:t>
            </w:r>
            <w:r w:rsidR="00577BC4" w:rsidRPr="0021019B">
              <w:rPr>
                <w:rStyle w:val="Andere"/>
              </w:rPr>
              <w:t xml:space="preserve"> </w:t>
            </w:r>
            <w:r w:rsidRPr="0021019B">
              <w:rPr>
                <w:rStyle w:val="Andere"/>
              </w:rPr>
              <w:t>end</w:t>
            </w:r>
            <w:r w:rsidR="00577BC4" w:rsidRPr="0021019B">
              <w:rPr>
                <w:rStyle w:val="Andere"/>
              </w:rPr>
              <w:t xml:space="preserve"> </w:t>
            </w:r>
            <w:r w:rsidRPr="0021019B">
              <w:rPr>
                <w:rStyle w:val="Andere"/>
              </w:rPr>
              <w:t>if</w:t>
            </w:r>
            <w:r w:rsidR="00577BC4" w:rsidRPr="0021019B">
              <w:rPr>
                <w:rStyle w:val="Andere"/>
              </w:rPr>
              <w:t xml:space="preserve"> </w:t>
            </w:r>
            <w:r w:rsidRPr="0021019B">
              <w:rPr>
                <w:rStyle w:val="Andere"/>
              </w:rPr>
              <w:t>this</w:t>
            </w:r>
            <w:r w:rsidR="00577BC4" w:rsidRPr="0021019B">
              <w:rPr>
                <w:rStyle w:val="Andere"/>
              </w:rPr>
              <w:t xml:space="preserve"> </w:t>
            </w:r>
            <w:r w:rsidRPr="0021019B">
              <w:rPr>
                <w:rStyle w:val="Andere"/>
              </w:rPr>
              <w:t>was</w:t>
            </w:r>
            <w:r w:rsidR="00577BC4" w:rsidRPr="0021019B">
              <w:rPr>
                <w:rStyle w:val="Andere"/>
              </w:rPr>
              <w:t xml:space="preserve"> </w:t>
            </w:r>
            <w:r w:rsidRPr="0021019B">
              <w:rPr>
                <w:rStyle w:val="Andere"/>
              </w:rPr>
              <w:t>the</w:t>
            </w:r>
            <w:r w:rsidR="00577BC4" w:rsidRPr="0021019B">
              <w:rPr>
                <w:rStyle w:val="Andere"/>
              </w:rPr>
              <w:t xml:space="preserve"> </w:t>
            </w:r>
            <w:r w:rsidRPr="0021019B">
              <w:rPr>
                <w:rStyle w:val="Andere"/>
              </w:rPr>
              <w:t>second</w:t>
            </w:r>
            <w:r w:rsidR="00577BC4" w:rsidRPr="0021019B">
              <w:rPr>
                <w:rStyle w:val="Andere"/>
              </w:rPr>
              <w:t xml:space="preserve"> </w:t>
            </w:r>
            <w:r w:rsidRPr="0021019B">
              <w:rPr>
                <w:rStyle w:val="Andere"/>
              </w:rPr>
              <w:t>election</w:t>
            </w:r>
            <w:r w:rsidR="00577BC4" w:rsidRPr="0021019B">
              <w:rPr>
                <w:rStyle w:val="Andere"/>
              </w:rPr>
              <w:t xml:space="preserve"> </w:t>
            </w:r>
            <w:r w:rsidRPr="0021019B">
              <w:rPr>
                <w:rStyle w:val="Andere"/>
              </w:rPr>
              <w:t>in</w:t>
            </w:r>
            <w:r w:rsidR="00577BC4" w:rsidRPr="0021019B">
              <w:rPr>
                <w:rStyle w:val="Andere"/>
              </w:rPr>
              <w:t xml:space="preserve"> </w:t>
            </w:r>
            <w:r w:rsidRPr="0021019B">
              <w:rPr>
                <w:rStyle w:val="Andere"/>
              </w:rPr>
              <w:t>the</w:t>
            </w:r>
            <w:r w:rsidR="00577BC4" w:rsidRPr="0021019B">
              <w:rPr>
                <w:rStyle w:val="Andere"/>
              </w:rPr>
              <w:t xml:space="preserve"> </w:t>
            </w:r>
            <w:r w:rsidRPr="0021019B">
              <w:rPr>
                <w:rStyle w:val="Andere"/>
              </w:rPr>
              <w:t>country</w:t>
            </w:r>
            <w:r w:rsidR="00577BC4" w:rsidRPr="0021019B">
              <w:rPr>
                <w:rStyle w:val="Andere"/>
              </w:rPr>
              <w:t xml:space="preserve"> </w:t>
            </w:r>
            <w:r w:rsidRPr="0021019B">
              <w:rPr>
                <w:rStyle w:val="Andere"/>
              </w:rPr>
              <w:t>that</w:t>
            </w:r>
            <w:r w:rsidR="00577BC4" w:rsidRPr="0021019B">
              <w:rPr>
                <w:rStyle w:val="Andere"/>
              </w:rPr>
              <w:t xml:space="preserve"> </w:t>
            </w:r>
            <w:r w:rsidRPr="0021019B">
              <w:rPr>
                <w:rStyle w:val="Andere"/>
              </w:rPr>
              <w:t>year</w:t>
            </w:r>
            <w:r w:rsidR="008A5C58" w:rsidRPr="0021019B">
              <w:rPr>
                <w:rStyle w:val="Andere"/>
              </w:rPr>
              <w:t>.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A9AED5" w14:textId="1A480E65" w:rsidR="00136EAB" w:rsidRPr="0021019B" w:rsidRDefault="00F31C3C" w:rsidP="00906B79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r w:rsidRPr="0021019B">
              <w:rPr>
                <w:rStyle w:val="Andere"/>
              </w:rPr>
              <w:t>YYYY</w:t>
            </w:r>
            <w:r w:rsidR="008A28D7" w:rsidRPr="0021019B">
              <w:rPr>
                <w:rStyle w:val="Andere"/>
              </w:rPr>
              <w:t xml:space="preserve"> (+b)</w:t>
            </w:r>
          </w:p>
        </w:tc>
      </w:tr>
      <w:tr w:rsidR="00136EAB" w:rsidRPr="00577BC4" w14:paraId="4E52D88B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9151F" w14:textId="77777777" w:rsidR="00136EAB" w:rsidRPr="00577BC4" w:rsidRDefault="00136EAB" w:rsidP="00906B79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  <w:t>decade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4C4484" w14:textId="7222B50C" w:rsidR="00136EAB" w:rsidRPr="00577BC4" w:rsidRDefault="00136EAB" w:rsidP="00B721CC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Style w:val="Andere"/>
              </w:rPr>
              <w:t>Decade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of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observation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FED5857" w14:textId="76DD929D" w:rsidR="00136EAB" w:rsidRPr="00577BC4" w:rsidRDefault="00136EAB" w:rsidP="00B721CC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Style w:val="Andere"/>
              </w:rPr>
              <w:t>Calendar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decade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of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the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observation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62DA05" w14:textId="7CB69844" w:rsidR="00136EAB" w:rsidRPr="00577BC4" w:rsidRDefault="00F31C3C" w:rsidP="00906B79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Style w:val="Andere"/>
              </w:rPr>
              <w:t>YYY</w:t>
            </w:r>
            <w:r w:rsidR="00685BEF">
              <w:rPr>
                <w:rStyle w:val="Andere"/>
              </w:rPr>
              <w:t>Y</w:t>
            </w:r>
          </w:p>
        </w:tc>
      </w:tr>
      <w:tr w:rsidR="00136EAB" w:rsidRPr="00577BC4" w14:paraId="6676D384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A2775" w14:textId="77777777" w:rsidR="00136EAB" w:rsidRPr="00577BC4" w:rsidRDefault="00136EAB" w:rsidP="00906B79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577BC4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  <w:t>parl_date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6D8A0F9" w14:textId="3276C7FA" w:rsidR="00136EAB" w:rsidRPr="00577BC4" w:rsidRDefault="00F31C3C" w:rsidP="00B721CC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Style w:val="Andere"/>
              </w:rPr>
              <w:t>Date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of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parliamentary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election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FA458C1" w14:textId="5C06DE65" w:rsidR="00136EAB" w:rsidRPr="00577BC4" w:rsidRDefault="00F31C3C" w:rsidP="00B721CC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Style w:val="Andere"/>
              </w:rPr>
              <w:t>Date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of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parliamentary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election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EDDE52" w14:textId="77777777" w:rsidR="00136EAB" w:rsidRPr="00577BC4" w:rsidRDefault="00F31C3C" w:rsidP="00906B79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Style w:val="Andere"/>
              </w:rPr>
              <w:t>YYYY-MM-DD</w:t>
            </w:r>
          </w:p>
        </w:tc>
      </w:tr>
      <w:tr w:rsidR="008D1080" w:rsidRPr="00577BC4" w14:paraId="24D8A478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D6616" w14:textId="7DAF996D" w:rsidR="008D1080" w:rsidRPr="00577BC4" w:rsidRDefault="00685BEF" w:rsidP="008D1080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114631">
              <w:rPr>
                <w:rStyle w:val="Andere"/>
              </w:rPr>
              <w:t>year_manifesto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C6252D9" w14:textId="23BD229D" w:rsidR="008D1080" w:rsidRPr="00577BC4" w:rsidRDefault="008D1080" w:rsidP="00B721C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Year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of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the</w:t>
            </w:r>
            <w:r w:rsidR="00577BC4" w:rsidRPr="00577BC4">
              <w:rPr>
                <w:rStyle w:val="Andere"/>
              </w:rPr>
              <w:t xml:space="preserve"> </w:t>
            </w:r>
            <w:r w:rsidR="00FC0D16">
              <w:rPr>
                <w:rStyle w:val="Andere"/>
              </w:rPr>
              <w:t>Manifesto Project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3114E96" w14:textId="044C38C1" w:rsidR="008D1080" w:rsidRPr="00577BC4" w:rsidRDefault="008D1080" w:rsidP="00B721C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Calendar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year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manifesto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data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assigned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to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respective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party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observation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for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available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parties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FC0D16">
              <w:rPr>
                <w:rStyle w:val="Andere"/>
                <w:lang w:val="en-GB"/>
              </w:rPr>
              <w:t>Manifesto Project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(Lehmann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al.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2023)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009ECB" w14:textId="77777777" w:rsidR="008D1080" w:rsidRPr="00577BC4" w:rsidRDefault="008D1080" w:rsidP="008D1080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YYYY</w:t>
            </w:r>
          </w:p>
        </w:tc>
      </w:tr>
      <w:tr w:rsidR="00136EAB" w:rsidRPr="00577BC4" w14:paraId="6FF622C2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A5774" w14:textId="77777777" w:rsidR="00136EAB" w:rsidRPr="00577BC4" w:rsidRDefault="00136EAB" w:rsidP="00906B79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577BC4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  <w:t>parl_number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169B809" w14:textId="0F2809A8" w:rsidR="00136EAB" w:rsidRPr="00577BC4" w:rsidRDefault="00F31C3C" w:rsidP="00B721CC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Style w:val="Andere"/>
              </w:rPr>
              <w:t>Parliamentary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number.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FC60245" w14:textId="219FEFD0" w:rsidR="00136EAB" w:rsidRPr="00577BC4" w:rsidRDefault="00F31C3C" w:rsidP="00B721CC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Style w:val="Andere"/>
              </w:rPr>
              <w:t>Count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number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of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the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parliamentary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election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51D21B" w14:textId="77777777" w:rsidR="00136EAB" w:rsidRPr="00577BC4" w:rsidRDefault="00F31C3C" w:rsidP="00906B79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Style w:val="Andere"/>
              </w:rPr>
              <w:t>number</w:t>
            </w:r>
          </w:p>
        </w:tc>
      </w:tr>
      <w:tr w:rsidR="00136EAB" w:rsidRPr="00577BC4" w14:paraId="39FBA62F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05B38" w14:textId="77777777" w:rsidR="00136EAB" w:rsidRPr="00577BC4" w:rsidRDefault="00F31C3C" w:rsidP="00906B79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r w:rsidRPr="00B25A17">
              <w:rPr>
                <w:rStyle w:val="Andere"/>
              </w:rPr>
              <w:t>party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2D85F2B" w14:textId="47CD7EED" w:rsidR="00136EAB" w:rsidRPr="00577BC4" w:rsidRDefault="00F31C3C" w:rsidP="00B721CC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Style w:val="Andere"/>
              </w:rPr>
              <w:t>Party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name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1C7B6B6" w14:textId="34B050DF" w:rsidR="00136EAB" w:rsidRPr="00577BC4" w:rsidRDefault="00F31C3C" w:rsidP="00B721CC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Style w:val="Andere"/>
              </w:rPr>
              <w:t>Party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name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without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whitespaces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and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first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letter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of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each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word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is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capitalized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B91F89" w14:textId="11DDE905" w:rsidR="00136EAB" w:rsidRPr="00577BC4" w:rsidRDefault="00F31C3C" w:rsidP="00906B79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Style w:val="Andere"/>
              </w:rPr>
              <w:t>capitalized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string</w:t>
            </w:r>
          </w:p>
        </w:tc>
      </w:tr>
      <w:tr w:rsidR="00136EAB" w:rsidRPr="00577BC4" w14:paraId="46A16676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323A2" w14:textId="77777777" w:rsidR="00136EAB" w:rsidRPr="00577BC4" w:rsidRDefault="00F31C3C" w:rsidP="00906B79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577BC4">
              <w:rPr>
                <w:rStyle w:val="Andere"/>
              </w:rPr>
              <w:t>p_abbrev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D1AA711" w14:textId="1FE956F5" w:rsidR="00136EAB" w:rsidRPr="00577BC4" w:rsidRDefault="00F31C3C" w:rsidP="00B721CC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Style w:val="Andere"/>
              </w:rPr>
              <w:t>Party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abbreviation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287E6E8" w14:textId="7FAE8E17" w:rsidR="00136EAB" w:rsidRPr="00577BC4" w:rsidRDefault="00F31C3C" w:rsidP="00B721CC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Style w:val="Andere"/>
              </w:rPr>
              <w:t>Abbreviation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of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the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party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B220CE" w14:textId="7155AE6B" w:rsidR="00136EAB" w:rsidRPr="00577BC4" w:rsidRDefault="00F31C3C" w:rsidP="00906B79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Style w:val="Andere"/>
              </w:rPr>
              <w:t>capitalized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string</w:t>
            </w:r>
          </w:p>
        </w:tc>
      </w:tr>
      <w:tr w:rsidR="00136EAB" w:rsidRPr="00577BC4" w14:paraId="79F02FF2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49EB9" w14:textId="77777777" w:rsidR="00136EAB" w:rsidRPr="00577BC4" w:rsidRDefault="00F31C3C" w:rsidP="00906B79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577BC4">
              <w:rPr>
                <w:rStyle w:val="Andere"/>
              </w:rPr>
              <w:t>party_id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5AA0197" w14:textId="52463DE4" w:rsidR="00136EAB" w:rsidRPr="00577BC4" w:rsidRDefault="00F31C3C" w:rsidP="00B721CC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Style w:val="Andere"/>
              </w:rPr>
              <w:t>Party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ID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60BC449" w14:textId="2B4B5B59" w:rsidR="00136EAB" w:rsidRPr="00577BC4" w:rsidRDefault="00F31C3C" w:rsidP="00B721CC">
            <w:pPr>
              <w:pStyle w:val="Andere0"/>
              <w:rPr>
                <w:rFonts w:eastAsia="Times New Roman" w:cs="Calibri"/>
                <w:color w:val="000000"/>
                <w:lang w:val="en-GB" w:eastAsia="de-DE"/>
              </w:rPr>
            </w:pPr>
            <w:r w:rsidRPr="00577BC4">
              <w:rPr>
                <w:rStyle w:val="Andere"/>
                <w:lang w:val="en-GB"/>
              </w:rPr>
              <w:t>Identification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number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party.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Composed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by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variables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'</w:t>
            </w:r>
            <w:proofErr w:type="spellStart"/>
            <w:r w:rsidRPr="00577BC4">
              <w:rPr>
                <w:rStyle w:val="Andere"/>
                <w:lang w:val="en-GB"/>
              </w:rPr>
              <w:t>country_id</w:t>
            </w:r>
            <w:proofErr w:type="spellEnd"/>
            <w:r w:rsidRPr="00577BC4">
              <w:rPr>
                <w:rStyle w:val="Andere"/>
                <w:lang w:val="en-GB"/>
              </w:rPr>
              <w:t>',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'</w:t>
            </w:r>
            <w:proofErr w:type="spellStart"/>
            <w:r w:rsidRPr="00577BC4">
              <w:rPr>
                <w:rStyle w:val="Andere"/>
                <w:lang w:val="en-GB"/>
              </w:rPr>
              <w:t>parfam</w:t>
            </w:r>
            <w:proofErr w:type="spellEnd"/>
            <w:r w:rsidRPr="00577BC4">
              <w:rPr>
                <w:rStyle w:val="Andere"/>
                <w:lang w:val="en-GB"/>
              </w:rPr>
              <w:t>'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and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count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number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parties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within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country.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Unique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for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each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party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across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time.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Family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party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inspired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by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FC0D16">
              <w:rPr>
                <w:rStyle w:val="Andere"/>
                <w:lang w:val="en-GB"/>
              </w:rPr>
              <w:t>Manifesto Project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labels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and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coded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by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project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team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with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qualitative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information.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some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cases,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we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depart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from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FC0D16">
              <w:rPr>
                <w:rStyle w:val="Andere"/>
                <w:lang w:val="en-GB"/>
              </w:rPr>
              <w:t>Manifesto Project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assignment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(see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notes).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C761AD5" w14:textId="6210F5D7" w:rsidR="00136EAB" w:rsidRPr="00577BC4" w:rsidRDefault="00F31C3C" w:rsidP="00906B79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577BC4">
              <w:rPr>
                <w:rStyle w:val="Andere"/>
              </w:rPr>
              <w:t>country_id</w:t>
            </w:r>
            <w:proofErr w:type="spellEnd"/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+</w:t>
            </w:r>
            <w:r w:rsidR="00577BC4" w:rsidRPr="00577BC4">
              <w:rPr>
                <w:rStyle w:val="Andere"/>
              </w:rPr>
              <w:t xml:space="preserve"> </w:t>
            </w:r>
            <w:proofErr w:type="spellStart"/>
            <w:r w:rsidRPr="00577BC4">
              <w:rPr>
                <w:rStyle w:val="Andere"/>
              </w:rPr>
              <w:t>parfam</w:t>
            </w:r>
            <w:proofErr w:type="spellEnd"/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+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two-digit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code</w:t>
            </w:r>
          </w:p>
        </w:tc>
      </w:tr>
      <w:tr w:rsidR="00F31C3C" w:rsidRPr="00577BC4" w14:paraId="7DE92A1F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C5D90" w14:textId="77777777" w:rsidR="00F31C3C" w:rsidRPr="00577BC4" w:rsidRDefault="00F31C3C" w:rsidP="00906B79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parfam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E4E2085" w14:textId="7A89BC9C" w:rsidR="00F31C3C" w:rsidRPr="00577BC4" w:rsidRDefault="00F31C3C" w:rsidP="00B721C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Party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family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6428BE5" w14:textId="59D44664" w:rsidR="00F31C3C" w:rsidRPr="00577BC4" w:rsidRDefault="00F31C3C" w:rsidP="00B721CC">
            <w:pPr>
              <w:pStyle w:val="Andere0"/>
              <w:tabs>
                <w:tab w:val="left" w:pos="2549"/>
                <w:tab w:val="left" w:pos="8928"/>
                <w:tab w:val="left" w:pos="11765"/>
              </w:tabs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Family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party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inspired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by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FC0D16">
              <w:rPr>
                <w:rStyle w:val="Andere"/>
                <w:lang w:val="en-GB"/>
              </w:rPr>
              <w:t>Manifesto Project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labels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and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coded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by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project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team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with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qualitative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information.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some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cases,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we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depart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from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FC0D16">
              <w:rPr>
                <w:rStyle w:val="Andere"/>
                <w:lang w:val="en-GB"/>
              </w:rPr>
              <w:t>Manifesto Project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assignment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(see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notes).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10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(ECO,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ecological)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20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(COM,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communist)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30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(SOC,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social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democratic)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40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(LIB,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liberal)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50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(CHR,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Christian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democratic),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60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(CON,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conservative)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70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(NAT,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nationalist)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80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(AGR,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agrarian)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90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(ETH,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ethnic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and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regional)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95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(SIP,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special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issue)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98/00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(DIV,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electoral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alliances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diverse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origin,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no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dominant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party),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99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Independent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candidate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list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(category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added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by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authors)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01FDBA85" w14:textId="6BE1F9D6" w:rsidR="00F31C3C" w:rsidRPr="00577BC4" w:rsidRDefault="00F31C3C" w:rsidP="00906B79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Style w:val="Andere"/>
              </w:rPr>
              <w:t>two-</w:t>
            </w:r>
            <w:r w:rsidR="009935ED" w:rsidRPr="00577BC4">
              <w:rPr>
                <w:rStyle w:val="Andere"/>
              </w:rPr>
              <w:t>digit code</w:t>
            </w:r>
          </w:p>
        </w:tc>
      </w:tr>
      <w:tr w:rsidR="00F31C3C" w:rsidRPr="00577BC4" w14:paraId="5686DD25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1F51A" w14:textId="77777777" w:rsidR="00F31C3C" w:rsidRPr="00577BC4" w:rsidRDefault="00F31C3C" w:rsidP="00906B79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p_id_cmp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724D15E" w14:textId="37FFAC3F" w:rsidR="00F31C3C" w:rsidRPr="00577BC4" w:rsidRDefault="00F31C3C" w:rsidP="00B721C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Party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ID</w:t>
            </w:r>
            <w:r w:rsidR="00577BC4" w:rsidRPr="00577BC4">
              <w:rPr>
                <w:rStyle w:val="Andere"/>
              </w:rPr>
              <w:t xml:space="preserve"> </w:t>
            </w:r>
            <w:r w:rsidR="008A28D7">
              <w:rPr>
                <w:rStyle w:val="Andere"/>
              </w:rPr>
              <w:t>in</w:t>
            </w:r>
            <w:r w:rsidR="00577BC4" w:rsidRPr="00577BC4">
              <w:rPr>
                <w:rStyle w:val="Andere"/>
              </w:rPr>
              <w:t xml:space="preserve"> </w:t>
            </w:r>
            <w:r w:rsidR="00FC0D16">
              <w:rPr>
                <w:rStyle w:val="Andere"/>
              </w:rPr>
              <w:t>Manifesto Project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A80E4C9" w14:textId="5595A16A" w:rsidR="00F31C3C" w:rsidRPr="00577BC4" w:rsidRDefault="00F31C3C" w:rsidP="00B721C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Identification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number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party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by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FC0D16">
              <w:rPr>
                <w:rStyle w:val="Andere"/>
                <w:lang w:val="en-GB"/>
              </w:rPr>
              <w:t>Manifesto Project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(Lehmann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al.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2023).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D59A23" w14:textId="0057D10C" w:rsidR="00F31C3C" w:rsidRPr="00577BC4" w:rsidRDefault="00F31C3C" w:rsidP="00906B79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Style w:val="Andere"/>
              </w:rPr>
              <w:t>five-digit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code</w:t>
            </w:r>
          </w:p>
        </w:tc>
      </w:tr>
      <w:tr w:rsidR="0088787B" w:rsidRPr="00577BC4" w14:paraId="7C92A129" w14:textId="77777777" w:rsidTr="00410994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EC9A2" w14:textId="5ED9B4D4" w:rsidR="0088787B" w:rsidRPr="00577BC4" w:rsidRDefault="005113EB" w:rsidP="00906B79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>
              <w:rPr>
                <w:rStyle w:val="Andere"/>
              </w:rPr>
              <w:t>p_id_ches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3EA02A1" w14:textId="208DD3C7" w:rsidR="0088787B" w:rsidRPr="00577BC4" w:rsidRDefault="0088787B" w:rsidP="00B721C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CHES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ID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3738580" w14:textId="291CE6E5" w:rsidR="0088787B" w:rsidRPr="00577BC4" w:rsidRDefault="0088787B" w:rsidP="00B721C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Identification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8D1080" w:rsidRPr="00577BC4">
              <w:rPr>
                <w:rStyle w:val="Andere"/>
                <w:lang w:val="en-GB"/>
              </w:rPr>
              <w:t>number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from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Chapel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Hill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Expert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proofErr w:type="spellStart"/>
            <w:r w:rsidRPr="00577BC4">
              <w:rPr>
                <w:rStyle w:val="Andere"/>
                <w:lang w:val="en-GB"/>
              </w:rPr>
              <w:t>Survex</w:t>
            </w:r>
            <w:proofErr w:type="spellEnd"/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(Jolly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al.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2022)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D53D04" w14:textId="191423EC" w:rsidR="0088787B" w:rsidRPr="00577BC4" w:rsidRDefault="0088787B" w:rsidP="00906B79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five-digit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code</w:t>
            </w:r>
          </w:p>
        </w:tc>
      </w:tr>
      <w:tr w:rsidR="00F87093" w:rsidRPr="00577BC4" w14:paraId="0720C761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D9284" w14:textId="1A66DB02" w:rsidR="00F87093" w:rsidRPr="00577BC4" w:rsidRDefault="00114631" w:rsidP="008D1080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>
              <w:rPr>
                <w:rStyle w:val="Andere"/>
              </w:rPr>
              <w:t>r</w:t>
            </w:r>
            <w:r w:rsidR="00F87093" w:rsidRPr="00577BC4">
              <w:rPr>
                <w:rStyle w:val="Andere"/>
              </w:rPr>
              <w:t>ai</w:t>
            </w:r>
            <w:r>
              <w:rPr>
                <w:rStyle w:val="Andere"/>
              </w:rPr>
              <w:t>_</w:t>
            </w:r>
            <w:r w:rsidR="00F87093" w:rsidRPr="00577BC4">
              <w:rPr>
                <w:rStyle w:val="Andere"/>
              </w:rPr>
              <w:t>region</w:t>
            </w:r>
            <w:r>
              <w:rPr>
                <w:rStyle w:val="Andere"/>
              </w:rPr>
              <w:t>_</w:t>
            </w:r>
            <w:r w:rsidR="00F87093" w:rsidRPr="00577BC4">
              <w:rPr>
                <w:rStyle w:val="Andere"/>
              </w:rPr>
              <w:t>id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52A85BA" w14:textId="7C516D44" w:rsidR="00F87093" w:rsidRPr="00577BC4" w:rsidRDefault="00F87093" w:rsidP="00B721C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RAI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region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ID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-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2020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B591E1D" w14:textId="54D2A818" w:rsidR="00F87093" w:rsidRPr="00577BC4" w:rsidRDefault="00F87093" w:rsidP="00B721C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Region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identifier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according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to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Regional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Authority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Index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v3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</w:t>
            </w:r>
            <w:proofErr w:type="spellStart"/>
            <w:r w:rsidRPr="00577BC4">
              <w:rPr>
                <w:rStyle w:val="Andere"/>
                <w:lang w:val="en-GB"/>
              </w:rPr>
              <w:t>Shair</w:t>
            </w:r>
            <w:proofErr w:type="spellEnd"/>
            <w:r w:rsidRPr="00577BC4">
              <w:rPr>
                <w:rStyle w:val="Andere"/>
                <w:lang w:val="en-GB"/>
              </w:rPr>
              <w:t>-Rosenfield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al.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2020;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proofErr w:type="spellStart"/>
            <w:r w:rsidRPr="00577BC4">
              <w:rPr>
                <w:rStyle w:val="Andere"/>
                <w:lang w:val="en-GB"/>
              </w:rPr>
              <w:t>Hooghe</w:t>
            </w:r>
            <w:proofErr w:type="spellEnd"/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al.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2016)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4E52DF5" w14:textId="56574557" w:rsidR="00F87093" w:rsidRPr="00577BC4" w:rsidRDefault="000260D6" w:rsidP="008D1080">
            <w:pPr>
              <w:spacing w:after="0" w:line="240" w:lineRule="auto"/>
              <w:rPr>
                <w:rStyle w:val="Andere"/>
              </w:rPr>
            </w:pPr>
            <w:r>
              <w:rPr>
                <w:rStyle w:val="Andere"/>
              </w:rPr>
              <w:t>n</w:t>
            </w:r>
            <w:r w:rsidR="00F87093" w:rsidRPr="00577BC4">
              <w:rPr>
                <w:rStyle w:val="Andere"/>
              </w:rPr>
              <w:t>umber</w:t>
            </w:r>
          </w:p>
        </w:tc>
      </w:tr>
      <w:tr w:rsidR="00F87093" w:rsidRPr="00577BC4" w14:paraId="0FF8174B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D90A2" w14:textId="77777777" w:rsidR="00F87093" w:rsidRPr="00577BC4" w:rsidRDefault="00F87093" w:rsidP="008D1080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cowcode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4F259C3" w14:textId="0B959F9C" w:rsidR="00F87093" w:rsidRPr="00577BC4" w:rsidRDefault="00F87093" w:rsidP="00B721C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Country-level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Correlates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of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War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codes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06A6F8C" w14:textId="72A2F240" w:rsidR="00F87093" w:rsidRPr="00577BC4" w:rsidRDefault="00F87093" w:rsidP="00B721C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level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Correlates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War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codes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(http://www.correlatesofwar.org)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according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to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Regional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Authority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</w:p>
          <w:p w14:paraId="2E46224E" w14:textId="308796CF" w:rsidR="00F87093" w:rsidRPr="00577BC4" w:rsidRDefault="00F87093" w:rsidP="00B721CC">
            <w:pPr>
              <w:pStyle w:val="Andere0"/>
              <w:rPr>
                <w:rStyle w:val="Andere"/>
                <w:lang w:val="en-GB"/>
              </w:rPr>
            </w:pPr>
            <w:proofErr w:type="spellStart"/>
            <w:r w:rsidRPr="00577BC4">
              <w:rPr>
                <w:rStyle w:val="Andere"/>
                <w:lang w:val="en-GB"/>
              </w:rPr>
              <w:t>dex</w:t>
            </w:r>
            <w:proofErr w:type="spellEnd"/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v3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</w:t>
            </w:r>
            <w:proofErr w:type="spellStart"/>
            <w:r w:rsidRPr="00577BC4">
              <w:rPr>
                <w:rStyle w:val="Andere"/>
                <w:lang w:val="en-GB"/>
              </w:rPr>
              <w:t>Shair</w:t>
            </w:r>
            <w:proofErr w:type="spellEnd"/>
            <w:r w:rsidRPr="00577BC4">
              <w:rPr>
                <w:rStyle w:val="Andere"/>
                <w:lang w:val="en-GB"/>
              </w:rPr>
              <w:t>-Rosenfield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al.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2020;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proofErr w:type="spellStart"/>
            <w:r w:rsidRPr="00577BC4">
              <w:rPr>
                <w:rStyle w:val="Andere"/>
                <w:lang w:val="en-GB"/>
              </w:rPr>
              <w:t>Hooghe</w:t>
            </w:r>
            <w:proofErr w:type="spellEnd"/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al.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2016)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9ED903" w14:textId="77777777" w:rsidR="00F87093" w:rsidRPr="00577BC4" w:rsidRDefault="00F87093" w:rsidP="008D1080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code</w:t>
            </w:r>
          </w:p>
        </w:tc>
      </w:tr>
      <w:tr w:rsidR="00F87093" w:rsidRPr="00577BC4" w14:paraId="340909A1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24B7F" w14:textId="77777777" w:rsidR="00F87093" w:rsidRPr="00577BC4" w:rsidRDefault="00F87093" w:rsidP="008D1080">
            <w:pPr>
              <w:spacing w:after="0" w:line="240" w:lineRule="auto"/>
              <w:jc w:val="right"/>
              <w:rPr>
                <w:rStyle w:val="Andere"/>
              </w:rPr>
            </w:pPr>
            <w:r w:rsidRPr="00577BC4">
              <w:rPr>
                <w:rStyle w:val="Andere"/>
              </w:rPr>
              <w:t>iso3166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C372A44" w14:textId="7DB8D57B" w:rsidR="00F87093" w:rsidRPr="00577BC4" w:rsidRDefault="00F87093" w:rsidP="00B721C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Country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ISO3166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code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B5D5875" w14:textId="5CB140DD" w:rsidR="00F87093" w:rsidRPr="00577BC4" w:rsidRDefault="00F87093" w:rsidP="00B721C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code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International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Organization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for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Standardization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(ISO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3166-1)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according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to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Regional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Authority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Index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v3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</w:t>
            </w:r>
            <w:proofErr w:type="spellStart"/>
            <w:r w:rsidRPr="00577BC4">
              <w:rPr>
                <w:rStyle w:val="Andere"/>
                <w:lang w:val="en-GB"/>
              </w:rPr>
              <w:t>Shair</w:t>
            </w:r>
            <w:proofErr w:type="spellEnd"/>
            <w:r w:rsidRPr="00577BC4">
              <w:rPr>
                <w:rStyle w:val="Andere"/>
                <w:lang w:val="en-GB"/>
              </w:rPr>
              <w:t>-Rosenfield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al.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2020;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proofErr w:type="spellStart"/>
            <w:r w:rsidRPr="00577BC4">
              <w:rPr>
                <w:rStyle w:val="Andere"/>
                <w:lang w:val="en-GB"/>
              </w:rPr>
              <w:t>Hooghe</w:t>
            </w:r>
            <w:proofErr w:type="spellEnd"/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al.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2016)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174D9B" w14:textId="77777777" w:rsidR="00F87093" w:rsidRPr="00577BC4" w:rsidRDefault="00F87093" w:rsidP="008D1080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code</w:t>
            </w:r>
          </w:p>
        </w:tc>
      </w:tr>
      <w:tr w:rsidR="00F87093" w:rsidRPr="00577BC4" w14:paraId="7A72C094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3228E" w14:textId="411EE325" w:rsidR="00F87093" w:rsidRPr="00577BC4" w:rsidRDefault="00114631" w:rsidP="008D1080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>
              <w:rPr>
                <w:rStyle w:val="Andere"/>
              </w:rPr>
              <w:t>rai_</w:t>
            </w:r>
            <w:r w:rsidR="00F87093" w:rsidRPr="00577BC4">
              <w:rPr>
                <w:rStyle w:val="Andere"/>
              </w:rPr>
              <w:t>country</w:t>
            </w:r>
            <w:r>
              <w:rPr>
                <w:rStyle w:val="Andere"/>
              </w:rPr>
              <w:t>_</w:t>
            </w:r>
            <w:r w:rsidR="00F87093" w:rsidRPr="00577BC4">
              <w:rPr>
                <w:rStyle w:val="Andere"/>
              </w:rPr>
              <w:t>id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E117CDA" w14:textId="5E8F5472" w:rsidR="00F87093" w:rsidRPr="00577BC4" w:rsidRDefault="00F87093" w:rsidP="00B721C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RAI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country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ID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FEF73CF" w14:textId="17124AEF" w:rsidR="00F87093" w:rsidRPr="00577BC4" w:rsidRDefault="00F87093" w:rsidP="00B721C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identifier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according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to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Regional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Authority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Index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v3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</w:t>
            </w:r>
            <w:proofErr w:type="spellStart"/>
            <w:r w:rsidRPr="00577BC4">
              <w:rPr>
                <w:rStyle w:val="Andere"/>
                <w:lang w:val="en-GB"/>
              </w:rPr>
              <w:t>Shair</w:t>
            </w:r>
            <w:proofErr w:type="spellEnd"/>
            <w:r w:rsidRPr="00577BC4">
              <w:rPr>
                <w:rStyle w:val="Andere"/>
                <w:lang w:val="en-GB"/>
              </w:rPr>
              <w:t>-Rosenfield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al.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2020;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proofErr w:type="spellStart"/>
            <w:r w:rsidRPr="00577BC4">
              <w:rPr>
                <w:rStyle w:val="Andere"/>
                <w:lang w:val="en-GB"/>
              </w:rPr>
              <w:t>Hooghe</w:t>
            </w:r>
            <w:proofErr w:type="spellEnd"/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al.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2016)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03ACA61" w14:textId="0DF15B14" w:rsidR="00F87093" w:rsidRPr="00577BC4" w:rsidRDefault="00F87093" w:rsidP="008D1080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two-digit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code</w:t>
            </w:r>
          </w:p>
        </w:tc>
      </w:tr>
      <w:tr w:rsidR="007428AC" w:rsidRPr="007428AC" w14:paraId="53B5C3B9" w14:textId="77777777" w:rsidTr="00445D0F">
        <w:trPr>
          <w:trHeight w:val="20"/>
        </w:trPr>
        <w:tc>
          <w:tcPr>
            <w:tcW w:w="143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9A116" w14:textId="77777777" w:rsidR="007428AC" w:rsidRPr="007428AC" w:rsidRDefault="007428AC" w:rsidP="00445D0F">
            <w:pPr>
              <w:spacing w:after="0" w:line="240" w:lineRule="auto"/>
              <w:jc w:val="right"/>
              <w:rPr>
                <w:rStyle w:val="Andere"/>
                <w:i/>
              </w:rPr>
            </w:pPr>
            <w:r w:rsidRPr="007428AC">
              <w:rPr>
                <w:rStyle w:val="Andere"/>
                <w:i/>
              </w:rPr>
              <w:t>table continued on following page</w:t>
            </w:r>
          </w:p>
        </w:tc>
      </w:tr>
    </w:tbl>
    <w:p w14:paraId="1F52E9B3" w14:textId="77777777" w:rsidR="002071B2" w:rsidRDefault="002071B2">
      <w:r w:rsidRPr="00577BC4">
        <w:br w:type="page"/>
      </w:r>
    </w:p>
    <w:tbl>
      <w:tblPr>
        <w:tblW w:w="1431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1701"/>
        <w:gridCol w:w="8222"/>
        <w:gridCol w:w="2126"/>
      </w:tblGrid>
      <w:tr w:rsidR="00B45D7C" w:rsidRPr="00577BC4" w14:paraId="5FE244F0" w14:textId="77777777" w:rsidTr="00B45D7C">
        <w:trPr>
          <w:trHeight w:val="442"/>
        </w:trPr>
        <w:tc>
          <w:tcPr>
            <w:tcW w:w="143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1E601DD" w14:textId="77777777" w:rsidR="00B45D7C" w:rsidRPr="00577BC4" w:rsidRDefault="00B45D7C" w:rsidP="00445D0F">
            <w:pPr>
              <w:spacing w:after="0" w:line="240" w:lineRule="auto"/>
              <w:jc w:val="center"/>
              <w:rPr>
                <w:rStyle w:val="Andere"/>
                <w:b/>
              </w:rPr>
            </w:pPr>
            <w:r w:rsidRPr="00577BC4">
              <w:rPr>
                <w:rStyle w:val="Andere"/>
                <w:b/>
              </w:rPr>
              <w:lastRenderedPageBreak/>
              <w:t>Partisan Information, Positions and Electoral Importance</w:t>
            </w:r>
          </w:p>
        </w:tc>
      </w:tr>
      <w:tr w:rsidR="00B45D7C" w:rsidRPr="00577BC4" w14:paraId="3DDFCFD7" w14:textId="77777777" w:rsidTr="00445D0F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nil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67B9A3C" w14:textId="77777777" w:rsidR="00B45D7C" w:rsidRPr="00577BC4" w:rsidRDefault="00B45D7C" w:rsidP="00445D0F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>Variable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D8AA9D" w14:textId="77777777" w:rsidR="00B45D7C" w:rsidRPr="00577BC4" w:rsidRDefault="00B45D7C" w:rsidP="00445D0F">
            <w:pPr>
              <w:spacing w:after="0" w:line="240" w:lineRule="auto"/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>Name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16396D" w14:textId="77777777" w:rsidR="00B45D7C" w:rsidRPr="00577BC4" w:rsidRDefault="00B45D7C" w:rsidP="00445D0F">
            <w:pPr>
              <w:spacing w:after="0" w:line="240" w:lineRule="auto"/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>Description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A5F61F" w14:textId="77777777" w:rsidR="00B45D7C" w:rsidRPr="00577BC4" w:rsidRDefault="00B45D7C" w:rsidP="00445D0F">
            <w:pPr>
              <w:spacing w:after="0" w:line="240" w:lineRule="auto"/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 xml:space="preserve">Data format </w:t>
            </w:r>
          </w:p>
        </w:tc>
      </w:tr>
      <w:tr w:rsidR="00B45D7C" w:rsidRPr="00577BC4" w14:paraId="5EF27BA2" w14:textId="77777777" w:rsidTr="00BD256F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53702" w14:textId="2B4F5AE6" w:rsidR="00B45D7C" w:rsidRPr="00BD256F" w:rsidRDefault="00B46AC0" w:rsidP="00445D0F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>
              <w:rPr>
                <w:rStyle w:val="Andere"/>
              </w:rPr>
              <w:t>l</w:t>
            </w:r>
            <w:r w:rsidR="00B45D7C" w:rsidRPr="00BD256F">
              <w:rPr>
                <w:rStyle w:val="Andere"/>
              </w:rPr>
              <w:t>eft</w:t>
            </w:r>
            <w:r w:rsidR="00735B88" w:rsidRPr="00BD256F">
              <w:rPr>
                <w:rStyle w:val="Andere"/>
              </w:rPr>
              <w:t>_</w:t>
            </w:r>
            <w:r w:rsidR="00B45D7C" w:rsidRPr="00BD256F">
              <w:rPr>
                <w:rStyle w:val="Andere"/>
              </w:rPr>
              <w:t>right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A8C21A3" w14:textId="77777777" w:rsidR="00B45D7C" w:rsidRPr="00BD256F" w:rsidRDefault="00B45D7C" w:rsidP="00445D0F">
            <w:pPr>
              <w:spacing w:after="0" w:line="240" w:lineRule="auto"/>
              <w:rPr>
                <w:rStyle w:val="Andere"/>
              </w:rPr>
            </w:pPr>
            <w:r w:rsidRPr="00BD256F">
              <w:rPr>
                <w:rStyle w:val="Andere"/>
              </w:rPr>
              <w:t>Left right position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CF36939" w14:textId="53DB7A6B" w:rsidR="00B45D7C" w:rsidRPr="00BD256F" w:rsidRDefault="00BD256F" w:rsidP="00445D0F">
            <w:pPr>
              <w:pStyle w:val="Andere0"/>
              <w:rPr>
                <w:rStyle w:val="Andere"/>
                <w:lang w:val="en-GB"/>
              </w:rPr>
            </w:pPr>
            <w:proofErr w:type="spellStart"/>
            <w:r>
              <w:rPr>
                <w:rStyle w:val="Andere"/>
                <w:lang w:val="en-GB"/>
              </w:rPr>
              <w:t>m</w:t>
            </w:r>
            <w:r w:rsidR="00B45D7C" w:rsidRPr="00BD256F">
              <w:rPr>
                <w:rStyle w:val="Andere"/>
                <w:lang w:val="en-GB"/>
              </w:rPr>
              <w:t>arket</w:t>
            </w:r>
            <w:r>
              <w:rPr>
                <w:rStyle w:val="Andere"/>
                <w:lang w:val="en-GB"/>
              </w:rPr>
              <w:t>_imp</w:t>
            </w:r>
            <w:proofErr w:type="spellEnd"/>
            <w:r w:rsidR="00B45D7C" w:rsidRPr="00BD256F">
              <w:rPr>
                <w:rStyle w:val="Andere"/>
                <w:lang w:val="en-GB"/>
              </w:rPr>
              <w:t xml:space="preserve"> + </w:t>
            </w:r>
            <w:proofErr w:type="spellStart"/>
            <w:r w:rsidR="00B45D7C" w:rsidRPr="00BD256F">
              <w:rPr>
                <w:rStyle w:val="Andere"/>
                <w:lang w:val="en-GB"/>
              </w:rPr>
              <w:t>cultur</w:t>
            </w:r>
            <w:r>
              <w:rPr>
                <w:rStyle w:val="Andere"/>
                <w:lang w:val="en-GB"/>
              </w:rPr>
              <w:t>al_im</w:t>
            </w:r>
            <w:proofErr w:type="spellEnd"/>
            <w:r w:rsidR="00B45D7C" w:rsidRPr="00BD256F">
              <w:rPr>
                <w:rStyle w:val="Andere"/>
                <w:lang w:val="en-GB"/>
              </w:rPr>
              <w:t xml:space="preserve"> </w:t>
            </w:r>
            <w:r>
              <w:rPr>
                <w:rStyle w:val="Andere"/>
                <w:lang w:val="en-GB"/>
              </w:rPr>
              <w:t>(</w:t>
            </w:r>
            <w:r w:rsidR="00B45D7C" w:rsidRPr="00BD256F">
              <w:rPr>
                <w:rStyle w:val="Andere"/>
                <w:lang w:val="en-GB"/>
              </w:rPr>
              <w:t>standardized to 0-1</w:t>
            </w:r>
            <w:r>
              <w:rPr>
                <w:rStyle w:val="Andere"/>
                <w:lang w:val="en-GB"/>
              </w:rPr>
              <w:t>)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185E9D" w14:textId="77777777" w:rsidR="00B45D7C" w:rsidRPr="00BD256F" w:rsidRDefault="00B45D7C" w:rsidP="00445D0F">
            <w:pPr>
              <w:spacing w:after="0" w:line="240" w:lineRule="auto"/>
              <w:rPr>
                <w:rStyle w:val="Andere"/>
              </w:rPr>
            </w:pPr>
            <w:r w:rsidRPr="00BD256F">
              <w:rPr>
                <w:rStyle w:val="Andere"/>
              </w:rPr>
              <w:t>0-1</w:t>
            </w:r>
          </w:p>
        </w:tc>
      </w:tr>
      <w:tr w:rsidR="00FB786F" w:rsidRPr="00577BC4" w14:paraId="72511321" w14:textId="77777777" w:rsidTr="00445D0F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E446F" w14:textId="5EB6A779" w:rsidR="00FB786F" w:rsidRPr="00577BC4" w:rsidRDefault="00FB786F" w:rsidP="00FB786F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rilestand_imp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C2420E0" w14:textId="2043C0E0" w:rsidR="00FB786F" w:rsidRPr="00577BC4" w:rsidRDefault="00FB786F" w:rsidP="00FB786F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RILE standardized with imputations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10E274F" w14:textId="624B04C6" w:rsidR="00FB786F" w:rsidRPr="00577BC4" w:rsidRDefault="00FB786F" w:rsidP="00FB786F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MARPOR (Lehmann et al. 2023) with imputed RILE standardized means by party family/decade for missing values; standardized from left (0) to right (1)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06FE28" w14:textId="730310FE" w:rsidR="00FB786F" w:rsidRPr="00577BC4" w:rsidRDefault="00FB786F" w:rsidP="00FB786F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0-1</w:t>
            </w:r>
          </w:p>
        </w:tc>
      </w:tr>
      <w:tr w:rsidR="00FB786F" w:rsidRPr="00577BC4" w14:paraId="6D9DB202" w14:textId="77777777" w:rsidTr="00BD256F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002B4" w14:textId="57AFE425" w:rsidR="00FB786F" w:rsidRPr="00577BC4" w:rsidRDefault="00FB786F" w:rsidP="00FB786F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market_imp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9846E4A" w14:textId="11D053A9" w:rsidR="00FB786F" w:rsidRPr="00577BC4" w:rsidRDefault="00FB786F" w:rsidP="00FB786F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Market liberalism position with imputations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887B785" w14:textId="0026234F" w:rsidR="00FB786F" w:rsidRPr="00577BC4" w:rsidRDefault="00FB786F" w:rsidP="00FB786F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 xml:space="preserve">Market liberalism party position values based on item-response models on manifesto data by </w:t>
            </w:r>
            <w:proofErr w:type="spellStart"/>
            <w:r w:rsidRPr="00577BC4">
              <w:rPr>
                <w:rStyle w:val="Andere"/>
                <w:lang w:val="en-GB"/>
              </w:rPr>
              <w:t>Röth</w:t>
            </w:r>
            <w:proofErr w:type="spellEnd"/>
            <w:r w:rsidRPr="00577BC4">
              <w:rPr>
                <w:rStyle w:val="Andere"/>
                <w:lang w:val="en-GB"/>
              </w:rPr>
              <w:t xml:space="preserve"> (2017) with imputed market liberalism means by party family/decade for missing values; standardized from state interventionist (0) to market liberal (1)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982A5B" w14:textId="522547EB" w:rsidR="00FB786F" w:rsidRPr="00577BC4" w:rsidRDefault="00FB786F" w:rsidP="00FB786F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0-1</w:t>
            </w:r>
          </w:p>
        </w:tc>
      </w:tr>
      <w:tr w:rsidR="00FB786F" w:rsidRPr="00577BC4" w14:paraId="61AE7231" w14:textId="77777777" w:rsidTr="00445D0F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A732C" w14:textId="7B44E161" w:rsidR="00FB786F" w:rsidRPr="00577BC4" w:rsidRDefault="00FB786F" w:rsidP="00FB786F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cultural_imp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2814590" w14:textId="1C873AC1" w:rsidR="00FB786F" w:rsidRPr="00577BC4" w:rsidRDefault="00FB786F" w:rsidP="00FB786F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Cultural position with imputations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4567256" w14:textId="0AE5C2FA" w:rsidR="00FB786F" w:rsidRPr="00577BC4" w:rsidRDefault="00FB786F" w:rsidP="00FB786F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 xml:space="preserve">Cultural party position values based on item-response models on manifesto data by </w:t>
            </w:r>
            <w:proofErr w:type="spellStart"/>
            <w:r w:rsidRPr="00577BC4">
              <w:rPr>
                <w:rStyle w:val="Andere"/>
                <w:lang w:val="en-GB"/>
              </w:rPr>
              <w:t>Röth</w:t>
            </w:r>
            <w:proofErr w:type="spellEnd"/>
            <w:r w:rsidRPr="00577BC4">
              <w:rPr>
                <w:rStyle w:val="Andere"/>
                <w:lang w:val="en-GB"/>
              </w:rPr>
              <w:t xml:space="preserve"> (2017) with imputed cultural means by party family/decade for missing values; standardized from cultural traditionalist (0) to cultural liberal (1)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36D42F5" w14:textId="2B75A186" w:rsidR="00FB786F" w:rsidRPr="00577BC4" w:rsidRDefault="00FB786F" w:rsidP="00FB786F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0-1</w:t>
            </w:r>
          </w:p>
        </w:tc>
      </w:tr>
      <w:tr w:rsidR="00FB786F" w:rsidRPr="00577BC4" w14:paraId="4C727A99" w14:textId="77777777" w:rsidTr="00445D0F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F34EF" w14:textId="5AC26E11" w:rsidR="00FB786F" w:rsidRPr="00577BC4" w:rsidRDefault="00FB786F" w:rsidP="00FB786F">
            <w:pPr>
              <w:spacing w:after="0" w:line="240" w:lineRule="auto"/>
              <w:jc w:val="right"/>
              <w:rPr>
                <w:rStyle w:val="Andere"/>
              </w:rPr>
            </w:pPr>
            <w:r w:rsidRPr="00577BC4">
              <w:rPr>
                <w:rStyle w:val="Andere"/>
              </w:rPr>
              <w:t>rile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1CEABBD" w14:textId="70055A97" w:rsidR="00FB786F" w:rsidRPr="00577BC4" w:rsidRDefault="00FB786F" w:rsidP="00FB786F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RILE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09F2F40" w14:textId="3E9587F6" w:rsidR="00FB786F" w:rsidRPr="00577BC4" w:rsidRDefault="00FB786F" w:rsidP="00FB786F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 xml:space="preserve">Left right party position values assigned by the </w:t>
            </w:r>
            <w:r w:rsidR="00FC0D16">
              <w:rPr>
                <w:rStyle w:val="Andere"/>
                <w:lang w:val="en-GB"/>
              </w:rPr>
              <w:t>Manifesto Project</w:t>
            </w:r>
            <w:r w:rsidRPr="00577BC4">
              <w:rPr>
                <w:rStyle w:val="Andere"/>
                <w:lang w:val="en-GB"/>
              </w:rPr>
              <w:t xml:space="preserve"> (Lehmann et al. 2023)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5E48FEF" w14:textId="4ABAE42B" w:rsidR="00FB786F" w:rsidRPr="00577BC4" w:rsidRDefault="00FB786F" w:rsidP="00FB786F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number</w:t>
            </w:r>
          </w:p>
        </w:tc>
      </w:tr>
      <w:tr w:rsidR="00FB786F" w:rsidRPr="00577BC4" w14:paraId="116AFF6A" w14:textId="77777777" w:rsidTr="00445D0F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A8C2A" w14:textId="7ED013B1" w:rsidR="00FB786F" w:rsidRPr="00577BC4" w:rsidRDefault="00FB786F" w:rsidP="00FB786F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rilestand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4B00F43" w14:textId="0F9077D9" w:rsidR="00FB786F" w:rsidRPr="00577BC4" w:rsidRDefault="00FB786F" w:rsidP="00FB786F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RILE standardized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1463551" w14:textId="34526DC4" w:rsidR="00FB786F" w:rsidRPr="00577BC4" w:rsidRDefault="00FB786F" w:rsidP="00FB786F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MARPOR (Lehmann et al. 2023); standardized from left (0) to right (1). RILE according to Laver and Budge (1992)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780BD6" w14:textId="5949B8F1" w:rsidR="00FB786F" w:rsidRPr="00577BC4" w:rsidRDefault="00FB786F" w:rsidP="00FB786F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0-1</w:t>
            </w:r>
          </w:p>
        </w:tc>
      </w:tr>
      <w:tr w:rsidR="00FB786F" w:rsidRPr="00577BC4" w14:paraId="430FFD57" w14:textId="77777777" w:rsidTr="00BD256F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FEFBE" w14:textId="7C48CCFD" w:rsidR="00FB786F" w:rsidRPr="00577BC4" w:rsidRDefault="00FB786F" w:rsidP="00FB786F">
            <w:pPr>
              <w:spacing w:after="0" w:line="240" w:lineRule="auto"/>
              <w:jc w:val="right"/>
              <w:rPr>
                <w:rStyle w:val="Andere"/>
              </w:rPr>
            </w:pPr>
            <w:r w:rsidRPr="00577BC4">
              <w:rPr>
                <w:rStyle w:val="Andere"/>
              </w:rPr>
              <w:t>market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FDD3C31" w14:textId="0FED0524" w:rsidR="00FB786F" w:rsidRPr="00577BC4" w:rsidRDefault="00FB786F" w:rsidP="00FB786F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Market liberalism position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55AFA6B" w14:textId="12EAFA0B" w:rsidR="00FB786F" w:rsidRPr="00577BC4" w:rsidRDefault="00FB786F" w:rsidP="00FB786F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 xml:space="preserve">Market liberalism party position values based on item-response models on manifesto data by </w:t>
            </w:r>
            <w:proofErr w:type="spellStart"/>
            <w:r w:rsidRPr="00577BC4">
              <w:rPr>
                <w:rStyle w:val="Andere"/>
                <w:lang w:val="en-GB"/>
              </w:rPr>
              <w:t>Röth</w:t>
            </w:r>
            <w:proofErr w:type="spellEnd"/>
            <w:r w:rsidRPr="00577BC4">
              <w:rPr>
                <w:rStyle w:val="Andere"/>
                <w:lang w:val="en-GB"/>
              </w:rPr>
              <w:t xml:space="preserve"> (2017); standardized from state interventionist (0) to market liberal (1)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45B3D0" w14:textId="5B8721CE" w:rsidR="00FB786F" w:rsidRPr="00577BC4" w:rsidRDefault="00FB786F" w:rsidP="00FB786F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0-1</w:t>
            </w:r>
          </w:p>
        </w:tc>
      </w:tr>
      <w:tr w:rsidR="00FB786F" w:rsidRPr="00577BC4" w14:paraId="403FFEEC" w14:textId="77777777" w:rsidTr="00BD256F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B13D0" w14:textId="6A28C34F" w:rsidR="00FB786F" w:rsidRPr="00577BC4" w:rsidRDefault="00FB786F" w:rsidP="00FB786F">
            <w:pPr>
              <w:spacing w:after="0" w:line="240" w:lineRule="auto"/>
              <w:jc w:val="right"/>
              <w:rPr>
                <w:rStyle w:val="Andere"/>
              </w:rPr>
            </w:pPr>
            <w:r w:rsidRPr="00577BC4">
              <w:rPr>
                <w:rStyle w:val="Andere"/>
              </w:rPr>
              <w:t>cultural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433D9AC" w14:textId="38D9A7FC" w:rsidR="00FB786F" w:rsidRPr="00577BC4" w:rsidRDefault="00FB786F" w:rsidP="00FB786F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Cultural homogeneity position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4325D6C" w14:textId="110E32CF" w:rsidR="00FB786F" w:rsidRPr="00577BC4" w:rsidRDefault="00FB786F" w:rsidP="00FB786F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 xml:space="preserve">Cultural party position values based on item-response models on manifesto data by </w:t>
            </w:r>
            <w:proofErr w:type="spellStart"/>
            <w:r w:rsidRPr="00577BC4">
              <w:rPr>
                <w:rStyle w:val="Andere"/>
                <w:lang w:val="en-GB"/>
              </w:rPr>
              <w:t>Röth</w:t>
            </w:r>
            <w:proofErr w:type="spellEnd"/>
            <w:r w:rsidRPr="00577BC4">
              <w:rPr>
                <w:rStyle w:val="Andere"/>
                <w:lang w:val="en-GB"/>
              </w:rPr>
              <w:t xml:space="preserve"> (2017); standardized from cultural traditionalist (0) to cultural liberal (1)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36CC14" w14:textId="68BFF4E1" w:rsidR="00FB786F" w:rsidRPr="00577BC4" w:rsidRDefault="00FB786F" w:rsidP="00FB786F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0-1</w:t>
            </w:r>
          </w:p>
        </w:tc>
      </w:tr>
      <w:tr w:rsidR="00410994" w:rsidRPr="00577BC4" w14:paraId="6EACBF72" w14:textId="77777777" w:rsidTr="00BD256F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EBB70" w14:textId="4A48DF4E" w:rsidR="00410994" w:rsidRPr="00577BC4" w:rsidRDefault="00B46AC0" w:rsidP="00FB786F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>
              <w:rPr>
                <w:rStyle w:val="Andere"/>
              </w:rPr>
              <w:t>l</w:t>
            </w:r>
            <w:r w:rsidR="00410994">
              <w:rPr>
                <w:rStyle w:val="Andere"/>
              </w:rPr>
              <w:t>rgen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E597877" w14:textId="3DBC1F9E" w:rsidR="00410994" w:rsidRPr="00577BC4" w:rsidRDefault="00410994" w:rsidP="00FB786F">
            <w:pPr>
              <w:spacing w:after="0" w:line="240" w:lineRule="auto"/>
              <w:rPr>
                <w:rStyle w:val="Andere"/>
              </w:rPr>
            </w:pPr>
            <w:r>
              <w:rPr>
                <w:rStyle w:val="Andere"/>
              </w:rPr>
              <w:t>General left-right from CHES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96F34FA" w14:textId="54236135" w:rsidR="00410994" w:rsidRPr="00410994" w:rsidRDefault="00410994" w:rsidP="00FB786F">
            <w:pPr>
              <w:pStyle w:val="Andere0"/>
              <w:rPr>
                <w:rStyle w:val="Andere"/>
                <w:lang w:val="en-US"/>
              </w:rPr>
            </w:pPr>
            <w:r w:rsidRPr="00410994">
              <w:rPr>
                <w:rStyle w:val="Andere"/>
                <w:lang w:val="en-US"/>
              </w:rPr>
              <w:t>General left-right from CHES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7A501E71" w14:textId="4162F116" w:rsidR="00410994" w:rsidRPr="00577BC4" w:rsidRDefault="00410994" w:rsidP="00FB786F">
            <w:pPr>
              <w:spacing w:after="0" w:line="240" w:lineRule="auto"/>
              <w:rPr>
                <w:rStyle w:val="Andere"/>
              </w:rPr>
            </w:pPr>
            <w:r>
              <w:rPr>
                <w:rStyle w:val="Andere"/>
              </w:rPr>
              <w:t>0.14-10.00</w:t>
            </w:r>
          </w:p>
        </w:tc>
      </w:tr>
      <w:tr w:rsidR="00410994" w:rsidRPr="00577BC4" w14:paraId="6D8CC43D" w14:textId="77777777" w:rsidTr="005B43F8">
        <w:trPr>
          <w:trHeight w:val="333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1D5E8" w14:textId="15F8242E" w:rsidR="00410994" w:rsidRPr="00577BC4" w:rsidRDefault="00B46AC0" w:rsidP="00FB786F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>
              <w:rPr>
                <w:rStyle w:val="Andere"/>
              </w:rPr>
              <w:t>l</w:t>
            </w:r>
            <w:r w:rsidR="00410994">
              <w:rPr>
                <w:rStyle w:val="Andere"/>
              </w:rPr>
              <w:t>recon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407F528" w14:textId="3DE77557" w:rsidR="00410994" w:rsidRPr="00577BC4" w:rsidRDefault="00410994" w:rsidP="00FB786F">
            <w:pPr>
              <w:spacing w:after="0" w:line="240" w:lineRule="auto"/>
              <w:rPr>
                <w:rStyle w:val="Andere"/>
              </w:rPr>
            </w:pPr>
            <w:r>
              <w:rPr>
                <w:rStyle w:val="Andere"/>
              </w:rPr>
              <w:t>Economic left right from CHES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054CB23" w14:textId="510BE91E" w:rsidR="00410994" w:rsidRPr="00410994" w:rsidRDefault="00410994" w:rsidP="00FB786F">
            <w:pPr>
              <w:pStyle w:val="Andere0"/>
              <w:rPr>
                <w:rStyle w:val="Andere"/>
                <w:lang w:val="en-US"/>
              </w:rPr>
            </w:pPr>
            <w:r w:rsidRPr="00410994">
              <w:rPr>
                <w:rStyle w:val="Andere"/>
                <w:lang w:val="en-US"/>
              </w:rPr>
              <w:t>Economic left right from CHES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001BBC1" w14:textId="5898F43E" w:rsidR="00410994" w:rsidRPr="00577BC4" w:rsidRDefault="00410994" w:rsidP="00FB786F">
            <w:pPr>
              <w:spacing w:after="0" w:line="240" w:lineRule="auto"/>
              <w:rPr>
                <w:rStyle w:val="Andere"/>
              </w:rPr>
            </w:pPr>
            <w:r>
              <w:rPr>
                <w:rStyle w:val="Andere"/>
              </w:rPr>
              <w:t>0.09-9.59</w:t>
            </w:r>
          </w:p>
        </w:tc>
      </w:tr>
      <w:tr w:rsidR="00410994" w:rsidRPr="00577BC4" w14:paraId="6DF70C25" w14:textId="77777777" w:rsidTr="00BD256F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BCA80" w14:textId="560A1979" w:rsidR="00410994" w:rsidRPr="00577BC4" w:rsidRDefault="00410994" w:rsidP="00FB786F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>
              <w:rPr>
                <w:rStyle w:val="Andere"/>
              </w:rPr>
              <w:t>galtan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0146638" w14:textId="64B9D586" w:rsidR="00410994" w:rsidRPr="00577BC4" w:rsidRDefault="00410994" w:rsidP="00FB786F">
            <w:pPr>
              <w:spacing w:after="0" w:line="240" w:lineRule="auto"/>
              <w:rPr>
                <w:rStyle w:val="Andere"/>
              </w:rPr>
            </w:pPr>
            <w:proofErr w:type="spellStart"/>
            <w:r>
              <w:rPr>
                <w:rStyle w:val="Andere"/>
              </w:rPr>
              <w:t>Galtan</w:t>
            </w:r>
            <w:proofErr w:type="spellEnd"/>
            <w:r>
              <w:rPr>
                <w:rStyle w:val="Andere"/>
              </w:rPr>
              <w:t xml:space="preserve"> position from CHES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9A24464" w14:textId="7B5EDF9B" w:rsidR="00410994" w:rsidRPr="00577BC4" w:rsidRDefault="00410994" w:rsidP="00FB786F">
            <w:pPr>
              <w:pStyle w:val="Andere0"/>
              <w:rPr>
                <w:rStyle w:val="Andere"/>
                <w:lang w:val="en-GB"/>
              </w:rPr>
            </w:pPr>
            <w:proofErr w:type="spellStart"/>
            <w:r>
              <w:rPr>
                <w:rStyle w:val="Andere"/>
              </w:rPr>
              <w:t>Galtan</w:t>
            </w:r>
            <w:proofErr w:type="spellEnd"/>
            <w:r>
              <w:rPr>
                <w:rStyle w:val="Andere"/>
              </w:rPr>
              <w:t xml:space="preserve"> </w:t>
            </w:r>
            <w:proofErr w:type="spellStart"/>
            <w:r>
              <w:rPr>
                <w:rStyle w:val="Andere"/>
              </w:rPr>
              <w:t>position</w:t>
            </w:r>
            <w:proofErr w:type="spellEnd"/>
            <w:r>
              <w:rPr>
                <w:rStyle w:val="Andere"/>
              </w:rPr>
              <w:t xml:space="preserve"> </w:t>
            </w:r>
            <w:proofErr w:type="spellStart"/>
            <w:r>
              <w:rPr>
                <w:rStyle w:val="Andere"/>
              </w:rPr>
              <w:t>from</w:t>
            </w:r>
            <w:proofErr w:type="spellEnd"/>
            <w:r>
              <w:rPr>
                <w:rStyle w:val="Andere"/>
              </w:rPr>
              <w:t xml:space="preserve"> CHES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268631" w14:textId="1F5DBDA0" w:rsidR="00410994" w:rsidRPr="00577BC4" w:rsidRDefault="00410994" w:rsidP="00FB786F">
            <w:pPr>
              <w:spacing w:after="0" w:line="240" w:lineRule="auto"/>
              <w:rPr>
                <w:rStyle w:val="Andere"/>
              </w:rPr>
            </w:pPr>
            <w:r>
              <w:rPr>
                <w:rStyle w:val="Andere"/>
              </w:rPr>
              <w:t>0.13- 10.00</w:t>
            </w:r>
          </w:p>
        </w:tc>
      </w:tr>
      <w:tr w:rsidR="00FB786F" w:rsidRPr="00577BC4" w14:paraId="7F441E69" w14:textId="77777777" w:rsidTr="00445D0F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DE473" w14:textId="77777777" w:rsidR="00FB786F" w:rsidRPr="00577BC4" w:rsidRDefault="00FB786F" w:rsidP="00FB786F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parfam_cmp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B1C726" w14:textId="1DB9846E" w:rsidR="00FB786F" w:rsidRPr="00577BC4" w:rsidRDefault="00FB786F" w:rsidP="00FB786F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 xml:space="preserve">Party family </w:t>
            </w:r>
            <w:r w:rsidR="00FC0D16">
              <w:rPr>
                <w:rStyle w:val="Andere"/>
              </w:rPr>
              <w:t>Manifesto Project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631DF8F" w14:textId="141042E1" w:rsidR="00FB786F" w:rsidRPr="00577BC4" w:rsidRDefault="00FB786F" w:rsidP="00FB786F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 xml:space="preserve">Party family assigned by the </w:t>
            </w:r>
            <w:r w:rsidR="00FC0D16">
              <w:rPr>
                <w:rStyle w:val="Andere"/>
                <w:lang w:val="en-GB"/>
              </w:rPr>
              <w:t>Manifesto Project</w:t>
            </w:r>
            <w:r w:rsidRPr="00577BC4">
              <w:rPr>
                <w:rStyle w:val="Andere"/>
                <w:lang w:val="en-GB"/>
              </w:rPr>
              <w:t xml:space="preserve"> </w:t>
            </w:r>
            <w:proofErr w:type="spellStart"/>
            <w:r w:rsidRPr="00577BC4">
              <w:rPr>
                <w:rStyle w:val="Andere"/>
                <w:lang w:val="en-GB"/>
              </w:rPr>
              <w:t>project</w:t>
            </w:r>
            <w:proofErr w:type="spellEnd"/>
            <w:r w:rsidRPr="00577BC4">
              <w:rPr>
                <w:rStyle w:val="Andere"/>
                <w:lang w:val="en-GB"/>
              </w:rPr>
              <w:t xml:space="preserve"> for the parties available (Lehmann et al. 2023)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25A5A3A" w14:textId="7CE5EE1F" w:rsidR="00FB786F" w:rsidRPr="00577BC4" w:rsidRDefault="00FB786F" w:rsidP="00FB786F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two-digit code</w:t>
            </w:r>
          </w:p>
        </w:tc>
      </w:tr>
      <w:tr w:rsidR="00FB786F" w:rsidRPr="00577BC4" w14:paraId="329FCFE3" w14:textId="77777777" w:rsidTr="00445D0F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F9CF3" w14:textId="77777777" w:rsidR="00FB786F" w:rsidRPr="00577BC4" w:rsidRDefault="00FB786F" w:rsidP="00FB786F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party_cmp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0450B64" w14:textId="04CA5A7A" w:rsidR="00FB786F" w:rsidRPr="00577BC4" w:rsidRDefault="00FB786F" w:rsidP="00FB786F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 xml:space="preserve">Party name </w:t>
            </w:r>
            <w:r w:rsidR="00FC0D16">
              <w:rPr>
                <w:rStyle w:val="Andere"/>
              </w:rPr>
              <w:t>Manifesto Project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3D2D193" w14:textId="5E18433D" w:rsidR="00FB786F" w:rsidRPr="00577BC4" w:rsidRDefault="00FB786F" w:rsidP="00FB786F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 xml:space="preserve">Party name assigned by the </w:t>
            </w:r>
            <w:r w:rsidR="00FC0D16">
              <w:rPr>
                <w:rStyle w:val="Andere"/>
                <w:lang w:val="en-GB"/>
              </w:rPr>
              <w:t>Manifesto Project</w:t>
            </w:r>
            <w:r w:rsidRPr="00577BC4">
              <w:rPr>
                <w:rStyle w:val="Andere"/>
                <w:lang w:val="en-GB"/>
              </w:rPr>
              <w:t xml:space="preserve"> </w:t>
            </w:r>
            <w:proofErr w:type="spellStart"/>
            <w:r w:rsidRPr="00577BC4">
              <w:rPr>
                <w:rStyle w:val="Andere"/>
                <w:lang w:val="en-GB"/>
              </w:rPr>
              <w:t>project</w:t>
            </w:r>
            <w:proofErr w:type="spellEnd"/>
            <w:r w:rsidRPr="00577BC4">
              <w:rPr>
                <w:rStyle w:val="Andere"/>
                <w:lang w:val="en-GB"/>
              </w:rPr>
              <w:t xml:space="preserve"> for the parties available (Lehmann et al. 2023)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BEAA80" w14:textId="77777777" w:rsidR="00FB786F" w:rsidRPr="00577BC4" w:rsidRDefault="00FB786F" w:rsidP="00FB786F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string</w:t>
            </w:r>
          </w:p>
        </w:tc>
      </w:tr>
      <w:tr w:rsidR="00FB786F" w:rsidRPr="00577BC4" w14:paraId="1F9382B4" w14:textId="77777777" w:rsidTr="00445D0F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6F3B5" w14:textId="77777777" w:rsidR="00FB786F" w:rsidRPr="00577BC4" w:rsidRDefault="00FB786F" w:rsidP="00FB786F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p_abbrev_cmp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7F04218" w14:textId="5DC4887A" w:rsidR="00FB786F" w:rsidRPr="00577BC4" w:rsidRDefault="00FB786F" w:rsidP="00FB786F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 xml:space="preserve">Party abbreviation </w:t>
            </w:r>
            <w:r w:rsidR="00FC0D16">
              <w:rPr>
                <w:rStyle w:val="Andere"/>
              </w:rPr>
              <w:t>Manifesto Project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724564D" w14:textId="7E0AE99E" w:rsidR="00FB786F" w:rsidRPr="00577BC4" w:rsidRDefault="00FB786F" w:rsidP="00FB786F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 xml:space="preserve">Party abbreviation assigned by the </w:t>
            </w:r>
            <w:r w:rsidR="00FC0D16">
              <w:rPr>
                <w:rStyle w:val="Andere"/>
                <w:lang w:val="en-GB"/>
              </w:rPr>
              <w:t>Manifesto Project</w:t>
            </w:r>
            <w:r w:rsidRPr="00577BC4">
              <w:rPr>
                <w:rStyle w:val="Andere"/>
                <w:lang w:val="en-GB"/>
              </w:rPr>
              <w:t xml:space="preserve"> </w:t>
            </w:r>
            <w:proofErr w:type="spellStart"/>
            <w:r w:rsidRPr="00577BC4">
              <w:rPr>
                <w:rStyle w:val="Andere"/>
                <w:lang w:val="en-GB"/>
              </w:rPr>
              <w:t>project</w:t>
            </w:r>
            <w:proofErr w:type="spellEnd"/>
            <w:r w:rsidRPr="00577BC4">
              <w:rPr>
                <w:rStyle w:val="Andere"/>
                <w:lang w:val="en-GB"/>
              </w:rPr>
              <w:t xml:space="preserve"> for the parties available (Lehmann et al. 2023)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0FC208" w14:textId="77777777" w:rsidR="00FB786F" w:rsidRPr="00577BC4" w:rsidRDefault="00FB786F" w:rsidP="00FB786F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capitalized string</w:t>
            </w:r>
          </w:p>
        </w:tc>
      </w:tr>
      <w:tr w:rsidR="00FB786F" w:rsidRPr="00577BC4" w14:paraId="2D6A44C6" w14:textId="77777777" w:rsidTr="00445D0F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9E60A" w14:textId="77777777" w:rsidR="00FB786F" w:rsidRPr="00577BC4" w:rsidRDefault="00FB786F" w:rsidP="00FB786F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cmp_year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BCB05BF" w14:textId="44DA306B" w:rsidR="00FB786F" w:rsidRPr="00577BC4" w:rsidRDefault="00FC0D16" w:rsidP="00FB786F">
            <w:pPr>
              <w:spacing w:after="0" w:line="240" w:lineRule="auto"/>
              <w:rPr>
                <w:rStyle w:val="Andere"/>
              </w:rPr>
            </w:pPr>
            <w:r>
              <w:rPr>
                <w:rStyle w:val="Andere"/>
              </w:rPr>
              <w:t>Manifesto Project</w:t>
            </w:r>
            <w:r w:rsidR="00FB786F" w:rsidRPr="00577BC4">
              <w:rPr>
                <w:rStyle w:val="Andere"/>
              </w:rPr>
              <w:t xml:space="preserve"> year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6A82A76" w14:textId="41ACD2DE" w:rsidR="00FB786F" w:rsidRPr="00577BC4" w:rsidRDefault="00FB786F" w:rsidP="00FB786F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 xml:space="preserve">Calendar year of the manifesto by the </w:t>
            </w:r>
            <w:r w:rsidR="00FC0D16">
              <w:rPr>
                <w:rStyle w:val="Andere"/>
                <w:lang w:val="en-GB"/>
              </w:rPr>
              <w:t>Manifesto Project</w:t>
            </w:r>
            <w:r w:rsidRPr="00577BC4">
              <w:rPr>
                <w:rStyle w:val="Andere"/>
                <w:lang w:val="en-GB"/>
              </w:rPr>
              <w:t xml:space="preserve"> </w:t>
            </w:r>
            <w:proofErr w:type="spellStart"/>
            <w:r w:rsidRPr="00577BC4">
              <w:rPr>
                <w:rStyle w:val="Andere"/>
                <w:lang w:val="en-GB"/>
              </w:rPr>
              <w:t>project</w:t>
            </w:r>
            <w:proofErr w:type="spellEnd"/>
            <w:r w:rsidRPr="00577BC4">
              <w:rPr>
                <w:rStyle w:val="Andere"/>
                <w:lang w:val="en-GB"/>
              </w:rPr>
              <w:t xml:space="preserve"> (Lehmann et al. 2023) including 'b' years for more than one election within one calendar year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7C719B93" w14:textId="77777777" w:rsidR="00FB786F" w:rsidRPr="00577BC4" w:rsidRDefault="00FB786F" w:rsidP="00FB786F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YYYY</w:t>
            </w:r>
          </w:p>
        </w:tc>
      </w:tr>
      <w:tr w:rsidR="00FB786F" w:rsidRPr="00577BC4" w14:paraId="70509A22" w14:textId="77777777" w:rsidTr="00B45D7C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D28D5" w14:textId="77777777" w:rsidR="00FB786F" w:rsidRPr="00577BC4" w:rsidRDefault="00FB786F" w:rsidP="00FB786F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imp_max_s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F746978" w14:textId="77777777" w:rsidR="00FB786F" w:rsidRPr="00577BC4" w:rsidRDefault="00FB786F" w:rsidP="00FB786F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Importance of region in general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FFEDE42" w14:textId="5D12343B" w:rsidR="00FB786F" w:rsidRPr="00577BC4" w:rsidRDefault="00FB786F" w:rsidP="00FB786F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General electoral importance of region as share of seats allocated to that region relative to maximal seats in country parliament (</w:t>
            </w:r>
            <w:proofErr w:type="spellStart"/>
            <w:r w:rsidRPr="00577BC4">
              <w:rPr>
                <w:rStyle w:val="Andere"/>
                <w:lang w:val="en-GB"/>
              </w:rPr>
              <w:t>r_s_p</w:t>
            </w:r>
            <w:proofErr w:type="spellEnd"/>
            <w:r w:rsidRPr="00577BC4">
              <w:rPr>
                <w:rStyle w:val="Andere"/>
                <w:lang w:val="en-GB"/>
              </w:rPr>
              <w:t>/</w:t>
            </w:r>
            <w:proofErr w:type="spellStart"/>
            <w:r w:rsidRPr="00577BC4">
              <w:rPr>
                <w:rStyle w:val="Andere"/>
                <w:lang w:val="en-GB"/>
              </w:rPr>
              <w:t>r_s_max</w:t>
            </w:r>
            <w:proofErr w:type="spellEnd"/>
            <w:r w:rsidRPr="00577BC4">
              <w:rPr>
                <w:rStyle w:val="Andere"/>
                <w:lang w:val="en-GB"/>
              </w:rPr>
              <w:t>)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7FA1769E" w14:textId="77777777" w:rsidR="00FB786F" w:rsidRPr="00577BC4" w:rsidRDefault="00FB786F" w:rsidP="00FB786F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percentage</w:t>
            </w:r>
          </w:p>
        </w:tc>
      </w:tr>
      <w:tr w:rsidR="00FB786F" w:rsidRPr="00577BC4" w14:paraId="628A25FF" w14:textId="77777777" w:rsidTr="0008619E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60B9A" w14:textId="77777777" w:rsidR="00FB786F" w:rsidRPr="00577BC4" w:rsidRDefault="00FB786F" w:rsidP="00FB786F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imp_rmax_s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767F986" w14:textId="77777777" w:rsidR="00FB786F" w:rsidRPr="00577BC4" w:rsidRDefault="00FB786F" w:rsidP="00FB786F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Electoral importance of party in region I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ADC56B5" w14:textId="77777777" w:rsidR="00FB786F" w:rsidRPr="00577BC4" w:rsidRDefault="00FB786F" w:rsidP="00FB786F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Electoral importance of party in a region as share of seats of the party relative to maximal numbers of seats allocated in that region in country parliament (</w:t>
            </w:r>
            <w:proofErr w:type="spellStart"/>
            <w:r w:rsidRPr="00577BC4">
              <w:rPr>
                <w:rStyle w:val="Andere"/>
                <w:lang w:val="en-GB"/>
              </w:rPr>
              <w:t>r_s_p</w:t>
            </w:r>
            <w:proofErr w:type="spellEnd"/>
            <w:r w:rsidRPr="00577BC4">
              <w:rPr>
                <w:rStyle w:val="Andere"/>
                <w:lang w:val="en-GB"/>
              </w:rPr>
              <w:t>/</w:t>
            </w:r>
            <w:proofErr w:type="spellStart"/>
            <w:r w:rsidRPr="00577BC4">
              <w:rPr>
                <w:rStyle w:val="Andere"/>
                <w:lang w:val="en-GB"/>
              </w:rPr>
              <w:t>r_s_max</w:t>
            </w:r>
            <w:proofErr w:type="spellEnd"/>
            <w:r w:rsidRPr="00577BC4">
              <w:rPr>
                <w:rStyle w:val="Andere"/>
                <w:lang w:val="en-GB"/>
              </w:rPr>
              <w:t>)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F72D1A" w14:textId="77777777" w:rsidR="00FB786F" w:rsidRPr="00577BC4" w:rsidRDefault="00FB786F" w:rsidP="00FB786F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percentage</w:t>
            </w:r>
          </w:p>
        </w:tc>
      </w:tr>
      <w:tr w:rsidR="00FB786F" w:rsidRPr="00577BC4" w14:paraId="4CC1E09D" w14:textId="77777777" w:rsidTr="0008619E">
        <w:trPr>
          <w:trHeight w:val="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08286" w14:textId="77777777" w:rsidR="00FB786F" w:rsidRPr="00577BC4" w:rsidRDefault="00FB786F" w:rsidP="00FB786F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imp_rn_s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7FC352F" w14:textId="77777777" w:rsidR="00FB786F" w:rsidRPr="00577BC4" w:rsidRDefault="00FB786F" w:rsidP="00FB786F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Electoral importance of party in region II</w:t>
            </w:r>
          </w:p>
        </w:tc>
        <w:tc>
          <w:tcPr>
            <w:tcW w:w="822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1911221" w14:textId="77777777" w:rsidR="00FB786F" w:rsidRPr="00577BC4" w:rsidRDefault="00FB786F" w:rsidP="00FB786F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Electoral importance of party in a region as share of regional seats of the party relative to is total number of seats in the country parliament (</w:t>
            </w:r>
            <w:proofErr w:type="spellStart"/>
            <w:r w:rsidRPr="00577BC4">
              <w:rPr>
                <w:rStyle w:val="Andere"/>
                <w:lang w:val="en-GB"/>
              </w:rPr>
              <w:t>r_s_p</w:t>
            </w:r>
            <w:proofErr w:type="spellEnd"/>
            <w:r w:rsidRPr="00577BC4">
              <w:rPr>
                <w:rStyle w:val="Andere"/>
                <w:lang w:val="en-GB"/>
              </w:rPr>
              <w:t>/</w:t>
            </w:r>
            <w:proofErr w:type="spellStart"/>
            <w:r w:rsidRPr="00577BC4">
              <w:rPr>
                <w:rStyle w:val="Andere"/>
                <w:lang w:val="en-GB"/>
              </w:rPr>
              <w:t>n_s_p</w:t>
            </w:r>
            <w:proofErr w:type="spellEnd"/>
            <w:r w:rsidRPr="00577BC4">
              <w:rPr>
                <w:rStyle w:val="Andere"/>
                <w:lang w:val="en-GB"/>
              </w:rPr>
              <w:t>)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14:paraId="657175D2" w14:textId="77777777" w:rsidR="00FB786F" w:rsidRPr="00577BC4" w:rsidRDefault="00FB786F" w:rsidP="00FB786F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percentage</w:t>
            </w:r>
          </w:p>
        </w:tc>
      </w:tr>
      <w:tr w:rsidR="00FB786F" w:rsidRPr="00577BC4" w14:paraId="0D2DB1B8" w14:textId="77777777" w:rsidTr="0008619E">
        <w:trPr>
          <w:trHeight w:val="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2D362" w14:textId="77777777" w:rsidR="00FB786F" w:rsidRPr="00577BC4" w:rsidRDefault="00FB786F" w:rsidP="00FB786F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regionalist_party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704231A" w14:textId="77777777" w:rsidR="00FB786F" w:rsidRPr="00577BC4" w:rsidRDefault="00FB786F" w:rsidP="00FB786F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Regionalist party</w:t>
            </w:r>
          </w:p>
        </w:tc>
        <w:tc>
          <w:tcPr>
            <w:tcW w:w="822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C387BF" w14:textId="77777777" w:rsidR="00FB786F" w:rsidRPr="00577BC4" w:rsidRDefault="00FB786F" w:rsidP="00FB786F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Dummy indicating whether the party demands more regional authority in any kind, from more autonomy for the respective region to independence/secession (1) or not (0)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14:paraId="7C3B620E" w14:textId="77777777" w:rsidR="00FB786F" w:rsidRPr="00577BC4" w:rsidRDefault="00FB786F" w:rsidP="00FB786F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dummy</w:t>
            </w:r>
          </w:p>
        </w:tc>
      </w:tr>
      <w:tr w:rsidR="00FB786F" w:rsidRPr="00577BC4" w14:paraId="637F7A37" w14:textId="77777777" w:rsidTr="0008619E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7926C" w14:textId="77777777" w:rsidR="00FB786F" w:rsidRPr="00577BC4" w:rsidRDefault="00FB786F" w:rsidP="00FB786F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distance_lr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6890404" w14:textId="77777777" w:rsidR="00FB786F" w:rsidRPr="00577BC4" w:rsidRDefault="00FB786F" w:rsidP="00FB786F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Left-right party distance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16BCB92" w14:textId="77777777" w:rsidR="00FB786F" w:rsidRPr="00577BC4" w:rsidRDefault="00FB786F" w:rsidP="00FB786F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 xml:space="preserve">Distance between party and </w:t>
            </w:r>
            <w:proofErr w:type="spellStart"/>
            <w:r w:rsidRPr="00577BC4">
              <w:rPr>
                <w:rStyle w:val="Andere"/>
                <w:lang w:val="en-GB"/>
              </w:rPr>
              <w:t>Center</w:t>
            </w:r>
            <w:proofErr w:type="spellEnd"/>
            <w:r w:rsidRPr="00577BC4">
              <w:rPr>
                <w:rStyle w:val="Andere"/>
                <w:lang w:val="en-GB"/>
              </w:rPr>
              <w:t xml:space="preserve"> of Gravity - Left-Right at the region-election level: |</w:t>
            </w:r>
            <w:proofErr w:type="spellStart"/>
            <w:r w:rsidRPr="00577BC4">
              <w:rPr>
                <w:rStyle w:val="Andere"/>
                <w:lang w:val="en-GB"/>
              </w:rPr>
              <w:t>cog_lr</w:t>
            </w:r>
            <w:proofErr w:type="spellEnd"/>
            <w:r w:rsidRPr="00577BC4">
              <w:rPr>
                <w:rStyle w:val="Andere"/>
                <w:lang w:val="en-GB"/>
              </w:rPr>
              <w:t xml:space="preserve"> - </w:t>
            </w:r>
            <w:proofErr w:type="spellStart"/>
            <w:r w:rsidRPr="00577BC4">
              <w:rPr>
                <w:rStyle w:val="Andere"/>
                <w:lang w:val="en-GB"/>
              </w:rPr>
              <w:t>rilestand</w:t>
            </w:r>
            <w:proofErr w:type="spellEnd"/>
            <w:r w:rsidRPr="00577BC4">
              <w:rPr>
                <w:rStyle w:val="Andere"/>
                <w:lang w:val="en-GB"/>
              </w:rPr>
              <w:t>|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6D69C5" w14:textId="77777777" w:rsidR="00FB786F" w:rsidRPr="00577BC4" w:rsidRDefault="00FB786F" w:rsidP="00FB786F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0-1</w:t>
            </w:r>
          </w:p>
        </w:tc>
      </w:tr>
      <w:tr w:rsidR="00FB786F" w:rsidRPr="00577BC4" w14:paraId="10025E03" w14:textId="77777777" w:rsidTr="00445D0F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06D0B" w14:textId="77777777" w:rsidR="00FB786F" w:rsidRPr="00577BC4" w:rsidRDefault="00FB786F" w:rsidP="00FB786F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distance_ml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5E40966" w14:textId="77777777" w:rsidR="00FB786F" w:rsidRPr="00577BC4" w:rsidRDefault="00FB786F" w:rsidP="00FB786F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Market liberalism party distance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849760F" w14:textId="77777777" w:rsidR="00FB786F" w:rsidRPr="00577BC4" w:rsidRDefault="00FB786F" w:rsidP="00FB786F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 xml:space="preserve">Distance between party and </w:t>
            </w:r>
            <w:proofErr w:type="spellStart"/>
            <w:r w:rsidRPr="00577BC4">
              <w:rPr>
                <w:rStyle w:val="Andere"/>
                <w:lang w:val="en-GB"/>
              </w:rPr>
              <w:t>Center</w:t>
            </w:r>
            <w:proofErr w:type="spellEnd"/>
            <w:r w:rsidRPr="00577BC4">
              <w:rPr>
                <w:rStyle w:val="Andere"/>
                <w:lang w:val="en-GB"/>
              </w:rPr>
              <w:t xml:space="preserve"> of Gravity - Market liberalism at the region-election level: |</w:t>
            </w:r>
            <w:proofErr w:type="spellStart"/>
            <w:r w:rsidRPr="00577BC4">
              <w:rPr>
                <w:rStyle w:val="Andere"/>
                <w:lang w:val="en-GB"/>
              </w:rPr>
              <w:t>cog_ml</w:t>
            </w:r>
            <w:proofErr w:type="spellEnd"/>
            <w:r w:rsidRPr="00577BC4">
              <w:rPr>
                <w:rStyle w:val="Andere"/>
                <w:lang w:val="en-GB"/>
              </w:rPr>
              <w:t xml:space="preserve"> - </w:t>
            </w:r>
            <w:proofErr w:type="spellStart"/>
            <w:r w:rsidRPr="00577BC4">
              <w:rPr>
                <w:rStyle w:val="Andere"/>
                <w:lang w:val="en-GB"/>
              </w:rPr>
              <w:t>ml_ir</w:t>
            </w:r>
            <w:proofErr w:type="spellEnd"/>
            <w:r w:rsidRPr="00577BC4">
              <w:rPr>
                <w:rStyle w:val="Andere"/>
                <w:lang w:val="en-GB"/>
              </w:rPr>
              <w:t>|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542D56C" w14:textId="77777777" w:rsidR="00FB786F" w:rsidRPr="00577BC4" w:rsidRDefault="00FB786F" w:rsidP="00FB786F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0-1</w:t>
            </w:r>
          </w:p>
        </w:tc>
      </w:tr>
      <w:tr w:rsidR="00FB786F" w:rsidRPr="00577BC4" w14:paraId="591808A8" w14:textId="77777777" w:rsidTr="00445D0F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D6165" w14:textId="77777777" w:rsidR="00FB786F" w:rsidRPr="00577BC4" w:rsidRDefault="00FB786F" w:rsidP="00FB786F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distance_cult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8EE4465" w14:textId="77777777" w:rsidR="00FB786F" w:rsidRPr="00577BC4" w:rsidRDefault="00FB786F" w:rsidP="00FB786F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Cultural party distance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7C2B553" w14:textId="77777777" w:rsidR="00FB786F" w:rsidRPr="00577BC4" w:rsidRDefault="00FB786F" w:rsidP="00FB786F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 xml:space="preserve">Distance between party and </w:t>
            </w:r>
            <w:proofErr w:type="spellStart"/>
            <w:r w:rsidRPr="00577BC4">
              <w:rPr>
                <w:rStyle w:val="Andere"/>
                <w:lang w:val="en-GB"/>
              </w:rPr>
              <w:t>Center</w:t>
            </w:r>
            <w:proofErr w:type="spellEnd"/>
            <w:r w:rsidRPr="00577BC4">
              <w:rPr>
                <w:rStyle w:val="Andere"/>
                <w:lang w:val="en-GB"/>
              </w:rPr>
              <w:t xml:space="preserve"> of Gravity - Cultural dimension at the region-election level: |</w:t>
            </w:r>
            <w:proofErr w:type="spellStart"/>
            <w:r w:rsidRPr="00577BC4">
              <w:rPr>
                <w:rStyle w:val="Andere"/>
                <w:lang w:val="en-GB"/>
              </w:rPr>
              <w:t>cog_cult</w:t>
            </w:r>
            <w:proofErr w:type="spellEnd"/>
            <w:r w:rsidRPr="00577BC4">
              <w:rPr>
                <w:rStyle w:val="Andere"/>
                <w:lang w:val="en-GB"/>
              </w:rPr>
              <w:t xml:space="preserve"> - </w:t>
            </w:r>
            <w:proofErr w:type="spellStart"/>
            <w:r w:rsidRPr="00577BC4">
              <w:rPr>
                <w:rStyle w:val="Andere"/>
                <w:lang w:val="en-GB"/>
              </w:rPr>
              <w:t>cultural_position</w:t>
            </w:r>
            <w:proofErr w:type="spellEnd"/>
            <w:r w:rsidRPr="00577BC4">
              <w:rPr>
                <w:rStyle w:val="Andere"/>
                <w:lang w:val="en-GB"/>
              </w:rPr>
              <w:t>|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3B31ACE" w14:textId="77777777" w:rsidR="00FB786F" w:rsidRPr="00577BC4" w:rsidRDefault="00FB786F" w:rsidP="00FB786F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0-1</w:t>
            </w:r>
          </w:p>
        </w:tc>
      </w:tr>
      <w:tr w:rsidR="00FB786F" w:rsidRPr="00577BC4" w14:paraId="214DDBA5" w14:textId="77777777" w:rsidTr="00445D0F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0FB3D" w14:textId="77777777" w:rsidR="00FB786F" w:rsidRPr="00577BC4" w:rsidRDefault="00FB786F" w:rsidP="00FB786F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proximity_lr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882FD58" w14:textId="77777777" w:rsidR="00FB786F" w:rsidRPr="00577BC4" w:rsidRDefault="00FB786F" w:rsidP="00FB786F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Left-right party proximity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43DFCEC" w14:textId="77777777" w:rsidR="00FB786F" w:rsidRPr="00577BC4" w:rsidRDefault="00FB786F" w:rsidP="00FB786F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 xml:space="preserve">Proximity between party and </w:t>
            </w:r>
            <w:proofErr w:type="spellStart"/>
            <w:r w:rsidRPr="00577BC4">
              <w:rPr>
                <w:rStyle w:val="Andere"/>
                <w:lang w:val="en-GB"/>
              </w:rPr>
              <w:t>Center</w:t>
            </w:r>
            <w:proofErr w:type="spellEnd"/>
            <w:r w:rsidRPr="00577BC4">
              <w:rPr>
                <w:rStyle w:val="Andere"/>
                <w:lang w:val="en-GB"/>
              </w:rPr>
              <w:t xml:space="preserve"> of Gravity - Left-Right at the region-election level: 1- |</w:t>
            </w:r>
            <w:proofErr w:type="spellStart"/>
            <w:r w:rsidRPr="00577BC4">
              <w:rPr>
                <w:rStyle w:val="Andere"/>
                <w:lang w:val="en-GB"/>
              </w:rPr>
              <w:t>cog_lr</w:t>
            </w:r>
            <w:proofErr w:type="spellEnd"/>
            <w:r w:rsidRPr="00577BC4">
              <w:rPr>
                <w:rStyle w:val="Andere"/>
                <w:lang w:val="en-GB"/>
              </w:rPr>
              <w:t xml:space="preserve"> - </w:t>
            </w:r>
            <w:proofErr w:type="spellStart"/>
            <w:r w:rsidRPr="00577BC4">
              <w:rPr>
                <w:rStyle w:val="Andere"/>
                <w:lang w:val="en-GB"/>
              </w:rPr>
              <w:t>rilestand</w:t>
            </w:r>
            <w:proofErr w:type="spellEnd"/>
            <w:r w:rsidRPr="00577BC4">
              <w:rPr>
                <w:rStyle w:val="Andere"/>
                <w:lang w:val="en-GB"/>
              </w:rPr>
              <w:t>|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91CCF6A" w14:textId="77777777" w:rsidR="00FB786F" w:rsidRPr="00577BC4" w:rsidRDefault="00FB786F" w:rsidP="00FB786F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0-1</w:t>
            </w:r>
          </w:p>
        </w:tc>
      </w:tr>
      <w:tr w:rsidR="00FB786F" w:rsidRPr="00577BC4" w14:paraId="54B72A01" w14:textId="77777777" w:rsidTr="00445D0F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FFD04" w14:textId="77777777" w:rsidR="00FB786F" w:rsidRPr="00577BC4" w:rsidRDefault="00FB786F" w:rsidP="00FB786F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proximity_ml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BCA6583" w14:textId="77777777" w:rsidR="00FB786F" w:rsidRPr="00577BC4" w:rsidRDefault="00FB786F" w:rsidP="00FB786F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Market liberalism party proximity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EA50B02" w14:textId="77777777" w:rsidR="00FB786F" w:rsidRPr="00577BC4" w:rsidRDefault="00FB786F" w:rsidP="00FB786F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 xml:space="preserve">Proximity between party and </w:t>
            </w:r>
            <w:proofErr w:type="spellStart"/>
            <w:r w:rsidRPr="00577BC4">
              <w:rPr>
                <w:rStyle w:val="Andere"/>
                <w:lang w:val="en-GB"/>
              </w:rPr>
              <w:t>Center</w:t>
            </w:r>
            <w:proofErr w:type="spellEnd"/>
            <w:r w:rsidRPr="00577BC4">
              <w:rPr>
                <w:rStyle w:val="Andere"/>
                <w:lang w:val="en-GB"/>
              </w:rPr>
              <w:t xml:space="preserve"> of Gravity - Market liberalism at the region-election level: 1- |</w:t>
            </w:r>
            <w:proofErr w:type="spellStart"/>
            <w:r w:rsidRPr="00577BC4">
              <w:rPr>
                <w:rStyle w:val="Andere"/>
                <w:lang w:val="en-GB"/>
              </w:rPr>
              <w:t>cog_ml</w:t>
            </w:r>
            <w:proofErr w:type="spellEnd"/>
            <w:r w:rsidRPr="00577BC4">
              <w:rPr>
                <w:rStyle w:val="Andere"/>
                <w:lang w:val="en-GB"/>
              </w:rPr>
              <w:t xml:space="preserve"> - </w:t>
            </w:r>
            <w:proofErr w:type="spellStart"/>
            <w:r w:rsidRPr="00577BC4">
              <w:rPr>
                <w:rStyle w:val="Andere"/>
                <w:lang w:val="en-GB"/>
              </w:rPr>
              <w:t>ml_ir</w:t>
            </w:r>
            <w:proofErr w:type="spellEnd"/>
            <w:r w:rsidRPr="00577BC4">
              <w:rPr>
                <w:rStyle w:val="Andere"/>
                <w:lang w:val="en-GB"/>
              </w:rPr>
              <w:t>|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CA44350" w14:textId="77777777" w:rsidR="00FB786F" w:rsidRPr="00577BC4" w:rsidRDefault="00FB786F" w:rsidP="00FB786F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0-1</w:t>
            </w:r>
          </w:p>
        </w:tc>
      </w:tr>
      <w:tr w:rsidR="00FB786F" w:rsidRPr="00577BC4" w14:paraId="75E380B9" w14:textId="77777777" w:rsidTr="00445D0F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34F51" w14:textId="77777777" w:rsidR="00FB786F" w:rsidRPr="00577BC4" w:rsidRDefault="00FB786F" w:rsidP="00FB786F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proximity_cult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2969FED" w14:textId="77777777" w:rsidR="00FB786F" w:rsidRPr="00577BC4" w:rsidRDefault="00FB786F" w:rsidP="00FB786F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Cultural party proximity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7824E92" w14:textId="77777777" w:rsidR="00FB786F" w:rsidRPr="00577BC4" w:rsidRDefault="00FB786F" w:rsidP="00FB786F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 xml:space="preserve">Proximity between party and </w:t>
            </w:r>
            <w:proofErr w:type="spellStart"/>
            <w:r w:rsidRPr="00577BC4">
              <w:rPr>
                <w:rStyle w:val="Andere"/>
                <w:lang w:val="en-GB"/>
              </w:rPr>
              <w:t>Center</w:t>
            </w:r>
            <w:proofErr w:type="spellEnd"/>
            <w:r w:rsidRPr="00577BC4">
              <w:rPr>
                <w:rStyle w:val="Andere"/>
                <w:lang w:val="en-GB"/>
              </w:rPr>
              <w:t xml:space="preserve"> of Gravity - Cultural dimension at the region-election level: 1- |</w:t>
            </w:r>
            <w:proofErr w:type="spellStart"/>
            <w:r w:rsidRPr="00577BC4">
              <w:rPr>
                <w:rStyle w:val="Andere"/>
                <w:lang w:val="en-GB"/>
              </w:rPr>
              <w:t>cog_cult</w:t>
            </w:r>
            <w:proofErr w:type="spellEnd"/>
            <w:r w:rsidRPr="00577BC4">
              <w:rPr>
                <w:rStyle w:val="Andere"/>
                <w:lang w:val="en-GB"/>
              </w:rPr>
              <w:t xml:space="preserve"> - </w:t>
            </w:r>
            <w:proofErr w:type="spellStart"/>
            <w:r w:rsidRPr="00577BC4">
              <w:rPr>
                <w:rStyle w:val="Andere"/>
                <w:lang w:val="en-GB"/>
              </w:rPr>
              <w:t>cultural_position</w:t>
            </w:r>
            <w:proofErr w:type="spellEnd"/>
            <w:r w:rsidRPr="00577BC4">
              <w:rPr>
                <w:rStyle w:val="Andere"/>
                <w:lang w:val="en-GB"/>
              </w:rPr>
              <w:t>|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0CFA19" w14:textId="77777777" w:rsidR="00FB786F" w:rsidRPr="00577BC4" w:rsidRDefault="00FB786F" w:rsidP="00FB786F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0-1</w:t>
            </w:r>
          </w:p>
        </w:tc>
      </w:tr>
      <w:tr w:rsidR="004445E1" w:rsidRPr="00577BC4" w14:paraId="68F40C8A" w14:textId="77777777" w:rsidTr="00445D0F">
        <w:trPr>
          <w:trHeight w:val="442"/>
        </w:trPr>
        <w:tc>
          <w:tcPr>
            <w:tcW w:w="143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8900A9E" w14:textId="4277B8B9" w:rsidR="004445E1" w:rsidRPr="00577BC4" w:rsidRDefault="004445E1" w:rsidP="004445E1">
            <w:pPr>
              <w:spacing w:after="0" w:line="240" w:lineRule="auto"/>
              <w:jc w:val="center"/>
              <w:rPr>
                <w:rStyle w:val="Andere"/>
              </w:rPr>
            </w:pPr>
            <w:r w:rsidRPr="00577BC4">
              <w:rPr>
                <w:rStyle w:val="Andere"/>
                <w:b/>
              </w:rPr>
              <w:lastRenderedPageBreak/>
              <w:t>Country and Regional Cabinet Information</w:t>
            </w:r>
          </w:p>
        </w:tc>
      </w:tr>
      <w:tr w:rsidR="00EC5E86" w:rsidRPr="00577BC4" w14:paraId="65B688F6" w14:textId="77777777" w:rsidTr="000260D6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nil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591EC5C" w14:textId="77777777" w:rsidR="00EC5E86" w:rsidRPr="00577BC4" w:rsidRDefault="00EC5E86" w:rsidP="001A3D4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>Variable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258AA4" w14:textId="77777777" w:rsidR="00EC5E86" w:rsidRPr="00577BC4" w:rsidRDefault="00EC5E86" w:rsidP="007428AC">
            <w:pPr>
              <w:spacing w:after="0" w:line="240" w:lineRule="auto"/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>Name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44B449" w14:textId="77777777" w:rsidR="00EC5E86" w:rsidRPr="00577BC4" w:rsidRDefault="00EC5E86" w:rsidP="007428AC">
            <w:pPr>
              <w:spacing w:after="0" w:line="240" w:lineRule="auto"/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>Description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C50DFE" w14:textId="6A63ACCB" w:rsidR="00EC5E86" w:rsidRPr="00577BC4" w:rsidRDefault="00EC5E86" w:rsidP="007428AC">
            <w:pPr>
              <w:spacing w:after="0" w:line="240" w:lineRule="auto"/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>Data</w:t>
            </w:r>
            <w:r w:rsidR="00577BC4"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>format</w:t>
            </w:r>
            <w:r w:rsidR="00577BC4"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 xml:space="preserve"> </w:t>
            </w:r>
          </w:p>
        </w:tc>
      </w:tr>
      <w:tr w:rsidR="00F31C3C" w:rsidRPr="00577BC4" w14:paraId="7C3DFA0F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12E58" w14:textId="77777777" w:rsidR="00F31C3C" w:rsidRPr="00577BC4" w:rsidRDefault="00F31C3C" w:rsidP="00906B79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cab_name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64BABCD" w14:textId="2C589A93" w:rsidR="00F31C3C" w:rsidRPr="00577BC4" w:rsidRDefault="00F31C3C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Name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of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the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country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cabinet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6EA88AB" w14:textId="04AD2A48" w:rsidR="00F31C3C" w:rsidRPr="00577BC4" w:rsidRDefault="00F31C3C" w:rsidP="007428AC">
            <w:pPr>
              <w:pStyle w:val="Andere0"/>
              <w:tabs>
                <w:tab w:val="left" w:pos="2618"/>
              </w:tabs>
              <w:spacing w:line="190" w:lineRule="auto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Head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and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tenure.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Surname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head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(first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letter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capitalized).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two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more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head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data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have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same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surname,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first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letter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(capitalized)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leaders’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first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name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indicated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addition</w:t>
            </w:r>
            <w:r w:rsidR="0002565D">
              <w:rPr>
                <w:rStyle w:val="Andere"/>
                <w:lang w:val="en-GB"/>
              </w:rPr>
              <w:t>. I</w:t>
            </w:r>
            <w:r w:rsidRPr="00577BC4">
              <w:rPr>
                <w:rStyle w:val="Andere"/>
                <w:lang w:val="en-GB"/>
              </w:rPr>
              <w:t>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this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does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not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suffice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to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discriminate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among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leaders,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full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first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name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(first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letter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capitalized)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indicated.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Moreover,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roman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letters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indicate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tenure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for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every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leader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with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more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than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one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tenure.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presidential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systems,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proofErr w:type="spellStart"/>
            <w:r w:rsidRPr="00577BC4">
              <w:rPr>
                <w:rStyle w:val="Andere"/>
                <w:lang w:val="en-GB"/>
              </w:rPr>
              <w:t>cab_name</w:t>
            </w:r>
            <w:proofErr w:type="spellEnd"/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equals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proofErr w:type="spellStart"/>
            <w:r w:rsidRPr="00577BC4">
              <w:rPr>
                <w:rStyle w:val="Andere"/>
                <w:lang w:val="en-GB"/>
              </w:rPr>
              <w:t>pres_name</w:t>
            </w:r>
            <w:proofErr w:type="spellEnd"/>
            <w:r w:rsidRPr="00577BC4">
              <w:rPr>
                <w:rStyle w:val="Andere"/>
                <w:lang w:val="en-GB"/>
              </w:rPr>
              <w:t>.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Information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predominantly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retrieved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from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proofErr w:type="spellStart"/>
            <w:r w:rsidRPr="00577BC4">
              <w:rPr>
                <w:rStyle w:val="Andere"/>
                <w:lang w:val="en-GB"/>
              </w:rPr>
              <w:t>ParlGov</w:t>
            </w:r>
            <w:proofErr w:type="spellEnd"/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</w:t>
            </w:r>
            <w:proofErr w:type="spellStart"/>
            <w:r w:rsidRPr="00577BC4">
              <w:rPr>
                <w:rStyle w:val="Andere"/>
                <w:lang w:val="en-GB"/>
              </w:rPr>
              <w:t>Döring</w:t>
            </w:r>
            <w:proofErr w:type="spellEnd"/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and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proofErr w:type="spellStart"/>
            <w:r w:rsidRPr="00577BC4">
              <w:rPr>
                <w:rStyle w:val="Andere"/>
                <w:lang w:val="en-GB"/>
              </w:rPr>
              <w:t>Manow</w:t>
            </w:r>
            <w:proofErr w:type="spellEnd"/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2012)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with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adapt</w:t>
            </w:r>
            <w:r w:rsidR="00851F8A" w:rsidRPr="00577BC4">
              <w:rPr>
                <w:rStyle w:val="Andere"/>
                <w:lang w:val="en-GB"/>
              </w:rPr>
              <w:t>at</w:t>
            </w:r>
            <w:r w:rsidRPr="00577BC4">
              <w:rPr>
                <w:rStyle w:val="Andere"/>
                <w:lang w:val="en-GB"/>
              </w:rPr>
              <w:t>ions.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89EC60" w14:textId="77777777" w:rsidR="00F31C3C" w:rsidRPr="00577BC4" w:rsidRDefault="00851F8A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string</w:t>
            </w:r>
          </w:p>
        </w:tc>
      </w:tr>
      <w:tr w:rsidR="00F31C3C" w:rsidRPr="00577BC4" w14:paraId="6E3AB8C7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F13D2" w14:textId="77777777" w:rsidR="00F31C3C" w:rsidRPr="00577BC4" w:rsidRDefault="00851F8A" w:rsidP="00906B79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cab_nr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7986198" w14:textId="7D25B3C8" w:rsidR="00F31C3C" w:rsidRPr="00577BC4" w:rsidRDefault="00851F8A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Cabinet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number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BE4B2E5" w14:textId="75FCB681" w:rsidR="00F31C3C" w:rsidRPr="00577BC4" w:rsidRDefault="00851F8A" w:rsidP="007428A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Count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number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2071B2"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cabinet,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within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0728C1">
              <w:rPr>
                <w:rStyle w:val="Andere"/>
                <w:lang w:val="en-GB"/>
              </w:rPr>
              <w:t xml:space="preserve"> temporal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coverage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dataset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B0019E" w14:textId="77777777" w:rsidR="00F31C3C" w:rsidRPr="00577BC4" w:rsidRDefault="00851F8A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number</w:t>
            </w:r>
          </w:p>
        </w:tc>
      </w:tr>
      <w:tr w:rsidR="00851F8A" w:rsidRPr="00577BC4" w14:paraId="46E2D7E4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F94D7" w14:textId="77777777" w:rsidR="00851F8A" w:rsidRPr="00577BC4" w:rsidRDefault="00851F8A" w:rsidP="00906B79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cab_p_main_abbrev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F8DE154" w14:textId="65E2A745" w:rsidR="00851F8A" w:rsidRPr="00577BC4" w:rsidRDefault="00851F8A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Main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cabinet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party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abbreviation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10A62EF" w14:textId="2447755C" w:rsidR="00851F8A" w:rsidRPr="00577BC4" w:rsidRDefault="00851F8A" w:rsidP="007428A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Party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abbreviation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7428AC">
              <w:rPr>
                <w:rStyle w:val="Andere"/>
                <w:lang w:val="en-GB"/>
              </w:rPr>
              <w:t xml:space="preserve">cabinet </w:t>
            </w:r>
            <w:r w:rsidRPr="00577BC4">
              <w:rPr>
                <w:rStyle w:val="Andere"/>
                <w:lang w:val="en-GB"/>
              </w:rPr>
              <w:t>party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7428AC">
              <w:rPr>
                <w:rStyle w:val="Andere"/>
                <w:lang w:val="en-GB"/>
              </w:rPr>
              <w:t>with most seats in the country parliament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82116B" w14:textId="1740FF89" w:rsidR="00851F8A" w:rsidRPr="00577BC4" w:rsidRDefault="00851F8A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capitalized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string</w:t>
            </w:r>
          </w:p>
        </w:tc>
      </w:tr>
      <w:tr w:rsidR="00851F8A" w:rsidRPr="00577BC4" w14:paraId="414841D0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116A3" w14:textId="77777777" w:rsidR="00851F8A" w:rsidRPr="00577BC4" w:rsidRDefault="00851F8A" w:rsidP="00906B79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cab_p_main_id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E4E2668" w14:textId="6DDE78D1" w:rsidR="00851F8A" w:rsidRPr="00577BC4" w:rsidRDefault="00851F8A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Main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cabinet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party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ID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72450A8" w14:textId="057C108F" w:rsidR="00851F8A" w:rsidRPr="00577BC4" w:rsidRDefault="00851F8A" w:rsidP="007428A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Identification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number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main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party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within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2071B2"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36EDA8" w14:textId="46A19558" w:rsidR="00851F8A" w:rsidRPr="00577BC4" w:rsidRDefault="00851F8A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cf.</w:t>
            </w:r>
            <w:r w:rsidR="00577BC4" w:rsidRPr="00577BC4">
              <w:rPr>
                <w:rStyle w:val="Andere"/>
              </w:rPr>
              <w:t xml:space="preserve"> </w:t>
            </w:r>
            <w:proofErr w:type="spellStart"/>
            <w:r w:rsidRPr="00577BC4">
              <w:rPr>
                <w:rStyle w:val="Andere"/>
              </w:rPr>
              <w:t>party_id</w:t>
            </w:r>
            <w:proofErr w:type="spellEnd"/>
          </w:p>
        </w:tc>
      </w:tr>
      <w:tr w:rsidR="00851F8A" w:rsidRPr="00577BC4" w14:paraId="34565B11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1A51A" w14:textId="77777777" w:rsidR="00851F8A" w:rsidRPr="00577BC4" w:rsidRDefault="00851F8A" w:rsidP="00906B79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identifier_pid_cab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452FED0" w14:textId="6F3E74DA" w:rsidR="00851F8A" w:rsidRPr="00577BC4" w:rsidRDefault="00646EDA" w:rsidP="007428A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Identifier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for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and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main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F0626E8" w14:textId="1B73FA24" w:rsidR="00851F8A" w:rsidRPr="00577BC4" w:rsidRDefault="00646EDA" w:rsidP="007428A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Connector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for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2071B2"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and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main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party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ID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A0F9F13" w14:textId="1A4F2B30" w:rsidR="00851F8A" w:rsidRPr="00577BC4" w:rsidRDefault="00646EDA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string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+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cf.</w:t>
            </w:r>
            <w:r w:rsidR="00577BC4" w:rsidRPr="00577BC4">
              <w:rPr>
                <w:rStyle w:val="Andere"/>
              </w:rPr>
              <w:t xml:space="preserve"> </w:t>
            </w:r>
            <w:proofErr w:type="spellStart"/>
            <w:r w:rsidRPr="00577BC4">
              <w:rPr>
                <w:rStyle w:val="Andere"/>
              </w:rPr>
              <w:t>party_id</w:t>
            </w:r>
            <w:proofErr w:type="spellEnd"/>
          </w:p>
        </w:tc>
      </w:tr>
      <w:tr w:rsidR="00851F8A" w:rsidRPr="00577BC4" w14:paraId="5516BCF8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079BC" w14:textId="77777777" w:rsidR="00851F8A" w:rsidRPr="00577BC4" w:rsidRDefault="00851F8A" w:rsidP="00906B79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cab_p_main_fam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77B03F9" w14:textId="7AB1AA46" w:rsidR="00851F8A" w:rsidRPr="00577BC4" w:rsidRDefault="00851F8A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Party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family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of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main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cabinet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party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5547033" w14:textId="340A6D59" w:rsidR="00851F8A" w:rsidRPr="00577BC4" w:rsidRDefault="00646EDA" w:rsidP="007428A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Party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family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main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party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unit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level.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614166" w14:textId="380652AB" w:rsidR="00851F8A" w:rsidRPr="00577BC4" w:rsidRDefault="00646EDA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cf.</w:t>
            </w:r>
            <w:r w:rsidR="00577BC4" w:rsidRPr="00577BC4">
              <w:rPr>
                <w:rStyle w:val="Andere"/>
              </w:rPr>
              <w:t xml:space="preserve"> </w:t>
            </w:r>
            <w:proofErr w:type="spellStart"/>
            <w:r w:rsidRPr="00577BC4">
              <w:rPr>
                <w:rStyle w:val="Andere"/>
              </w:rPr>
              <w:t>parfam</w:t>
            </w:r>
            <w:proofErr w:type="spellEnd"/>
          </w:p>
        </w:tc>
      </w:tr>
      <w:tr w:rsidR="00851F8A" w:rsidRPr="00577BC4" w14:paraId="636996A8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C6AE8" w14:textId="7FB6D32C" w:rsidR="00851F8A" w:rsidRPr="00577BC4" w:rsidRDefault="00851F8A" w:rsidP="00906B79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cab_year</w:t>
            </w:r>
            <w:proofErr w:type="spellEnd"/>
            <w:r w:rsidR="00577BC4" w:rsidRPr="00577BC4">
              <w:rPr>
                <w:rStyle w:val="Andere"/>
              </w:rPr>
              <w:t xml:space="preserve"> 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87E26F0" w14:textId="041568A5" w:rsidR="00851F8A" w:rsidRPr="00577BC4" w:rsidRDefault="00646EDA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Cabinet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year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AA8AB2B" w14:textId="0393F720" w:rsidR="00851F8A" w:rsidRPr="00577BC4" w:rsidRDefault="00646EDA" w:rsidP="007428A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Calendar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year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which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2071B2"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enters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office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BB4C44" w14:textId="77777777" w:rsidR="00851F8A" w:rsidRPr="00577BC4" w:rsidRDefault="00646EDA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YYYY</w:t>
            </w:r>
          </w:p>
        </w:tc>
      </w:tr>
      <w:tr w:rsidR="00646EDA" w:rsidRPr="00577BC4" w14:paraId="0543CF87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58F95" w14:textId="77777777" w:rsidR="00646EDA" w:rsidRPr="00577BC4" w:rsidRDefault="00646EDA" w:rsidP="00906B79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cab_startdate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A223E32" w14:textId="4F981931" w:rsidR="00646EDA" w:rsidRPr="00577BC4" w:rsidRDefault="00646EDA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Start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date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of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cabinet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EB8A954" w14:textId="3242B4BC" w:rsidR="00646EDA" w:rsidRPr="00577BC4" w:rsidRDefault="00646EDA" w:rsidP="007428A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Start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date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2071B2"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44D8F3" w14:textId="77777777" w:rsidR="00646EDA" w:rsidRPr="00577BC4" w:rsidRDefault="00646EDA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YYYY-MM-DD</w:t>
            </w:r>
          </w:p>
        </w:tc>
      </w:tr>
      <w:tr w:rsidR="00646EDA" w:rsidRPr="00577BC4" w14:paraId="42556428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D1B3A" w14:textId="77777777" w:rsidR="00646EDA" w:rsidRPr="00577BC4" w:rsidRDefault="00646EDA" w:rsidP="00646EDA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cab_enddate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B8A47D9" w14:textId="32152614" w:rsidR="00646EDA" w:rsidRPr="00577BC4" w:rsidRDefault="00646EDA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End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date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of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cabinet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2F3507D" w14:textId="66D96FD2" w:rsidR="00646EDA" w:rsidRPr="00577BC4" w:rsidRDefault="00646EDA" w:rsidP="007428A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End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date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2071B2"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B637A3D" w14:textId="77777777" w:rsidR="00646EDA" w:rsidRPr="00577BC4" w:rsidRDefault="00646EDA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YYYY-MM-DD</w:t>
            </w:r>
          </w:p>
        </w:tc>
      </w:tr>
      <w:tr w:rsidR="00646EDA" w:rsidRPr="00577BC4" w14:paraId="2E9ADDF2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035E2" w14:textId="77777777" w:rsidR="00646EDA" w:rsidRPr="00577BC4" w:rsidRDefault="00646EDA" w:rsidP="00646EDA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cab_duration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A5019C2" w14:textId="2BC57DD4" w:rsidR="00646EDA" w:rsidRPr="00577BC4" w:rsidRDefault="00646EDA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Cabinet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duration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6B11B36" w14:textId="5E7C2A70" w:rsidR="00646EDA" w:rsidRPr="00577BC4" w:rsidRDefault="00646EDA" w:rsidP="007428AC">
            <w:pPr>
              <w:pStyle w:val="Andere0"/>
              <w:tabs>
                <w:tab w:val="left" w:pos="9313"/>
              </w:tabs>
              <w:rPr>
                <w:lang w:val="en-GB"/>
              </w:rPr>
            </w:pPr>
            <w:r w:rsidRPr="00577BC4">
              <w:rPr>
                <w:rStyle w:val="Andere"/>
                <w:lang w:val="en-GB"/>
              </w:rPr>
              <w:t>Number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months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that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2071B2"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lasted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office.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more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than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one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office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same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month,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month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assigned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to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with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most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days,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and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numbers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days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office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are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equal,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month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assigned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to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previous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cabinet.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6D9931" w14:textId="77777777" w:rsidR="00646EDA" w:rsidRPr="00577BC4" w:rsidRDefault="00306723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number</w:t>
            </w:r>
          </w:p>
        </w:tc>
      </w:tr>
      <w:tr w:rsidR="00646EDA" w:rsidRPr="00577BC4" w14:paraId="483992BC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14B09" w14:textId="77777777" w:rsidR="00646EDA" w:rsidRPr="00577BC4" w:rsidRDefault="00646EDA" w:rsidP="00646EDA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pres_system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1E83BA4" w14:textId="353ADCEC" w:rsidR="00646EDA" w:rsidRPr="00577BC4" w:rsidRDefault="00975095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Presidential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system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544ABDE" w14:textId="5C750425" w:rsidR="00646EDA" w:rsidRPr="00577BC4" w:rsidRDefault="00306723" w:rsidP="007428A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Dummy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indicating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whether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political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system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presidential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semi-presidential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(1)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not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(0).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All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variables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that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only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apply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to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'(semi)-presidential'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systems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are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assigned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missing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values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(NA)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for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others.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821A5A" w14:textId="77777777" w:rsidR="00646EDA" w:rsidRPr="00577BC4" w:rsidRDefault="00306723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dummy</w:t>
            </w:r>
          </w:p>
        </w:tc>
      </w:tr>
      <w:tr w:rsidR="00646EDA" w:rsidRPr="00577BC4" w14:paraId="5360FEB9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F1E4C" w14:textId="77777777" w:rsidR="00646EDA" w:rsidRPr="00577BC4" w:rsidRDefault="00646EDA" w:rsidP="00646EDA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pres_name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5FA27F2" w14:textId="309E34B3" w:rsidR="00646EDA" w:rsidRPr="00577BC4" w:rsidRDefault="00975095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President's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name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8DB3CB0" w14:textId="61EA0C40" w:rsidR="00646EDA" w:rsidRPr="00577BC4" w:rsidRDefault="00975095" w:rsidP="007428A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President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and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tenure.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Surname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president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(first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letter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capitalized).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two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more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presidents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data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have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same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surname,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first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letter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(capitalized)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presidents’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first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name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indicated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addition,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this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does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not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suffice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to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discriminate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among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presidents,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full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first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name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(first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letter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capitalized)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indicated.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Moreover,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roman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letters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indicate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tenure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for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every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president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with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more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than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one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tenure.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6D9103" w14:textId="646E1C3E" w:rsidR="00646EDA" w:rsidRPr="00577BC4" w:rsidRDefault="00975095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string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(+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first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letter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of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first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name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or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full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first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name)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(+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roman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digit)</w:t>
            </w:r>
          </w:p>
        </w:tc>
      </w:tr>
      <w:tr w:rsidR="00975095" w:rsidRPr="00577BC4" w14:paraId="2D02D85B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8E8DB" w14:textId="77777777" w:rsidR="00975095" w:rsidRPr="00577BC4" w:rsidRDefault="00975095" w:rsidP="00646EDA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pres_number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5A9F7BF" w14:textId="38706258" w:rsidR="00975095" w:rsidRPr="00577BC4" w:rsidRDefault="00975095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Number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of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the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presidency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4921A3A" w14:textId="102CEA24" w:rsidR="00975095" w:rsidRPr="00577BC4" w:rsidRDefault="00906B79" w:rsidP="007428A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Count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number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presidency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within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coverage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period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country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404F39E" w14:textId="77777777" w:rsidR="00975095" w:rsidRPr="00577BC4" w:rsidRDefault="00906B79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number</w:t>
            </w:r>
          </w:p>
        </w:tc>
      </w:tr>
      <w:tr w:rsidR="00906B79" w:rsidRPr="00577BC4" w14:paraId="70CFD7CA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2DA5F" w14:textId="77777777" w:rsidR="00906B79" w:rsidRPr="00577BC4" w:rsidRDefault="00906B79" w:rsidP="00646EDA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pres_p_abbrev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6F05B01" w14:textId="11C42F41" w:rsidR="00906B79" w:rsidRPr="00577BC4" w:rsidRDefault="00906B79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President's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party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abbreviation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DE03629" w14:textId="261F33BB" w:rsidR="00906B79" w:rsidRPr="00577BC4" w:rsidRDefault="00906B79" w:rsidP="007428A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Party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abbreviation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party,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to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whom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president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belongs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to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D8ACC64" w14:textId="43739CF7" w:rsidR="00906B79" w:rsidRPr="00577BC4" w:rsidRDefault="00906B79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capitalized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string</w:t>
            </w:r>
          </w:p>
        </w:tc>
      </w:tr>
      <w:tr w:rsidR="00906B79" w:rsidRPr="00577BC4" w14:paraId="7033C60A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65AD0" w14:textId="77777777" w:rsidR="00906B79" w:rsidRPr="00577BC4" w:rsidRDefault="00906B79" w:rsidP="00646EDA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pres_party_id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26D645" w14:textId="7E0C052E" w:rsidR="00906B79" w:rsidRPr="00577BC4" w:rsidRDefault="00906B79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President's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party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ID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3F706E3" w14:textId="16105FCF" w:rsidR="00906B79" w:rsidRPr="00577BC4" w:rsidRDefault="00906B79" w:rsidP="007428A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Identification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number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party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president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CFE293" w14:textId="368AD950" w:rsidR="00906B79" w:rsidRPr="00577BC4" w:rsidRDefault="00906B79" w:rsidP="007428AC">
            <w:pPr>
              <w:spacing w:after="0" w:line="240" w:lineRule="auto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country_id</w:t>
            </w:r>
            <w:proofErr w:type="spellEnd"/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+</w:t>
            </w:r>
            <w:r w:rsidR="00577BC4" w:rsidRPr="00577BC4">
              <w:rPr>
                <w:rStyle w:val="Andere"/>
              </w:rPr>
              <w:t xml:space="preserve"> </w:t>
            </w:r>
            <w:proofErr w:type="spellStart"/>
            <w:r w:rsidRPr="00577BC4">
              <w:rPr>
                <w:rStyle w:val="Andere"/>
              </w:rPr>
              <w:t>parfam</w:t>
            </w:r>
            <w:proofErr w:type="spellEnd"/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+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two-digit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code</w:t>
            </w:r>
          </w:p>
        </w:tc>
      </w:tr>
      <w:tr w:rsidR="00906B79" w:rsidRPr="00577BC4" w14:paraId="208385E8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16705" w14:textId="77777777" w:rsidR="00906B79" w:rsidRPr="00577BC4" w:rsidRDefault="00906B79" w:rsidP="00646EDA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pres_p_fam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119E82F" w14:textId="2AFE668F" w:rsidR="00906B79" w:rsidRPr="00577BC4" w:rsidRDefault="00906B79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President's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party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family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9ED23D8" w14:textId="5FC9C8FC" w:rsidR="00906B79" w:rsidRPr="00577BC4" w:rsidRDefault="00906B79" w:rsidP="007428A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Party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family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president's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party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850E55" w14:textId="6A24279F" w:rsidR="00906B79" w:rsidRPr="00577BC4" w:rsidRDefault="00906B79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two-digit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code</w:t>
            </w:r>
          </w:p>
        </w:tc>
      </w:tr>
      <w:tr w:rsidR="00906B79" w:rsidRPr="00577BC4" w14:paraId="368503B4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4E381" w14:textId="77777777" w:rsidR="00906B79" w:rsidRPr="00577BC4" w:rsidRDefault="00906B79" w:rsidP="00646EDA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pres_year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688BDFA" w14:textId="08180667" w:rsidR="00906B79" w:rsidRPr="00577BC4" w:rsidRDefault="00906B79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President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first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year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in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office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6ED123D" w14:textId="0D3837A2" w:rsidR="00906B79" w:rsidRPr="00577BC4" w:rsidRDefault="00906B79" w:rsidP="007428A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Calendar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year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moment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presidents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enters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office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E16FA5" w14:textId="77777777" w:rsidR="00906B79" w:rsidRPr="00577BC4" w:rsidRDefault="00906B79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YYYY</w:t>
            </w:r>
          </w:p>
        </w:tc>
      </w:tr>
      <w:tr w:rsidR="00906B79" w:rsidRPr="00577BC4" w14:paraId="44A2356B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BE67C" w14:textId="77777777" w:rsidR="00906B79" w:rsidRPr="00577BC4" w:rsidRDefault="00906B79" w:rsidP="00646EDA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pres_date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FF5F193" w14:textId="11A62105" w:rsidR="00906B79" w:rsidRPr="00577BC4" w:rsidRDefault="00906B79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President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election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date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94155AA" w14:textId="40BAF481" w:rsidR="00906B79" w:rsidRPr="00577BC4" w:rsidRDefault="00906B79" w:rsidP="007428A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Calendar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date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election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presidency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803C9E" w14:textId="77777777" w:rsidR="00906B79" w:rsidRPr="00577BC4" w:rsidRDefault="00906B79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YYYY-MM-DD</w:t>
            </w:r>
          </w:p>
        </w:tc>
      </w:tr>
      <w:tr w:rsidR="00906B79" w:rsidRPr="00577BC4" w14:paraId="1E438B75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8104E" w14:textId="77777777" w:rsidR="00906B79" w:rsidRPr="00577BC4" w:rsidRDefault="00906B79" w:rsidP="00646EDA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pres_startdate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AC65048" w14:textId="49743DCA" w:rsidR="00906B79" w:rsidRPr="00577BC4" w:rsidRDefault="00906B79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President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start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date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502D317" w14:textId="2B333CDC" w:rsidR="00906B79" w:rsidRPr="00577BC4" w:rsidRDefault="00906B79" w:rsidP="007428A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Start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date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presidency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868F9C9" w14:textId="77777777" w:rsidR="00906B79" w:rsidRPr="00577BC4" w:rsidRDefault="00906B79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YYYY-MM-DD</w:t>
            </w:r>
          </w:p>
        </w:tc>
      </w:tr>
      <w:tr w:rsidR="00906B79" w:rsidRPr="00577BC4" w14:paraId="23C775B9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9CF83" w14:textId="77777777" w:rsidR="00906B79" w:rsidRPr="00577BC4" w:rsidRDefault="00906B79" w:rsidP="00646EDA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pres_enddate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AAA9D6B" w14:textId="3981FBC8" w:rsidR="00906B79" w:rsidRPr="00577BC4" w:rsidRDefault="00906B79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President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end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date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E6600FE" w14:textId="00F22FAD" w:rsidR="00906B79" w:rsidRPr="00577BC4" w:rsidRDefault="00906B79" w:rsidP="007428A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End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date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presidency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7A40D20F" w14:textId="77777777" w:rsidR="00906B79" w:rsidRPr="00577BC4" w:rsidRDefault="00906B79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YYYY-MM-DD</w:t>
            </w:r>
          </w:p>
        </w:tc>
      </w:tr>
      <w:tr w:rsidR="008D1080" w:rsidRPr="00577BC4" w14:paraId="490E5ADE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BFFD1" w14:textId="77777777" w:rsidR="008D1080" w:rsidRPr="00577BC4" w:rsidRDefault="008D1080" w:rsidP="008D1080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cab_p_sum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F91C4F4" w14:textId="0B81B5D0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Sum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of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cabinet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parties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63D77D1" w14:textId="5F42CA9C" w:rsidR="008D1080" w:rsidRPr="00577BC4" w:rsidRDefault="008D1080" w:rsidP="007428A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Number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parties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participating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2A6916" w14:textId="77777777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dummy</w:t>
            </w:r>
          </w:p>
        </w:tc>
      </w:tr>
      <w:tr w:rsidR="008D1080" w:rsidRPr="00577BC4" w14:paraId="7C714D69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0C373" w14:textId="77777777" w:rsidR="008D1080" w:rsidRPr="00577BC4" w:rsidRDefault="008D1080" w:rsidP="008D1080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cab_p_main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C16F395" w14:textId="299C64B2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Main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cabinet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party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78B8F0B" w14:textId="2063A308" w:rsidR="008D1080" w:rsidRPr="00577BC4" w:rsidRDefault="008D1080" w:rsidP="007428A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Party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participates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and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has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most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seats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among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parties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parliament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FFB72D6" w14:textId="77777777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dummy</w:t>
            </w:r>
          </w:p>
        </w:tc>
      </w:tr>
      <w:tr w:rsidR="008D1080" w:rsidRPr="00577BC4" w14:paraId="7D296F6B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3B4E6" w14:textId="77777777" w:rsidR="008D1080" w:rsidRPr="00577BC4" w:rsidRDefault="008D1080" w:rsidP="008D1080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cab_p_comp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62FA9DC" w14:textId="3AD14125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Main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competitor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party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D940947" w14:textId="29723403" w:rsidR="008D1080" w:rsidRPr="00577BC4" w:rsidRDefault="008D1080" w:rsidP="007428A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Party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with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greatest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number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seats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without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participation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34D703" w14:textId="705234FE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dummy</w:t>
            </w:r>
            <w:r w:rsidR="00577BC4" w:rsidRPr="00577BC4">
              <w:rPr>
                <w:rStyle w:val="Andere"/>
              </w:rPr>
              <w:t xml:space="preserve"> </w:t>
            </w:r>
          </w:p>
        </w:tc>
      </w:tr>
      <w:tr w:rsidR="008D1080" w:rsidRPr="00577BC4" w14:paraId="05587723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45A33" w14:textId="77777777" w:rsidR="008D1080" w:rsidRPr="00577BC4" w:rsidRDefault="008D1080" w:rsidP="008D1080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cab_graco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12539F4" w14:textId="1DBC3734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Grand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coalition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cabinet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C2D4744" w14:textId="1D422338" w:rsidR="008D1080" w:rsidRPr="00577BC4" w:rsidRDefault="008D1080" w:rsidP="007428A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formed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by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two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strongest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parties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parliament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term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seat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share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13DED6" w14:textId="77777777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dummy</w:t>
            </w:r>
          </w:p>
        </w:tc>
      </w:tr>
      <w:tr w:rsidR="008D1080" w:rsidRPr="00577BC4" w14:paraId="4E87E5F9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F2074" w14:textId="77777777" w:rsidR="008D1080" w:rsidRPr="00577BC4" w:rsidRDefault="008D1080" w:rsidP="008D1080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cab_doublemaj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3ECD875" w14:textId="522AD695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Cabinet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with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double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majority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038E3F0" w14:textId="0D4DE3CE" w:rsidR="008D1080" w:rsidRPr="00577BC4" w:rsidRDefault="008D1080" w:rsidP="007428A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benefits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from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same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partisan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majority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second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chambers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systems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with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second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chamber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8D2316" w14:textId="77777777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dummy</w:t>
            </w:r>
          </w:p>
        </w:tc>
      </w:tr>
      <w:tr w:rsidR="008D1080" w:rsidRPr="00577BC4" w14:paraId="0C728C27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E5959" w14:textId="77777777" w:rsidR="008D1080" w:rsidRPr="00577BC4" w:rsidRDefault="008D1080" w:rsidP="008D1080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cab_p_main_indp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0687A5" w14:textId="3632A909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Cabinet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of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independent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8E9664" w14:textId="7BD1EE1F" w:rsidR="008D1080" w:rsidRPr="00577BC4" w:rsidRDefault="008D1080" w:rsidP="007428A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2A237A">
              <w:rPr>
                <w:rStyle w:val="Andere"/>
                <w:lang w:val="en-GB"/>
              </w:rPr>
              <w:t>run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by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independent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prime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minister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2C3ED1" w14:textId="100081F4" w:rsidR="008D1080" w:rsidRPr="00577BC4" w:rsidRDefault="007428AC" w:rsidP="007428AC">
            <w:pPr>
              <w:spacing w:after="0" w:line="240" w:lineRule="auto"/>
              <w:rPr>
                <w:rStyle w:val="Andere"/>
              </w:rPr>
            </w:pPr>
            <w:r>
              <w:rPr>
                <w:rStyle w:val="Andere"/>
              </w:rPr>
              <w:t>du</w:t>
            </w:r>
            <w:r w:rsidR="008D1080" w:rsidRPr="00577BC4">
              <w:rPr>
                <w:rStyle w:val="Andere"/>
              </w:rPr>
              <w:t>mmy</w:t>
            </w:r>
          </w:p>
        </w:tc>
      </w:tr>
      <w:tr w:rsidR="007428AC" w:rsidRPr="00577BC4" w14:paraId="6B2FC9B8" w14:textId="77777777" w:rsidTr="007428AC">
        <w:trPr>
          <w:trHeight w:val="20"/>
        </w:trPr>
        <w:tc>
          <w:tcPr>
            <w:tcW w:w="143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34737" w14:textId="00942F24" w:rsidR="007428AC" w:rsidRPr="007428AC" w:rsidRDefault="007428AC" w:rsidP="007428AC">
            <w:pPr>
              <w:spacing w:after="0" w:line="240" w:lineRule="auto"/>
              <w:jc w:val="right"/>
              <w:rPr>
                <w:rStyle w:val="Andere"/>
                <w:i/>
              </w:rPr>
            </w:pPr>
            <w:bookmarkStart w:id="7" w:name="_Hlk169016900"/>
            <w:r w:rsidRPr="007428AC">
              <w:rPr>
                <w:rStyle w:val="Andere"/>
                <w:i/>
              </w:rPr>
              <w:t>table continued on following page</w:t>
            </w:r>
          </w:p>
        </w:tc>
      </w:tr>
      <w:bookmarkEnd w:id="7"/>
      <w:tr w:rsidR="008D1080" w:rsidRPr="00577BC4" w14:paraId="6A96F87A" w14:textId="77777777" w:rsidTr="008D1080">
        <w:trPr>
          <w:trHeight w:val="595"/>
        </w:trPr>
        <w:tc>
          <w:tcPr>
            <w:tcW w:w="143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C328EA3" w14:textId="45C1AED8" w:rsidR="008D1080" w:rsidRPr="00577BC4" w:rsidRDefault="008D1080" w:rsidP="008D1080">
            <w:pPr>
              <w:spacing w:after="0" w:line="240" w:lineRule="auto"/>
              <w:jc w:val="center"/>
              <w:rPr>
                <w:rStyle w:val="Andere"/>
                <w:b/>
              </w:rPr>
            </w:pPr>
            <w:r w:rsidRPr="00577BC4">
              <w:rPr>
                <w:rStyle w:val="Andere"/>
                <w:b/>
              </w:rPr>
              <w:lastRenderedPageBreak/>
              <w:t>Country</w:t>
            </w:r>
            <w:r w:rsidR="00577BC4" w:rsidRPr="00577BC4">
              <w:rPr>
                <w:rStyle w:val="Andere"/>
                <w:b/>
              </w:rPr>
              <w:t xml:space="preserve"> </w:t>
            </w:r>
            <w:r w:rsidRPr="00577BC4">
              <w:rPr>
                <w:rStyle w:val="Andere"/>
                <w:b/>
              </w:rPr>
              <w:t>and</w:t>
            </w:r>
            <w:r w:rsidR="00577BC4" w:rsidRPr="00577BC4">
              <w:rPr>
                <w:rStyle w:val="Andere"/>
                <w:b/>
              </w:rPr>
              <w:t xml:space="preserve"> </w:t>
            </w:r>
            <w:r w:rsidRPr="00577BC4">
              <w:rPr>
                <w:rStyle w:val="Andere"/>
                <w:b/>
              </w:rPr>
              <w:t>Regional</w:t>
            </w:r>
            <w:r w:rsidR="00577BC4" w:rsidRPr="00577BC4">
              <w:rPr>
                <w:rStyle w:val="Andere"/>
                <w:b/>
              </w:rPr>
              <w:t xml:space="preserve"> </w:t>
            </w:r>
            <w:r w:rsidRPr="00577BC4">
              <w:rPr>
                <w:rStyle w:val="Andere"/>
                <w:b/>
              </w:rPr>
              <w:t>Cabinet</w:t>
            </w:r>
            <w:r w:rsidR="00577BC4" w:rsidRPr="00577BC4">
              <w:rPr>
                <w:rStyle w:val="Andere"/>
                <w:b/>
              </w:rPr>
              <w:t xml:space="preserve"> </w:t>
            </w:r>
            <w:r w:rsidRPr="00577BC4">
              <w:rPr>
                <w:rStyle w:val="Andere"/>
                <w:b/>
              </w:rPr>
              <w:t>Information</w:t>
            </w:r>
          </w:p>
        </w:tc>
      </w:tr>
      <w:tr w:rsidR="008D1080" w:rsidRPr="00577BC4" w14:paraId="2456E917" w14:textId="77777777" w:rsidTr="000260D6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nil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CC752E3" w14:textId="77777777" w:rsidR="008D1080" w:rsidRPr="00577BC4" w:rsidRDefault="008D1080" w:rsidP="008D1080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>Variable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C39DE4" w14:textId="77777777" w:rsidR="008D1080" w:rsidRPr="00577BC4" w:rsidRDefault="008D1080" w:rsidP="007428AC">
            <w:pPr>
              <w:spacing w:after="0" w:line="240" w:lineRule="auto"/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>Name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8CFBFB" w14:textId="77777777" w:rsidR="008D1080" w:rsidRPr="00577BC4" w:rsidRDefault="008D1080" w:rsidP="007428AC">
            <w:pPr>
              <w:spacing w:after="0" w:line="240" w:lineRule="auto"/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>Description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ABC950" w14:textId="57697927" w:rsidR="008D1080" w:rsidRPr="00577BC4" w:rsidRDefault="008D1080" w:rsidP="007428AC">
            <w:pPr>
              <w:spacing w:after="0" w:line="240" w:lineRule="auto"/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>Data</w:t>
            </w:r>
            <w:r w:rsidR="00577BC4"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>format</w:t>
            </w:r>
            <w:r w:rsidR="00577BC4"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 xml:space="preserve"> </w:t>
            </w:r>
          </w:p>
        </w:tc>
      </w:tr>
      <w:tr w:rsidR="008D1080" w:rsidRPr="00577BC4" w14:paraId="2F932D65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8E7D4" w14:textId="77777777" w:rsidR="008D1080" w:rsidRPr="00577BC4" w:rsidRDefault="008D1080" w:rsidP="008D1080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cab_sshare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3228D00" w14:textId="04349396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Cabinet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seat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share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F8822CD" w14:textId="7C0B357F" w:rsidR="008D1080" w:rsidRPr="00577BC4" w:rsidRDefault="008D1080" w:rsidP="007428A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Seat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share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parties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(sum)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0728C1">
              <w:rPr>
                <w:rStyle w:val="Andere"/>
                <w:lang w:val="en-GB"/>
              </w:rPr>
              <w:t xml:space="preserve">on the </w:t>
            </w:r>
            <w:r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0728C1">
              <w:rPr>
                <w:rStyle w:val="Andere"/>
                <w:lang w:val="en-GB"/>
              </w:rPr>
              <w:t xml:space="preserve">level </w:t>
            </w:r>
            <w:r w:rsidRPr="00577BC4">
              <w:rPr>
                <w:rStyle w:val="Andere"/>
                <w:lang w:val="en-GB"/>
              </w:rPr>
              <w:t>based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maximal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seat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allocation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0728C1">
              <w:rPr>
                <w:rStyle w:val="Andere"/>
                <w:lang w:val="en-GB"/>
              </w:rPr>
              <w:t xml:space="preserve">the </w:t>
            </w:r>
            <w:r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parliament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(per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cent)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4ABD83B" w14:textId="77777777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0-1</w:t>
            </w:r>
          </w:p>
        </w:tc>
      </w:tr>
      <w:tr w:rsidR="008D1080" w:rsidRPr="00577BC4" w14:paraId="5C74F2AA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14CFD" w14:textId="77777777" w:rsidR="008D1080" w:rsidRPr="00577BC4" w:rsidRDefault="008D1080" w:rsidP="008D1080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r_cab_sshare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03362D3" w14:textId="63D4D0F6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Regional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cabinet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seat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share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E62F51F" w14:textId="4F127128" w:rsidR="008D1080" w:rsidRPr="00577BC4" w:rsidRDefault="008D1080" w:rsidP="007428A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Seat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share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parties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(sum)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respective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based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maximal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regional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seat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allocation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parliament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(per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cent)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627023" w14:textId="77777777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percentage</w:t>
            </w:r>
          </w:p>
        </w:tc>
      </w:tr>
      <w:tr w:rsidR="008D1080" w:rsidRPr="00577BC4" w14:paraId="0E65A143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E38A8" w14:textId="77777777" w:rsidR="008D1080" w:rsidRPr="00577BC4" w:rsidRDefault="008D1080" w:rsidP="008D1080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cab_vshare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42030CB" w14:textId="0790B24E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Cabinet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vote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share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1FC9239" w14:textId="6FC88C20" w:rsidR="008D1080" w:rsidRPr="00577BC4" w:rsidRDefault="008D1080" w:rsidP="007428A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Vote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share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parties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(sum)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0728C1">
              <w:rPr>
                <w:rStyle w:val="Andere"/>
                <w:lang w:val="en-GB"/>
              </w:rPr>
              <w:t xml:space="preserve">on the </w:t>
            </w:r>
            <w:r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0728C1">
              <w:rPr>
                <w:rStyle w:val="Andere"/>
                <w:lang w:val="en-GB"/>
              </w:rPr>
              <w:t xml:space="preserve">level </w:t>
            </w:r>
            <w:r w:rsidRPr="00577BC4">
              <w:rPr>
                <w:rStyle w:val="Andere"/>
                <w:lang w:val="en-GB"/>
              </w:rPr>
              <w:t>based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valid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votes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parliament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824A35" w14:textId="77777777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percentage</w:t>
            </w:r>
          </w:p>
        </w:tc>
      </w:tr>
      <w:tr w:rsidR="008D1080" w:rsidRPr="00577BC4" w14:paraId="3B3CA312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82ED3" w14:textId="77777777" w:rsidR="008D1080" w:rsidRPr="00577BC4" w:rsidRDefault="008D1080" w:rsidP="008D1080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r_cab_vshare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5594A4A" w14:textId="386E63D3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Cabinet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vote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share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D83D99E" w14:textId="0CFC3BAC" w:rsidR="008D1080" w:rsidRPr="00577BC4" w:rsidRDefault="008D1080" w:rsidP="007428A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Vote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share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parties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(sum)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0728C1">
              <w:rPr>
                <w:rStyle w:val="Andere"/>
                <w:lang w:val="en-GB"/>
              </w:rPr>
              <w:t xml:space="preserve">in the respective region </w:t>
            </w:r>
            <w:r w:rsidRPr="00577BC4">
              <w:rPr>
                <w:rStyle w:val="Andere"/>
                <w:lang w:val="en-GB"/>
              </w:rPr>
              <w:t>based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0728C1">
              <w:rPr>
                <w:rStyle w:val="Andere"/>
                <w:lang w:val="en-GB"/>
              </w:rPr>
              <w:t>valid votes in the respective region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4048FC" w14:textId="77777777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percentage</w:t>
            </w:r>
          </w:p>
        </w:tc>
      </w:tr>
      <w:tr w:rsidR="008D1080" w:rsidRPr="00577BC4" w14:paraId="1AE9B282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8B3DF" w14:textId="77777777" w:rsidR="008D1080" w:rsidRPr="00577BC4" w:rsidRDefault="008D1080" w:rsidP="008D1080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first_cab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0292CAF" w14:textId="7B2673D1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First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cabinet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6A3F1AA" w14:textId="4B31687D" w:rsidR="008D1080" w:rsidRPr="00577BC4" w:rsidRDefault="007428AC" w:rsidP="007428AC">
            <w:pPr>
              <w:pStyle w:val="Andere0"/>
              <w:rPr>
                <w:rStyle w:val="Andere"/>
                <w:lang w:val="en-GB"/>
              </w:rPr>
            </w:pPr>
            <w:r>
              <w:rPr>
                <w:rStyle w:val="Andere"/>
                <w:lang w:val="en-GB"/>
              </w:rPr>
              <w:t>Cabinet is first cabinet for country period covered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7AFA86" w14:textId="77777777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dummy</w:t>
            </w:r>
          </w:p>
        </w:tc>
      </w:tr>
      <w:tr w:rsidR="008D1080" w:rsidRPr="00577BC4" w14:paraId="2DD7FCA1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1F82D" w14:textId="77777777" w:rsidR="008D1080" w:rsidRPr="00577BC4" w:rsidRDefault="008D1080" w:rsidP="008D1080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last_cab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94A8CBF" w14:textId="574761FC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Last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cabinet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C065047" w14:textId="29DA665D" w:rsidR="008D1080" w:rsidRPr="00577BC4" w:rsidRDefault="007428AC" w:rsidP="007428AC">
            <w:pPr>
              <w:pStyle w:val="Andere0"/>
              <w:rPr>
                <w:rStyle w:val="Andere"/>
                <w:lang w:val="en-GB"/>
              </w:rPr>
            </w:pPr>
            <w:r>
              <w:rPr>
                <w:rStyle w:val="Andere"/>
                <w:lang w:val="en-GB"/>
              </w:rPr>
              <w:t>Cabinet is last cabinet for country period covered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42AC48" w14:textId="77777777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dummy</w:t>
            </w:r>
          </w:p>
        </w:tc>
      </w:tr>
      <w:tr w:rsidR="008D1080" w:rsidRPr="00577BC4" w14:paraId="07B77C3E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38859" w14:textId="77777777" w:rsidR="008D1080" w:rsidRPr="00577BC4" w:rsidRDefault="008D1080" w:rsidP="008D1080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cab_panelstart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C92B2B1" w14:textId="3C7AF887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Cabinet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start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2DE33E0" w14:textId="63C0EE1F" w:rsidR="008D1080" w:rsidRPr="00577BC4" w:rsidRDefault="008D1080" w:rsidP="007428A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Calendar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year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start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7428AC">
              <w:rPr>
                <w:rStyle w:val="Andere"/>
                <w:lang w:val="en-GB"/>
              </w:rPr>
              <w:t xml:space="preserve">(only available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panel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data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structure</w:t>
            </w:r>
            <w:r w:rsidR="007428AC">
              <w:rPr>
                <w:rStyle w:val="Andere"/>
                <w:lang w:val="en-GB"/>
              </w:rPr>
              <w:t>)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78F0B7" w14:textId="77777777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YYYY</w:t>
            </w:r>
          </w:p>
        </w:tc>
      </w:tr>
      <w:tr w:rsidR="008D1080" w:rsidRPr="00577BC4" w14:paraId="52635C87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60F3F" w14:textId="77777777" w:rsidR="008D1080" w:rsidRPr="00577BC4" w:rsidRDefault="008D1080" w:rsidP="008D1080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cab_panelend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023AA9F" w14:textId="04579F1D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Cabinet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end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3555B39" w14:textId="7B7C0728" w:rsidR="008D1080" w:rsidRPr="00577BC4" w:rsidRDefault="008D1080" w:rsidP="007428A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Calendar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year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end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7428AC">
              <w:rPr>
                <w:rStyle w:val="Andere"/>
                <w:lang w:val="en-GB"/>
              </w:rPr>
              <w:t xml:space="preserve">(only available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panel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data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structure</w:t>
            </w:r>
            <w:r w:rsidR="007428AC">
              <w:rPr>
                <w:rStyle w:val="Andere"/>
                <w:lang w:val="en-GB"/>
              </w:rPr>
              <w:t>)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995BCB" w14:textId="77777777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YYYY</w:t>
            </w:r>
          </w:p>
        </w:tc>
      </w:tr>
      <w:tr w:rsidR="008D1080" w:rsidRPr="00577BC4" w14:paraId="2A5BF753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18288" w14:textId="77777777" w:rsidR="008D1080" w:rsidRPr="00577BC4" w:rsidRDefault="008D1080" w:rsidP="008D1080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losing_cab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E596CEE" w14:textId="1EA89D3D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Losing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cabinet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7B4B1EB" w14:textId="5CD08A13" w:rsidR="008D1080" w:rsidRPr="00577BC4" w:rsidRDefault="008D1080" w:rsidP="007428A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no</w:t>
            </w:r>
            <w:r w:rsidR="00685BEF">
              <w:rPr>
                <w:rStyle w:val="Andere"/>
                <w:lang w:val="en-GB"/>
              </w:rPr>
              <w:t>t the longest serving in a year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(1)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685BEF">
              <w:rPr>
                <w:rStyle w:val="Andere"/>
                <w:lang w:val="en-GB"/>
              </w:rPr>
              <w:t>it is the longest serving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(0)</w:t>
            </w:r>
            <w:r w:rsidR="007428AC">
              <w:rPr>
                <w:rStyle w:val="Andere"/>
                <w:lang w:val="en-GB"/>
              </w:rPr>
              <w:t xml:space="preserve"> (only available </w:t>
            </w:r>
            <w:r w:rsidR="007428AC" w:rsidRPr="00577BC4">
              <w:rPr>
                <w:rStyle w:val="Andere"/>
                <w:lang w:val="en-GB"/>
              </w:rPr>
              <w:t>in the calendar structure for the panel data</w:t>
            </w:r>
            <w:r w:rsidR="007428AC">
              <w:rPr>
                <w:rStyle w:val="Andere"/>
                <w:lang w:val="en-GB"/>
              </w:rPr>
              <w:t>)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0A1A347B" w14:textId="77777777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dummy</w:t>
            </w:r>
          </w:p>
        </w:tc>
      </w:tr>
      <w:tr w:rsidR="008D1080" w:rsidRPr="00577BC4" w14:paraId="42DA057D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BFE2D" w14:textId="77777777" w:rsidR="008D1080" w:rsidRPr="00577BC4" w:rsidRDefault="008D1080" w:rsidP="008D1080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r_adapted_missing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3C2C1B7" w14:textId="75060FD0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Regional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vote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share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adapted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is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missing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18E5A42" w14:textId="6D5336FA" w:rsidR="008D1080" w:rsidRPr="00577BC4" w:rsidRDefault="008D1080" w:rsidP="007428A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Dummy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indicating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whether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regional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vote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share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adapted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(and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therefore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simple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regional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share)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has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missing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value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(1)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not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(0)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29421C" w14:textId="77777777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dummy</w:t>
            </w:r>
          </w:p>
        </w:tc>
      </w:tr>
      <w:tr w:rsidR="008D1080" w:rsidRPr="00577BC4" w14:paraId="431BCA25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15F22" w14:textId="77777777" w:rsidR="008D1080" w:rsidRPr="00577BC4" w:rsidRDefault="008D1080" w:rsidP="008D1080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cab_rile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27B6335" w14:textId="5415E8A4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RILE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cabinet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position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0D47796" w14:textId="08014736" w:rsidR="008D1080" w:rsidRPr="00577BC4" w:rsidRDefault="008D1080" w:rsidP="007428A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Left-right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ideal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point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weighted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by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seats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parliament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based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manifesto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data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(Lehmann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al.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2023)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FC9CE5" w14:textId="77777777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0-1</w:t>
            </w:r>
          </w:p>
        </w:tc>
      </w:tr>
      <w:tr w:rsidR="008D1080" w:rsidRPr="00577BC4" w14:paraId="7AC6F380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6B5D3" w14:textId="77777777" w:rsidR="008D1080" w:rsidRPr="00577BC4" w:rsidRDefault="008D1080" w:rsidP="008D1080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cab_</w:t>
            </w:r>
            <w:proofErr w:type="gramStart"/>
            <w:r w:rsidRPr="00577BC4">
              <w:rPr>
                <w:rStyle w:val="Andere"/>
              </w:rPr>
              <w:t>market.state</w:t>
            </w:r>
            <w:proofErr w:type="spellEnd"/>
            <w:proofErr w:type="gram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41A24F7" w14:textId="130D4BB1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Market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cabinet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position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A08CBE1" w14:textId="3AAA8E36" w:rsidR="008D1080" w:rsidRPr="00577BC4" w:rsidRDefault="008D1080" w:rsidP="007428A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Market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liberalism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ideal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point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weighted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by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seats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parliament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based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manifesto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data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(Lehmann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al.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2023)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E8260C3" w14:textId="77777777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0-1</w:t>
            </w:r>
          </w:p>
        </w:tc>
      </w:tr>
      <w:tr w:rsidR="008D1080" w:rsidRPr="00577BC4" w14:paraId="61B79856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86D76" w14:textId="77777777" w:rsidR="008D1080" w:rsidRPr="00577BC4" w:rsidRDefault="008D1080" w:rsidP="008D1080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cab_cult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00C1A5D" w14:textId="1C96A01E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Cultural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cabinet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position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B5C3B19" w14:textId="341592B9" w:rsidR="008D1080" w:rsidRPr="00577BC4" w:rsidRDefault="008D1080" w:rsidP="007428A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Cultural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dimension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ideal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point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weighted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by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seats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parliament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based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manifesto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data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(Lehmann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al.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2023)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C541BB4" w14:textId="77777777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0-1</w:t>
            </w:r>
          </w:p>
        </w:tc>
      </w:tr>
      <w:tr w:rsidR="008D1080" w:rsidRPr="00577BC4" w14:paraId="40889B7D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EE2A1" w14:textId="25433CA0" w:rsidR="008D1080" w:rsidRPr="00577BC4" w:rsidRDefault="008D1080" w:rsidP="007428AC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cab_</w:t>
            </w:r>
            <w:proofErr w:type="gramStart"/>
            <w:r w:rsidRPr="00577BC4">
              <w:rPr>
                <w:rStyle w:val="Andere"/>
              </w:rPr>
              <w:t>region.rile</w:t>
            </w:r>
            <w:proofErr w:type="gramEnd"/>
            <w:r w:rsidRPr="00577BC4">
              <w:rPr>
                <w:rStyle w:val="Andere"/>
              </w:rPr>
              <w:t>_distance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CC923FC" w14:textId="702CFE02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Left-</w:t>
            </w:r>
            <w:r w:rsidR="000260D6" w:rsidRPr="00577BC4">
              <w:rPr>
                <w:rStyle w:val="Andere"/>
              </w:rPr>
              <w:t>right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cabinet-region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distance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B767128" w14:textId="5585F4E3" w:rsidR="008D1080" w:rsidRPr="00577BC4" w:rsidRDefault="008D1080" w:rsidP="007428A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Distance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between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</w:t>
            </w:r>
            <w:r w:rsidR="007428AC">
              <w:rPr>
                <w:rStyle w:val="Andere"/>
                <w:lang w:val="en-GB"/>
              </w:rPr>
              <w:t>’s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and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region's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ideological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ideal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points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left-right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dimension: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|</w:t>
            </w:r>
            <w:proofErr w:type="spellStart"/>
            <w:r w:rsidRPr="00577BC4">
              <w:rPr>
                <w:rStyle w:val="Andere"/>
                <w:lang w:val="en-GB"/>
              </w:rPr>
              <w:t>cab_rile</w:t>
            </w:r>
            <w:proofErr w:type="spellEnd"/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-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proofErr w:type="spellStart"/>
            <w:r w:rsidRPr="00577BC4">
              <w:rPr>
                <w:rStyle w:val="Andere"/>
                <w:lang w:val="en-GB"/>
              </w:rPr>
              <w:t>cog_lr</w:t>
            </w:r>
            <w:proofErr w:type="spellEnd"/>
            <w:r w:rsidRPr="00577BC4">
              <w:rPr>
                <w:rStyle w:val="Andere"/>
                <w:lang w:val="en-GB"/>
              </w:rPr>
              <w:t>|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DFFA0E" w14:textId="77777777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0-1</w:t>
            </w:r>
          </w:p>
        </w:tc>
      </w:tr>
      <w:tr w:rsidR="008D1080" w:rsidRPr="00577BC4" w14:paraId="72EF2F46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2666B" w14:textId="1F798F8F" w:rsidR="008D1080" w:rsidRPr="00577BC4" w:rsidRDefault="008D1080" w:rsidP="007428AC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cab_</w:t>
            </w:r>
            <w:proofErr w:type="gramStart"/>
            <w:r w:rsidRPr="00577BC4">
              <w:rPr>
                <w:rStyle w:val="Andere"/>
              </w:rPr>
              <w:t>region.market</w:t>
            </w:r>
            <w:proofErr w:type="gramEnd"/>
            <w:r w:rsidRPr="00577BC4">
              <w:rPr>
                <w:rStyle w:val="Andere"/>
              </w:rPr>
              <w:t>_distance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1E73421" w14:textId="07AA7C8C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Market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liberalism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cabinet-region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distance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47CBDF9" w14:textId="0F109BEF" w:rsidR="008D1080" w:rsidRPr="00577BC4" w:rsidRDefault="008D1080" w:rsidP="007428A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Distance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between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cabinet'</w:t>
            </w:r>
            <w:r w:rsidR="007428AC">
              <w:rPr>
                <w:rStyle w:val="Andere"/>
                <w:lang w:val="en-GB"/>
              </w:rPr>
              <w:t>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and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region's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ideological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ideal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points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market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liberalism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dimension: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|</w:t>
            </w:r>
            <w:proofErr w:type="spellStart"/>
            <w:r w:rsidRPr="00577BC4">
              <w:rPr>
                <w:rStyle w:val="Andere"/>
                <w:lang w:val="en-GB"/>
              </w:rPr>
              <w:t>cab_market</w:t>
            </w:r>
            <w:proofErr w:type="spellEnd"/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-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proofErr w:type="spellStart"/>
            <w:r w:rsidRPr="00577BC4">
              <w:rPr>
                <w:rStyle w:val="Andere"/>
                <w:lang w:val="en-GB"/>
              </w:rPr>
              <w:t>cog_ml</w:t>
            </w:r>
            <w:proofErr w:type="spellEnd"/>
            <w:r w:rsidRPr="00577BC4">
              <w:rPr>
                <w:rStyle w:val="Andere"/>
                <w:lang w:val="en-GB"/>
              </w:rPr>
              <w:t>|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090ED60" w14:textId="77777777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0-1</w:t>
            </w:r>
          </w:p>
        </w:tc>
      </w:tr>
      <w:tr w:rsidR="008D1080" w:rsidRPr="00577BC4" w14:paraId="2B826BC6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5C2B9" w14:textId="158514BA" w:rsidR="008D1080" w:rsidRPr="00577BC4" w:rsidRDefault="008D1080" w:rsidP="007428AC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cab_</w:t>
            </w:r>
            <w:proofErr w:type="gramStart"/>
            <w:r w:rsidRPr="00577BC4">
              <w:rPr>
                <w:rStyle w:val="Andere"/>
              </w:rPr>
              <w:t>region.cultural</w:t>
            </w:r>
            <w:proofErr w:type="gramEnd"/>
            <w:r w:rsidRPr="00577BC4">
              <w:rPr>
                <w:rStyle w:val="Andere"/>
              </w:rPr>
              <w:t>_distance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DBC0807" w14:textId="695D9689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Cultural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cabinet-region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distance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FA2F09F" w14:textId="0B3ACFC8" w:rsidR="008D1080" w:rsidRPr="00577BC4" w:rsidRDefault="008D1080" w:rsidP="007428A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Distance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between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cabinet'</w:t>
            </w:r>
            <w:r w:rsidR="007428AC">
              <w:rPr>
                <w:rStyle w:val="Andere"/>
                <w:lang w:val="en-GB"/>
              </w:rPr>
              <w:t>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and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region's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ideological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ideal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points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cultural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dimension: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|</w:t>
            </w:r>
            <w:proofErr w:type="spellStart"/>
            <w:r w:rsidRPr="00577BC4">
              <w:rPr>
                <w:rStyle w:val="Andere"/>
                <w:lang w:val="en-GB"/>
              </w:rPr>
              <w:t>cab_cult</w:t>
            </w:r>
            <w:proofErr w:type="spellEnd"/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-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proofErr w:type="spellStart"/>
            <w:r w:rsidRPr="00577BC4">
              <w:rPr>
                <w:rStyle w:val="Andere"/>
                <w:lang w:val="en-GB"/>
              </w:rPr>
              <w:t>cultural_position</w:t>
            </w:r>
            <w:proofErr w:type="spellEnd"/>
            <w:r w:rsidRPr="00577BC4">
              <w:rPr>
                <w:rStyle w:val="Andere"/>
                <w:lang w:val="en-GB"/>
              </w:rPr>
              <w:t>|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F5DF40" w14:textId="77777777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0-1</w:t>
            </w:r>
          </w:p>
        </w:tc>
      </w:tr>
      <w:tr w:rsidR="008D1080" w:rsidRPr="00577BC4" w14:paraId="5C2DB1B3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7C412" w14:textId="2D78EAC1" w:rsidR="008D1080" w:rsidRPr="00577BC4" w:rsidRDefault="008D1080" w:rsidP="007428AC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cab_</w:t>
            </w:r>
            <w:proofErr w:type="gramStart"/>
            <w:r w:rsidRPr="00577BC4">
              <w:rPr>
                <w:rStyle w:val="Andere"/>
              </w:rPr>
              <w:t>region.rile</w:t>
            </w:r>
            <w:proofErr w:type="gramEnd"/>
            <w:r w:rsidRPr="00577BC4">
              <w:rPr>
                <w:rStyle w:val="Andere"/>
              </w:rPr>
              <w:t>_proximity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F49B18A" w14:textId="1826D656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Left-</w:t>
            </w:r>
            <w:r w:rsidR="000260D6" w:rsidRPr="00577BC4">
              <w:rPr>
                <w:rStyle w:val="Andere"/>
              </w:rPr>
              <w:t>right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cabinet-region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proximity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CAD4FAF" w14:textId="2CDBCA93" w:rsidR="008D1080" w:rsidRPr="00577BC4" w:rsidRDefault="008D1080" w:rsidP="007428A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Proximity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between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cabinet'</w:t>
            </w:r>
            <w:r w:rsidR="007428AC">
              <w:rPr>
                <w:rStyle w:val="Andere"/>
                <w:lang w:val="en-GB"/>
              </w:rPr>
              <w:t>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and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region's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ideological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ideal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points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left-right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dimension: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1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-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|</w:t>
            </w:r>
            <w:proofErr w:type="spellStart"/>
            <w:r w:rsidRPr="00577BC4">
              <w:rPr>
                <w:rStyle w:val="Andere"/>
                <w:lang w:val="en-GB"/>
              </w:rPr>
              <w:t>cab_rile</w:t>
            </w:r>
            <w:proofErr w:type="spellEnd"/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-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proofErr w:type="spellStart"/>
            <w:r w:rsidRPr="00577BC4">
              <w:rPr>
                <w:rStyle w:val="Andere"/>
                <w:lang w:val="en-GB"/>
              </w:rPr>
              <w:t>cog_lr</w:t>
            </w:r>
            <w:proofErr w:type="spellEnd"/>
            <w:r w:rsidRPr="00577BC4">
              <w:rPr>
                <w:rStyle w:val="Andere"/>
                <w:lang w:val="en-GB"/>
              </w:rPr>
              <w:t>|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D6BD6C" w14:textId="77777777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0-1</w:t>
            </w:r>
          </w:p>
        </w:tc>
      </w:tr>
      <w:tr w:rsidR="008D1080" w:rsidRPr="00577BC4" w14:paraId="376AEDCA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A5358" w14:textId="12D2B706" w:rsidR="008D1080" w:rsidRPr="00577BC4" w:rsidRDefault="008D1080" w:rsidP="007428AC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cab_</w:t>
            </w:r>
            <w:proofErr w:type="gramStart"/>
            <w:r w:rsidRPr="00577BC4">
              <w:rPr>
                <w:rStyle w:val="Andere"/>
              </w:rPr>
              <w:t>region.market</w:t>
            </w:r>
            <w:proofErr w:type="gramEnd"/>
            <w:r w:rsidRPr="00577BC4">
              <w:rPr>
                <w:rStyle w:val="Andere"/>
              </w:rPr>
              <w:t>_proximity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704205E" w14:textId="3278C5A7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Market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liberalism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cabinet-region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proximity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D75DB13" w14:textId="06F7414C" w:rsidR="008D1080" w:rsidRPr="00577BC4" w:rsidRDefault="008D1080" w:rsidP="007428A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Proximity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between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cabinet'</w:t>
            </w:r>
            <w:r w:rsidR="007428AC">
              <w:rPr>
                <w:rStyle w:val="Andere"/>
                <w:lang w:val="en-GB"/>
              </w:rPr>
              <w:t>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and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region's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ideological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ideal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points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market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liberalism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dimension: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1-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|</w:t>
            </w:r>
            <w:proofErr w:type="spellStart"/>
            <w:r w:rsidRPr="00577BC4">
              <w:rPr>
                <w:rStyle w:val="Andere"/>
                <w:lang w:val="en-GB"/>
              </w:rPr>
              <w:t>cab_market</w:t>
            </w:r>
            <w:proofErr w:type="spellEnd"/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-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proofErr w:type="spellStart"/>
            <w:r w:rsidRPr="00577BC4">
              <w:rPr>
                <w:rStyle w:val="Andere"/>
                <w:lang w:val="en-GB"/>
              </w:rPr>
              <w:t>cog_ml</w:t>
            </w:r>
            <w:proofErr w:type="spellEnd"/>
            <w:r w:rsidRPr="00577BC4">
              <w:rPr>
                <w:rStyle w:val="Andere"/>
                <w:lang w:val="en-GB"/>
              </w:rPr>
              <w:t>|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621920" w14:textId="77777777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0-1</w:t>
            </w:r>
          </w:p>
        </w:tc>
      </w:tr>
      <w:tr w:rsidR="008D1080" w:rsidRPr="00577BC4" w14:paraId="78ADE67D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D266A" w14:textId="38C40A8A" w:rsidR="008D1080" w:rsidRPr="00577BC4" w:rsidRDefault="008D1080" w:rsidP="007428AC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cab_</w:t>
            </w:r>
            <w:proofErr w:type="gramStart"/>
            <w:r w:rsidRPr="00577BC4">
              <w:rPr>
                <w:rStyle w:val="Andere"/>
              </w:rPr>
              <w:t>region.cultural</w:t>
            </w:r>
            <w:proofErr w:type="gramEnd"/>
            <w:r w:rsidRPr="00577BC4">
              <w:rPr>
                <w:rStyle w:val="Andere"/>
              </w:rPr>
              <w:t>_proximity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43772D1" w14:textId="3AB9C3D2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Cultural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cabinet-region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proximity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99D0016" w14:textId="5690B68F" w:rsidR="008D1080" w:rsidRPr="00577BC4" w:rsidRDefault="008D1080" w:rsidP="007428AC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Proximity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between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cabinet'</w:t>
            </w:r>
            <w:r w:rsidR="007428AC">
              <w:rPr>
                <w:rStyle w:val="Andere"/>
                <w:lang w:val="en-GB"/>
              </w:rPr>
              <w:t>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and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region's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ideological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ideal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points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cultural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dimension: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1-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|</w:t>
            </w:r>
            <w:proofErr w:type="spellStart"/>
            <w:r w:rsidRPr="00577BC4">
              <w:rPr>
                <w:rStyle w:val="Andere"/>
                <w:lang w:val="en-GB"/>
              </w:rPr>
              <w:t>cab_cult</w:t>
            </w:r>
            <w:proofErr w:type="spellEnd"/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-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proofErr w:type="spellStart"/>
            <w:r w:rsidRPr="00577BC4">
              <w:rPr>
                <w:rStyle w:val="Andere"/>
                <w:lang w:val="en-GB"/>
              </w:rPr>
              <w:t>cog_cult</w:t>
            </w:r>
            <w:proofErr w:type="spellEnd"/>
            <w:r w:rsidRPr="00577BC4">
              <w:rPr>
                <w:rStyle w:val="Andere"/>
                <w:lang w:val="en-GB"/>
              </w:rPr>
              <w:t>|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1917AB" w14:textId="77777777" w:rsidR="008D1080" w:rsidRPr="00577BC4" w:rsidRDefault="008D1080" w:rsidP="007428AC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0-1</w:t>
            </w:r>
          </w:p>
        </w:tc>
      </w:tr>
      <w:tr w:rsidR="007428AC" w:rsidRPr="007428AC" w14:paraId="0ED28B07" w14:textId="77777777" w:rsidTr="00445D0F">
        <w:trPr>
          <w:trHeight w:val="20"/>
        </w:trPr>
        <w:tc>
          <w:tcPr>
            <w:tcW w:w="143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FD7B2" w14:textId="77777777" w:rsidR="007428AC" w:rsidRPr="007428AC" w:rsidRDefault="007428AC" w:rsidP="00445D0F">
            <w:pPr>
              <w:spacing w:after="0" w:line="240" w:lineRule="auto"/>
              <w:jc w:val="right"/>
              <w:rPr>
                <w:rStyle w:val="Andere"/>
                <w:i/>
              </w:rPr>
            </w:pPr>
            <w:r w:rsidRPr="007428AC">
              <w:rPr>
                <w:rStyle w:val="Andere"/>
                <w:i/>
              </w:rPr>
              <w:t>table continued on following page</w:t>
            </w:r>
          </w:p>
        </w:tc>
      </w:tr>
    </w:tbl>
    <w:p w14:paraId="427054C7" w14:textId="16B2E55F" w:rsidR="002071B2" w:rsidRPr="00577BC4" w:rsidRDefault="00577BC4">
      <w:r w:rsidRPr="00577BC4">
        <w:t xml:space="preserve"> </w:t>
      </w:r>
      <w:r w:rsidR="002071B2" w:rsidRPr="00577BC4">
        <w:br w:type="page"/>
      </w:r>
    </w:p>
    <w:tbl>
      <w:tblPr>
        <w:tblW w:w="1431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1701"/>
        <w:gridCol w:w="8222"/>
        <w:gridCol w:w="2126"/>
      </w:tblGrid>
      <w:tr w:rsidR="00906B79" w:rsidRPr="00577BC4" w14:paraId="1275E3DB" w14:textId="77777777" w:rsidTr="00F87093">
        <w:trPr>
          <w:trHeight w:val="471"/>
        </w:trPr>
        <w:tc>
          <w:tcPr>
            <w:tcW w:w="143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A712A6F" w14:textId="1A330066" w:rsidR="00906B79" w:rsidRPr="00577BC4" w:rsidRDefault="00906B79" w:rsidP="00906B79">
            <w:pPr>
              <w:spacing w:after="0" w:line="240" w:lineRule="auto"/>
              <w:jc w:val="center"/>
              <w:rPr>
                <w:rStyle w:val="Andere"/>
                <w:b/>
              </w:rPr>
            </w:pPr>
            <w:r w:rsidRPr="00577BC4">
              <w:rPr>
                <w:rStyle w:val="Andere"/>
                <w:b/>
              </w:rPr>
              <w:lastRenderedPageBreak/>
              <w:t>Electoral</w:t>
            </w:r>
            <w:r w:rsidR="00577BC4" w:rsidRPr="00577BC4">
              <w:rPr>
                <w:rStyle w:val="Andere"/>
                <w:b/>
              </w:rPr>
              <w:t xml:space="preserve"> </w:t>
            </w:r>
            <w:r w:rsidRPr="00577BC4">
              <w:rPr>
                <w:rStyle w:val="Andere"/>
                <w:b/>
              </w:rPr>
              <w:t>Results</w:t>
            </w:r>
            <w:r w:rsidR="00EA3347">
              <w:rPr>
                <w:rStyle w:val="Andere"/>
                <w:b/>
              </w:rPr>
              <w:t xml:space="preserve"> </w:t>
            </w:r>
            <w:r w:rsidR="00EA3347">
              <w:rPr>
                <w:rStyle w:val="Andere"/>
                <w:b/>
              </w:rPr>
              <w:br/>
              <w:t>(country elections at the country and regional level)</w:t>
            </w:r>
          </w:p>
        </w:tc>
      </w:tr>
      <w:tr w:rsidR="00EC5E86" w:rsidRPr="00577BC4" w14:paraId="177D4FD4" w14:textId="77777777" w:rsidTr="000260D6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nil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FB301E1" w14:textId="77777777" w:rsidR="00EC5E86" w:rsidRPr="00577BC4" w:rsidRDefault="00EC5E86" w:rsidP="001A3D4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>Variable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5BECDB" w14:textId="77777777" w:rsidR="00EC5E86" w:rsidRPr="00577BC4" w:rsidRDefault="00EC5E86" w:rsidP="004445E1">
            <w:pPr>
              <w:spacing w:after="0" w:line="240" w:lineRule="auto"/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>Name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9A5869" w14:textId="77777777" w:rsidR="00EC5E86" w:rsidRPr="00577BC4" w:rsidRDefault="00EC5E86" w:rsidP="004445E1">
            <w:pPr>
              <w:spacing w:after="0" w:line="240" w:lineRule="auto"/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>Description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3E9F97" w14:textId="21D84862" w:rsidR="00EC5E86" w:rsidRPr="00577BC4" w:rsidRDefault="00EC5E86" w:rsidP="004445E1">
            <w:pPr>
              <w:spacing w:after="0" w:line="240" w:lineRule="auto"/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>Data</w:t>
            </w:r>
            <w:r w:rsidR="00577BC4"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>format</w:t>
            </w:r>
            <w:r w:rsidR="00577BC4"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 xml:space="preserve"> </w:t>
            </w:r>
          </w:p>
        </w:tc>
      </w:tr>
      <w:tr w:rsidR="00906B79" w:rsidRPr="00577BC4" w14:paraId="2749C9F8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C480A" w14:textId="77777777" w:rsidR="00906B79" w:rsidRPr="00577BC4" w:rsidRDefault="00906B79" w:rsidP="00646EDA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n_s_max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E14812B" w14:textId="297B91B1" w:rsidR="00906B79" w:rsidRPr="00577BC4" w:rsidRDefault="00906B79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Maximal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number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of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seats</w:t>
            </w:r>
            <w:r w:rsidR="00577BC4" w:rsidRPr="00577BC4">
              <w:rPr>
                <w:rStyle w:val="Andere"/>
              </w:rPr>
              <w:t xml:space="preserve"> </w:t>
            </w:r>
            <w:r w:rsidR="002071B2" w:rsidRPr="00577BC4">
              <w:rPr>
                <w:rStyle w:val="Andere"/>
              </w:rPr>
              <w:t>country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3AC5125" w14:textId="06CBE9FD" w:rsidR="00906B79" w:rsidRPr="00577BC4" w:rsidRDefault="00906B79" w:rsidP="004445E1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Maximal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numbers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seats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2071B2"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parliament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4B1E277" w14:textId="77777777" w:rsidR="00906B79" w:rsidRPr="00577BC4" w:rsidRDefault="00906B79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number</w:t>
            </w:r>
          </w:p>
        </w:tc>
      </w:tr>
      <w:tr w:rsidR="00906B79" w:rsidRPr="00577BC4" w14:paraId="0D5B75A0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607A8" w14:textId="77777777" w:rsidR="00906B79" w:rsidRPr="00577BC4" w:rsidRDefault="00906B79" w:rsidP="00646EDA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r_s_max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1F0ACB2" w14:textId="60DBFC9E" w:rsidR="00906B79" w:rsidRPr="00577BC4" w:rsidRDefault="00906B79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Maximal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number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of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seats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regionally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91DFB62" w14:textId="57DC4934" w:rsidR="00906B79" w:rsidRPr="00577BC4" w:rsidRDefault="00906B79" w:rsidP="004445E1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Maximal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numbers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seats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assigned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to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2071B2"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parliament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0E41CCD3" w14:textId="77777777" w:rsidR="00906B79" w:rsidRPr="00577BC4" w:rsidRDefault="00906B79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number</w:t>
            </w:r>
          </w:p>
        </w:tc>
      </w:tr>
      <w:tr w:rsidR="00906B79" w:rsidRPr="00577BC4" w14:paraId="63414833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C2CBB" w14:textId="77777777" w:rsidR="00906B79" w:rsidRPr="00577BC4" w:rsidRDefault="00906B79" w:rsidP="00646EDA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n_v_max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60CBEDA" w14:textId="54EBE9CB" w:rsidR="00906B79" w:rsidRPr="00577BC4" w:rsidRDefault="008F33AB" w:rsidP="004445E1">
            <w:pPr>
              <w:spacing w:after="0" w:line="240" w:lineRule="auto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Vote</w:t>
            </w:r>
            <w:proofErr w:type="spellEnd"/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registration</w:t>
            </w:r>
            <w:r w:rsidR="00577BC4" w:rsidRPr="00577BC4">
              <w:rPr>
                <w:rStyle w:val="Andere"/>
              </w:rPr>
              <w:t xml:space="preserve"> </w:t>
            </w:r>
            <w:r w:rsidR="002071B2" w:rsidRPr="00577BC4">
              <w:rPr>
                <w:rStyle w:val="Andere"/>
              </w:rPr>
              <w:t>country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-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maximal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number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of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votes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2027E86" w14:textId="70351A2E" w:rsidR="00906B79" w:rsidRPr="00577BC4" w:rsidRDefault="008F33AB" w:rsidP="004445E1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Number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registered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8D1080" w:rsidRPr="00577BC4">
              <w:rPr>
                <w:rStyle w:val="Andere"/>
                <w:lang w:val="en-GB"/>
              </w:rPr>
              <w:t>voters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777EEA">
              <w:rPr>
                <w:rStyle w:val="Andere"/>
                <w:lang w:val="en-GB"/>
              </w:rPr>
              <w:t>at the country level</w:t>
            </w:r>
            <w:r w:rsidRPr="00577BC4">
              <w:rPr>
                <w:rStyle w:val="Andere"/>
                <w:lang w:val="en-GB"/>
              </w:rPr>
              <w:t>,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777EEA">
              <w:rPr>
                <w:rStyle w:val="Andere"/>
                <w:lang w:val="en-GB"/>
              </w:rPr>
              <w:t xml:space="preserve">which is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maximum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number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777EEA">
              <w:rPr>
                <w:rStyle w:val="Andere"/>
                <w:lang w:val="en-GB"/>
              </w:rPr>
              <w:t xml:space="preserve">potential </w:t>
            </w:r>
            <w:r w:rsidRPr="00577BC4">
              <w:rPr>
                <w:rStyle w:val="Andere"/>
                <w:lang w:val="en-GB"/>
              </w:rPr>
              <w:t>votes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2071B2"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election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4BC9F8A" w14:textId="77777777" w:rsidR="00906B79" w:rsidRPr="00577BC4" w:rsidRDefault="008F33AB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number</w:t>
            </w:r>
          </w:p>
        </w:tc>
      </w:tr>
      <w:tr w:rsidR="00BE206F" w:rsidRPr="00577BC4" w14:paraId="6B538DFC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BA8EA" w14:textId="77777777" w:rsidR="00BE206F" w:rsidRPr="00577BC4" w:rsidRDefault="008F33AB" w:rsidP="00646EDA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n_cast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50BF16C" w14:textId="65FBFCB8" w:rsidR="00BE206F" w:rsidRPr="00577BC4" w:rsidRDefault="008F33AB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Votes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casted</w:t>
            </w:r>
            <w:r w:rsidR="00577BC4" w:rsidRPr="00577BC4">
              <w:rPr>
                <w:rStyle w:val="Andere"/>
              </w:rPr>
              <w:t xml:space="preserve"> </w:t>
            </w:r>
            <w:r w:rsidR="002071B2" w:rsidRPr="00577BC4">
              <w:rPr>
                <w:rStyle w:val="Andere"/>
              </w:rPr>
              <w:t>country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639A2F6" w14:textId="3EC51069" w:rsidR="00BE206F" w:rsidRPr="00577BC4" w:rsidRDefault="008F33AB" w:rsidP="004445E1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Number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votes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that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were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casted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777EEA">
              <w:rPr>
                <w:rStyle w:val="Andere"/>
                <w:lang w:val="en-GB"/>
              </w:rPr>
              <w:t xml:space="preserve">in the election at the </w:t>
            </w:r>
            <w:r w:rsidR="002071B2"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777EEA">
              <w:rPr>
                <w:rStyle w:val="Andere"/>
                <w:lang w:val="en-GB"/>
              </w:rPr>
              <w:t>level</w:t>
            </w:r>
            <w:r w:rsidRPr="00577BC4">
              <w:rPr>
                <w:rStyle w:val="Andere"/>
                <w:lang w:val="en-GB"/>
              </w:rPr>
              <w:t>,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including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invalid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votes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C2D9255" w14:textId="77777777" w:rsidR="00BE206F" w:rsidRPr="00577BC4" w:rsidRDefault="008F33AB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number</w:t>
            </w:r>
          </w:p>
        </w:tc>
      </w:tr>
      <w:tr w:rsidR="008F33AB" w:rsidRPr="00577BC4" w14:paraId="5347F2A1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AE4D8" w14:textId="77777777" w:rsidR="008F33AB" w:rsidRPr="00577BC4" w:rsidRDefault="008F33AB" w:rsidP="00646EDA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n_valid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8AA2CAE" w14:textId="000C44FA" w:rsidR="008F33AB" w:rsidRPr="00577BC4" w:rsidRDefault="008F33AB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Valid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votes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380CC94" w14:textId="55F4D05B" w:rsidR="008F33AB" w:rsidRPr="00577BC4" w:rsidRDefault="008F33AB" w:rsidP="004445E1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Number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valid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votes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that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were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casted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777EEA">
              <w:rPr>
                <w:rStyle w:val="Andere"/>
                <w:lang w:val="en-GB"/>
              </w:rPr>
              <w:t xml:space="preserve">in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election</w:t>
            </w:r>
            <w:r w:rsidR="00777EEA">
              <w:rPr>
                <w:rStyle w:val="Andere"/>
                <w:lang w:val="en-GB"/>
              </w:rPr>
              <w:t xml:space="preserve"> at the country level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351A8A" w14:textId="77777777" w:rsidR="008F33AB" w:rsidRPr="00577BC4" w:rsidRDefault="008F33AB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number</w:t>
            </w:r>
          </w:p>
        </w:tc>
      </w:tr>
      <w:tr w:rsidR="008F33AB" w:rsidRPr="00577BC4" w14:paraId="3BA99FB2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3E3CE" w14:textId="77777777" w:rsidR="008F33AB" w:rsidRPr="00577BC4" w:rsidRDefault="008F33AB" w:rsidP="00646EDA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n_invalid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3B71D19" w14:textId="14DBA1AE" w:rsidR="008F33AB" w:rsidRPr="00577BC4" w:rsidRDefault="008F33AB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Invalid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votes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2E3F198" w14:textId="37CB64CF" w:rsidR="008F33AB" w:rsidRPr="00577BC4" w:rsidRDefault="008F33AB" w:rsidP="004445E1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Number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invalid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votes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that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were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casted</w:t>
            </w:r>
            <w:r w:rsidR="00777EEA" w:rsidRPr="00577BC4">
              <w:rPr>
                <w:rStyle w:val="Andere"/>
                <w:lang w:val="en-GB"/>
              </w:rPr>
              <w:t xml:space="preserve"> </w:t>
            </w:r>
            <w:r w:rsidR="00777EEA">
              <w:rPr>
                <w:rStyle w:val="Andere"/>
                <w:lang w:val="en-GB"/>
              </w:rPr>
              <w:t xml:space="preserve">in </w:t>
            </w:r>
            <w:r w:rsidR="00777EEA" w:rsidRPr="00577BC4">
              <w:rPr>
                <w:rStyle w:val="Andere"/>
                <w:lang w:val="en-GB"/>
              </w:rPr>
              <w:t>the election</w:t>
            </w:r>
            <w:r w:rsidR="00777EEA">
              <w:rPr>
                <w:rStyle w:val="Andere"/>
                <w:lang w:val="en-GB"/>
              </w:rPr>
              <w:t xml:space="preserve"> at the country level, if available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DB81FD3" w14:textId="77777777" w:rsidR="008F33AB" w:rsidRPr="00577BC4" w:rsidRDefault="008F33AB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number</w:t>
            </w:r>
          </w:p>
        </w:tc>
      </w:tr>
      <w:tr w:rsidR="008F33AB" w:rsidRPr="00577BC4" w14:paraId="1D2CEE26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0326C" w14:textId="77777777" w:rsidR="008F33AB" w:rsidRPr="00577BC4" w:rsidRDefault="008F33AB" w:rsidP="00646EDA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n_turnout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67B535F" w14:textId="4C61EB65" w:rsidR="008F33AB" w:rsidRPr="00577BC4" w:rsidRDefault="002071B2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Country</w:t>
            </w:r>
            <w:r w:rsidR="00577BC4" w:rsidRPr="00577BC4">
              <w:rPr>
                <w:rStyle w:val="Andere"/>
              </w:rPr>
              <w:t xml:space="preserve"> </w:t>
            </w:r>
            <w:r w:rsidR="008F33AB" w:rsidRPr="00577BC4">
              <w:rPr>
                <w:rStyle w:val="Andere"/>
              </w:rPr>
              <w:t>turnout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43A19FC" w14:textId="3BC93338" w:rsidR="008F33AB" w:rsidRPr="00577BC4" w:rsidRDefault="008F33AB" w:rsidP="004445E1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Percentage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casted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votes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reference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to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maximal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number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potential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votes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777EEA">
              <w:rPr>
                <w:rStyle w:val="Andere"/>
                <w:lang w:val="en-GB"/>
              </w:rPr>
              <w:t xml:space="preserve">at the </w:t>
            </w:r>
            <w:r w:rsidR="002071B2"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777EEA">
              <w:rPr>
                <w:rStyle w:val="Andere"/>
                <w:lang w:val="en-GB"/>
              </w:rPr>
              <w:t xml:space="preserve">level </w:t>
            </w:r>
            <w:r w:rsidRPr="00577BC4">
              <w:rPr>
                <w:rStyle w:val="Andere"/>
                <w:lang w:val="en-GB"/>
              </w:rPr>
              <w:t>(0-100)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03B46A" w14:textId="77777777" w:rsidR="008F33AB" w:rsidRPr="00577BC4" w:rsidRDefault="008F33AB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percentage</w:t>
            </w:r>
          </w:p>
        </w:tc>
      </w:tr>
      <w:tr w:rsidR="008F33AB" w:rsidRPr="00577BC4" w14:paraId="1DBF2816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8DEA7" w14:textId="77777777" w:rsidR="008F33AB" w:rsidRPr="00577BC4" w:rsidRDefault="008F33AB" w:rsidP="00646EDA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n_v_p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2428502" w14:textId="0939A2BF" w:rsidR="008F33AB" w:rsidRPr="00577BC4" w:rsidRDefault="002071B2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Country</w:t>
            </w:r>
            <w:r w:rsidR="00577BC4" w:rsidRPr="00577BC4">
              <w:rPr>
                <w:rStyle w:val="Andere"/>
              </w:rPr>
              <w:t xml:space="preserve"> </w:t>
            </w:r>
            <w:r w:rsidR="008F33AB" w:rsidRPr="00577BC4">
              <w:rPr>
                <w:rStyle w:val="Andere"/>
              </w:rPr>
              <w:t>votes</w:t>
            </w:r>
            <w:r w:rsidR="00577BC4" w:rsidRPr="00577BC4">
              <w:rPr>
                <w:rStyle w:val="Andere"/>
              </w:rPr>
              <w:t xml:space="preserve"> </w:t>
            </w:r>
            <w:r w:rsidR="008F33AB" w:rsidRPr="00577BC4">
              <w:rPr>
                <w:rStyle w:val="Andere"/>
              </w:rPr>
              <w:t>of</w:t>
            </w:r>
            <w:r w:rsidR="00577BC4" w:rsidRPr="00577BC4">
              <w:rPr>
                <w:rStyle w:val="Andere"/>
              </w:rPr>
              <w:t xml:space="preserve"> </w:t>
            </w:r>
            <w:r w:rsidR="008F33AB" w:rsidRPr="00577BC4">
              <w:rPr>
                <w:rStyle w:val="Andere"/>
              </w:rPr>
              <w:t>the</w:t>
            </w:r>
            <w:r w:rsidR="00577BC4" w:rsidRPr="00577BC4">
              <w:rPr>
                <w:rStyle w:val="Andere"/>
              </w:rPr>
              <w:t xml:space="preserve"> </w:t>
            </w:r>
            <w:r w:rsidR="008F33AB" w:rsidRPr="00577BC4">
              <w:rPr>
                <w:rStyle w:val="Andere"/>
              </w:rPr>
              <w:t>party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CF57D7C" w14:textId="33791317" w:rsidR="008F33AB" w:rsidRPr="00577BC4" w:rsidRDefault="008F33AB" w:rsidP="004445E1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Number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votes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obtained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777EEA">
              <w:rPr>
                <w:rStyle w:val="Andere"/>
                <w:lang w:val="en-GB"/>
              </w:rPr>
              <w:t xml:space="preserve">at the </w:t>
            </w:r>
            <w:r w:rsidR="002071B2"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777EEA">
              <w:rPr>
                <w:rStyle w:val="Andere"/>
                <w:lang w:val="en-GB"/>
              </w:rPr>
              <w:t xml:space="preserve">level </w:t>
            </w:r>
            <w:r w:rsidRPr="00577BC4">
              <w:rPr>
                <w:rStyle w:val="Andere"/>
                <w:lang w:val="en-GB"/>
              </w:rPr>
              <w:t>by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party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0DBDD21" w14:textId="77777777" w:rsidR="008F33AB" w:rsidRPr="00577BC4" w:rsidRDefault="008F33AB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number</w:t>
            </w:r>
          </w:p>
        </w:tc>
      </w:tr>
      <w:tr w:rsidR="008F33AB" w:rsidRPr="00577BC4" w14:paraId="654F1839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19973" w14:textId="77777777" w:rsidR="008F33AB" w:rsidRPr="00577BC4" w:rsidRDefault="008F33AB" w:rsidP="00646EDA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r_v_max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618B93B" w14:textId="78AF8A4F" w:rsidR="008F33AB" w:rsidRPr="00577BC4" w:rsidRDefault="008F33AB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Maximal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number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of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potential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votes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regionally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D86C7DB" w14:textId="4290A488" w:rsidR="008F33AB" w:rsidRPr="00577BC4" w:rsidRDefault="008F33AB" w:rsidP="004445E1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Number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registered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voters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regionally,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which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potential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maximum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number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votes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respective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2071B2"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election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6ADD19B" w14:textId="77777777" w:rsidR="008F33AB" w:rsidRPr="00577BC4" w:rsidRDefault="00EC5E86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number</w:t>
            </w:r>
          </w:p>
        </w:tc>
      </w:tr>
      <w:tr w:rsidR="008F33AB" w:rsidRPr="00577BC4" w14:paraId="35346C5E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138A5" w14:textId="77777777" w:rsidR="008F33AB" w:rsidRPr="00577BC4" w:rsidRDefault="008F33AB" w:rsidP="00646EDA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r_cast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AC6E808" w14:textId="613ACDA8" w:rsidR="008F33AB" w:rsidRPr="00577BC4" w:rsidRDefault="00EC5E86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Votes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casted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regionally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BC06FCC" w14:textId="7ED0413B" w:rsidR="008F33AB" w:rsidRPr="00577BC4" w:rsidRDefault="00EC5E86" w:rsidP="004445E1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Number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votes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that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were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casted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regionally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777EEA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777EEA">
              <w:rPr>
                <w:rStyle w:val="Andere"/>
                <w:lang w:val="en-GB"/>
              </w:rPr>
              <w:t xml:space="preserve">country </w:t>
            </w:r>
            <w:r w:rsidRPr="00577BC4">
              <w:rPr>
                <w:rStyle w:val="Andere"/>
                <w:lang w:val="en-GB"/>
              </w:rPr>
              <w:t>election,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including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invalid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votes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8DA65F" w14:textId="77777777" w:rsidR="008F33AB" w:rsidRPr="00577BC4" w:rsidRDefault="00EC5E86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number</w:t>
            </w:r>
          </w:p>
        </w:tc>
      </w:tr>
      <w:tr w:rsidR="00EC5E86" w:rsidRPr="00577BC4" w14:paraId="6A790251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E3488" w14:textId="77777777" w:rsidR="00EC5E86" w:rsidRPr="00577BC4" w:rsidRDefault="00EC5E86" w:rsidP="00646EDA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r_valid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2A20BD8" w14:textId="442844DD" w:rsidR="00EC5E86" w:rsidRPr="00577BC4" w:rsidRDefault="00EC5E86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Valid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regional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votes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DAD070E" w14:textId="4D15F61C" w:rsidR="00EC5E86" w:rsidRPr="00577BC4" w:rsidRDefault="00EC5E86" w:rsidP="004445E1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Number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valid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votes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that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were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casted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respective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777EEA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777EEA">
              <w:rPr>
                <w:rStyle w:val="Andere"/>
                <w:lang w:val="en-GB"/>
              </w:rPr>
              <w:t xml:space="preserve">country </w:t>
            </w:r>
            <w:r w:rsidRPr="00577BC4">
              <w:rPr>
                <w:rStyle w:val="Andere"/>
                <w:lang w:val="en-GB"/>
              </w:rPr>
              <w:t>election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1F476AA" w14:textId="77777777" w:rsidR="00EC5E86" w:rsidRPr="00577BC4" w:rsidRDefault="00EC5E86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number</w:t>
            </w:r>
          </w:p>
        </w:tc>
      </w:tr>
      <w:tr w:rsidR="00EC5E86" w:rsidRPr="00577BC4" w14:paraId="0AEA51B0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ABDDC" w14:textId="77777777" w:rsidR="00EC5E86" w:rsidRPr="00577BC4" w:rsidRDefault="00EC5E86" w:rsidP="00646EDA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r_invalid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73271FF" w14:textId="343CBAF3" w:rsidR="00EC5E86" w:rsidRPr="00577BC4" w:rsidRDefault="00EC5E86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Invalid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regional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votes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54C0BA6" w14:textId="56E656D7" w:rsidR="00EC5E86" w:rsidRPr="00577BC4" w:rsidRDefault="00EC5E86" w:rsidP="004445E1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Number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invalid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votes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that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were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casted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respective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777EEA">
              <w:rPr>
                <w:rStyle w:val="Andere"/>
                <w:lang w:val="en-GB"/>
              </w:rPr>
              <w:t xml:space="preserve">in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777EEA">
              <w:rPr>
                <w:rStyle w:val="Andere"/>
                <w:lang w:val="en-GB"/>
              </w:rPr>
              <w:t xml:space="preserve">country </w:t>
            </w:r>
            <w:r w:rsidRPr="00577BC4">
              <w:rPr>
                <w:rStyle w:val="Andere"/>
                <w:lang w:val="en-GB"/>
              </w:rPr>
              <w:t>election,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available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6781C5" w14:textId="77777777" w:rsidR="00EC5E86" w:rsidRPr="00577BC4" w:rsidRDefault="00EC5E86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number</w:t>
            </w:r>
          </w:p>
        </w:tc>
      </w:tr>
      <w:tr w:rsidR="00EC5E86" w:rsidRPr="00577BC4" w14:paraId="44B47AB7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C8EB9" w14:textId="77777777" w:rsidR="00EC5E86" w:rsidRPr="00577BC4" w:rsidRDefault="00EC5E86" w:rsidP="00646EDA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r_turnout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60C3B7A" w14:textId="2324E642" w:rsidR="00EC5E86" w:rsidRPr="00577BC4" w:rsidRDefault="00EC5E86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Regional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turnout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E52A337" w14:textId="64B03C87" w:rsidR="00EC5E86" w:rsidRPr="00577BC4" w:rsidRDefault="00EC5E86" w:rsidP="004445E1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Percentage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casted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votes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reference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to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maximal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number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potential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votes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respective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(0-100)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4C6467" w14:textId="77777777" w:rsidR="00EC5E86" w:rsidRPr="00577BC4" w:rsidRDefault="00EC5E86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number</w:t>
            </w:r>
          </w:p>
        </w:tc>
      </w:tr>
      <w:tr w:rsidR="00994BEC" w:rsidRPr="00577BC4" w14:paraId="60C3873C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49A44" w14:textId="77777777" w:rsidR="00994BEC" w:rsidRPr="00577BC4" w:rsidRDefault="00994BEC" w:rsidP="00646EDA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r_v_p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92F101A" w14:textId="2A2B9A08" w:rsidR="00994BEC" w:rsidRPr="00577BC4" w:rsidRDefault="00994BEC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Regional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votes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D89706B" w14:textId="580F01C6" w:rsidR="00994BEC" w:rsidRPr="00577BC4" w:rsidRDefault="00994BEC" w:rsidP="004445E1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Votes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gained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by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party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respective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region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AA6A79" w14:textId="77777777" w:rsidR="00994BEC" w:rsidRPr="00577BC4" w:rsidRDefault="00994BEC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number</w:t>
            </w:r>
          </w:p>
        </w:tc>
      </w:tr>
      <w:tr w:rsidR="00994BEC" w:rsidRPr="00577BC4" w14:paraId="78570071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7FC90" w14:textId="77777777" w:rsidR="00994BEC" w:rsidRPr="00577BC4" w:rsidRDefault="00994BEC" w:rsidP="00646EDA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n_s_p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110EC24" w14:textId="2C0D81CF" w:rsidR="00994BEC" w:rsidRPr="00577BC4" w:rsidRDefault="002071B2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Country</w:t>
            </w:r>
            <w:r w:rsidR="00577BC4" w:rsidRPr="00577BC4">
              <w:rPr>
                <w:rStyle w:val="Andere"/>
              </w:rPr>
              <w:t xml:space="preserve"> </w:t>
            </w:r>
            <w:r w:rsidR="00994BEC" w:rsidRPr="00577BC4">
              <w:rPr>
                <w:rStyle w:val="Andere"/>
              </w:rPr>
              <w:t>seats</w:t>
            </w:r>
            <w:r w:rsidR="00577BC4" w:rsidRPr="00577BC4">
              <w:rPr>
                <w:rStyle w:val="Andere"/>
              </w:rPr>
              <w:t xml:space="preserve"> </w:t>
            </w:r>
            <w:r w:rsidR="00994BEC" w:rsidRPr="00577BC4">
              <w:rPr>
                <w:rStyle w:val="Andere"/>
              </w:rPr>
              <w:t>of</w:t>
            </w:r>
            <w:r w:rsidR="00577BC4" w:rsidRPr="00577BC4">
              <w:rPr>
                <w:rStyle w:val="Andere"/>
              </w:rPr>
              <w:t xml:space="preserve"> </w:t>
            </w:r>
            <w:r w:rsidR="00994BEC" w:rsidRPr="00577BC4">
              <w:rPr>
                <w:rStyle w:val="Andere"/>
              </w:rPr>
              <w:t>the</w:t>
            </w:r>
            <w:r w:rsidR="00577BC4" w:rsidRPr="00577BC4">
              <w:rPr>
                <w:rStyle w:val="Andere"/>
              </w:rPr>
              <w:t xml:space="preserve"> </w:t>
            </w:r>
            <w:r w:rsidR="00994BEC" w:rsidRPr="00577BC4">
              <w:rPr>
                <w:rStyle w:val="Andere"/>
              </w:rPr>
              <w:t>party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13FF406" w14:textId="5E2FEB92" w:rsidR="00994BEC" w:rsidRPr="00577BC4" w:rsidRDefault="00994BEC" w:rsidP="004445E1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Number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seats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won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by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party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777EEA">
              <w:rPr>
                <w:rStyle w:val="Andere"/>
                <w:lang w:val="en-GB"/>
              </w:rPr>
              <w:t xml:space="preserve">for the country </w:t>
            </w:r>
            <w:r w:rsidRPr="00577BC4">
              <w:rPr>
                <w:rStyle w:val="Andere"/>
                <w:lang w:val="en-GB"/>
              </w:rPr>
              <w:t>parliament</w:t>
            </w:r>
            <w:r w:rsidR="00777EEA">
              <w:rPr>
                <w:rStyle w:val="Andere"/>
                <w:lang w:val="en-GB"/>
              </w:rPr>
              <w:t xml:space="preserve"> at the country level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8166F1" w14:textId="77777777" w:rsidR="00994BEC" w:rsidRPr="00577BC4" w:rsidRDefault="00994BEC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number</w:t>
            </w:r>
          </w:p>
        </w:tc>
      </w:tr>
      <w:tr w:rsidR="00994BEC" w:rsidRPr="00577BC4" w14:paraId="117C22D6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8E789" w14:textId="77777777" w:rsidR="00994BEC" w:rsidRPr="00577BC4" w:rsidRDefault="00994BEC" w:rsidP="00646EDA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r_s_p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C974F9C" w14:textId="4B2062CC" w:rsidR="00994BEC" w:rsidRPr="00577BC4" w:rsidRDefault="00994BEC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Regional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seats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of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the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party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3D5C92B" w14:textId="1995256E" w:rsidR="00994BEC" w:rsidRPr="00577BC4" w:rsidRDefault="00994BEC" w:rsidP="004445E1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Number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seats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won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by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party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777EEA">
              <w:rPr>
                <w:rStyle w:val="Andere"/>
                <w:lang w:val="en-GB"/>
              </w:rPr>
              <w:t>for the country parliament in the region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B936AFB" w14:textId="77777777" w:rsidR="00994BEC" w:rsidRPr="00577BC4" w:rsidRDefault="00994BEC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number</w:t>
            </w:r>
          </w:p>
        </w:tc>
      </w:tr>
      <w:tr w:rsidR="00994BEC" w:rsidRPr="00577BC4" w14:paraId="359C94B9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124C3" w14:textId="77777777" w:rsidR="00994BEC" w:rsidRPr="00577BC4" w:rsidRDefault="00994BEC" w:rsidP="00646EDA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cab_p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DFC2F72" w14:textId="740FD044" w:rsidR="00994BEC" w:rsidRPr="00577BC4" w:rsidRDefault="00994BEC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Cabinet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party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EB503C1" w14:textId="484BB907" w:rsidR="00994BEC" w:rsidRPr="00577BC4" w:rsidRDefault="00994BEC" w:rsidP="004445E1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Party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participates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2071B2"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cabinet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5DC6B2" w14:textId="77777777" w:rsidR="00994BEC" w:rsidRPr="00577BC4" w:rsidRDefault="001A3D44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dummy</w:t>
            </w:r>
          </w:p>
        </w:tc>
      </w:tr>
      <w:tr w:rsidR="001A3D44" w:rsidRPr="00577BC4" w14:paraId="77D5C591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25300" w14:textId="77777777" w:rsidR="001A3D44" w:rsidRPr="00577BC4" w:rsidRDefault="001A3D44" w:rsidP="00646EDA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n_p_sshare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B370004" w14:textId="60312B37" w:rsidR="001A3D44" w:rsidRPr="00577BC4" w:rsidRDefault="002071B2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Country</w:t>
            </w:r>
            <w:r w:rsidR="00577BC4" w:rsidRPr="00577BC4">
              <w:rPr>
                <w:rStyle w:val="Andere"/>
              </w:rPr>
              <w:t xml:space="preserve"> </w:t>
            </w:r>
            <w:r w:rsidR="001A3D44" w:rsidRPr="00577BC4">
              <w:rPr>
                <w:rStyle w:val="Andere"/>
              </w:rPr>
              <w:t>seat</w:t>
            </w:r>
            <w:r w:rsidR="00577BC4" w:rsidRPr="00577BC4">
              <w:rPr>
                <w:rStyle w:val="Andere"/>
              </w:rPr>
              <w:t xml:space="preserve"> </w:t>
            </w:r>
            <w:r w:rsidR="001A3D44" w:rsidRPr="00577BC4">
              <w:rPr>
                <w:rStyle w:val="Andere"/>
              </w:rPr>
              <w:t>share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8086B34" w14:textId="1C062832" w:rsidR="001A3D44" w:rsidRPr="00577BC4" w:rsidRDefault="001A3D44" w:rsidP="004445E1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Party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seat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share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(per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cent)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2071B2"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parliament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60563E2" w14:textId="77777777" w:rsidR="001A3D44" w:rsidRPr="00577BC4" w:rsidRDefault="001A3D44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percentage</w:t>
            </w:r>
          </w:p>
        </w:tc>
      </w:tr>
      <w:tr w:rsidR="001A3D44" w:rsidRPr="00577BC4" w14:paraId="3C18DF7A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93E2A" w14:textId="77777777" w:rsidR="001A3D44" w:rsidRPr="00577BC4" w:rsidRDefault="001A3D44" w:rsidP="00646EDA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r_p_sshare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0A2C015" w14:textId="061D2616" w:rsidR="001A3D44" w:rsidRPr="00577BC4" w:rsidRDefault="001A3D44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Regional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seat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share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EAF8B8A" w14:textId="53FD8A50" w:rsidR="001A3D44" w:rsidRPr="00577BC4" w:rsidRDefault="001A3D44" w:rsidP="004445E1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Party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seat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share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(per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cent)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won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respective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for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2071B2" w:rsidRPr="00577BC4">
              <w:rPr>
                <w:rStyle w:val="Andere"/>
                <w:lang w:val="en-GB"/>
              </w:rPr>
              <w:t>country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parliament</w:t>
            </w:r>
            <w:r w:rsidR="00525217">
              <w:rPr>
                <w:rStyle w:val="Andere"/>
                <w:lang w:val="en-GB"/>
              </w:rPr>
              <w:t xml:space="preserve"> (over all seats assigned to the region)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8929E4" w14:textId="77777777" w:rsidR="001A3D44" w:rsidRPr="00577BC4" w:rsidRDefault="008D1D4E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percentage</w:t>
            </w:r>
          </w:p>
        </w:tc>
      </w:tr>
      <w:tr w:rsidR="001A3D44" w:rsidRPr="00577BC4" w14:paraId="12EC680B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22862" w14:textId="77777777" w:rsidR="001A3D44" w:rsidRPr="00577BC4" w:rsidRDefault="001A3D44" w:rsidP="00646EDA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n_p_vshare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2140202" w14:textId="65946A49" w:rsidR="001A3D44" w:rsidRPr="00577BC4" w:rsidRDefault="002071B2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Country</w:t>
            </w:r>
            <w:r w:rsidR="00577BC4" w:rsidRPr="00577BC4">
              <w:rPr>
                <w:rStyle w:val="Andere"/>
              </w:rPr>
              <w:t xml:space="preserve"> </w:t>
            </w:r>
            <w:r w:rsidR="001A3D44" w:rsidRPr="00577BC4">
              <w:rPr>
                <w:rStyle w:val="Andere"/>
              </w:rPr>
              <w:t>vote</w:t>
            </w:r>
            <w:r w:rsidR="00577BC4" w:rsidRPr="00577BC4">
              <w:rPr>
                <w:rStyle w:val="Andere"/>
              </w:rPr>
              <w:t xml:space="preserve"> </w:t>
            </w:r>
            <w:r w:rsidR="001A3D44" w:rsidRPr="00577BC4">
              <w:rPr>
                <w:rStyle w:val="Andere"/>
              </w:rPr>
              <w:t>share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49DC85D" w14:textId="59FE221F" w:rsidR="001A3D44" w:rsidRPr="00577BC4" w:rsidRDefault="001A3D44" w:rsidP="004445E1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Party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vote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share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(per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cent)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won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2071B2" w:rsidRPr="00577BC4">
              <w:rPr>
                <w:rStyle w:val="Andere"/>
                <w:lang w:val="en-GB"/>
              </w:rPr>
              <w:t>country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41C761F" w14:textId="77777777" w:rsidR="001A3D44" w:rsidRPr="00577BC4" w:rsidRDefault="008D1D4E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percentage</w:t>
            </w:r>
          </w:p>
        </w:tc>
      </w:tr>
      <w:tr w:rsidR="001A3D44" w:rsidRPr="00577BC4" w14:paraId="228B666B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02D3D" w14:textId="77777777" w:rsidR="001A3D44" w:rsidRPr="00577BC4" w:rsidRDefault="001A3D44" w:rsidP="00646EDA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r_p_vshare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EB43C54" w14:textId="5DE4D6DE" w:rsidR="001A3D44" w:rsidRPr="00577BC4" w:rsidRDefault="001A3D44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Regional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vote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share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37B1AB7" w14:textId="3061AA84" w:rsidR="001A3D44" w:rsidRPr="00577BC4" w:rsidRDefault="001A3D44" w:rsidP="004445E1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Party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vote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share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(per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cent)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won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respective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region</w:t>
            </w:r>
            <w:r w:rsidR="00525217">
              <w:rPr>
                <w:rStyle w:val="Andere"/>
                <w:lang w:val="en-GB"/>
              </w:rPr>
              <w:t xml:space="preserve"> (over all seats assigned to the region)</w:t>
            </w:r>
            <w:commentRangeStart w:id="8"/>
            <w:commentRangeEnd w:id="8"/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4BC9ACD" w14:textId="55C18FBC" w:rsidR="001A3D44" w:rsidRPr="00577BC4" w:rsidRDefault="008D1D4E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percentage</w:t>
            </w:r>
            <w:r w:rsidR="00577BC4" w:rsidRPr="00577BC4">
              <w:rPr>
                <w:rStyle w:val="Andere"/>
              </w:rPr>
              <w:t xml:space="preserve"> </w:t>
            </w:r>
          </w:p>
        </w:tc>
      </w:tr>
      <w:tr w:rsidR="001A3D44" w:rsidRPr="00577BC4" w14:paraId="34ADEB66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4D656" w14:textId="77777777" w:rsidR="001A3D44" w:rsidRPr="00577BC4" w:rsidRDefault="001A3D44" w:rsidP="00646EDA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r_coverage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DFF754F" w14:textId="4A8C3F2F" w:rsidR="001A3D44" w:rsidRPr="00577BC4" w:rsidRDefault="001A3D44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Regional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vote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coverage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C445043" w14:textId="3104F3CE" w:rsidR="001A3D44" w:rsidRPr="00577BC4" w:rsidRDefault="001A3D44" w:rsidP="004445E1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Vote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coverage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regional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level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terms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sum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vote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share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regional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level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registered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data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(per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cent)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C7D7C8" w14:textId="77777777" w:rsidR="001A3D44" w:rsidRPr="00577BC4" w:rsidRDefault="008D1D4E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percentage</w:t>
            </w:r>
          </w:p>
        </w:tc>
      </w:tr>
      <w:tr w:rsidR="001A3D44" w:rsidRPr="00577BC4" w14:paraId="1CECC633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C766F" w14:textId="77777777" w:rsidR="001A3D44" w:rsidRPr="00577BC4" w:rsidRDefault="008D1D4E" w:rsidP="00646EDA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seat_reg_coverage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7C833A7" w14:textId="656415E7" w:rsidR="001A3D44" w:rsidRPr="00577BC4" w:rsidRDefault="008D1D4E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Regional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seat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coverage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6725168" w14:textId="2609F7BC" w:rsidR="001A3D44" w:rsidRPr="00577BC4" w:rsidRDefault="008D1D4E" w:rsidP="004445E1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Seat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coverage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regional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level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terms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sum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seat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share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regional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level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registered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data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(per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cent)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A9BE0D" w14:textId="77777777" w:rsidR="001A3D44" w:rsidRPr="00577BC4" w:rsidRDefault="008D1080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percentage</w:t>
            </w:r>
          </w:p>
        </w:tc>
      </w:tr>
      <w:tr w:rsidR="001A3D44" w:rsidRPr="00577BC4" w14:paraId="133384C2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C6553" w14:textId="77777777" w:rsidR="001A3D44" w:rsidRPr="00577BC4" w:rsidRDefault="008D1D4E" w:rsidP="00646EDA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r_adapted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47EFFA" w14:textId="2E56E7E6" w:rsidR="001A3D44" w:rsidRPr="00577BC4" w:rsidRDefault="008D1D4E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Regional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vote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share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-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adapted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CE26F5" w14:textId="6771AF3A" w:rsidR="001A3D44" w:rsidRPr="00577BC4" w:rsidRDefault="008D1D4E" w:rsidP="004445E1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Party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vote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share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(per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cent)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gained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respective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adapted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by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regional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vote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coverage,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simulating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full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regional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coverage: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proofErr w:type="spellStart"/>
            <w:r w:rsidRPr="00577BC4">
              <w:rPr>
                <w:rStyle w:val="Andere"/>
                <w:lang w:val="en-GB"/>
              </w:rPr>
              <w:t>r_p_vshare</w:t>
            </w:r>
            <w:proofErr w:type="spellEnd"/>
            <w:r w:rsidRPr="00577BC4">
              <w:rPr>
                <w:rStyle w:val="Andere"/>
                <w:lang w:val="en-GB"/>
              </w:rPr>
              <w:t>/</w:t>
            </w:r>
            <w:proofErr w:type="spellStart"/>
            <w:r w:rsidRPr="00577BC4">
              <w:rPr>
                <w:rStyle w:val="Andere"/>
                <w:lang w:val="en-GB"/>
              </w:rPr>
              <w:t>r_coverage</w:t>
            </w:r>
            <w:proofErr w:type="spellEnd"/>
            <w:r w:rsidRPr="00577BC4">
              <w:rPr>
                <w:rStyle w:val="Andere"/>
                <w:lang w:val="en-GB"/>
              </w:rPr>
              <w:t>*100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B95660" w14:textId="77777777" w:rsidR="001A3D44" w:rsidRPr="00577BC4" w:rsidRDefault="008D1D4E" w:rsidP="004445E1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0-1</w:t>
            </w:r>
          </w:p>
        </w:tc>
      </w:tr>
      <w:tr w:rsidR="007428AC" w:rsidRPr="007428AC" w14:paraId="442C80F6" w14:textId="77777777" w:rsidTr="00445D0F">
        <w:trPr>
          <w:trHeight w:val="20"/>
        </w:trPr>
        <w:tc>
          <w:tcPr>
            <w:tcW w:w="143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C4A55" w14:textId="77777777" w:rsidR="007428AC" w:rsidRPr="007428AC" w:rsidRDefault="007428AC" w:rsidP="00445D0F">
            <w:pPr>
              <w:spacing w:after="0" w:line="240" w:lineRule="auto"/>
              <w:jc w:val="right"/>
              <w:rPr>
                <w:rStyle w:val="Andere"/>
                <w:i/>
              </w:rPr>
            </w:pPr>
            <w:r w:rsidRPr="007428AC">
              <w:rPr>
                <w:rStyle w:val="Andere"/>
                <w:i/>
              </w:rPr>
              <w:t>table continued on following page</w:t>
            </w:r>
          </w:p>
        </w:tc>
      </w:tr>
    </w:tbl>
    <w:p w14:paraId="3A78BED3" w14:textId="77777777" w:rsidR="002071B2" w:rsidRDefault="002071B2">
      <w:r w:rsidRPr="00577BC4">
        <w:br w:type="page"/>
      </w:r>
    </w:p>
    <w:tbl>
      <w:tblPr>
        <w:tblW w:w="1431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1701"/>
        <w:gridCol w:w="8222"/>
        <w:gridCol w:w="2126"/>
      </w:tblGrid>
      <w:tr w:rsidR="00F87093" w:rsidRPr="00577BC4" w14:paraId="60D49458" w14:textId="77777777" w:rsidTr="00F87093">
        <w:trPr>
          <w:trHeight w:val="519"/>
        </w:trPr>
        <w:tc>
          <w:tcPr>
            <w:tcW w:w="14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noWrap/>
            <w:vAlign w:val="center"/>
          </w:tcPr>
          <w:p w14:paraId="453D6EE8" w14:textId="4C857593" w:rsidR="00F87093" w:rsidRPr="00577BC4" w:rsidRDefault="00F87093" w:rsidP="00F87093">
            <w:pPr>
              <w:spacing w:after="0" w:line="240" w:lineRule="auto"/>
              <w:jc w:val="center"/>
              <w:rPr>
                <w:rStyle w:val="Andere"/>
                <w:b/>
              </w:rPr>
            </w:pPr>
            <w:r w:rsidRPr="00577BC4">
              <w:rPr>
                <w:rStyle w:val="Andere"/>
                <w:b/>
              </w:rPr>
              <w:lastRenderedPageBreak/>
              <w:t>Regional</w:t>
            </w:r>
            <w:r w:rsidR="00577BC4" w:rsidRPr="00577BC4">
              <w:rPr>
                <w:rStyle w:val="Andere"/>
                <w:b/>
              </w:rPr>
              <w:t xml:space="preserve"> </w:t>
            </w:r>
            <w:r w:rsidRPr="00577BC4">
              <w:rPr>
                <w:rStyle w:val="Andere"/>
                <w:b/>
              </w:rPr>
              <w:t>Information</w:t>
            </w:r>
          </w:p>
        </w:tc>
      </w:tr>
      <w:tr w:rsidR="00F87093" w:rsidRPr="00577BC4" w14:paraId="0434A26D" w14:textId="77777777" w:rsidTr="000260D6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nil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64BDA8B" w14:textId="77777777" w:rsidR="00F87093" w:rsidRPr="00577BC4" w:rsidRDefault="00F87093" w:rsidP="008D1080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>Variable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0BF9E3" w14:textId="77777777" w:rsidR="00F87093" w:rsidRPr="00577BC4" w:rsidRDefault="00F87093" w:rsidP="008D108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>Name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7E48D0" w14:textId="77777777" w:rsidR="00F87093" w:rsidRPr="00577BC4" w:rsidRDefault="00F87093" w:rsidP="008D108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>Description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BC3B1D" w14:textId="126D4F97" w:rsidR="00F87093" w:rsidRPr="00577BC4" w:rsidRDefault="00F87093" w:rsidP="008D1080">
            <w:pPr>
              <w:spacing w:after="0" w:line="240" w:lineRule="auto"/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</w:pPr>
            <w:r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>Data</w:t>
            </w:r>
            <w:r w:rsidR="00577BC4"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>format</w:t>
            </w:r>
            <w:r w:rsidR="00577BC4" w:rsidRPr="00577BC4">
              <w:rPr>
                <w:rFonts w:ascii="Garamond" w:eastAsia="Times New Roman" w:hAnsi="Garamond" w:cs="Calibri"/>
                <w:b/>
                <w:color w:val="000000"/>
                <w:sz w:val="16"/>
                <w:szCs w:val="16"/>
                <w:lang w:eastAsia="de-DE"/>
              </w:rPr>
              <w:t xml:space="preserve"> </w:t>
            </w:r>
          </w:p>
        </w:tc>
      </w:tr>
      <w:tr w:rsidR="00AB687E" w:rsidRPr="00577BC4" w14:paraId="5BB5ED76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7EFBC" w14:textId="77777777" w:rsidR="00AB687E" w:rsidRPr="00577BC4" w:rsidRDefault="00AB687E" w:rsidP="00646EDA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r_</w:t>
            </w:r>
            <w:proofErr w:type="gramStart"/>
            <w:r w:rsidRPr="00577BC4">
              <w:rPr>
                <w:rStyle w:val="Andere"/>
              </w:rPr>
              <w:t>adapted.vote</w:t>
            </w:r>
            <w:proofErr w:type="gramEnd"/>
            <w:r w:rsidRPr="00577BC4">
              <w:rPr>
                <w:rStyle w:val="Andere"/>
              </w:rPr>
              <w:t>_seat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CC4EBB8" w14:textId="7C8EB125" w:rsidR="00AB687E" w:rsidRPr="00577BC4" w:rsidRDefault="00AB687E" w:rsidP="00646EDA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Regional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support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of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party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proxy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993C564" w14:textId="07D71A06" w:rsidR="00AB687E" w:rsidRPr="00577BC4" w:rsidRDefault="0097641D" w:rsidP="00AB687E">
            <w:pPr>
              <w:pStyle w:val="Andere0"/>
              <w:rPr>
                <w:rStyle w:val="Andere"/>
                <w:lang w:val="en-GB"/>
              </w:rPr>
            </w:pPr>
            <w:r>
              <w:rPr>
                <w:rStyle w:val="Andere"/>
                <w:lang w:val="en-GB"/>
              </w:rPr>
              <w:t>This is a pr</w:t>
            </w:r>
            <w:r w:rsidR="00944693">
              <w:rPr>
                <w:rStyle w:val="Andere"/>
                <w:lang w:val="en-GB"/>
              </w:rPr>
              <w:t xml:space="preserve">oxy of regional vote share where we impute seat share if vote share is missing. 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08551B" w14:textId="77777777" w:rsidR="00AB687E" w:rsidRPr="00577BC4" w:rsidRDefault="00355F62" w:rsidP="00975095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percentage</w:t>
            </w:r>
          </w:p>
        </w:tc>
      </w:tr>
      <w:tr w:rsidR="00F70A99" w:rsidRPr="00577BC4" w14:paraId="72E6FD96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39D0F" w14:textId="77777777" w:rsidR="00F70A99" w:rsidRPr="00577BC4" w:rsidRDefault="00AB687E" w:rsidP="00646EDA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coverage_ideology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18D3672" w14:textId="620E1A7D" w:rsidR="00F70A99" w:rsidRPr="00577BC4" w:rsidRDefault="00AB687E" w:rsidP="00AB687E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Ideology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coverage</w:t>
            </w:r>
            <w:r w:rsidR="00577BC4" w:rsidRPr="00577BC4">
              <w:rPr>
                <w:rStyle w:val="Andere"/>
              </w:rPr>
              <w:t xml:space="preserve"> 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16E7FC4" w14:textId="09691CEB" w:rsidR="00F70A99" w:rsidRPr="00577BC4" w:rsidRDefault="00AB687E" w:rsidP="00AB687E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Sum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regional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party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support</w:t>
            </w:r>
            <w:r w:rsidR="00944693">
              <w:rPr>
                <w:rStyle w:val="Andere"/>
                <w:lang w:val="en-GB"/>
              </w:rPr>
              <w:t xml:space="preserve"> (</w:t>
            </w:r>
            <w:proofErr w:type="spellStart"/>
            <w:r w:rsidR="00944693" w:rsidRPr="00944693">
              <w:rPr>
                <w:rStyle w:val="Andere"/>
                <w:lang w:val="en-US"/>
              </w:rPr>
              <w:t>r_</w:t>
            </w:r>
            <w:proofErr w:type="gramStart"/>
            <w:r w:rsidR="00944693" w:rsidRPr="00944693">
              <w:rPr>
                <w:rStyle w:val="Andere"/>
                <w:lang w:val="en-US"/>
              </w:rPr>
              <w:t>adapted.vote</w:t>
            </w:r>
            <w:proofErr w:type="gramEnd"/>
            <w:r w:rsidR="00944693" w:rsidRPr="00944693">
              <w:rPr>
                <w:rStyle w:val="Andere"/>
                <w:lang w:val="en-US"/>
              </w:rPr>
              <w:t>_seat</w:t>
            </w:r>
            <w:proofErr w:type="spellEnd"/>
            <w:r w:rsidR="00944693">
              <w:rPr>
                <w:rStyle w:val="Andere"/>
                <w:lang w:val="en-GB"/>
              </w:rPr>
              <w:t>)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for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BF473E">
              <w:rPr>
                <w:rStyle w:val="Andere"/>
                <w:lang w:val="en-GB"/>
              </w:rPr>
              <w:t xml:space="preserve">parties with </w:t>
            </w:r>
            <w:r w:rsidR="00BF473E" w:rsidRPr="00577BC4">
              <w:rPr>
                <w:rStyle w:val="Andere"/>
                <w:lang w:val="en-GB"/>
              </w:rPr>
              <w:t>ideological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information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available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(0-100)</w:t>
            </w:r>
            <w:r w:rsidR="00944693">
              <w:rPr>
                <w:rStyle w:val="Andere"/>
                <w:lang w:val="en-GB"/>
              </w:rPr>
              <w:t xml:space="preserve">. Ideological information refers to </w:t>
            </w:r>
            <w:proofErr w:type="gramStart"/>
            <w:r w:rsidR="00944693">
              <w:rPr>
                <w:rStyle w:val="Andere"/>
                <w:lang w:val="en-GB"/>
              </w:rPr>
              <w:t>manifesto based</w:t>
            </w:r>
            <w:proofErr w:type="gramEnd"/>
            <w:r w:rsidR="00944693">
              <w:rPr>
                <w:rStyle w:val="Andere"/>
                <w:lang w:val="en-GB"/>
              </w:rPr>
              <w:t xml:space="preserve"> positions.  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944693">
              <w:rPr>
                <w:rStyle w:val="Andere"/>
                <w:lang w:val="en-GB"/>
              </w:rPr>
              <w:t xml:space="preserve"> 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285F90" w14:textId="77777777" w:rsidR="00F70A99" w:rsidRPr="00577BC4" w:rsidRDefault="00355F62" w:rsidP="00975095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percentage</w:t>
            </w:r>
          </w:p>
        </w:tc>
      </w:tr>
      <w:tr w:rsidR="00AB687E" w:rsidRPr="00577BC4" w14:paraId="2FB7EFDA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7DEB2" w14:textId="77777777" w:rsidR="00AB687E" w:rsidRPr="00577BC4" w:rsidRDefault="00AB687E" w:rsidP="00646EDA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cog_lr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9F71FD8" w14:textId="681EFC86" w:rsidR="00AB687E" w:rsidRPr="00577BC4" w:rsidRDefault="00AB687E" w:rsidP="00646EDA">
            <w:pPr>
              <w:spacing w:after="0" w:line="240" w:lineRule="auto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Center</w:t>
            </w:r>
            <w:proofErr w:type="spellEnd"/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of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Gravity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-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Left-Right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88D5864" w14:textId="0C527A3F" w:rsidR="00AB687E" w:rsidRPr="00577BC4" w:rsidRDefault="00AB687E" w:rsidP="00AB687E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Ideological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position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944693">
              <w:rPr>
                <w:rStyle w:val="Andere"/>
                <w:lang w:val="en-GB"/>
              </w:rPr>
              <w:t xml:space="preserve"> a region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terms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left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and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right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weighted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mean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left-right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party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ideology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(RILE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standardized)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and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regional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support.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184D3A4" w14:textId="77777777" w:rsidR="00AB687E" w:rsidRPr="00577BC4" w:rsidRDefault="00AB687E" w:rsidP="00975095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0-1</w:t>
            </w:r>
          </w:p>
        </w:tc>
      </w:tr>
      <w:tr w:rsidR="00AB687E" w:rsidRPr="00577BC4" w14:paraId="428FE5B8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95DA8" w14:textId="77777777" w:rsidR="00AB687E" w:rsidRPr="00577BC4" w:rsidRDefault="00AB687E" w:rsidP="00646EDA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cog_ml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10AB93E" w14:textId="24907260" w:rsidR="00AB687E" w:rsidRPr="00577BC4" w:rsidRDefault="00AB687E" w:rsidP="00646EDA">
            <w:pPr>
              <w:spacing w:after="0" w:line="240" w:lineRule="auto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Center</w:t>
            </w:r>
            <w:proofErr w:type="spellEnd"/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of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Gravity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-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Market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liberalism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37156BE" w14:textId="6B0A3867" w:rsidR="00AB687E" w:rsidRPr="00577BC4" w:rsidRDefault="00AB687E" w:rsidP="00AB687E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Ideological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position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944693">
              <w:rPr>
                <w:rStyle w:val="Andere"/>
                <w:lang w:val="en-GB"/>
              </w:rPr>
              <w:t>a region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terms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market-liberalism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weighted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mean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market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liberalism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party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positions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and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regional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support.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E197AFC" w14:textId="77777777" w:rsidR="00AB687E" w:rsidRPr="00577BC4" w:rsidRDefault="00AB687E" w:rsidP="00975095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0-1</w:t>
            </w:r>
          </w:p>
        </w:tc>
      </w:tr>
      <w:tr w:rsidR="00AB687E" w:rsidRPr="00577BC4" w14:paraId="0D2B90BB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CAB52" w14:textId="77777777" w:rsidR="00AB687E" w:rsidRPr="00577BC4" w:rsidRDefault="00AB687E" w:rsidP="00AB687E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cog_cult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4F53CB5" w14:textId="3EBFD264" w:rsidR="00AB687E" w:rsidRPr="00577BC4" w:rsidRDefault="00AB687E" w:rsidP="00AB687E">
            <w:pPr>
              <w:spacing w:after="0" w:line="240" w:lineRule="auto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Center</w:t>
            </w:r>
            <w:proofErr w:type="spellEnd"/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of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Gravity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-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Cultural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Dimension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F26D660" w14:textId="7D33A2C7" w:rsidR="00AB687E" w:rsidRPr="00577BC4" w:rsidRDefault="00AB687E" w:rsidP="00AB687E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Ideological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position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944693">
              <w:rPr>
                <w:rStyle w:val="Andere"/>
                <w:lang w:val="en-GB"/>
              </w:rPr>
              <w:t xml:space="preserve">a region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terms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cultural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dimension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weighted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mean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cultural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party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positions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and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regional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support.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FB0CEB" w14:textId="77777777" w:rsidR="00AB687E" w:rsidRPr="00577BC4" w:rsidRDefault="00AB687E" w:rsidP="00AB687E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0-1</w:t>
            </w:r>
          </w:p>
        </w:tc>
      </w:tr>
      <w:tr w:rsidR="00F87093" w:rsidRPr="00577BC4" w14:paraId="777350E3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C0510" w14:textId="77777777" w:rsidR="00F87093" w:rsidRPr="00577BC4" w:rsidRDefault="00F87093" w:rsidP="008D1080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regionalist_demand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43B1A50" w14:textId="5EF1A113" w:rsidR="00F87093" w:rsidRPr="00577BC4" w:rsidRDefault="00F87093" w:rsidP="008D1080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Regionalist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demand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A6D77A9" w14:textId="7C9947C9" w:rsidR="00F87093" w:rsidRPr="00577BC4" w:rsidRDefault="00F87093" w:rsidP="008D1080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demand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for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regional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authority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sum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regional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vote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share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regionalist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parties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level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(per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cent)</w:t>
            </w:r>
            <w:r w:rsidR="00EA3347">
              <w:rPr>
                <w:rStyle w:val="Andere"/>
                <w:lang w:val="en-GB"/>
              </w:rPr>
              <w:t>: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EA3347">
              <w:rPr>
                <w:rStyle w:val="Andere"/>
                <w:lang w:val="en-GB"/>
              </w:rPr>
              <w:t>s</w:t>
            </w:r>
            <w:r w:rsidRPr="00577BC4">
              <w:rPr>
                <w:rStyle w:val="Andere"/>
                <w:lang w:val="en-GB"/>
              </w:rPr>
              <w:t>um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proofErr w:type="spellStart"/>
            <w:r w:rsidRPr="00577BC4">
              <w:rPr>
                <w:rStyle w:val="Andere"/>
                <w:lang w:val="en-GB"/>
              </w:rPr>
              <w:t>r_p_vshare</w:t>
            </w:r>
            <w:proofErr w:type="spellEnd"/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all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proofErr w:type="spellStart"/>
            <w:r w:rsidRPr="00577BC4">
              <w:rPr>
                <w:rStyle w:val="Andere"/>
                <w:lang w:val="en-GB"/>
              </w:rPr>
              <w:t>p_reg</w:t>
            </w:r>
            <w:proofErr w:type="spellEnd"/>
            <w:r w:rsidRPr="00577BC4">
              <w:rPr>
                <w:rStyle w:val="Andere"/>
                <w:lang w:val="en-GB"/>
              </w:rPr>
              <w:t>=1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9446F6" w14:textId="77777777" w:rsidR="00F87093" w:rsidRPr="00577BC4" w:rsidRDefault="00F87093" w:rsidP="008D1080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0-1</w:t>
            </w:r>
          </w:p>
        </w:tc>
      </w:tr>
      <w:tr w:rsidR="00AB687E" w:rsidRPr="00577BC4" w14:paraId="32BEB078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308AE" w14:textId="76873C6B" w:rsidR="00AB687E" w:rsidRPr="00577BC4" w:rsidRDefault="00114631" w:rsidP="00AB687E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>
              <w:rPr>
                <w:rStyle w:val="Andere"/>
              </w:rPr>
              <w:t>r</w:t>
            </w:r>
            <w:r w:rsidR="00AB687E" w:rsidRPr="00577BC4">
              <w:rPr>
                <w:rStyle w:val="Andere"/>
              </w:rPr>
              <w:t>ai</w:t>
            </w:r>
            <w:r>
              <w:rPr>
                <w:rStyle w:val="Andere"/>
              </w:rPr>
              <w:t>_</w:t>
            </w:r>
            <w:r w:rsidR="00AB687E" w:rsidRPr="00577BC4">
              <w:rPr>
                <w:rStyle w:val="Andere"/>
              </w:rPr>
              <w:t>region_name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FA0CA90" w14:textId="1221AF4B" w:rsidR="00AB687E" w:rsidRPr="00577BC4" w:rsidRDefault="00AB687E" w:rsidP="00AB687E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RAI</w:t>
            </w:r>
            <w:r w:rsidR="00577BC4" w:rsidRPr="00577BC4">
              <w:rPr>
                <w:rStyle w:val="Andere"/>
              </w:rPr>
              <w:t xml:space="preserve"> </w:t>
            </w:r>
            <w:proofErr w:type="spellStart"/>
            <w:r w:rsidRPr="00577BC4">
              <w:rPr>
                <w:rStyle w:val="Andere"/>
              </w:rPr>
              <w:t>regiona</w:t>
            </w:r>
            <w:proofErr w:type="spellEnd"/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name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-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2020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687B781" w14:textId="269F0015" w:rsidR="00AB687E" w:rsidRPr="00577BC4" w:rsidRDefault="00355F62" w:rsidP="00355F62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Region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name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according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to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Regional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Authority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Index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v3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</w:t>
            </w:r>
            <w:proofErr w:type="spellStart"/>
            <w:r w:rsidRPr="00577BC4">
              <w:rPr>
                <w:rStyle w:val="Andere"/>
                <w:lang w:val="en-GB"/>
              </w:rPr>
              <w:t>Shair</w:t>
            </w:r>
            <w:proofErr w:type="spellEnd"/>
            <w:r w:rsidRPr="00577BC4">
              <w:rPr>
                <w:rStyle w:val="Andere"/>
                <w:lang w:val="en-GB"/>
              </w:rPr>
              <w:t>-Rosenfield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al.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2020;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proofErr w:type="spellStart"/>
            <w:r w:rsidRPr="00577BC4">
              <w:rPr>
                <w:rStyle w:val="Andere"/>
                <w:lang w:val="en-GB"/>
              </w:rPr>
              <w:t>Hooghe</w:t>
            </w:r>
            <w:proofErr w:type="spellEnd"/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al.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2016)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978463" w14:textId="77777777" w:rsidR="00AB687E" w:rsidRPr="00577BC4" w:rsidRDefault="00355F62" w:rsidP="00AB687E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string</w:t>
            </w:r>
          </w:p>
        </w:tc>
      </w:tr>
      <w:tr w:rsidR="00AB687E" w:rsidRPr="00577BC4" w14:paraId="47ADEDC6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4B1A7" w14:textId="77777777" w:rsidR="00AB687E" w:rsidRPr="00577BC4" w:rsidRDefault="00AB687E" w:rsidP="00AB687E">
            <w:pPr>
              <w:spacing w:after="0" w:line="240" w:lineRule="auto"/>
              <w:jc w:val="right"/>
              <w:rPr>
                <w:rStyle w:val="Andere"/>
              </w:rPr>
            </w:pPr>
            <w:r w:rsidRPr="00577BC4">
              <w:rPr>
                <w:rStyle w:val="Andere"/>
              </w:rPr>
              <w:t>RAI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5A02723" w14:textId="02EE881E" w:rsidR="00AB687E" w:rsidRPr="00577BC4" w:rsidRDefault="00AB687E" w:rsidP="00AB687E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RAI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value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at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the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year-observation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C0A50E5" w14:textId="3CD2FFC5" w:rsidR="00AB687E" w:rsidRPr="00577BC4" w:rsidRDefault="00355F62" w:rsidP="00355F62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RAI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Index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value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according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to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Regional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Authority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Index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v3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</w:t>
            </w:r>
            <w:proofErr w:type="spellStart"/>
            <w:r w:rsidRPr="00577BC4">
              <w:rPr>
                <w:rStyle w:val="Andere"/>
                <w:lang w:val="en-GB"/>
              </w:rPr>
              <w:t>Shair</w:t>
            </w:r>
            <w:proofErr w:type="spellEnd"/>
            <w:r w:rsidRPr="00577BC4">
              <w:rPr>
                <w:rStyle w:val="Andere"/>
                <w:lang w:val="en-GB"/>
              </w:rPr>
              <w:t>-Rosenfield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al.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2020;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proofErr w:type="spellStart"/>
            <w:r w:rsidRPr="00577BC4">
              <w:rPr>
                <w:rStyle w:val="Andere"/>
                <w:lang w:val="en-GB"/>
              </w:rPr>
              <w:t>Hooghe</w:t>
            </w:r>
            <w:proofErr w:type="spellEnd"/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et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al.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2016)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CE1950" w14:textId="77777777" w:rsidR="00AB687E" w:rsidRPr="00577BC4" w:rsidRDefault="00355F62" w:rsidP="00AB687E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0-27</w:t>
            </w:r>
          </w:p>
        </w:tc>
      </w:tr>
      <w:tr w:rsidR="00AB687E" w:rsidRPr="00577BC4" w14:paraId="5F285A4D" w14:textId="77777777" w:rsidTr="000260D6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7AB5B" w14:textId="77777777" w:rsidR="00AB687E" w:rsidRPr="00577BC4" w:rsidRDefault="00AB687E" w:rsidP="00AB687E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region_oecd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DC5A783" w14:textId="083A8F16" w:rsidR="00AB687E" w:rsidRPr="00577BC4" w:rsidRDefault="00AB687E" w:rsidP="00AB687E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OECD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region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2B82455" w14:textId="5CB91CD0" w:rsidR="00AB687E" w:rsidRPr="00577BC4" w:rsidRDefault="00355F62" w:rsidP="00AB687E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Region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name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according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to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the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OECD</w:t>
            </w:r>
            <w:r w:rsidR="002A237A">
              <w:rPr>
                <w:rStyle w:val="Andere"/>
                <w:lang w:val="en-GB"/>
              </w:rPr>
              <w:t>.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569F41" w14:textId="77777777" w:rsidR="00AB687E" w:rsidRPr="00577BC4" w:rsidRDefault="00355F62" w:rsidP="00AB687E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string</w:t>
            </w:r>
          </w:p>
        </w:tc>
      </w:tr>
      <w:tr w:rsidR="00AB687E" w:rsidRPr="00577BC4" w14:paraId="76305C94" w14:textId="77777777" w:rsidTr="000A07FC">
        <w:trPr>
          <w:trHeight w:val="20"/>
        </w:trPr>
        <w:tc>
          <w:tcPr>
            <w:tcW w:w="2268" w:type="dxa"/>
            <w:tcBorders>
              <w:top w:val="dotted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D2613" w14:textId="77777777" w:rsidR="00AB687E" w:rsidRPr="00577BC4" w:rsidRDefault="00AB687E" w:rsidP="00AB687E">
            <w:pPr>
              <w:spacing w:after="0" w:line="240" w:lineRule="auto"/>
              <w:jc w:val="right"/>
              <w:rPr>
                <w:rStyle w:val="Andere"/>
              </w:rPr>
            </w:pPr>
            <w:proofErr w:type="spellStart"/>
            <w:r w:rsidRPr="00577BC4">
              <w:rPr>
                <w:rStyle w:val="Andere"/>
              </w:rPr>
              <w:t>mountain_region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3B4A622C" w14:textId="3DB4F394" w:rsidR="00AB687E" w:rsidRPr="00577BC4" w:rsidRDefault="00AB687E" w:rsidP="00AB687E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Mountain</w:t>
            </w:r>
            <w:r w:rsidR="00577BC4" w:rsidRPr="00577BC4">
              <w:rPr>
                <w:rStyle w:val="Andere"/>
              </w:rPr>
              <w:t xml:space="preserve"> </w:t>
            </w:r>
            <w:r w:rsidRPr="00577BC4">
              <w:rPr>
                <w:rStyle w:val="Andere"/>
              </w:rPr>
              <w:t>region</w:t>
            </w:r>
          </w:p>
        </w:tc>
        <w:tc>
          <w:tcPr>
            <w:tcW w:w="8222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2FA4FF76" w14:textId="5D77A2B9" w:rsidR="00AB687E" w:rsidRPr="00577BC4" w:rsidRDefault="00355F62" w:rsidP="00AB687E">
            <w:pPr>
              <w:pStyle w:val="Andere0"/>
              <w:rPr>
                <w:rStyle w:val="Andere"/>
                <w:lang w:val="en-GB"/>
              </w:rPr>
            </w:pPr>
            <w:r w:rsidRPr="00577BC4">
              <w:rPr>
                <w:rStyle w:val="Andere"/>
                <w:lang w:val="en-GB"/>
              </w:rPr>
              <w:t>Extent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of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="002071B2" w:rsidRPr="00577BC4">
              <w:rPr>
                <w:rStyle w:val="Andere"/>
                <w:lang w:val="en-GB"/>
              </w:rPr>
              <w:t>populated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regional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mountain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surface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(levels:</w:t>
            </w:r>
            <w:r w:rsidR="00577BC4" w:rsidRPr="00577BC4">
              <w:rPr>
                <w:rStyle w:val="Andere"/>
                <w:lang w:val="en-GB"/>
              </w:rPr>
              <w:t xml:space="preserve"> </w:t>
            </w:r>
            <w:r w:rsidRPr="00577BC4">
              <w:rPr>
                <w:rStyle w:val="Andere"/>
                <w:lang w:val="en-GB"/>
              </w:rPr>
              <w:t>0,1,2)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E924A9" w14:textId="77777777" w:rsidR="00AB687E" w:rsidRPr="00577BC4" w:rsidRDefault="00355F62" w:rsidP="00AB687E">
            <w:pPr>
              <w:spacing w:after="0" w:line="240" w:lineRule="auto"/>
              <w:rPr>
                <w:rStyle w:val="Andere"/>
              </w:rPr>
            </w:pPr>
            <w:r w:rsidRPr="00577BC4">
              <w:rPr>
                <w:rStyle w:val="Andere"/>
              </w:rPr>
              <w:t>0-2</w:t>
            </w:r>
          </w:p>
        </w:tc>
      </w:tr>
    </w:tbl>
    <w:p w14:paraId="5AE7619A" w14:textId="77777777" w:rsidR="00E320CE" w:rsidRDefault="000728C1">
      <w:pPr>
        <w:rPr>
          <w:rFonts w:ascii="Garamond" w:hAnsi="Garamond"/>
          <w:b/>
          <w:sz w:val="20"/>
          <w:szCs w:val="20"/>
        </w:rPr>
        <w:sectPr w:rsidR="00E320CE" w:rsidSect="001F5A0D">
          <w:pgSz w:w="16838" w:h="11906" w:orient="landscape"/>
          <w:pgMar w:top="1418" w:right="1134" w:bottom="1418" w:left="1418" w:header="709" w:footer="709" w:gutter="0"/>
          <w:cols w:space="708"/>
          <w:docGrid w:linePitch="360"/>
        </w:sectPr>
      </w:pPr>
      <w:r>
        <w:rPr>
          <w:rFonts w:ascii="Garamond" w:hAnsi="Garamond"/>
          <w:b/>
          <w:sz w:val="20"/>
          <w:szCs w:val="20"/>
        </w:rPr>
        <w:br w:type="page"/>
      </w:r>
    </w:p>
    <w:p w14:paraId="299CFAF9" w14:textId="4A8B2B14" w:rsidR="001F5A0D" w:rsidRPr="00577BC4" w:rsidRDefault="007402F5" w:rsidP="002071B2">
      <w:pPr>
        <w:pStyle w:val="berschrift1"/>
        <w:numPr>
          <w:ilvl w:val="0"/>
          <w:numId w:val="1"/>
        </w:numPr>
        <w:rPr>
          <w:rFonts w:ascii="Garamond" w:eastAsia="Times New Roman" w:hAnsi="Garamond"/>
          <w:b/>
          <w:bCs/>
          <w:color w:val="auto"/>
          <w:lang w:eastAsia="en-GB"/>
        </w:rPr>
      </w:pPr>
      <w:bookmarkStart w:id="9" w:name="_Toc144200399"/>
      <w:r w:rsidRPr="00577BC4">
        <w:rPr>
          <w:rFonts w:ascii="Garamond" w:eastAsia="Times New Roman" w:hAnsi="Garamond"/>
          <w:b/>
          <w:bCs/>
          <w:color w:val="auto"/>
          <w:lang w:eastAsia="en-GB"/>
        </w:rPr>
        <w:lastRenderedPageBreak/>
        <w:t>Country</w:t>
      </w:r>
      <w:r w:rsidR="00577BC4" w:rsidRPr="00577BC4">
        <w:rPr>
          <w:rFonts w:ascii="Garamond" w:eastAsia="Times New Roman" w:hAnsi="Garamond"/>
          <w:b/>
          <w:bCs/>
          <w:color w:val="auto"/>
          <w:lang w:eastAsia="en-GB"/>
        </w:rPr>
        <w:t xml:space="preserve"> </w:t>
      </w:r>
      <w:r w:rsidRPr="00577BC4">
        <w:rPr>
          <w:rFonts w:ascii="Garamond" w:eastAsia="Times New Roman" w:hAnsi="Garamond"/>
          <w:b/>
          <w:bCs/>
          <w:color w:val="auto"/>
          <w:lang w:eastAsia="en-GB"/>
        </w:rPr>
        <w:t>notes</w:t>
      </w:r>
      <w:bookmarkEnd w:id="9"/>
    </w:p>
    <w:p w14:paraId="0654D902" w14:textId="77777777" w:rsidR="001F5A0D" w:rsidRPr="00577BC4" w:rsidRDefault="001F5A0D" w:rsidP="001F5A0D">
      <w:pPr>
        <w:rPr>
          <w:rFonts w:ascii="Garamond" w:hAnsi="Garamond"/>
          <w:b/>
          <w:lang w:eastAsia="en-GB"/>
        </w:rPr>
      </w:pPr>
    </w:p>
    <w:p w14:paraId="47AA013D" w14:textId="77777777" w:rsidR="00A8336C" w:rsidRDefault="00A8336C" w:rsidP="001F5A0D">
      <w:pPr>
        <w:jc w:val="both"/>
        <w:rPr>
          <w:rFonts w:ascii="Garamond" w:hAnsi="Garamond"/>
          <w:b/>
          <w:lang w:eastAsia="en-GB"/>
        </w:rPr>
      </w:pPr>
      <w:r>
        <w:rPr>
          <w:rFonts w:ascii="Garamond" w:hAnsi="Garamond"/>
          <w:b/>
          <w:lang w:eastAsia="en-GB"/>
        </w:rPr>
        <w:t>All countries</w:t>
      </w:r>
      <w:r w:rsidR="001F5A0D" w:rsidRPr="00577BC4">
        <w:rPr>
          <w:rFonts w:ascii="Garamond" w:hAnsi="Garamond"/>
          <w:b/>
          <w:lang w:eastAsia="en-GB"/>
        </w:rPr>
        <w:t>:</w:t>
      </w:r>
      <w:r w:rsidR="00577BC4" w:rsidRPr="00577BC4">
        <w:rPr>
          <w:rFonts w:ascii="Garamond" w:hAnsi="Garamond"/>
          <w:b/>
          <w:lang w:eastAsia="en-GB"/>
        </w:rPr>
        <w:t xml:space="preserve"> </w:t>
      </w:r>
    </w:p>
    <w:p w14:paraId="30C0AF61" w14:textId="0CA4C71D" w:rsidR="00A8336C" w:rsidRDefault="00A8336C" w:rsidP="00A8336C">
      <w:pPr>
        <w:pStyle w:val="Listenabsatz"/>
        <w:numPr>
          <w:ilvl w:val="0"/>
          <w:numId w:val="7"/>
        </w:numPr>
        <w:jc w:val="both"/>
        <w:rPr>
          <w:rFonts w:ascii="Garamond" w:hAnsi="Garamond"/>
          <w:lang w:eastAsia="en-GB"/>
        </w:rPr>
      </w:pPr>
      <w:r w:rsidRPr="00A8336C">
        <w:rPr>
          <w:rFonts w:ascii="Garamond" w:hAnsi="Garamond"/>
          <w:lang w:eastAsia="en-GB"/>
        </w:rPr>
        <w:t>I</w:t>
      </w:r>
      <w:r w:rsidR="001F5A0D" w:rsidRPr="00A8336C">
        <w:rPr>
          <w:rFonts w:ascii="Garamond" w:hAnsi="Garamond"/>
          <w:lang w:eastAsia="en-GB"/>
        </w:rPr>
        <w:t>ndependent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candidates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normally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have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unique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party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identification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IDs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with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unique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running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numbers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only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related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to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that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specific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independent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candidate.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However,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at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the</w:t>
      </w:r>
      <w:r w:rsidR="00577BC4" w:rsidRPr="00A8336C">
        <w:rPr>
          <w:rFonts w:ascii="Garamond" w:hAnsi="Garamond"/>
          <w:lang w:eastAsia="en-GB"/>
        </w:rPr>
        <w:t xml:space="preserve"> </w:t>
      </w:r>
      <w:r>
        <w:rPr>
          <w:rFonts w:ascii="Garamond" w:hAnsi="Garamond"/>
          <w:lang w:eastAsia="en-GB"/>
        </w:rPr>
        <w:t>country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level,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2E2462" w:rsidRPr="00A8336C">
        <w:rPr>
          <w:rFonts w:ascii="Garamond" w:hAnsi="Garamond"/>
          <w:lang w:eastAsia="en-GB"/>
        </w:rPr>
        <w:t>the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vote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count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and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share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variable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(</w:t>
      </w:r>
      <w:r w:rsidRPr="00A8336C">
        <w:rPr>
          <w:rFonts w:ascii="Garamond" w:hAnsi="Garamond"/>
          <w:lang w:eastAsia="en-GB"/>
        </w:rPr>
        <w:t>e.g.,</w:t>
      </w:r>
      <w:r w:rsidR="00577BC4" w:rsidRPr="00A8336C">
        <w:rPr>
          <w:rFonts w:ascii="Garamond" w:hAnsi="Garamond"/>
          <w:lang w:eastAsia="en-GB"/>
        </w:rPr>
        <w:t xml:space="preserve"> </w:t>
      </w:r>
      <w:proofErr w:type="spellStart"/>
      <w:r w:rsidR="001F5A0D" w:rsidRPr="00A8336C">
        <w:rPr>
          <w:rFonts w:ascii="Garamond" w:hAnsi="Garamond"/>
          <w:lang w:eastAsia="en-GB"/>
        </w:rPr>
        <w:t>n_v_p</w:t>
      </w:r>
      <w:proofErr w:type="spellEnd"/>
      <w:r w:rsidR="001F5A0D" w:rsidRPr="00A8336C">
        <w:rPr>
          <w:rFonts w:ascii="Garamond" w:hAnsi="Garamond"/>
          <w:lang w:eastAsia="en-GB"/>
        </w:rPr>
        <w:t>)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reflect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the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sum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of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all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independent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candidate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votes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in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the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country.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This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is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a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special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type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of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independent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candidate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regional-</w:t>
      </w:r>
      <w:r>
        <w:rPr>
          <w:rFonts w:ascii="Garamond" w:hAnsi="Garamond"/>
          <w:lang w:eastAsia="en-GB"/>
        </w:rPr>
        <w:t xml:space="preserve">country </w:t>
      </w:r>
      <w:r w:rsidR="001F5A0D" w:rsidRPr="00A8336C">
        <w:rPr>
          <w:rFonts w:ascii="Garamond" w:hAnsi="Garamond"/>
          <w:lang w:eastAsia="en-GB"/>
        </w:rPr>
        <w:t>aggregate.</w:t>
      </w:r>
      <w:r w:rsidR="00577BC4" w:rsidRPr="00A8336C">
        <w:rPr>
          <w:rFonts w:ascii="Garamond" w:hAnsi="Garamond"/>
          <w:lang w:eastAsia="en-GB"/>
        </w:rPr>
        <w:t xml:space="preserve"> </w:t>
      </w:r>
    </w:p>
    <w:p w14:paraId="10A5F590" w14:textId="77777777" w:rsidR="00A8336C" w:rsidRDefault="00A8336C" w:rsidP="00A8336C">
      <w:pPr>
        <w:pStyle w:val="Listenabsatz"/>
        <w:numPr>
          <w:ilvl w:val="0"/>
          <w:numId w:val="7"/>
        </w:numPr>
        <w:jc w:val="both"/>
        <w:rPr>
          <w:rFonts w:ascii="Garamond" w:hAnsi="Garamond"/>
          <w:lang w:eastAsia="en-GB"/>
        </w:rPr>
      </w:pPr>
      <w:r w:rsidRPr="00A8336C">
        <w:rPr>
          <w:rFonts w:ascii="Garamond" w:hAnsi="Garamond"/>
          <w:lang w:eastAsia="en-GB"/>
        </w:rPr>
        <w:t xml:space="preserve">There are some independent governments without cabinet parties, e.g., technocratic governments in Italy and Portugal. </w:t>
      </w:r>
    </w:p>
    <w:p w14:paraId="0F6EA2EA" w14:textId="77777777" w:rsidR="00A8336C" w:rsidRDefault="00A8336C" w:rsidP="00A8336C">
      <w:pPr>
        <w:pStyle w:val="Listenabsatz"/>
        <w:numPr>
          <w:ilvl w:val="0"/>
          <w:numId w:val="7"/>
        </w:numPr>
        <w:jc w:val="both"/>
        <w:rPr>
          <w:rFonts w:ascii="Garamond" w:hAnsi="Garamond"/>
          <w:lang w:eastAsia="en-GB"/>
        </w:rPr>
      </w:pPr>
      <w:r w:rsidRPr="00A8336C">
        <w:rPr>
          <w:rFonts w:ascii="Garamond" w:hAnsi="Garamond"/>
          <w:lang w:eastAsia="en-GB"/>
        </w:rPr>
        <w:t xml:space="preserve">Some party special lists are coded separately at the regional level and sometimes they are added to the main party. </w:t>
      </w:r>
    </w:p>
    <w:p w14:paraId="1E9E6A07" w14:textId="77777777" w:rsidR="00A8336C" w:rsidRDefault="001F5A0D" w:rsidP="00A8336C">
      <w:pPr>
        <w:pStyle w:val="Listenabsatz"/>
        <w:numPr>
          <w:ilvl w:val="0"/>
          <w:numId w:val="7"/>
        </w:numPr>
        <w:jc w:val="both"/>
        <w:rPr>
          <w:rFonts w:ascii="Garamond" w:hAnsi="Garamond"/>
          <w:lang w:eastAsia="en-GB"/>
        </w:rPr>
      </w:pPr>
      <w:r w:rsidRPr="00A8336C">
        <w:rPr>
          <w:rFonts w:ascii="Garamond" w:hAnsi="Garamond"/>
          <w:lang w:eastAsia="en-GB"/>
        </w:rPr>
        <w:t>Ideological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data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for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the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panel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structure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relates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to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the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manifestos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of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the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last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respective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election;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an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alternative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would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be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the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nearest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election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manifesto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for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each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party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(see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RED).</w:t>
      </w:r>
      <w:r w:rsidR="00577BC4" w:rsidRPr="00A8336C">
        <w:rPr>
          <w:rFonts w:ascii="Garamond" w:hAnsi="Garamond"/>
          <w:lang w:eastAsia="en-GB"/>
        </w:rPr>
        <w:t xml:space="preserve"> </w:t>
      </w:r>
    </w:p>
    <w:p w14:paraId="3647D612" w14:textId="77777777" w:rsidR="00A8336C" w:rsidRDefault="001F5A0D" w:rsidP="00A8336C">
      <w:pPr>
        <w:pStyle w:val="Listenabsatz"/>
        <w:numPr>
          <w:ilvl w:val="0"/>
          <w:numId w:val="7"/>
        </w:numPr>
        <w:jc w:val="both"/>
        <w:rPr>
          <w:rFonts w:ascii="Garamond" w:hAnsi="Garamond"/>
          <w:lang w:eastAsia="en-GB"/>
        </w:rPr>
      </w:pPr>
      <w:r w:rsidRPr="00A8336C">
        <w:rPr>
          <w:rFonts w:ascii="Garamond" w:hAnsi="Garamond"/>
          <w:lang w:eastAsia="en-GB"/>
        </w:rPr>
        <w:t>For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the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COGs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calculations,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we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link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manifesto-based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party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positions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from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the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respective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election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to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the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legislature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period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following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the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election,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in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2E2462" w:rsidRPr="00A8336C">
        <w:rPr>
          <w:rFonts w:ascii="Garamond" w:hAnsi="Garamond"/>
          <w:lang w:eastAsia="en-GB"/>
        </w:rPr>
        <w:t>the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case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of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panel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data.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For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certain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missing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ideology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values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and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COG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alternative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specifications,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we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impute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decade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means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from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the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respective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party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family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in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the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sample.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This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last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step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mostly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applies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to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small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parties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without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manifesto-based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information.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Further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alternative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specifications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are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possible,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such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as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imputing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ideology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estimates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from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manifestos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closest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in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time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–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even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future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ones.</w:t>
      </w:r>
      <w:r w:rsidR="00577BC4" w:rsidRPr="00A8336C">
        <w:rPr>
          <w:rFonts w:ascii="Garamond" w:hAnsi="Garamond"/>
          <w:lang w:eastAsia="en-GB"/>
        </w:rPr>
        <w:t xml:space="preserve"> </w:t>
      </w:r>
    </w:p>
    <w:p w14:paraId="427A144E" w14:textId="01F7E176" w:rsidR="00A8336C" w:rsidRDefault="00A8336C" w:rsidP="00A8336C">
      <w:pPr>
        <w:pStyle w:val="Listenabsatz"/>
        <w:numPr>
          <w:ilvl w:val="0"/>
          <w:numId w:val="7"/>
        </w:numPr>
        <w:jc w:val="both"/>
        <w:rPr>
          <w:rFonts w:ascii="Garamond" w:hAnsi="Garamond"/>
          <w:lang w:eastAsia="en-GB"/>
        </w:rPr>
      </w:pPr>
      <w:r w:rsidRPr="00A8336C">
        <w:rPr>
          <w:rFonts w:ascii="Garamond" w:hAnsi="Garamond"/>
          <w:lang w:eastAsia="en-GB"/>
        </w:rPr>
        <w:t xml:space="preserve">If </w:t>
      </w:r>
      <w:proofErr w:type="spellStart"/>
      <w:r w:rsidRPr="00A8336C">
        <w:rPr>
          <w:rFonts w:ascii="Garamond" w:hAnsi="Garamond"/>
          <w:lang w:eastAsia="en-GB"/>
        </w:rPr>
        <w:t>cab_sshare</w:t>
      </w:r>
      <w:proofErr w:type="spellEnd"/>
      <w:r w:rsidRPr="00A8336C">
        <w:rPr>
          <w:rFonts w:ascii="Garamond" w:hAnsi="Garamond"/>
          <w:lang w:eastAsia="en-GB"/>
        </w:rPr>
        <w:t xml:space="preserve"> and </w:t>
      </w:r>
      <w:proofErr w:type="spellStart"/>
      <w:r w:rsidRPr="00A8336C">
        <w:rPr>
          <w:rFonts w:ascii="Garamond" w:hAnsi="Garamond"/>
          <w:lang w:eastAsia="en-GB"/>
        </w:rPr>
        <w:t>cab_vshare</w:t>
      </w:r>
      <w:proofErr w:type="spellEnd"/>
      <w:r w:rsidRPr="00A8336C">
        <w:rPr>
          <w:rFonts w:ascii="Garamond" w:hAnsi="Garamond"/>
          <w:lang w:eastAsia="en-GB"/>
        </w:rPr>
        <w:t xml:space="preserve"> (</w:t>
      </w:r>
      <w:r>
        <w:rPr>
          <w:rFonts w:ascii="Garamond" w:hAnsi="Garamond"/>
          <w:lang w:eastAsia="en-GB"/>
        </w:rPr>
        <w:t>country level</w:t>
      </w:r>
      <w:r w:rsidRPr="00A8336C">
        <w:rPr>
          <w:rFonts w:ascii="Garamond" w:hAnsi="Garamond"/>
          <w:lang w:eastAsia="en-GB"/>
        </w:rPr>
        <w:t xml:space="preserve">) are missing, this is due to independent cabinets (e.g., </w:t>
      </w:r>
      <w:proofErr w:type="spellStart"/>
      <w:r w:rsidRPr="00A8336C">
        <w:rPr>
          <w:rFonts w:ascii="Garamond" w:hAnsi="Garamond"/>
          <w:lang w:eastAsia="en-GB"/>
        </w:rPr>
        <w:t>Bierlein</w:t>
      </w:r>
      <w:proofErr w:type="spellEnd"/>
      <w:r w:rsidRPr="00A8336C">
        <w:rPr>
          <w:rFonts w:ascii="Garamond" w:hAnsi="Garamond"/>
          <w:lang w:eastAsia="en-GB"/>
        </w:rPr>
        <w:t xml:space="preserve"> cabinet in Austria) or missing cabinet information (Bosnia and Herzegovina) or missing seat information (Mexico - to be collected).</w:t>
      </w:r>
    </w:p>
    <w:p w14:paraId="6AA27B37" w14:textId="7BB01A45" w:rsidR="00A8336C" w:rsidRDefault="00A8336C" w:rsidP="00A8336C">
      <w:pPr>
        <w:pStyle w:val="Listenabsatz"/>
        <w:numPr>
          <w:ilvl w:val="0"/>
          <w:numId w:val="7"/>
        </w:numPr>
        <w:jc w:val="both"/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O</w:t>
      </w:r>
      <w:r w:rsidR="001F5A0D" w:rsidRPr="00A8336C">
        <w:rPr>
          <w:rFonts w:ascii="Garamond" w:hAnsi="Garamond"/>
          <w:lang w:eastAsia="en-GB"/>
        </w:rPr>
        <w:t>ur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party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vote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share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(</w:t>
      </w:r>
      <w:proofErr w:type="spellStart"/>
      <w:r w:rsidR="001F5A0D" w:rsidRPr="00A8336C">
        <w:rPr>
          <w:rFonts w:ascii="Garamond" w:hAnsi="Garamond"/>
          <w:lang w:eastAsia="en-GB"/>
        </w:rPr>
        <w:t>r_p_vshare</w:t>
      </w:r>
      <w:proofErr w:type="spellEnd"/>
      <w:r w:rsidR="001F5A0D" w:rsidRPr="00A8336C">
        <w:rPr>
          <w:rFonts w:ascii="Garamond" w:hAnsi="Garamond"/>
          <w:lang w:eastAsia="en-GB"/>
        </w:rPr>
        <w:t>)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can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differ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from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official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statistics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in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cases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where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we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calculated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the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vote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shares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ourselves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with</w:t>
      </w:r>
      <w:r w:rsidR="00577BC4" w:rsidRPr="00A8336C">
        <w:rPr>
          <w:rFonts w:ascii="Garamond" w:hAnsi="Garamond"/>
          <w:lang w:eastAsia="en-GB"/>
        </w:rPr>
        <w:t xml:space="preserve"> </w:t>
      </w:r>
      <w:proofErr w:type="spellStart"/>
      <w:r w:rsidR="001F5A0D" w:rsidRPr="00A8336C">
        <w:rPr>
          <w:rFonts w:ascii="Garamond" w:hAnsi="Garamond"/>
          <w:lang w:eastAsia="en-GB"/>
        </w:rPr>
        <w:t>r_p_v</w:t>
      </w:r>
      <w:proofErr w:type="spellEnd"/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and</w:t>
      </w:r>
      <w:r w:rsidR="00577BC4" w:rsidRPr="00A8336C">
        <w:rPr>
          <w:rFonts w:ascii="Garamond" w:hAnsi="Garamond"/>
          <w:lang w:eastAsia="en-GB"/>
        </w:rPr>
        <w:t xml:space="preserve"> </w:t>
      </w:r>
      <w:proofErr w:type="spellStart"/>
      <w:r w:rsidR="001F5A0D" w:rsidRPr="00A8336C">
        <w:rPr>
          <w:rFonts w:ascii="Garamond" w:hAnsi="Garamond"/>
          <w:lang w:eastAsia="en-GB"/>
        </w:rPr>
        <w:t>r_valid</w:t>
      </w:r>
      <w:proofErr w:type="spellEnd"/>
      <w:r>
        <w:rPr>
          <w:rFonts w:ascii="Garamond" w:hAnsi="Garamond"/>
          <w:lang w:eastAsia="en-GB"/>
        </w:rPr>
        <w:t>.</w:t>
      </w:r>
      <w:r w:rsidR="00577BC4" w:rsidRPr="00A8336C">
        <w:rPr>
          <w:rFonts w:ascii="Garamond" w:hAnsi="Garamond"/>
          <w:lang w:eastAsia="en-GB"/>
        </w:rPr>
        <w:t xml:space="preserve"> </w:t>
      </w:r>
      <w:r>
        <w:rPr>
          <w:rFonts w:ascii="Garamond" w:hAnsi="Garamond"/>
          <w:lang w:eastAsia="en-GB"/>
        </w:rPr>
        <w:t>I</w:t>
      </w:r>
      <w:r w:rsidR="001F5A0D" w:rsidRPr="00A8336C">
        <w:rPr>
          <w:rFonts w:ascii="Garamond" w:hAnsi="Garamond"/>
          <w:lang w:eastAsia="en-GB"/>
        </w:rPr>
        <w:t>n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some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cases,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we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used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the</w:t>
      </w:r>
      <w:r w:rsidR="00577BC4" w:rsidRPr="00A8336C">
        <w:rPr>
          <w:rFonts w:ascii="Garamond" w:hAnsi="Garamond"/>
          <w:lang w:eastAsia="en-GB"/>
        </w:rPr>
        <w:t xml:space="preserve"> </w:t>
      </w:r>
      <w:proofErr w:type="spellStart"/>
      <w:r w:rsidR="001F5A0D" w:rsidRPr="00A8336C">
        <w:rPr>
          <w:rFonts w:ascii="Garamond" w:hAnsi="Garamond"/>
          <w:lang w:eastAsia="en-GB"/>
        </w:rPr>
        <w:t>r_turnout</w:t>
      </w:r>
      <w:proofErr w:type="spellEnd"/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and</w:t>
      </w:r>
      <w:r w:rsidR="00577BC4" w:rsidRPr="00A8336C">
        <w:rPr>
          <w:rFonts w:ascii="Garamond" w:hAnsi="Garamond"/>
          <w:lang w:eastAsia="en-GB"/>
        </w:rPr>
        <w:t xml:space="preserve"> </w:t>
      </w:r>
      <w:proofErr w:type="spellStart"/>
      <w:r w:rsidR="001F5A0D" w:rsidRPr="00A8336C">
        <w:rPr>
          <w:rFonts w:ascii="Garamond" w:hAnsi="Garamond"/>
          <w:lang w:eastAsia="en-GB"/>
        </w:rPr>
        <w:t>r_v_max</w:t>
      </w:r>
      <w:proofErr w:type="spellEnd"/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for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a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proxy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of</w:t>
      </w:r>
      <w:r w:rsidR="00577BC4" w:rsidRPr="00A8336C">
        <w:rPr>
          <w:rFonts w:ascii="Garamond" w:hAnsi="Garamond"/>
          <w:lang w:eastAsia="en-GB"/>
        </w:rPr>
        <w:t xml:space="preserve"> </w:t>
      </w:r>
      <w:proofErr w:type="spellStart"/>
      <w:r w:rsidR="001F5A0D" w:rsidRPr="00A8336C">
        <w:rPr>
          <w:rFonts w:ascii="Garamond" w:hAnsi="Garamond"/>
          <w:lang w:eastAsia="en-GB"/>
        </w:rPr>
        <w:t>r_valid</w:t>
      </w:r>
      <w:proofErr w:type="spellEnd"/>
      <w:r w:rsidR="001F5A0D" w:rsidRPr="00A8336C">
        <w:rPr>
          <w:rFonts w:ascii="Garamond" w:hAnsi="Garamond"/>
          <w:lang w:eastAsia="en-GB"/>
        </w:rPr>
        <w:t>,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where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this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information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was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not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available.</w:t>
      </w:r>
      <w:r w:rsidR="00577BC4" w:rsidRPr="00A8336C">
        <w:rPr>
          <w:rFonts w:ascii="Garamond" w:hAnsi="Garamond"/>
          <w:lang w:eastAsia="en-GB"/>
        </w:rPr>
        <w:t xml:space="preserve"> </w:t>
      </w:r>
    </w:p>
    <w:p w14:paraId="5DD67920" w14:textId="4DB3011A" w:rsidR="00A8336C" w:rsidRDefault="001F5A0D" w:rsidP="00A8336C">
      <w:pPr>
        <w:pStyle w:val="Listenabsatz"/>
        <w:numPr>
          <w:ilvl w:val="0"/>
          <w:numId w:val="7"/>
        </w:numPr>
        <w:jc w:val="both"/>
        <w:rPr>
          <w:rFonts w:ascii="Garamond" w:hAnsi="Garamond"/>
          <w:lang w:eastAsia="en-GB"/>
        </w:rPr>
      </w:pPr>
      <w:r w:rsidRPr="00A8336C">
        <w:rPr>
          <w:rFonts w:ascii="Garamond" w:hAnsi="Garamond"/>
          <w:lang w:eastAsia="en-GB"/>
        </w:rPr>
        <w:t>In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some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elections,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the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sum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o</w:t>
      </w:r>
      <w:r w:rsidR="00A8336C">
        <w:rPr>
          <w:rFonts w:ascii="Garamond" w:hAnsi="Garamond"/>
          <w:lang w:eastAsia="en-GB"/>
        </w:rPr>
        <w:t>f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regional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seats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does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not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match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the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maximal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amounts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of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seats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in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the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2071B2" w:rsidRPr="00A8336C">
        <w:rPr>
          <w:rFonts w:ascii="Garamond" w:hAnsi="Garamond"/>
          <w:lang w:eastAsia="en-GB"/>
        </w:rPr>
        <w:t>country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parliament,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which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8D1080" w:rsidRPr="00A8336C">
        <w:rPr>
          <w:rFonts w:ascii="Garamond" w:hAnsi="Garamond"/>
          <w:lang w:eastAsia="en-GB"/>
        </w:rPr>
        <w:t>reflects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the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original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statistics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and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not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a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coding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problem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(</w:t>
      </w:r>
      <w:r w:rsidR="002347EA" w:rsidRPr="00A8336C">
        <w:rPr>
          <w:rFonts w:ascii="Garamond" w:hAnsi="Garamond"/>
          <w:lang w:eastAsia="en-GB"/>
        </w:rPr>
        <w:t>e.g.,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Italy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1948,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1953,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1994,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2E2462" w:rsidRPr="00A8336C">
        <w:rPr>
          <w:rFonts w:ascii="Garamond" w:hAnsi="Garamond"/>
          <w:lang w:eastAsia="en-GB"/>
        </w:rPr>
        <w:t>the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United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Kingdom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1945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and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Austria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2017).</w:t>
      </w:r>
    </w:p>
    <w:p w14:paraId="5CF5DF6C" w14:textId="5E376E22" w:rsidR="00A8336C" w:rsidRDefault="00A8336C" w:rsidP="00A8336C">
      <w:pPr>
        <w:pStyle w:val="Listenabsatz"/>
        <w:numPr>
          <w:ilvl w:val="0"/>
          <w:numId w:val="7"/>
        </w:numPr>
        <w:jc w:val="both"/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At the country level</w:t>
      </w:r>
      <w:r w:rsidR="001F5A0D" w:rsidRPr="00A8336C">
        <w:rPr>
          <w:rFonts w:ascii="Garamond" w:hAnsi="Garamond"/>
          <w:lang w:eastAsia="en-GB"/>
        </w:rPr>
        <w:t>,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all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cabinet</w:t>
      </w:r>
      <w:r w:rsidR="002E2462" w:rsidRPr="00A8336C">
        <w:rPr>
          <w:rFonts w:ascii="Garamond" w:hAnsi="Garamond"/>
          <w:lang w:eastAsia="en-GB"/>
        </w:rPr>
        <w:t>s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include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2E2462" w:rsidRPr="00A8336C">
        <w:rPr>
          <w:rFonts w:ascii="Garamond" w:hAnsi="Garamond"/>
          <w:lang w:eastAsia="en-GB"/>
        </w:rPr>
        <w:t>the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main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government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party.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Except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for: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Italy-1994-Dini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I;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Italy-1994-Dini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II;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Italy-2018-Conte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II;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Turkey-1995-Ecevit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IV;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Portugal-1975-PinheiroDeAzevedoJ;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Portugal-1976-NobreDaCostaA.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In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the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Turkish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and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Italian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cases,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a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new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variable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is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included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that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covers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also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the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electorally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strongest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party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supporting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the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independent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government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(</w:t>
      </w:r>
      <w:proofErr w:type="spellStart"/>
      <w:r w:rsidR="001F5A0D" w:rsidRPr="00A8336C">
        <w:rPr>
          <w:rFonts w:ascii="Garamond" w:hAnsi="Garamond"/>
          <w:lang w:eastAsia="en-GB"/>
        </w:rPr>
        <w:t>cab_p_main_indp</w:t>
      </w:r>
      <w:proofErr w:type="spellEnd"/>
      <w:r w:rsidR="001F5A0D" w:rsidRPr="00A8336C">
        <w:rPr>
          <w:rFonts w:ascii="Garamond" w:hAnsi="Garamond"/>
          <w:lang w:eastAsia="en-GB"/>
        </w:rPr>
        <w:t>).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For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the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Portuguese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cases,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this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does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not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apply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since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th</w:t>
      </w:r>
      <w:r w:rsidR="002E2462" w:rsidRPr="00A8336C">
        <w:rPr>
          <w:rFonts w:ascii="Garamond" w:hAnsi="Garamond"/>
          <w:lang w:eastAsia="en-GB"/>
        </w:rPr>
        <w:t>ese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were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purely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independent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1F5A0D" w:rsidRPr="00A8336C">
        <w:rPr>
          <w:rFonts w:ascii="Garamond" w:hAnsi="Garamond"/>
          <w:lang w:eastAsia="en-GB"/>
        </w:rPr>
        <w:t>governments.</w:t>
      </w:r>
      <w:r w:rsidR="00577BC4" w:rsidRPr="00A8336C">
        <w:rPr>
          <w:rFonts w:ascii="Garamond" w:hAnsi="Garamond"/>
          <w:lang w:eastAsia="en-GB"/>
        </w:rPr>
        <w:t xml:space="preserve"> </w:t>
      </w:r>
    </w:p>
    <w:p w14:paraId="2C60EFDF" w14:textId="1F487F1F" w:rsidR="00A8336C" w:rsidRDefault="001F5A0D" w:rsidP="00A8336C">
      <w:pPr>
        <w:pStyle w:val="Listenabsatz"/>
        <w:numPr>
          <w:ilvl w:val="0"/>
          <w:numId w:val="7"/>
        </w:numPr>
        <w:jc w:val="both"/>
        <w:rPr>
          <w:rFonts w:ascii="Garamond" w:hAnsi="Garamond"/>
          <w:lang w:eastAsia="en-GB"/>
        </w:rPr>
      </w:pPr>
      <w:r w:rsidRPr="00A8336C">
        <w:rPr>
          <w:rFonts w:ascii="Garamond" w:hAnsi="Garamond"/>
          <w:lang w:eastAsia="en-GB"/>
        </w:rPr>
        <w:t>Regionally,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there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are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some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cases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where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the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government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party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is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not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coded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or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included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in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all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regional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observation</w:t>
      </w:r>
      <w:r w:rsidR="002E2462" w:rsidRPr="00A8336C">
        <w:rPr>
          <w:rFonts w:ascii="Garamond" w:hAnsi="Garamond"/>
          <w:lang w:eastAsia="en-GB"/>
        </w:rPr>
        <w:t>s</w:t>
      </w:r>
      <w:r w:rsidRPr="00A8336C">
        <w:rPr>
          <w:rFonts w:ascii="Garamond" w:hAnsi="Garamond"/>
          <w:lang w:eastAsia="en-GB"/>
        </w:rPr>
        <w:t>.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This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often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occurs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in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the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Australian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Northern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Territories,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A8336C" w:rsidRPr="00A8336C">
        <w:rPr>
          <w:rFonts w:ascii="Garamond" w:hAnsi="Garamond"/>
          <w:lang w:eastAsia="en-GB"/>
        </w:rPr>
        <w:t>Wallonia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in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1971,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and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Valle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d'Aosta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in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the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2010s,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as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well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as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for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the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Turkish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cabinets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of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Irmak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and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Ecevit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IV.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A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variable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called</w:t>
      </w:r>
      <w:r w:rsidR="00577BC4" w:rsidRPr="00A8336C">
        <w:rPr>
          <w:rFonts w:ascii="Garamond" w:hAnsi="Garamond"/>
          <w:lang w:eastAsia="en-GB"/>
        </w:rPr>
        <w:t xml:space="preserve"> </w:t>
      </w:r>
      <w:proofErr w:type="spellStart"/>
      <w:r w:rsidRPr="00A8336C">
        <w:rPr>
          <w:rFonts w:ascii="Garamond" w:hAnsi="Garamond"/>
          <w:lang w:eastAsia="en-GB"/>
        </w:rPr>
        <w:t>missing_maincab_reg</w:t>
      </w:r>
      <w:proofErr w:type="spellEnd"/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is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coded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at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the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regional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level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to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indicate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this.</w:t>
      </w:r>
      <w:r w:rsidR="00577BC4" w:rsidRPr="00A8336C">
        <w:rPr>
          <w:rFonts w:ascii="Garamond" w:hAnsi="Garamond"/>
          <w:lang w:eastAsia="en-GB"/>
        </w:rPr>
        <w:t xml:space="preserve"> </w:t>
      </w:r>
    </w:p>
    <w:p w14:paraId="0015DE33" w14:textId="7BDF277C" w:rsidR="001F5A0D" w:rsidRPr="00A8336C" w:rsidRDefault="001F5A0D" w:rsidP="00A8336C">
      <w:pPr>
        <w:pStyle w:val="Listenabsatz"/>
        <w:numPr>
          <w:ilvl w:val="0"/>
          <w:numId w:val="7"/>
        </w:numPr>
        <w:jc w:val="both"/>
        <w:rPr>
          <w:rFonts w:ascii="Garamond" w:hAnsi="Garamond"/>
          <w:lang w:eastAsia="en-GB"/>
        </w:rPr>
      </w:pPr>
      <w:r w:rsidRPr="00A8336C">
        <w:rPr>
          <w:rFonts w:ascii="Garamond" w:hAnsi="Garamond"/>
          <w:lang w:eastAsia="en-GB"/>
        </w:rPr>
        <w:t>Some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regions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disappear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electorally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for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some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periods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(</w:t>
      </w:r>
      <w:r w:rsidR="00A8336C" w:rsidRPr="00A8336C">
        <w:rPr>
          <w:rFonts w:ascii="Garamond" w:hAnsi="Garamond"/>
          <w:lang w:eastAsia="en-GB"/>
        </w:rPr>
        <w:t>e.g.,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Norther</w:t>
      </w:r>
      <w:r w:rsidR="002E2462" w:rsidRPr="00A8336C">
        <w:rPr>
          <w:rFonts w:ascii="Garamond" w:hAnsi="Garamond"/>
          <w:lang w:eastAsia="en-GB"/>
        </w:rPr>
        <w:t>n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Ireland)</w:t>
      </w:r>
      <w:r w:rsidR="00A8336C">
        <w:rPr>
          <w:rFonts w:ascii="Garamond" w:hAnsi="Garamond"/>
          <w:lang w:eastAsia="en-GB"/>
        </w:rPr>
        <w:t>.</w:t>
      </w:r>
      <w:r w:rsidR="00577BC4" w:rsidRPr="00A8336C">
        <w:rPr>
          <w:rFonts w:ascii="Garamond" w:hAnsi="Garamond"/>
          <w:lang w:eastAsia="en-GB"/>
        </w:rPr>
        <w:t xml:space="preserve"> </w:t>
      </w:r>
      <w:r w:rsidR="00A8336C">
        <w:rPr>
          <w:rFonts w:ascii="Garamond" w:hAnsi="Garamond"/>
          <w:lang w:eastAsia="en-GB"/>
        </w:rPr>
        <w:t>See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the</w:t>
      </w:r>
      <w:r w:rsidR="00577BC4" w:rsidRPr="00A8336C">
        <w:rPr>
          <w:rFonts w:ascii="Garamond" w:hAnsi="Garamond"/>
          <w:lang w:eastAsia="en-GB"/>
        </w:rPr>
        <w:t xml:space="preserve"> </w:t>
      </w:r>
      <w:r w:rsidRPr="00A8336C">
        <w:rPr>
          <w:rFonts w:ascii="Garamond" w:hAnsi="Garamond"/>
          <w:lang w:eastAsia="en-GB"/>
        </w:rPr>
        <w:t>country</w:t>
      </w:r>
      <w:r w:rsidR="00A8336C">
        <w:rPr>
          <w:rFonts w:ascii="Garamond" w:hAnsi="Garamond"/>
          <w:lang w:eastAsia="en-GB"/>
        </w:rPr>
        <w:t xml:space="preserve">-specific </w:t>
      </w:r>
      <w:r w:rsidRPr="00A8336C">
        <w:rPr>
          <w:rFonts w:ascii="Garamond" w:hAnsi="Garamond"/>
          <w:lang w:eastAsia="en-GB"/>
        </w:rPr>
        <w:t>notes</w:t>
      </w:r>
      <w:r w:rsidR="00A8336C">
        <w:rPr>
          <w:rFonts w:ascii="Garamond" w:hAnsi="Garamond"/>
          <w:lang w:eastAsia="en-GB"/>
        </w:rPr>
        <w:t xml:space="preserve"> for further information</w:t>
      </w:r>
      <w:r w:rsidRPr="00A8336C">
        <w:rPr>
          <w:rFonts w:ascii="Garamond" w:hAnsi="Garamond"/>
          <w:lang w:eastAsia="en-GB"/>
        </w:rPr>
        <w:t>.</w:t>
      </w:r>
    </w:p>
    <w:p w14:paraId="61F9EE0B" w14:textId="563B4C8D" w:rsidR="001F5A0D" w:rsidRPr="00577BC4" w:rsidRDefault="001F5A0D" w:rsidP="001F5A0D">
      <w:pPr>
        <w:jc w:val="both"/>
        <w:rPr>
          <w:rFonts w:ascii="Garamond" w:eastAsia="Times New Roman" w:hAnsi="Garamond" w:cs="Times New Roman"/>
          <w:bCs/>
          <w:color w:val="000000"/>
          <w:lang w:eastAsia="en-GB"/>
        </w:rPr>
      </w:pPr>
      <w:r w:rsidRPr="00577BC4">
        <w:rPr>
          <w:rFonts w:ascii="Garamond" w:eastAsia="Times New Roman" w:hAnsi="Garamond" w:cs="Times New Roman"/>
          <w:b/>
          <w:bCs/>
          <w:color w:val="000000"/>
          <w:lang w:eastAsia="en-GB"/>
        </w:rPr>
        <w:t>Austria:</w:t>
      </w:r>
      <w:r w:rsidR="00577BC4" w:rsidRPr="00577BC4">
        <w:rPr>
          <w:rFonts w:ascii="Garamond" w:eastAsia="Times New Roman" w:hAnsi="Garamond" w:cs="Times New Roman"/>
          <w:b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during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Figl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cabinet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(1945),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all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parliamentary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parties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were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cabinet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government.</w:t>
      </w:r>
    </w:p>
    <w:p w14:paraId="4C2DF995" w14:textId="1357F572" w:rsidR="001F5A0D" w:rsidRPr="00577BC4" w:rsidRDefault="001F5A0D" w:rsidP="001F5A0D">
      <w:pPr>
        <w:jc w:val="both"/>
        <w:rPr>
          <w:rFonts w:ascii="Garamond" w:eastAsia="Times New Roman" w:hAnsi="Garamond" w:cs="Times New Roman"/>
          <w:bCs/>
          <w:color w:val="000000"/>
          <w:lang w:eastAsia="en-GB"/>
        </w:rPr>
      </w:pPr>
      <w:r w:rsidRPr="00577BC4">
        <w:rPr>
          <w:rFonts w:ascii="Garamond" w:eastAsia="Times New Roman" w:hAnsi="Garamond" w:cs="Times New Roman"/>
          <w:b/>
          <w:bCs/>
          <w:color w:val="000000"/>
          <w:lang w:eastAsia="en-GB"/>
        </w:rPr>
        <w:t>Australia: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source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for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2016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2019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elections: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hyperlink r:id="rId9" w:history="1">
        <w:r w:rsidRPr="00577BC4">
          <w:rPr>
            <w:rStyle w:val="Hyperlink"/>
            <w:rFonts w:ascii="Garamond" w:eastAsia="Times New Roman" w:hAnsi="Garamond" w:cs="Times New Roman"/>
            <w:bCs/>
            <w:lang w:eastAsia="en-GB"/>
          </w:rPr>
          <w:t>https://www.aec.gov.au/</w:t>
        </w:r>
      </w:hyperlink>
    </w:p>
    <w:p w14:paraId="1ACCAB96" w14:textId="13D2A663" w:rsidR="001F5A0D" w:rsidRPr="00577BC4" w:rsidRDefault="001F5A0D" w:rsidP="001F5A0D">
      <w:pPr>
        <w:jc w:val="both"/>
        <w:rPr>
          <w:rFonts w:ascii="Garamond" w:eastAsia="Times New Roman" w:hAnsi="Garamond" w:cs="Times New Roman"/>
          <w:bCs/>
          <w:color w:val="000000"/>
          <w:lang w:eastAsia="en-GB"/>
        </w:rPr>
      </w:pPr>
      <w:r w:rsidRPr="00577BC4">
        <w:rPr>
          <w:rFonts w:ascii="Garamond" w:eastAsia="Times New Roman" w:hAnsi="Garamond" w:cs="Times New Roman"/>
          <w:b/>
          <w:bCs/>
          <w:color w:val="000000"/>
          <w:lang w:eastAsia="en-GB"/>
        </w:rPr>
        <w:t>Belgium:</w:t>
      </w:r>
      <w:r w:rsidR="00577BC4" w:rsidRPr="00577BC4">
        <w:rPr>
          <w:rFonts w:ascii="Garamond" w:eastAsia="Times New Roman" w:hAnsi="Garamond" w:cs="Times New Roman"/>
          <w:b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sum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of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r_s_p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by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region-cabinet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overcomes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r_s_max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1971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1977,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based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official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statistics.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Parties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BSP,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PSB/BSP,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BSP/PSP,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PSB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PSB/RW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are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adapted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corrected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for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Wallonien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Flandern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1977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1978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Belgian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elections.</w:t>
      </w:r>
    </w:p>
    <w:p w14:paraId="38DF66E5" w14:textId="5A175FED" w:rsidR="001F5A0D" w:rsidRPr="00577BC4" w:rsidRDefault="001F5A0D" w:rsidP="001F5A0D">
      <w:pPr>
        <w:jc w:val="both"/>
        <w:rPr>
          <w:rFonts w:ascii="Garamond" w:eastAsia="Times New Roman" w:hAnsi="Garamond" w:cs="Times New Roman"/>
          <w:bCs/>
          <w:color w:val="000000"/>
          <w:lang w:eastAsia="en-GB"/>
        </w:rPr>
      </w:pPr>
      <w:r w:rsidRPr="00577BC4">
        <w:rPr>
          <w:rFonts w:ascii="Garamond" w:eastAsia="Times New Roman" w:hAnsi="Garamond" w:cs="Times New Roman"/>
          <w:b/>
          <w:bCs/>
          <w:color w:val="000000"/>
          <w:lang w:eastAsia="en-GB"/>
        </w:rPr>
        <w:t>Canada:</w:t>
      </w:r>
      <w:r w:rsidR="00577BC4" w:rsidRPr="00577BC4">
        <w:rPr>
          <w:rFonts w:ascii="Garamond" w:eastAsia="Times New Roman" w:hAnsi="Garamond" w:cs="Times New Roman"/>
          <w:b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Newfoun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d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land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Labrador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were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not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part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of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Canada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1945,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no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electoral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participation.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No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official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data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for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Yukon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for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1949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election.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some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cases,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r_coverage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relatively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low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because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347EA">
        <w:rPr>
          <w:rFonts w:ascii="Garamond" w:eastAsia="Times New Roman" w:hAnsi="Garamond" w:cs="Times New Roman"/>
          <w:bCs/>
          <w:color w:val="000000"/>
          <w:lang w:eastAsia="en-GB"/>
        </w:rPr>
        <w:lastRenderedPageBreak/>
        <w:t>data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only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covers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347EA">
        <w:rPr>
          <w:rFonts w:ascii="Garamond" w:eastAsia="Times New Roman" w:hAnsi="Garamond" w:cs="Times New Roman"/>
          <w:bCs/>
          <w:color w:val="000000"/>
          <w:lang w:eastAsia="en-GB"/>
        </w:rPr>
        <w:t xml:space="preserve">election results of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main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parties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347EA">
        <w:rPr>
          <w:rFonts w:ascii="Garamond" w:eastAsia="Times New Roman" w:hAnsi="Garamond" w:cs="Times New Roman"/>
          <w:bCs/>
          <w:color w:val="000000"/>
          <w:lang w:eastAsia="en-GB"/>
        </w:rPr>
        <w:t xml:space="preserve">competing at the country level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(government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main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competitor)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for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some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regions,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one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of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both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can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be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relatively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marginal.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One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of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many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sources: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elections.ca</w:t>
      </w:r>
    </w:p>
    <w:p w14:paraId="6D7B2B04" w14:textId="6EAAAFC2" w:rsidR="001F5A0D" w:rsidRPr="00577BC4" w:rsidRDefault="001F5A0D" w:rsidP="001F5A0D">
      <w:pPr>
        <w:jc w:val="both"/>
        <w:rPr>
          <w:rFonts w:ascii="Garamond" w:hAnsi="Garamond"/>
          <w:lang w:eastAsia="en-GB"/>
        </w:rPr>
      </w:pPr>
      <w:r w:rsidRPr="00577BC4">
        <w:rPr>
          <w:rFonts w:ascii="Garamond" w:eastAsia="Times New Roman" w:hAnsi="Garamond" w:cs="Times New Roman"/>
          <w:b/>
          <w:bCs/>
          <w:color w:val="000000"/>
          <w:lang w:eastAsia="en-GB"/>
        </w:rPr>
        <w:t>Denmark:</w:t>
      </w:r>
      <w:r w:rsidR="00577BC4" w:rsidRPr="00577BC4">
        <w:rPr>
          <w:rFonts w:ascii="Garamond" w:eastAsia="Times New Roman" w:hAnsi="Garamond" w:cs="Times New Roman"/>
          <w:b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Source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Danish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Elections: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hyperlink r:id="rId10" w:history="1">
        <w:r w:rsidRPr="00577BC4">
          <w:rPr>
            <w:rStyle w:val="Hyperlink"/>
            <w:rFonts w:ascii="Garamond" w:eastAsia="Times New Roman" w:hAnsi="Garamond" w:cs="Times New Roman"/>
            <w:bCs/>
            <w:lang w:eastAsia="en-GB"/>
          </w:rPr>
          <w:t>https://www.dst.dk/en/Statistik/emner/befolkning-og-valg/valg</w:t>
        </w:r>
      </w:hyperlink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;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Source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Danish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Parliament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&amp;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Electoral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System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(argument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for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macro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-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regions):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hyperlink r:id="rId11" w:history="1">
        <w:r w:rsidRPr="00577BC4">
          <w:rPr>
            <w:rStyle w:val="Hyperlink"/>
            <w:rFonts w:ascii="Garamond" w:eastAsia="Times New Roman" w:hAnsi="Garamond" w:cs="Times New Roman"/>
            <w:bCs/>
            <w:lang w:eastAsia="en-GB"/>
          </w:rPr>
          <w:t>https://www.thedanishparliament.dk/~/media/pdf/publikationer/english/the-parliamentary-system-of-denmark_2011.ashx</w:t>
        </w:r>
      </w:hyperlink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hAnsi="Garamond"/>
          <w:lang w:eastAsia="en-GB"/>
        </w:rPr>
        <w:t>Danish</w:t>
      </w:r>
      <w:r w:rsidR="00577BC4" w:rsidRPr="00577BC4">
        <w:rPr>
          <w:rFonts w:ascii="Garamond" w:hAnsi="Garamond"/>
          <w:lang w:eastAsia="en-GB"/>
        </w:rPr>
        <w:t xml:space="preserve"> </w:t>
      </w:r>
      <w:r w:rsidRPr="00577BC4">
        <w:rPr>
          <w:rFonts w:ascii="Garamond" w:hAnsi="Garamond"/>
          <w:lang w:eastAsia="en-GB"/>
        </w:rPr>
        <w:t>Greenland's</w:t>
      </w:r>
      <w:r w:rsidR="00577BC4" w:rsidRPr="00577BC4">
        <w:rPr>
          <w:rFonts w:ascii="Garamond" w:hAnsi="Garamond"/>
          <w:lang w:eastAsia="en-GB"/>
        </w:rPr>
        <w:t xml:space="preserve"> </w:t>
      </w:r>
      <w:r w:rsidRPr="00577BC4">
        <w:rPr>
          <w:rFonts w:ascii="Garamond" w:hAnsi="Garamond"/>
          <w:lang w:eastAsia="en-GB"/>
        </w:rPr>
        <w:t>missing</w:t>
      </w:r>
      <w:r w:rsidR="00577BC4" w:rsidRPr="00577BC4">
        <w:rPr>
          <w:rFonts w:ascii="Garamond" w:hAnsi="Garamond"/>
          <w:lang w:eastAsia="en-GB"/>
        </w:rPr>
        <w:t xml:space="preserve"> </w:t>
      </w:r>
      <w:r w:rsidRPr="00577BC4">
        <w:rPr>
          <w:rFonts w:ascii="Garamond" w:hAnsi="Garamond"/>
          <w:lang w:eastAsia="en-GB"/>
        </w:rPr>
        <w:t>COGs</w:t>
      </w:r>
      <w:r w:rsidR="00577BC4" w:rsidRPr="00577BC4">
        <w:rPr>
          <w:rFonts w:ascii="Garamond" w:hAnsi="Garamond"/>
          <w:lang w:eastAsia="en-GB"/>
        </w:rPr>
        <w:t xml:space="preserve"> </w:t>
      </w:r>
      <w:r w:rsidRPr="00577BC4">
        <w:rPr>
          <w:rFonts w:ascii="Garamond" w:hAnsi="Garamond"/>
          <w:lang w:eastAsia="en-GB"/>
        </w:rPr>
        <w:t>can</w:t>
      </w:r>
      <w:r w:rsidR="00577BC4" w:rsidRPr="00577BC4">
        <w:rPr>
          <w:rFonts w:ascii="Garamond" w:hAnsi="Garamond"/>
          <w:lang w:eastAsia="en-GB"/>
        </w:rPr>
        <w:t xml:space="preserve"> </w:t>
      </w:r>
      <w:r w:rsidRPr="00577BC4">
        <w:rPr>
          <w:rFonts w:ascii="Garamond" w:hAnsi="Garamond"/>
          <w:lang w:eastAsia="en-GB"/>
        </w:rPr>
        <w:t>be</w:t>
      </w:r>
      <w:r w:rsidR="00577BC4" w:rsidRPr="00577BC4">
        <w:rPr>
          <w:rFonts w:ascii="Garamond" w:hAnsi="Garamond"/>
          <w:lang w:eastAsia="en-GB"/>
        </w:rPr>
        <w:t xml:space="preserve"> </w:t>
      </w:r>
      <w:r w:rsidRPr="00577BC4">
        <w:rPr>
          <w:rFonts w:ascii="Garamond" w:hAnsi="Garamond"/>
          <w:lang w:eastAsia="en-GB"/>
        </w:rPr>
        <w:t>explained</w:t>
      </w:r>
      <w:r w:rsidR="00577BC4" w:rsidRPr="00577BC4">
        <w:rPr>
          <w:rFonts w:ascii="Garamond" w:hAnsi="Garamond"/>
          <w:lang w:eastAsia="en-GB"/>
        </w:rPr>
        <w:t xml:space="preserve"> </w:t>
      </w:r>
      <w:r w:rsidRPr="00577BC4">
        <w:rPr>
          <w:rFonts w:ascii="Garamond" w:hAnsi="Garamond"/>
          <w:lang w:eastAsia="en-GB"/>
        </w:rPr>
        <w:t>by</w:t>
      </w:r>
      <w:r w:rsidR="00577BC4" w:rsidRPr="00577BC4">
        <w:rPr>
          <w:rFonts w:ascii="Garamond" w:hAnsi="Garamond"/>
          <w:lang w:eastAsia="en-GB"/>
        </w:rPr>
        <w:t xml:space="preserve"> </w:t>
      </w:r>
      <w:r w:rsidRPr="00577BC4">
        <w:rPr>
          <w:rFonts w:ascii="Garamond" w:hAnsi="Garamond"/>
          <w:lang w:eastAsia="en-GB"/>
        </w:rPr>
        <w:t>the</w:t>
      </w:r>
      <w:r w:rsidR="00577BC4" w:rsidRPr="00577BC4">
        <w:rPr>
          <w:rFonts w:ascii="Garamond" w:hAnsi="Garamond"/>
          <w:lang w:eastAsia="en-GB"/>
        </w:rPr>
        <w:t xml:space="preserve"> </w:t>
      </w:r>
      <w:r w:rsidRPr="00577BC4">
        <w:rPr>
          <w:rFonts w:ascii="Garamond" w:hAnsi="Garamond"/>
          <w:lang w:eastAsia="en-GB"/>
        </w:rPr>
        <w:t>missing</w:t>
      </w:r>
      <w:r w:rsidR="00577BC4" w:rsidRPr="00577BC4">
        <w:rPr>
          <w:rFonts w:ascii="Garamond" w:hAnsi="Garamond"/>
          <w:lang w:eastAsia="en-GB"/>
        </w:rPr>
        <w:t xml:space="preserve"> </w:t>
      </w:r>
      <w:r w:rsidRPr="00577BC4">
        <w:rPr>
          <w:rFonts w:ascii="Garamond" w:hAnsi="Garamond"/>
          <w:lang w:eastAsia="en-GB"/>
        </w:rPr>
        <w:t>party</w:t>
      </w:r>
      <w:r w:rsidR="00577BC4" w:rsidRPr="00577BC4">
        <w:rPr>
          <w:rFonts w:ascii="Garamond" w:hAnsi="Garamond"/>
          <w:lang w:eastAsia="en-GB"/>
        </w:rPr>
        <w:t xml:space="preserve"> </w:t>
      </w:r>
      <w:r w:rsidRPr="00577BC4">
        <w:rPr>
          <w:rFonts w:ascii="Garamond" w:hAnsi="Garamond"/>
          <w:lang w:eastAsia="en-GB"/>
        </w:rPr>
        <w:t>families</w:t>
      </w:r>
      <w:r w:rsidR="00577BC4" w:rsidRPr="00577BC4">
        <w:rPr>
          <w:rFonts w:ascii="Garamond" w:hAnsi="Garamond"/>
          <w:lang w:eastAsia="en-GB"/>
        </w:rPr>
        <w:t xml:space="preserve"> </w:t>
      </w:r>
      <w:r w:rsidRPr="00577BC4">
        <w:rPr>
          <w:rFonts w:ascii="Garamond" w:hAnsi="Garamond"/>
          <w:lang w:eastAsia="en-GB"/>
        </w:rPr>
        <w:t>of</w:t>
      </w:r>
      <w:r w:rsidR="00577BC4" w:rsidRPr="00577BC4">
        <w:rPr>
          <w:rFonts w:ascii="Garamond" w:hAnsi="Garamond"/>
          <w:lang w:eastAsia="en-GB"/>
        </w:rPr>
        <w:t xml:space="preserve"> </w:t>
      </w:r>
      <w:r w:rsidRPr="00577BC4">
        <w:rPr>
          <w:rFonts w:ascii="Garamond" w:hAnsi="Garamond"/>
          <w:lang w:eastAsia="en-GB"/>
        </w:rPr>
        <w:t>the</w:t>
      </w:r>
      <w:r w:rsidR="00577BC4" w:rsidRPr="00577BC4">
        <w:rPr>
          <w:rFonts w:ascii="Garamond" w:hAnsi="Garamond"/>
          <w:lang w:eastAsia="en-GB"/>
        </w:rPr>
        <w:t xml:space="preserve"> </w:t>
      </w:r>
      <w:r w:rsidRPr="00577BC4">
        <w:rPr>
          <w:rFonts w:ascii="Garamond" w:hAnsi="Garamond"/>
          <w:lang w:eastAsia="en-GB"/>
        </w:rPr>
        <w:t>parties</w:t>
      </w:r>
      <w:r w:rsidR="00577BC4" w:rsidRPr="00577BC4">
        <w:rPr>
          <w:rFonts w:ascii="Garamond" w:hAnsi="Garamond"/>
          <w:lang w:eastAsia="en-GB"/>
        </w:rPr>
        <w:t xml:space="preserve"> </w:t>
      </w:r>
      <w:r w:rsidRPr="00577BC4">
        <w:rPr>
          <w:rFonts w:ascii="Garamond" w:hAnsi="Garamond"/>
          <w:lang w:eastAsia="en-GB"/>
        </w:rPr>
        <w:t>contesting</w:t>
      </w:r>
      <w:r w:rsidR="00577BC4" w:rsidRPr="00577BC4">
        <w:rPr>
          <w:rFonts w:ascii="Garamond" w:hAnsi="Garamond"/>
          <w:lang w:eastAsia="en-GB"/>
        </w:rPr>
        <w:t xml:space="preserve"> </w:t>
      </w:r>
      <w:r w:rsidRPr="00577BC4">
        <w:rPr>
          <w:rFonts w:ascii="Garamond" w:hAnsi="Garamond"/>
          <w:lang w:eastAsia="en-GB"/>
        </w:rPr>
        <w:t>there.</w:t>
      </w:r>
    </w:p>
    <w:p w14:paraId="292E31C4" w14:textId="7F178FE7" w:rsidR="001F5A0D" w:rsidRPr="00577BC4" w:rsidRDefault="001F5A0D" w:rsidP="001F5A0D">
      <w:pPr>
        <w:jc w:val="both"/>
        <w:rPr>
          <w:rFonts w:ascii="Garamond" w:eastAsia="Times New Roman" w:hAnsi="Garamond" w:cs="Times New Roman"/>
          <w:bCs/>
          <w:color w:val="000000"/>
          <w:lang w:eastAsia="en-GB"/>
        </w:rPr>
      </w:pPr>
      <w:r w:rsidRPr="00577BC4">
        <w:rPr>
          <w:rFonts w:ascii="Garamond" w:eastAsia="Times New Roman" w:hAnsi="Garamond" w:cs="Times New Roman"/>
          <w:b/>
          <w:bCs/>
          <w:color w:val="000000"/>
          <w:lang w:eastAsia="en-GB"/>
        </w:rPr>
        <w:t>France: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There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no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regional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seat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share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data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of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parties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available.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Alternatively,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calculate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proxy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with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r_p_vshare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calculate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importance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of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region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using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r_v_max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r_v_valid</w:t>
      </w:r>
      <w:proofErr w:type="spellEnd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Nord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Pas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Calais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has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no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data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available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for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r_valid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1986;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left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empty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r_v_p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was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taken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based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vote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share.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some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cases,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we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added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all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our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available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r_v_p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per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cabinet.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Parties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that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we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could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not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cover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across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all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regions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may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b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slightly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underestimated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347EA">
        <w:rPr>
          <w:rFonts w:ascii="Garamond" w:eastAsia="Times New Roman" w:hAnsi="Garamond" w:cs="Times New Roman"/>
          <w:bCs/>
          <w:color w:val="000000"/>
          <w:lang w:eastAsia="en-GB"/>
        </w:rPr>
        <w:t>country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level.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However,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we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are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sure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this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marginal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difference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since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we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did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not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cover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them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for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irrelevance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347EA">
        <w:rPr>
          <w:rFonts w:ascii="Garamond" w:eastAsia="Times New Roman" w:hAnsi="Garamond" w:cs="Times New Roman"/>
          <w:bCs/>
          <w:color w:val="000000"/>
          <w:lang w:eastAsia="en-GB"/>
        </w:rPr>
        <w:t>un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availability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of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their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electoral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results.</w:t>
      </w:r>
    </w:p>
    <w:p w14:paraId="6C37E2AC" w14:textId="7B1AA3D5" w:rsidR="001F5A0D" w:rsidRPr="00577BC4" w:rsidRDefault="001F5A0D" w:rsidP="001F5A0D">
      <w:pPr>
        <w:jc w:val="both"/>
        <w:rPr>
          <w:rFonts w:ascii="Garamond" w:eastAsia="Times New Roman" w:hAnsi="Garamond" w:cs="Times New Roman"/>
          <w:bCs/>
          <w:color w:val="000000"/>
          <w:lang w:eastAsia="en-GB"/>
        </w:rPr>
      </w:pPr>
      <w:r w:rsidRPr="00577BC4">
        <w:rPr>
          <w:rFonts w:ascii="Garamond" w:eastAsia="Times New Roman" w:hAnsi="Garamond" w:cs="Times New Roman"/>
          <w:b/>
          <w:bCs/>
          <w:color w:val="000000"/>
          <w:lang w:eastAsia="en-GB"/>
        </w:rPr>
        <w:t>Italy: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1994-1995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elections,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PDS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did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not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run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although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was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main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competitor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Valle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d'Aosta.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PRO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not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chose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main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competitor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Valle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d'Aosta.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In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the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case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of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missing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vote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information,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these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can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be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substituted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by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a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"0".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There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are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no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regional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seat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data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of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the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parties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for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the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1994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election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due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to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electoral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system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change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and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electoral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statistics.</w:t>
      </w:r>
      <w:r w:rsidR="00577BC4" w:rsidRPr="00577BC4">
        <w:rPr>
          <w:rFonts w:ascii="Garamond" w:hAnsi="Garamond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We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recommend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="002E2462" w:rsidRPr="00577BC4">
        <w:rPr>
          <w:rFonts w:ascii="Garamond" w:eastAsia="Times New Roman" w:hAnsi="Garamond" w:cs="Calibri"/>
          <w:color w:val="000000"/>
          <w:lang w:eastAsia="de-DE"/>
        </w:rPr>
        <w:t>eliminating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the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"</w:t>
      </w:r>
      <w:proofErr w:type="spellStart"/>
      <w:r w:rsidRPr="00577BC4">
        <w:rPr>
          <w:rFonts w:ascii="Garamond" w:eastAsia="Times New Roman" w:hAnsi="Garamond" w:cs="Calibri"/>
          <w:color w:val="000000"/>
          <w:lang w:eastAsia="de-DE"/>
        </w:rPr>
        <w:t>Circoscrizione</w:t>
      </w:r>
      <w:proofErr w:type="spellEnd"/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Estero"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region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for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statistical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analysis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since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these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are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the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votes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from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abroad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and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generally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lack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substantial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political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value;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we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were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not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able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to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collect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this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vote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type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systematically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across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time.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Invalid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votes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for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2013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and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2018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include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"</w:t>
      </w:r>
      <w:proofErr w:type="spellStart"/>
      <w:r w:rsidRPr="00577BC4">
        <w:rPr>
          <w:rFonts w:ascii="Garamond" w:eastAsia="Times New Roman" w:hAnsi="Garamond" w:cs="Calibri"/>
          <w:color w:val="000000"/>
          <w:lang w:eastAsia="de-DE"/>
        </w:rPr>
        <w:t>blancos</w:t>
      </w:r>
      <w:proofErr w:type="spellEnd"/>
      <w:r w:rsidRPr="00577BC4">
        <w:rPr>
          <w:rFonts w:ascii="Garamond" w:eastAsia="Times New Roman" w:hAnsi="Garamond" w:cs="Calibri"/>
          <w:color w:val="000000"/>
          <w:lang w:eastAsia="de-DE"/>
        </w:rPr>
        <w:t>"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and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zero-votes.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Party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proofErr w:type="spellStart"/>
      <w:r w:rsidRPr="00577BC4">
        <w:rPr>
          <w:rFonts w:ascii="Garamond" w:eastAsia="Times New Roman" w:hAnsi="Garamond" w:cs="Calibri"/>
          <w:i/>
          <w:color w:val="000000"/>
          <w:lang w:eastAsia="de-DE"/>
        </w:rPr>
        <w:t>Vallée</w:t>
      </w:r>
      <w:proofErr w:type="spellEnd"/>
      <w:r w:rsidR="00577BC4" w:rsidRPr="00577BC4">
        <w:rPr>
          <w:rFonts w:ascii="Garamond" w:eastAsia="Times New Roman" w:hAnsi="Garamond" w:cs="Calibri"/>
          <w:i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i/>
          <w:color w:val="000000"/>
          <w:lang w:eastAsia="de-DE"/>
        </w:rPr>
        <w:t>d'Aosta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for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2013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includes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UV-SA-FA.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Starting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="002E2462" w:rsidRPr="00577BC4">
        <w:rPr>
          <w:rFonts w:ascii="Garamond" w:eastAsia="Times New Roman" w:hAnsi="Garamond" w:cs="Calibri"/>
          <w:color w:val="000000"/>
          <w:lang w:eastAsia="de-DE"/>
        </w:rPr>
        <w:t>in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2017,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the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630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deputies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of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the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Italian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parliament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="002E2462" w:rsidRPr="00577BC4">
        <w:rPr>
          <w:rFonts w:ascii="Garamond" w:eastAsia="Times New Roman" w:hAnsi="Garamond" w:cs="Calibri"/>
          <w:color w:val="000000"/>
          <w:lang w:eastAsia="de-DE"/>
        </w:rPr>
        <w:t>we</w:t>
      </w:r>
      <w:r w:rsidRPr="00577BC4">
        <w:rPr>
          <w:rFonts w:ascii="Garamond" w:eastAsia="Times New Roman" w:hAnsi="Garamond" w:cs="Calibri"/>
          <w:color w:val="000000"/>
          <w:lang w:eastAsia="de-DE"/>
        </w:rPr>
        <w:t>re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elected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as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follows: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232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in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single-member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constituencies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(plurality)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and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386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in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multi-member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constituencies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(proportional).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Due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to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the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electoral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reform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of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2017,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we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assign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the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alliance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seats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at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the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regional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level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to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the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strongest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alliance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partner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in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terms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of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="002E2462" w:rsidRPr="00577BC4">
        <w:rPr>
          <w:rFonts w:ascii="Garamond" w:eastAsia="Times New Roman" w:hAnsi="Garamond" w:cs="Calibri"/>
          <w:color w:val="000000"/>
          <w:lang w:eastAsia="de-DE"/>
        </w:rPr>
        <w:t>the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number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of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seats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in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the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respective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region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according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to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official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statistics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of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the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Ministry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of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Internal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Affairs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(ergo,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the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sum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of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proofErr w:type="spellStart"/>
      <w:r w:rsidRPr="00577BC4">
        <w:rPr>
          <w:rFonts w:ascii="Garamond" w:eastAsia="Times New Roman" w:hAnsi="Garamond" w:cs="Calibri"/>
          <w:color w:val="000000"/>
          <w:lang w:eastAsia="de-DE"/>
        </w:rPr>
        <w:t>r_s_p</w:t>
      </w:r>
      <w:proofErr w:type="spellEnd"/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equals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proofErr w:type="spellStart"/>
      <w:r w:rsidRPr="00577BC4">
        <w:rPr>
          <w:rFonts w:ascii="Garamond" w:eastAsia="Times New Roman" w:hAnsi="Garamond" w:cs="Calibri"/>
          <w:color w:val="000000"/>
          <w:lang w:eastAsia="de-DE"/>
        </w:rPr>
        <w:t>n_s_p</w:t>
      </w:r>
      <w:proofErr w:type="spellEnd"/>
      <w:r w:rsidRPr="00577BC4">
        <w:rPr>
          <w:rFonts w:ascii="Garamond" w:eastAsia="Times New Roman" w:hAnsi="Garamond" w:cs="Calibri"/>
          <w:color w:val="000000"/>
          <w:lang w:eastAsia="de-DE"/>
        </w:rPr>
        <w:t>,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but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the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aggregates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can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differ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from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the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original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statistics).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Source:</w:t>
      </w:r>
      <w:r w:rsidR="00577BC4" w:rsidRPr="00577BC4">
        <w:rPr>
          <w:rFonts w:ascii="Garamond" w:eastAsia="Times New Roman" w:hAnsi="Garamond" w:cs="Calibri"/>
          <w:color w:val="000000"/>
          <w:lang w:eastAsia="de-DE"/>
        </w:rPr>
        <w:t xml:space="preserve"> </w:t>
      </w:r>
      <w:r w:rsidRPr="00577BC4">
        <w:rPr>
          <w:rFonts w:ascii="Garamond" w:eastAsia="Times New Roman" w:hAnsi="Garamond" w:cs="Calibri"/>
          <w:color w:val="000000"/>
          <w:lang w:eastAsia="de-DE"/>
        </w:rPr>
        <w:t>https://elezionistorico.interno.gov.it/index.php.</w:t>
      </w:r>
    </w:p>
    <w:p w14:paraId="36FFE2B6" w14:textId="16E13EB1" w:rsidR="001F5A0D" w:rsidRPr="00577BC4" w:rsidRDefault="001F5A0D" w:rsidP="001F5A0D">
      <w:pPr>
        <w:jc w:val="both"/>
        <w:rPr>
          <w:rFonts w:ascii="Garamond" w:eastAsia="Times New Roman" w:hAnsi="Garamond" w:cs="Times New Roman"/>
          <w:bCs/>
          <w:color w:val="000000"/>
          <w:lang w:eastAsia="en-GB"/>
        </w:rPr>
      </w:pPr>
      <w:r w:rsidRPr="00577BC4">
        <w:rPr>
          <w:rFonts w:ascii="Garamond" w:eastAsia="Times New Roman" w:hAnsi="Garamond" w:cs="Times New Roman"/>
          <w:b/>
          <w:bCs/>
          <w:color w:val="000000"/>
          <w:lang w:eastAsia="en-GB"/>
        </w:rPr>
        <w:t>Mexico: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main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source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for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historical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electoral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results: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hyperlink r:id="rId12" w:history="1">
        <w:r w:rsidRPr="00577BC4">
          <w:rPr>
            <w:rStyle w:val="Hyperlink"/>
            <w:rFonts w:ascii="Garamond" w:eastAsia="Times New Roman" w:hAnsi="Garamond" w:cs="Times New Roman"/>
            <w:bCs/>
            <w:lang w:eastAsia="en-GB"/>
          </w:rPr>
          <w:t>http://cede.izt.uam.mx</w:t>
        </w:r>
      </w:hyperlink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For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period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until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first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government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of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Ernesto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Zedillo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(1994),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electoral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results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reflect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plurality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system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results,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which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not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optimal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but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only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available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data.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period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2000-2006,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PAN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had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Tabasco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electoral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support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below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8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%,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although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were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governing.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347EA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Country-level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proofErr w:type="spellStart"/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turnout</w:t>
      </w:r>
      <w:proofErr w:type="spellEnd"/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proofErr w:type="spellStart"/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data</w:t>
      </w:r>
      <w:proofErr w:type="spellEnd"/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proofErr w:type="spellStart"/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until</w:t>
      </w:r>
      <w:proofErr w:type="spellEnd"/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1991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proofErr w:type="spellStart"/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by</w:t>
      </w:r>
      <w:proofErr w:type="spellEnd"/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proofErr w:type="spellStart"/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Nohlen</w:t>
      </w:r>
      <w:proofErr w:type="spellEnd"/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(1993).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Handbuch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der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Wahldaten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Lateinamerikas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und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der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Karibik;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Opladen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-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Leske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und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Budrich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Verlag.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After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1991,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347EA">
        <w:rPr>
          <w:rFonts w:ascii="Garamond" w:eastAsia="Times New Roman" w:hAnsi="Garamond" w:cs="Times New Roman"/>
          <w:bCs/>
          <w:color w:val="000000"/>
          <w:lang w:eastAsia="en-GB"/>
        </w:rPr>
        <w:t>country-level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electoral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data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from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Wikipedia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when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available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(often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n_turnout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only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available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for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presidential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347EA">
        <w:rPr>
          <w:rFonts w:ascii="Garamond" w:eastAsia="Times New Roman" w:hAnsi="Garamond" w:cs="Times New Roman"/>
          <w:bCs/>
          <w:color w:val="000000"/>
          <w:lang w:eastAsia="en-GB"/>
        </w:rPr>
        <w:t>elections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).</w:t>
      </w:r>
    </w:p>
    <w:p w14:paraId="11A92E45" w14:textId="073945A5" w:rsidR="001F5A0D" w:rsidRPr="00577BC4" w:rsidRDefault="001F5A0D" w:rsidP="001F5A0D">
      <w:pPr>
        <w:jc w:val="both"/>
        <w:rPr>
          <w:rFonts w:ascii="Garamond" w:eastAsia="Times New Roman" w:hAnsi="Garamond" w:cs="Times New Roman"/>
          <w:bCs/>
          <w:color w:val="000000"/>
          <w:lang w:eastAsia="en-GB"/>
        </w:rPr>
      </w:pPr>
      <w:r w:rsidRPr="00577BC4">
        <w:rPr>
          <w:rFonts w:ascii="Garamond" w:eastAsia="Times New Roman" w:hAnsi="Garamond" w:cs="Times New Roman"/>
          <w:b/>
          <w:bCs/>
          <w:color w:val="000000"/>
          <w:lang w:eastAsia="en-GB"/>
        </w:rPr>
        <w:t>Portugal: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We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recommend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eliminating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Mozambique,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Macau,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and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Emigracao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regions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for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statistical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analysis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since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these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are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votes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from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abroad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of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former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colonies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generally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lack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substantial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political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value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electoral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sense.</w:t>
      </w:r>
    </w:p>
    <w:p w14:paraId="2260D1DA" w14:textId="222C7BF7" w:rsidR="001F5A0D" w:rsidRPr="00577BC4" w:rsidRDefault="001F5A0D" w:rsidP="001F5A0D">
      <w:pPr>
        <w:jc w:val="both"/>
        <w:rPr>
          <w:rFonts w:ascii="Garamond" w:eastAsia="Times New Roman" w:hAnsi="Garamond" w:cs="Times New Roman"/>
          <w:bCs/>
          <w:color w:val="000000"/>
          <w:lang w:eastAsia="en-GB"/>
        </w:rPr>
      </w:pPr>
      <w:r w:rsidRPr="00577BC4">
        <w:rPr>
          <w:rFonts w:ascii="Garamond" w:eastAsia="Times New Roman" w:hAnsi="Garamond" w:cs="Times New Roman"/>
          <w:b/>
          <w:bCs/>
          <w:color w:val="000000"/>
          <w:lang w:eastAsia="en-GB"/>
        </w:rPr>
        <w:t>Serbia:</w:t>
      </w:r>
      <w:r w:rsidR="00577BC4" w:rsidRPr="00577BC4">
        <w:rPr>
          <w:rFonts w:ascii="Garamond" w:eastAsia="Times New Roman" w:hAnsi="Garamond" w:cs="Times New Roman"/>
          <w:b/>
          <w:bCs/>
          <w:color w:val="000000"/>
          <w:lang w:eastAsia="en-GB"/>
        </w:rPr>
        <w:t xml:space="preserve"> </w:t>
      </w:r>
      <w:r w:rsidR="002E2462" w:rsidRPr="002347EA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Statistical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Yearbook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of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Serbia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has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no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regional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disaggregation.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No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adaption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to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presidential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system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(we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gramStart"/>
      <w:r w:rsidR="008D1080" w:rsidRPr="00577BC4">
        <w:rPr>
          <w:rFonts w:ascii="Garamond" w:eastAsia="Times New Roman" w:hAnsi="Garamond" w:cs="Times New Roman"/>
          <w:bCs/>
          <w:color w:val="000000"/>
          <w:lang w:eastAsia="en-GB"/>
        </w:rPr>
        <w:t>assume</w:t>
      </w:r>
      <w:proofErr w:type="gram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i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parliamentary),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since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president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has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mostly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ceremonial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role,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although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popularly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elected.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Governmental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data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was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taken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from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Wikipedia.org,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no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ParlGov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references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were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available.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Missing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r_valid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r_v_max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for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period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2000-2007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(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r_p_vshare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can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be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eventually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misleading);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n_v_max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corrected.</w:t>
      </w:r>
      <w:r w:rsidR="00577BC4" w:rsidRPr="00577BC4">
        <w:rPr>
          <w:rFonts w:ascii="Garamond" w:hAnsi="Garamond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Some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few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r_v_p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for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Central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Serbia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are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rounded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up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due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to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missing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values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more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specified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data.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For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year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2003,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sum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r_v_p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do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es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not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always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match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347EA">
        <w:rPr>
          <w:rFonts w:ascii="Garamond" w:eastAsia="Times New Roman" w:hAnsi="Garamond" w:cs="Times New Roman"/>
          <w:bCs/>
          <w:color w:val="000000"/>
          <w:lang w:eastAsia="en-GB"/>
        </w:rPr>
        <w:t>country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aggregates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nor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do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aggregates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of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r_v_max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match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with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n_v_max</w:t>
      </w:r>
      <w:proofErr w:type="spellEnd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.</w:t>
      </w:r>
    </w:p>
    <w:p w14:paraId="775F684A" w14:textId="6BC2B296" w:rsidR="001F5A0D" w:rsidRPr="00577BC4" w:rsidRDefault="001F5A0D" w:rsidP="001F5A0D">
      <w:pPr>
        <w:jc w:val="both"/>
        <w:rPr>
          <w:rFonts w:ascii="Garamond" w:eastAsia="Times New Roman" w:hAnsi="Garamond" w:cs="Times New Roman"/>
          <w:b/>
          <w:bCs/>
          <w:color w:val="000000"/>
          <w:lang w:eastAsia="en-GB"/>
        </w:rPr>
      </w:pPr>
      <w:r w:rsidRPr="00577BC4">
        <w:rPr>
          <w:rFonts w:ascii="Garamond" w:eastAsia="Times New Roman" w:hAnsi="Garamond" w:cs="Times New Roman"/>
          <w:b/>
          <w:bCs/>
          <w:color w:val="000000"/>
          <w:lang w:eastAsia="en-GB"/>
        </w:rPr>
        <w:t>Spain:</w:t>
      </w:r>
      <w:r w:rsidR="00577BC4" w:rsidRPr="00577BC4">
        <w:rPr>
          <w:rFonts w:ascii="Garamond" w:eastAsia="Times New Roman" w:hAnsi="Garamond" w:cs="Times New Roman"/>
          <w:b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reg_v_p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n_v_p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gram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are</w:t>
      </w:r>
      <w:proofErr w:type="gram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respective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votes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"a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candidatura</w:t>
      </w:r>
      <w:proofErr w:type="spellEnd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"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for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2011;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equal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casted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votes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minus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"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votos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nulos</w:t>
      </w:r>
      <w:proofErr w:type="spellEnd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"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minus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"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votos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blancos</w:t>
      </w:r>
      <w:proofErr w:type="spellEnd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".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United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Left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of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Navarra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considered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separate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party.</w:t>
      </w:r>
    </w:p>
    <w:p w14:paraId="2230E5C2" w14:textId="5CBA60AE" w:rsidR="001F5A0D" w:rsidRPr="00577BC4" w:rsidRDefault="001F5A0D" w:rsidP="001F5A0D">
      <w:pPr>
        <w:jc w:val="both"/>
        <w:rPr>
          <w:rFonts w:ascii="Garamond" w:eastAsia="Times New Roman" w:hAnsi="Garamond" w:cs="Times New Roman"/>
          <w:bCs/>
          <w:color w:val="000000"/>
          <w:lang w:eastAsia="en-GB"/>
        </w:rPr>
      </w:pPr>
      <w:r w:rsidRPr="00577BC4">
        <w:rPr>
          <w:rFonts w:ascii="Garamond" w:eastAsia="Times New Roman" w:hAnsi="Garamond" w:cs="Times New Roman"/>
          <w:b/>
          <w:bCs/>
          <w:color w:val="000000"/>
          <w:lang w:eastAsia="en-GB"/>
        </w:rPr>
        <w:t>Sweden: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Original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2018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electoral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statistics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adaption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where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Stockholm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counties,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Skane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counties,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Västra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Götaland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counties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are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respectively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put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together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include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capital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Gothenburg.</w:t>
      </w:r>
      <w:r w:rsidR="00577BC4" w:rsidRPr="00577BC4">
        <w:rPr>
          <w:rFonts w:ascii="Garamond" w:hAnsi="Garamond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Fyrstads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Läns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only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exist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ed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between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1973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1994;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many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regions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disappear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ed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after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1998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some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new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ones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we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created.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lastRenderedPageBreak/>
        <w:t>Skane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originates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from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Kristianstad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Malmö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1996.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Västra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originates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from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Göterborgs</w:t>
      </w:r>
      <w:proofErr w:type="spellEnd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Skaraborgs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Älvsborg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1997.</w:t>
      </w:r>
    </w:p>
    <w:p w14:paraId="25311E86" w14:textId="67191A63" w:rsidR="001F5A0D" w:rsidRPr="00577BC4" w:rsidRDefault="001F5A0D" w:rsidP="0053414E">
      <w:pPr>
        <w:jc w:val="both"/>
        <w:rPr>
          <w:rFonts w:ascii="Garamond" w:eastAsia="Times New Roman" w:hAnsi="Garamond" w:cs="Times New Roman"/>
          <w:bCs/>
          <w:color w:val="000000"/>
          <w:sz w:val="16"/>
          <w:szCs w:val="16"/>
          <w:lang w:eastAsia="en-GB"/>
        </w:rPr>
      </w:pPr>
      <w:r w:rsidRPr="00577BC4">
        <w:rPr>
          <w:rFonts w:ascii="Garamond" w:eastAsia="Times New Roman" w:hAnsi="Garamond" w:cs="Times New Roman"/>
          <w:b/>
          <w:bCs/>
          <w:color w:val="000000"/>
          <w:lang w:eastAsia="en-GB"/>
        </w:rPr>
        <w:t>Turkey:</w:t>
      </w:r>
      <w:r w:rsidR="00577BC4" w:rsidRPr="00577BC4">
        <w:rPr>
          <w:rFonts w:ascii="Garamond" w:eastAsia="Times New Roman" w:hAnsi="Garamond" w:cs="Times New Roman"/>
          <w:b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If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panel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data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of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democratic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regimes/periods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being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conceived,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delete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observations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during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Turkish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military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juntas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for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analysis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(1960-1961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-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Gürsel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I;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1981-1983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-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Ulusu</w:t>
      </w:r>
      <w:proofErr w:type="spellEnd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).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some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regions,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main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competitor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does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not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run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for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elections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ha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no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electoral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data,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e.g.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Virtue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Party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FP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between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1999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2002.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original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data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of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Mus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Sinop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regions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Turkey,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calculations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vote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aggregations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were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automatically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conducted,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since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original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data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was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wrong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misleading.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See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literature,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documents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manifestos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(PDFs)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collected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authored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by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Çağan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Varol</w:t>
      </w:r>
      <w:proofErr w:type="spellEnd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Cabinet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names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remain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with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PM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but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main_cab_p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strongest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cab_p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(both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variables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can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diverge).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Originally,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cabinet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data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was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taken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from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Çağan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Varol’s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coding.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New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cabinets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were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added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with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Wikipedia.org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data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for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1969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election.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Also,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Irmak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cabinet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was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included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a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transitory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one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period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1973-74.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For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2015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election,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sources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reveal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many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mistakes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misleading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pieces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of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information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: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hyperlink r:id="rId13" w:history="1">
        <w:r w:rsidRPr="00577BC4">
          <w:rPr>
            <w:rStyle w:val="Hyperlink"/>
            <w:rFonts w:ascii="Garamond" w:eastAsia="Times New Roman" w:hAnsi="Garamond" w:cs="Times New Roman"/>
            <w:bCs/>
            <w:lang w:eastAsia="en-GB"/>
          </w:rPr>
          <w:t>https://www.yenisafak.com/secim-2015/secim-sonuclari</w:t>
        </w:r>
      </w:hyperlink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r_s_max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can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be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misleading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for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period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1950-1970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(often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much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higher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than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sum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of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party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seats),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we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recommend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using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simulations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of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sum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r_p_s</w:t>
      </w:r>
      <w:proofErr w:type="spellEnd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For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all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seat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data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concerning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Turkey,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there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was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no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official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information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region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Sakarya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-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therefore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always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zero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("0")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for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Sakarya</w:t>
      </w:r>
      <w:proofErr w:type="spellEnd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Ther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e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fore,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also,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n_s_max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all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refe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r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ring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to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seat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aggregation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for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Turkey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slightly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lower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-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Sakarya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had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around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6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seats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across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time.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r_s_p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for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Turkey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2015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always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zero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(“0”)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since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systematic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information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was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missing.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</w:p>
    <w:p w14:paraId="3180CB3B" w14:textId="3436B32D" w:rsidR="001F5A0D" w:rsidRPr="00577BC4" w:rsidRDefault="001F5A0D" w:rsidP="001F5A0D">
      <w:pPr>
        <w:jc w:val="both"/>
        <w:rPr>
          <w:rFonts w:ascii="Garamond" w:eastAsia="Times New Roman" w:hAnsi="Garamond" w:cs="Times New Roman"/>
          <w:bCs/>
          <w:color w:val="000000"/>
          <w:lang w:eastAsia="en-GB"/>
        </w:rPr>
      </w:pPr>
      <w:r w:rsidRPr="00577BC4">
        <w:rPr>
          <w:rFonts w:ascii="Garamond" w:eastAsia="Times New Roman" w:hAnsi="Garamond" w:cs="Times New Roman"/>
          <w:b/>
          <w:bCs/>
          <w:color w:val="000000"/>
          <w:lang w:eastAsia="en-GB"/>
        </w:rPr>
        <w:t>United</w:t>
      </w:r>
      <w:r w:rsidR="00577BC4" w:rsidRPr="00577BC4">
        <w:rPr>
          <w:rFonts w:ascii="Garamond" w:eastAsia="Times New Roman" w:hAnsi="Garamond" w:cs="Times New Roman"/>
          <w:b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/>
          <w:bCs/>
          <w:color w:val="000000"/>
          <w:lang w:eastAsia="en-GB"/>
        </w:rPr>
        <w:t>Kingdom:</w:t>
      </w:r>
      <w:r w:rsidR="00577BC4" w:rsidRPr="00577BC4">
        <w:rPr>
          <w:rFonts w:ascii="Garamond" w:eastAsia="Times New Roman" w:hAnsi="Garamond" w:cs="Times New Roman"/>
          <w:b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Some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elections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have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relatively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low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electoral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coverage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(~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65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%).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London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“region”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was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not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included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/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existent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second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1974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election,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consider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this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panel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structure.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Liberal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LibDems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are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coded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same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party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across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time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for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our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purposes.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However,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WZB-</w:t>
      </w:r>
      <w:r w:rsidR="00FC0D16">
        <w:rPr>
          <w:rFonts w:ascii="Garamond" w:eastAsia="Times New Roman" w:hAnsi="Garamond" w:cs="Times New Roman"/>
          <w:bCs/>
          <w:color w:val="000000"/>
          <w:lang w:eastAsia="en-GB"/>
        </w:rPr>
        <w:t>Manifesto Project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manifesto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code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was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adapted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change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from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1992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onwards.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Update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for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r_v_p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r_valid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from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"UK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Election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Statistics: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1918-2018: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100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years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of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Elections"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(House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of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Commons).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r_cast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was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set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missing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since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there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no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available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information.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approximate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r_v_max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was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calculated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with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r_valid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2E2462" w:rsidRPr="00577BC4">
        <w:rPr>
          <w:rFonts w:ascii="Garamond" w:eastAsia="Times New Roman" w:hAnsi="Garamond" w:cs="Times New Roman"/>
          <w:bCs/>
          <w:color w:val="000000"/>
          <w:lang w:eastAsia="en-GB"/>
        </w:rPr>
        <w:t>a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proxy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(the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sum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does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not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fit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with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n_v_max</w:t>
      </w:r>
      <w:proofErr w:type="spellEnd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).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r_invalid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set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missing,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not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available.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n_v_max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was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updated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with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data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from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"Elections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Europe.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Data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Handbook"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(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Nohlen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AE6DDB" w:rsidRPr="00577BC4">
        <w:rPr>
          <w:rFonts w:ascii="Garamond" w:eastAsia="Times New Roman" w:hAnsi="Garamond" w:cs="Times New Roman"/>
          <w:bCs/>
          <w:color w:val="000000"/>
          <w:lang w:eastAsia="en-GB"/>
        </w:rPr>
        <w:t>and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Stöver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="00AE6DDB" w:rsidRPr="00577BC4">
        <w:rPr>
          <w:rFonts w:ascii="Garamond" w:eastAsia="Times New Roman" w:hAnsi="Garamond" w:cs="Times New Roman"/>
          <w:bCs/>
          <w:color w:val="000000"/>
          <w:lang w:eastAsia="en-GB"/>
        </w:rPr>
        <w:t>2010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).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Some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r_v_p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for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England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are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rounded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up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due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to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official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statistics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book.</w:t>
      </w:r>
    </w:p>
    <w:p w14:paraId="3501706C" w14:textId="77777777" w:rsidR="002071B2" w:rsidRPr="00577BC4" w:rsidRDefault="002071B2" w:rsidP="001F5A0D">
      <w:pPr>
        <w:jc w:val="both"/>
        <w:rPr>
          <w:rFonts w:ascii="Garamond" w:eastAsia="Times New Roman" w:hAnsi="Garamond" w:cs="Times New Roman"/>
          <w:b/>
          <w:bCs/>
          <w:color w:val="000000"/>
          <w:lang w:eastAsia="en-GB"/>
        </w:rPr>
      </w:pPr>
    </w:p>
    <w:p w14:paraId="1342BED9" w14:textId="77777777" w:rsidR="002071B2" w:rsidRPr="00577BC4" w:rsidRDefault="002071B2" w:rsidP="002071B2">
      <w:pPr>
        <w:pStyle w:val="berschrift1"/>
        <w:numPr>
          <w:ilvl w:val="0"/>
          <w:numId w:val="1"/>
        </w:numPr>
        <w:rPr>
          <w:rFonts w:ascii="Garamond" w:eastAsia="Times New Roman" w:hAnsi="Garamond"/>
          <w:b/>
          <w:bCs/>
          <w:color w:val="auto"/>
          <w:lang w:eastAsia="en-GB"/>
        </w:rPr>
      </w:pPr>
      <w:r w:rsidRPr="00577BC4">
        <w:rPr>
          <w:rFonts w:ascii="Garamond" w:eastAsia="Times New Roman" w:hAnsi="Garamond"/>
          <w:b/>
          <w:bCs/>
          <w:color w:val="auto"/>
          <w:lang w:eastAsia="en-GB"/>
        </w:rPr>
        <w:t>References</w:t>
      </w:r>
    </w:p>
    <w:p w14:paraId="02A0359F" w14:textId="5319035B" w:rsidR="00AE6DDB" w:rsidRPr="00577BC4" w:rsidRDefault="00AE6DDB" w:rsidP="007948D2">
      <w:pPr>
        <w:spacing w:after="0"/>
        <w:ind w:left="567" w:hanging="567"/>
        <w:jc w:val="both"/>
        <w:rPr>
          <w:rFonts w:ascii="Garamond" w:eastAsia="Times New Roman" w:hAnsi="Garamond" w:cs="Times New Roman"/>
          <w:bCs/>
          <w:color w:val="000000"/>
          <w:lang w:eastAsia="en-GB"/>
        </w:rPr>
      </w:pPr>
      <w:r w:rsidRPr="003C676A">
        <w:rPr>
          <w:rFonts w:ascii="Garamond" w:eastAsia="Times New Roman" w:hAnsi="Garamond" w:cs="Times New Roman"/>
          <w:bCs/>
          <w:color w:val="000000"/>
          <w:lang w:val="fr-FR" w:eastAsia="en-GB"/>
        </w:rPr>
        <w:t>Alonso,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fr-FR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fr-FR" w:eastAsia="en-GB"/>
        </w:rPr>
        <w:t>S.,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fr-FR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fr-FR" w:eastAsia="en-GB"/>
        </w:rPr>
        <w:t>Gómez,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fr-FR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fr-FR" w:eastAsia="en-GB"/>
        </w:rPr>
        <w:t>B.,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fr-FR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fr-FR" w:eastAsia="en-GB"/>
        </w:rPr>
        <w:t>&amp;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fr-FR" w:eastAsia="en-GB"/>
        </w:rPr>
        <w:t xml:space="preserve"> </w:t>
      </w:r>
      <w:proofErr w:type="spellStart"/>
      <w:r w:rsidRPr="003C676A">
        <w:rPr>
          <w:rFonts w:ascii="Garamond" w:eastAsia="Times New Roman" w:hAnsi="Garamond" w:cs="Times New Roman"/>
          <w:bCs/>
          <w:color w:val="000000"/>
          <w:lang w:val="fr-FR" w:eastAsia="en-GB"/>
        </w:rPr>
        <w:t>Cabeza</w:t>
      </w:r>
      <w:proofErr w:type="spellEnd"/>
      <w:r w:rsidRPr="003C676A">
        <w:rPr>
          <w:rFonts w:ascii="Garamond" w:eastAsia="Times New Roman" w:hAnsi="Garamond" w:cs="Times New Roman"/>
          <w:bCs/>
          <w:color w:val="000000"/>
          <w:lang w:val="fr-FR" w:eastAsia="en-GB"/>
        </w:rPr>
        <w:t>,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fr-FR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fr-FR" w:eastAsia="en-GB"/>
        </w:rPr>
        <w:t>L.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fr-FR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fr-FR" w:eastAsia="en-GB"/>
        </w:rPr>
        <w:t>(2013).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fr-FR"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Measuring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centre–periphery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preferences: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regional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manifestos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project.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Regional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&amp;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Federal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Studies,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23(2),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189-211.</w:t>
      </w:r>
    </w:p>
    <w:p w14:paraId="5735BD5F" w14:textId="4342DC24" w:rsidR="00AE6DDB" w:rsidRPr="00577BC4" w:rsidRDefault="00AE6DDB" w:rsidP="007948D2">
      <w:pPr>
        <w:spacing w:after="0"/>
        <w:ind w:left="567" w:hanging="567"/>
        <w:jc w:val="both"/>
        <w:rPr>
          <w:rFonts w:ascii="Garamond" w:eastAsia="Times New Roman" w:hAnsi="Garamond" w:cs="Times New Roman"/>
          <w:bCs/>
          <w:color w:val="000000"/>
          <w:lang w:eastAsia="en-GB"/>
        </w:rPr>
      </w:pP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Döring</w:t>
      </w:r>
      <w:proofErr w:type="spellEnd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H.,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&amp;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Regel,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(2019).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Party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facts: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database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of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political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parties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worldwide.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Party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politics,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25(2),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97-109.</w:t>
      </w:r>
    </w:p>
    <w:p w14:paraId="43AED096" w14:textId="7006EA1B" w:rsidR="00AE6DDB" w:rsidRPr="00577BC4" w:rsidRDefault="00AE6DDB" w:rsidP="007948D2">
      <w:pPr>
        <w:spacing w:after="0"/>
        <w:ind w:left="567" w:hanging="567"/>
        <w:jc w:val="both"/>
        <w:rPr>
          <w:rFonts w:ascii="Garamond" w:eastAsia="Times New Roman" w:hAnsi="Garamond" w:cs="Times New Roman"/>
          <w:bCs/>
          <w:color w:val="000000"/>
          <w:lang w:eastAsia="en-GB"/>
        </w:rPr>
      </w:pP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Döring</w:t>
      </w:r>
      <w:proofErr w:type="spellEnd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Holger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Philip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Manow</w:t>
      </w:r>
      <w:proofErr w:type="spellEnd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2019.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Parliaments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governments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database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(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ParlGov</w:t>
      </w:r>
      <w:proofErr w:type="spellEnd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):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Information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parties,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elections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cabinets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modern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democracies.</w:t>
      </w:r>
    </w:p>
    <w:p w14:paraId="2484EAA1" w14:textId="6EEE27F6" w:rsidR="00AE6DDB" w:rsidRPr="00577BC4" w:rsidRDefault="00AE6DDB" w:rsidP="007948D2">
      <w:pPr>
        <w:spacing w:after="0"/>
        <w:ind w:left="567" w:hanging="567"/>
        <w:jc w:val="both"/>
        <w:rPr>
          <w:rFonts w:ascii="Garamond" w:eastAsia="Times New Roman" w:hAnsi="Garamond" w:cs="Times New Roman"/>
          <w:bCs/>
          <w:color w:val="000000"/>
          <w:lang w:eastAsia="en-GB"/>
        </w:rPr>
      </w:pP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Franzmann</w:t>
      </w:r>
      <w:proofErr w:type="spellEnd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S.,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&amp;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Kaiser,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(2006).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Locating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political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parties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policy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space: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reanalysis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of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party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manifesto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data.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Party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politics,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12(2),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163-188.</w:t>
      </w:r>
    </w:p>
    <w:p w14:paraId="1A29D7B1" w14:textId="3DEA81A1" w:rsidR="00AE6DDB" w:rsidRPr="00577BC4" w:rsidRDefault="00AE6DDB" w:rsidP="007948D2">
      <w:pPr>
        <w:spacing w:after="0"/>
        <w:ind w:left="567" w:hanging="567"/>
        <w:jc w:val="both"/>
        <w:rPr>
          <w:rFonts w:ascii="Garamond" w:eastAsia="Times New Roman" w:hAnsi="Garamond" w:cs="Times New Roman"/>
          <w:bCs/>
          <w:color w:val="000000"/>
          <w:lang w:eastAsia="en-GB"/>
        </w:rPr>
      </w:pPr>
      <w:proofErr w:type="spellStart"/>
      <w:r w:rsidRPr="002A237A">
        <w:rPr>
          <w:rFonts w:ascii="Garamond" w:eastAsia="Times New Roman" w:hAnsi="Garamond" w:cs="Times New Roman"/>
          <w:bCs/>
          <w:color w:val="000000"/>
          <w:lang w:val="en-US" w:eastAsia="en-GB"/>
        </w:rPr>
        <w:t>Garritzmann</w:t>
      </w:r>
      <w:proofErr w:type="spellEnd"/>
      <w:r w:rsidRPr="002A237A">
        <w:rPr>
          <w:rFonts w:ascii="Garamond" w:eastAsia="Times New Roman" w:hAnsi="Garamond" w:cs="Times New Roman"/>
          <w:bCs/>
          <w:color w:val="000000"/>
          <w:lang w:val="en-US" w:eastAsia="en-GB"/>
        </w:rPr>
        <w:t>,</w:t>
      </w:r>
      <w:r w:rsidR="00577BC4" w:rsidRPr="002A237A">
        <w:rPr>
          <w:rFonts w:ascii="Garamond" w:eastAsia="Times New Roman" w:hAnsi="Garamond" w:cs="Times New Roman"/>
          <w:bCs/>
          <w:color w:val="000000"/>
          <w:lang w:val="en-US" w:eastAsia="en-GB"/>
        </w:rPr>
        <w:t xml:space="preserve"> </w:t>
      </w:r>
      <w:r w:rsidRPr="002A237A">
        <w:rPr>
          <w:rFonts w:ascii="Garamond" w:eastAsia="Times New Roman" w:hAnsi="Garamond" w:cs="Times New Roman"/>
          <w:bCs/>
          <w:color w:val="000000"/>
          <w:lang w:val="en-US" w:eastAsia="en-GB"/>
        </w:rPr>
        <w:t>J.</w:t>
      </w:r>
      <w:r w:rsidR="00577BC4" w:rsidRPr="002A237A">
        <w:rPr>
          <w:rFonts w:ascii="Garamond" w:eastAsia="Times New Roman" w:hAnsi="Garamond" w:cs="Times New Roman"/>
          <w:bCs/>
          <w:color w:val="000000"/>
          <w:lang w:val="en-US" w:eastAsia="en-GB"/>
        </w:rPr>
        <w:t xml:space="preserve"> </w:t>
      </w:r>
      <w:r w:rsidRPr="002A237A">
        <w:rPr>
          <w:rFonts w:ascii="Garamond" w:eastAsia="Times New Roman" w:hAnsi="Garamond" w:cs="Times New Roman"/>
          <w:bCs/>
          <w:color w:val="000000"/>
          <w:lang w:val="en-US" w:eastAsia="en-GB"/>
        </w:rPr>
        <w:t>L.,</w:t>
      </w:r>
      <w:r w:rsidR="00577BC4" w:rsidRPr="002A237A">
        <w:rPr>
          <w:rFonts w:ascii="Garamond" w:eastAsia="Times New Roman" w:hAnsi="Garamond" w:cs="Times New Roman"/>
          <w:bCs/>
          <w:color w:val="000000"/>
          <w:lang w:val="en-US" w:eastAsia="en-GB"/>
        </w:rPr>
        <w:t xml:space="preserve"> </w:t>
      </w:r>
      <w:proofErr w:type="spellStart"/>
      <w:r w:rsidRPr="002A237A">
        <w:rPr>
          <w:rFonts w:ascii="Garamond" w:eastAsia="Times New Roman" w:hAnsi="Garamond" w:cs="Times New Roman"/>
          <w:bCs/>
          <w:color w:val="000000"/>
          <w:lang w:val="en-US" w:eastAsia="en-GB"/>
        </w:rPr>
        <w:t>Röth</w:t>
      </w:r>
      <w:proofErr w:type="spellEnd"/>
      <w:r w:rsidRPr="002A237A">
        <w:rPr>
          <w:rFonts w:ascii="Garamond" w:eastAsia="Times New Roman" w:hAnsi="Garamond" w:cs="Times New Roman"/>
          <w:bCs/>
          <w:color w:val="000000"/>
          <w:lang w:val="en-US" w:eastAsia="en-GB"/>
        </w:rPr>
        <w:t>,</w:t>
      </w:r>
      <w:r w:rsidR="00577BC4" w:rsidRPr="002A237A">
        <w:rPr>
          <w:rFonts w:ascii="Garamond" w:eastAsia="Times New Roman" w:hAnsi="Garamond" w:cs="Times New Roman"/>
          <w:bCs/>
          <w:color w:val="000000"/>
          <w:lang w:val="en-US" w:eastAsia="en-GB"/>
        </w:rPr>
        <w:t xml:space="preserve"> </w:t>
      </w:r>
      <w:r w:rsidRPr="002A237A">
        <w:rPr>
          <w:rFonts w:ascii="Garamond" w:eastAsia="Times New Roman" w:hAnsi="Garamond" w:cs="Times New Roman"/>
          <w:bCs/>
          <w:color w:val="000000"/>
          <w:lang w:val="en-US" w:eastAsia="en-GB"/>
        </w:rPr>
        <w:t>L.,</w:t>
      </w:r>
      <w:r w:rsidR="00577BC4" w:rsidRPr="002A237A">
        <w:rPr>
          <w:rFonts w:ascii="Garamond" w:eastAsia="Times New Roman" w:hAnsi="Garamond" w:cs="Times New Roman"/>
          <w:bCs/>
          <w:color w:val="000000"/>
          <w:lang w:val="en-US" w:eastAsia="en-GB"/>
        </w:rPr>
        <w:t xml:space="preserve"> </w:t>
      </w:r>
      <w:r w:rsidRPr="002A237A">
        <w:rPr>
          <w:rFonts w:ascii="Garamond" w:eastAsia="Times New Roman" w:hAnsi="Garamond" w:cs="Times New Roman"/>
          <w:bCs/>
          <w:color w:val="000000"/>
          <w:lang w:val="en-US" w:eastAsia="en-GB"/>
        </w:rPr>
        <w:t>&amp;</w:t>
      </w:r>
      <w:r w:rsidR="00577BC4" w:rsidRPr="002A237A">
        <w:rPr>
          <w:rFonts w:ascii="Garamond" w:eastAsia="Times New Roman" w:hAnsi="Garamond" w:cs="Times New Roman"/>
          <w:bCs/>
          <w:color w:val="000000"/>
          <w:lang w:val="en-US" w:eastAsia="en-GB"/>
        </w:rPr>
        <w:t xml:space="preserve"> </w:t>
      </w:r>
      <w:proofErr w:type="spellStart"/>
      <w:r w:rsidRPr="002A237A">
        <w:rPr>
          <w:rFonts w:ascii="Garamond" w:eastAsia="Times New Roman" w:hAnsi="Garamond" w:cs="Times New Roman"/>
          <w:bCs/>
          <w:color w:val="000000"/>
          <w:lang w:val="en-US" w:eastAsia="en-GB"/>
        </w:rPr>
        <w:t>Kleider</w:t>
      </w:r>
      <w:proofErr w:type="spellEnd"/>
      <w:r w:rsidRPr="002A237A">
        <w:rPr>
          <w:rFonts w:ascii="Garamond" w:eastAsia="Times New Roman" w:hAnsi="Garamond" w:cs="Times New Roman"/>
          <w:bCs/>
          <w:color w:val="000000"/>
          <w:lang w:val="en-US" w:eastAsia="en-GB"/>
        </w:rPr>
        <w:t>,</w:t>
      </w:r>
      <w:r w:rsidR="00577BC4" w:rsidRPr="002A237A">
        <w:rPr>
          <w:rFonts w:ascii="Garamond" w:eastAsia="Times New Roman" w:hAnsi="Garamond" w:cs="Times New Roman"/>
          <w:bCs/>
          <w:color w:val="000000"/>
          <w:lang w:val="en-US" w:eastAsia="en-GB"/>
        </w:rPr>
        <w:t xml:space="preserve"> </w:t>
      </w:r>
      <w:r w:rsidRPr="002A237A">
        <w:rPr>
          <w:rFonts w:ascii="Garamond" w:eastAsia="Times New Roman" w:hAnsi="Garamond" w:cs="Times New Roman"/>
          <w:bCs/>
          <w:color w:val="000000"/>
          <w:lang w:val="en-US" w:eastAsia="en-GB"/>
        </w:rPr>
        <w:t>H.</w:t>
      </w:r>
      <w:r w:rsidR="00577BC4" w:rsidRPr="002A237A">
        <w:rPr>
          <w:rFonts w:ascii="Garamond" w:eastAsia="Times New Roman" w:hAnsi="Garamond" w:cs="Times New Roman"/>
          <w:bCs/>
          <w:color w:val="000000"/>
          <w:lang w:val="en-US" w:eastAsia="en-GB"/>
        </w:rPr>
        <w:t xml:space="preserve"> </w:t>
      </w:r>
      <w:r w:rsidRPr="002A237A">
        <w:rPr>
          <w:rFonts w:ascii="Garamond" w:eastAsia="Times New Roman" w:hAnsi="Garamond" w:cs="Times New Roman"/>
          <w:bCs/>
          <w:color w:val="000000"/>
          <w:lang w:val="en-US" w:eastAsia="en-GB"/>
        </w:rPr>
        <w:t>(2021).</w:t>
      </w:r>
      <w:r w:rsidR="00577BC4" w:rsidRPr="002A237A">
        <w:rPr>
          <w:rFonts w:ascii="Garamond" w:eastAsia="Times New Roman" w:hAnsi="Garamond" w:cs="Times New Roman"/>
          <w:bCs/>
          <w:color w:val="000000"/>
          <w:lang w:val="en-US"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Policy-making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multi-level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systems: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Ideology,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authority,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education.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Comparative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Political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Studies,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54(12),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2155-2190.</w:t>
      </w:r>
    </w:p>
    <w:p w14:paraId="5244536D" w14:textId="149C5C13" w:rsidR="00AE6DDB" w:rsidRPr="00577BC4" w:rsidRDefault="00AE6DDB" w:rsidP="007948D2">
      <w:pPr>
        <w:spacing w:after="0"/>
        <w:ind w:left="567" w:hanging="567"/>
        <w:jc w:val="both"/>
        <w:rPr>
          <w:rFonts w:ascii="Garamond" w:eastAsia="Times New Roman" w:hAnsi="Garamond" w:cs="Times New Roman"/>
          <w:bCs/>
          <w:color w:val="000000"/>
          <w:lang w:eastAsia="en-GB"/>
        </w:rPr>
      </w:pP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Hooghe</w:t>
      </w:r>
      <w:proofErr w:type="spellEnd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Liesbet</w:t>
      </w:r>
      <w:proofErr w:type="spellEnd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Marks,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Gary,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Schakel</w:t>
      </w:r>
      <w:proofErr w:type="spellEnd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Arjan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H.,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Chapman-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Osterkatz</w:t>
      </w:r>
      <w:proofErr w:type="spellEnd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Sandra,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Niedzwiecki</w:t>
      </w:r>
      <w:proofErr w:type="spellEnd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Sara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Shair</w:t>
      </w:r>
      <w:proofErr w:type="spellEnd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-Rosenfield,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Sarah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(2016)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Measuring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regional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authority.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Volume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postfunctionalist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theory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of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governance.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Oxford: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Oxford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University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Press.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</w:p>
    <w:p w14:paraId="22416A4B" w14:textId="16667EAE" w:rsidR="00AE6DDB" w:rsidRPr="00577BC4" w:rsidRDefault="00AE6DDB" w:rsidP="007948D2">
      <w:pPr>
        <w:spacing w:after="0"/>
        <w:ind w:left="567" w:hanging="567"/>
        <w:jc w:val="both"/>
        <w:rPr>
          <w:rFonts w:ascii="Garamond" w:eastAsia="Times New Roman" w:hAnsi="Garamond" w:cs="Times New Roman"/>
          <w:bCs/>
          <w:color w:val="000000"/>
          <w:lang w:eastAsia="en-GB"/>
        </w:rPr>
      </w:pP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Jolly,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S.,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Bakker,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R.,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Hooghe</w:t>
      </w:r>
      <w:proofErr w:type="spellEnd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L.,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Marks,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G.,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Polk,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J.,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Rovny</w:t>
      </w:r>
      <w:proofErr w:type="spellEnd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J.,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...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&amp;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Vachudova</w:t>
      </w:r>
      <w:proofErr w:type="spellEnd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(2022).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Chapel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Hill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expert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survey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trend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file,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1999–2019.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Electoral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studies,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75,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102420.</w:t>
      </w:r>
    </w:p>
    <w:p w14:paraId="42979617" w14:textId="1A71A139" w:rsidR="00AE6DDB" w:rsidRPr="00577BC4" w:rsidRDefault="00AE6DDB" w:rsidP="007948D2">
      <w:pPr>
        <w:spacing w:after="0"/>
        <w:ind w:left="567" w:hanging="567"/>
        <w:jc w:val="both"/>
        <w:rPr>
          <w:rFonts w:ascii="Garamond" w:eastAsia="Times New Roman" w:hAnsi="Garamond" w:cs="Times New Roman"/>
          <w:bCs/>
          <w:color w:val="000000"/>
          <w:lang w:eastAsia="en-GB"/>
        </w:rPr>
      </w:pPr>
      <w:r w:rsidRPr="00F774CD">
        <w:rPr>
          <w:rFonts w:ascii="Garamond" w:eastAsia="Times New Roman" w:hAnsi="Garamond" w:cs="Times New Roman"/>
          <w:bCs/>
          <w:color w:val="000000"/>
          <w:lang w:val="de-DE" w:eastAsia="en-GB"/>
        </w:rPr>
        <w:t>Kleider,</w:t>
      </w:r>
      <w:r w:rsidR="00577BC4" w:rsidRPr="00F774CD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F774CD">
        <w:rPr>
          <w:rFonts w:ascii="Garamond" w:eastAsia="Times New Roman" w:hAnsi="Garamond" w:cs="Times New Roman"/>
          <w:bCs/>
          <w:color w:val="000000"/>
          <w:lang w:val="de-DE" w:eastAsia="en-GB"/>
        </w:rPr>
        <w:t>H.,</w:t>
      </w:r>
      <w:r w:rsidR="00577BC4" w:rsidRPr="00F774CD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F774CD">
        <w:rPr>
          <w:rFonts w:ascii="Garamond" w:eastAsia="Times New Roman" w:hAnsi="Garamond" w:cs="Times New Roman"/>
          <w:bCs/>
          <w:color w:val="000000"/>
          <w:lang w:val="de-DE" w:eastAsia="en-GB"/>
        </w:rPr>
        <w:t>Röth,</w:t>
      </w:r>
      <w:r w:rsidR="00577BC4" w:rsidRPr="00F774CD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F774CD">
        <w:rPr>
          <w:rFonts w:ascii="Garamond" w:eastAsia="Times New Roman" w:hAnsi="Garamond" w:cs="Times New Roman"/>
          <w:bCs/>
          <w:color w:val="000000"/>
          <w:lang w:val="de-DE" w:eastAsia="en-GB"/>
        </w:rPr>
        <w:t>L.,</w:t>
      </w:r>
      <w:r w:rsidR="00577BC4" w:rsidRPr="00F774CD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F774CD">
        <w:rPr>
          <w:rFonts w:ascii="Garamond" w:eastAsia="Times New Roman" w:hAnsi="Garamond" w:cs="Times New Roman"/>
          <w:bCs/>
          <w:color w:val="000000"/>
          <w:lang w:val="de-DE" w:eastAsia="en-GB"/>
        </w:rPr>
        <w:t>&amp;</w:t>
      </w:r>
      <w:r w:rsidR="00577BC4" w:rsidRPr="00F774CD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F774CD">
        <w:rPr>
          <w:rFonts w:ascii="Garamond" w:eastAsia="Times New Roman" w:hAnsi="Garamond" w:cs="Times New Roman"/>
          <w:bCs/>
          <w:color w:val="000000"/>
          <w:lang w:val="de-DE" w:eastAsia="en-GB"/>
        </w:rPr>
        <w:t>Garritzmann,</w:t>
      </w:r>
      <w:r w:rsidR="00577BC4" w:rsidRPr="00F774CD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F774CD">
        <w:rPr>
          <w:rFonts w:ascii="Garamond" w:eastAsia="Times New Roman" w:hAnsi="Garamond" w:cs="Times New Roman"/>
          <w:bCs/>
          <w:color w:val="000000"/>
          <w:lang w:val="de-DE" w:eastAsia="en-GB"/>
        </w:rPr>
        <w:t>J.</w:t>
      </w:r>
      <w:r w:rsidR="00577BC4" w:rsidRPr="00F774CD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F774CD">
        <w:rPr>
          <w:rFonts w:ascii="Garamond" w:eastAsia="Times New Roman" w:hAnsi="Garamond" w:cs="Times New Roman"/>
          <w:bCs/>
          <w:color w:val="000000"/>
          <w:lang w:val="de-DE" w:eastAsia="en-GB"/>
        </w:rPr>
        <w:t>L.</w:t>
      </w:r>
      <w:r w:rsidR="00577BC4" w:rsidRPr="00F774CD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F774CD">
        <w:rPr>
          <w:rFonts w:ascii="Garamond" w:eastAsia="Times New Roman" w:hAnsi="Garamond" w:cs="Times New Roman"/>
          <w:bCs/>
          <w:color w:val="000000"/>
          <w:lang w:val="de-DE" w:eastAsia="en-GB"/>
        </w:rPr>
        <w:t>(2020).</w:t>
      </w:r>
      <w:r w:rsidR="00577BC4" w:rsidRPr="00F774CD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Ideological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alignment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distribution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of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public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expenditures.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Democratic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Representation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Multi-level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Systems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(pp.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255-278).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Routledge.</w:t>
      </w:r>
    </w:p>
    <w:p w14:paraId="4C65B7D6" w14:textId="7D72188D" w:rsidR="00AE6DDB" w:rsidRPr="00577BC4" w:rsidRDefault="00AE6DDB" w:rsidP="007948D2">
      <w:pPr>
        <w:spacing w:after="0"/>
        <w:ind w:left="567" w:hanging="567"/>
        <w:jc w:val="both"/>
        <w:rPr>
          <w:rFonts w:ascii="Garamond" w:eastAsia="Times New Roman" w:hAnsi="Garamond" w:cs="Times New Roman"/>
          <w:bCs/>
          <w:color w:val="000000"/>
          <w:lang w:eastAsia="en-GB"/>
        </w:rPr>
      </w:pP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Laver,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Budge,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(1992,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eds).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Party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Policy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Government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Coalitions,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Houndmills</w:t>
      </w:r>
      <w:proofErr w:type="spellEnd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Basingstoke,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Hampshire: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MacMillan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Press.</w:t>
      </w:r>
    </w:p>
    <w:p w14:paraId="754A7185" w14:textId="3242D103" w:rsidR="00AE6DDB" w:rsidRPr="003C676A" w:rsidRDefault="00AE6DDB" w:rsidP="007948D2">
      <w:pPr>
        <w:spacing w:after="0"/>
        <w:ind w:left="567" w:hanging="567"/>
        <w:jc w:val="both"/>
        <w:rPr>
          <w:rFonts w:ascii="Garamond" w:eastAsia="Times New Roman" w:hAnsi="Garamond" w:cs="Times New Roman"/>
          <w:bCs/>
          <w:color w:val="000000"/>
          <w:lang w:val="de-DE" w:eastAsia="en-GB"/>
        </w:rPr>
      </w:pP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Lehmann,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P.,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Franzmann,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S.,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Burst,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T.,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Regel,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S.,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Riethmüller,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F.,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proofErr w:type="spellStart"/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Volkens</w:t>
      </w:r>
      <w:proofErr w:type="spellEnd"/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,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A.,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...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&amp;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Zehnter</w:t>
      </w:r>
      <w:proofErr w:type="spellEnd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L.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(2023).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Manifesto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Data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Collection.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Manifesto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Project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(MRG/CMP/MARPOR).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F774CD">
        <w:rPr>
          <w:rFonts w:ascii="Garamond" w:eastAsia="Times New Roman" w:hAnsi="Garamond" w:cs="Times New Roman"/>
          <w:bCs/>
          <w:color w:val="000000"/>
          <w:lang w:val="de-DE" w:eastAsia="en-GB"/>
        </w:rPr>
        <w:t>Version</w:t>
      </w:r>
      <w:r w:rsidR="00577BC4" w:rsidRPr="00F774CD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F774CD">
        <w:rPr>
          <w:rFonts w:ascii="Garamond" w:eastAsia="Times New Roman" w:hAnsi="Garamond" w:cs="Times New Roman"/>
          <w:bCs/>
          <w:color w:val="000000"/>
          <w:lang w:val="de-DE" w:eastAsia="en-GB"/>
        </w:rPr>
        <w:t>2023a.</w:t>
      </w:r>
      <w:r w:rsidR="00577BC4" w:rsidRPr="00F774CD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lastRenderedPageBreak/>
        <w:t>Wissenschaftszentrum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Berlin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für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Sozialforschung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(WZB)/Göttingen: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Institut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für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Demokratieforschung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(</w:t>
      </w:r>
      <w:proofErr w:type="spellStart"/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IfDem</w:t>
      </w:r>
      <w:proofErr w:type="spellEnd"/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).</w:t>
      </w:r>
    </w:p>
    <w:p w14:paraId="43F1E0EB" w14:textId="5131694A" w:rsidR="00AE6DDB" w:rsidRPr="003C676A" w:rsidRDefault="00AE6DDB" w:rsidP="007948D2">
      <w:pPr>
        <w:spacing w:after="0"/>
        <w:ind w:left="567" w:hanging="567"/>
        <w:jc w:val="both"/>
        <w:rPr>
          <w:rFonts w:ascii="Garamond" w:eastAsia="Times New Roman" w:hAnsi="Garamond" w:cs="Times New Roman"/>
          <w:bCs/>
          <w:color w:val="000000"/>
          <w:lang w:val="de-DE" w:eastAsia="en-GB"/>
        </w:rPr>
      </w:pP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Lowe,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W.,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Benoit,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K.,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Mikhaylov</w:t>
      </w:r>
      <w:proofErr w:type="spellEnd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S.,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&amp;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Laver,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(2011).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Scaling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policy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preferences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from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coded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political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texts.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Legislative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proofErr w:type="spellStart"/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studies</w:t>
      </w:r>
      <w:proofErr w:type="spellEnd"/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proofErr w:type="spellStart"/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quarterly</w:t>
      </w:r>
      <w:proofErr w:type="spellEnd"/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,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36(1),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123-155.</w:t>
      </w:r>
    </w:p>
    <w:p w14:paraId="314E7CE6" w14:textId="487A82CA" w:rsidR="00AE6DDB" w:rsidRPr="003C676A" w:rsidRDefault="00AE6DDB" w:rsidP="007948D2">
      <w:pPr>
        <w:spacing w:after="0"/>
        <w:ind w:left="567" w:hanging="567"/>
        <w:jc w:val="both"/>
        <w:rPr>
          <w:rFonts w:ascii="Garamond" w:eastAsia="Times New Roman" w:hAnsi="Garamond" w:cs="Times New Roman"/>
          <w:bCs/>
          <w:color w:val="000000"/>
          <w:lang w:val="de-DE" w:eastAsia="en-GB"/>
        </w:rPr>
      </w:pPr>
      <w:proofErr w:type="spellStart"/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Nohlen</w:t>
      </w:r>
      <w:proofErr w:type="spellEnd"/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(1993).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Handbuch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der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Wahldaten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Lateinamerikas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und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der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Karibik;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Opladen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-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Leske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und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Budrich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Verlag.</w:t>
      </w:r>
    </w:p>
    <w:p w14:paraId="2B1A621E" w14:textId="7ED1AE5C" w:rsidR="00AE6DDB" w:rsidRPr="003C676A" w:rsidRDefault="00AE6DDB" w:rsidP="007948D2">
      <w:pPr>
        <w:spacing w:after="0"/>
        <w:ind w:left="567" w:hanging="567"/>
        <w:jc w:val="both"/>
        <w:rPr>
          <w:rFonts w:ascii="Garamond" w:eastAsia="Times New Roman" w:hAnsi="Garamond" w:cs="Times New Roman"/>
          <w:bCs/>
          <w:color w:val="000000"/>
          <w:lang w:val="de-DE" w:eastAsia="en-GB"/>
        </w:rPr>
      </w:pPr>
      <w:proofErr w:type="spellStart"/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Nohlen</w:t>
      </w:r>
      <w:proofErr w:type="spellEnd"/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,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D.,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&amp;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Stöver,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P.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(2010).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proofErr w:type="spellStart"/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Elections</w:t>
      </w:r>
      <w:proofErr w:type="spellEnd"/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in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Europe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(pp.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69-124).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Nomos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Verlagsgesellschaft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mbH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&amp;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Co.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KG.</w:t>
      </w:r>
    </w:p>
    <w:p w14:paraId="2E32D538" w14:textId="381204C6" w:rsidR="00AE6DDB" w:rsidRPr="00577BC4" w:rsidRDefault="00AE6DDB" w:rsidP="007948D2">
      <w:pPr>
        <w:spacing w:after="0"/>
        <w:ind w:left="567" w:hanging="567"/>
        <w:jc w:val="both"/>
        <w:rPr>
          <w:rFonts w:ascii="Garamond" w:eastAsia="Times New Roman" w:hAnsi="Garamond" w:cs="Times New Roman"/>
          <w:bCs/>
          <w:color w:val="000000"/>
          <w:lang w:eastAsia="en-GB"/>
        </w:rPr>
      </w:pP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Röth</w:t>
      </w:r>
      <w:proofErr w:type="spellEnd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L.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(2017).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Equivalence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Presupposes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Validity.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Towards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Comparable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Party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Positions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Market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Dimension.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EPSA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Conference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Milano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2017.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</w:p>
    <w:p w14:paraId="6F2A8149" w14:textId="68834C2F" w:rsidR="00AE6DDB" w:rsidRPr="00577BC4" w:rsidRDefault="00AE6DDB" w:rsidP="007948D2">
      <w:pPr>
        <w:spacing w:after="0"/>
        <w:ind w:left="567" w:hanging="567"/>
        <w:jc w:val="both"/>
        <w:rPr>
          <w:rFonts w:ascii="Garamond" w:eastAsia="Times New Roman" w:hAnsi="Garamond" w:cs="Times New Roman"/>
          <w:bCs/>
          <w:color w:val="000000"/>
          <w:lang w:eastAsia="en-GB"/>
        </w:rPr>
      </w:pP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Röth</w:t>
      </w:r>
      <w:proofErr w:type="spellEnd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L.,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&amp;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Kaiser,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(2019).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Why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accommodate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minorities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asymmetrically?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theory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of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ideological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authority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insulation.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European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Journal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of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Political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Research,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58(2),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557-581.</w:t>
      </w:r>
    </w:p>
    <w:p w14:paraId="4CAEB359" w14:textId="20FC8123" w:rsidR="00AE6DDB" w:rsidRPr="00577BC4" w:rsidRDefault="00AE6DDB" w:rsidP="007948D2">
      <w:pPr>
        <w:spacing w:after="0"/>
        <w:ind w:left="567" w:hanging="567"/>
        <w:jc w:val="both"/>
        <w:rPr>
          <w:rFonts w:ascii="Garamond" w:eastAsia="Times New Roman" w:hAnsi="Garamond" w:cs="Times New Roman"/>
          <w:bCs/>
          <w:color w:val="000000"/>
          <w:lang w:eastAsia="en-GB"/>
        </w:rPr>
      </w:pP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Röth</w:t>
      </w:r>
      <w:proofErr w:type="spellEnd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L.,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Afonso,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A.,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&amp;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Spies,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(2018).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impact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of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populist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radical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right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parties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socio-economic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policies.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European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Political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Science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Review,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10(3),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325-350.</w:t>
      </w:r>
    </w:p>
    <w:p w14:paraId="65233179" w14:textId="3D11A3C3" w:rsidR="00AE6DDB" w:rsidRPr="00577BC4" w:rsidRDefault="00AE6DDB" w:rsidP="007948D2">
      <w:pPr>
        <w:spacing w:after="0"/>
        <w:ind w:left="567" w:hanging="567"/>
        <w:jc w:val="both"/>
        <w:rPr>
          <w:rFonts w:ascii="Garamond" w:eastAsia="Times New Roman" w:hAnsi="Garamond" w:cs="Times New Roman"/>
          <w:bCs/>
          <w:color w:val="000000"/>
          <w:lang w:eastAsia="en-GB"/>
        </w:rPr>
      </w:pP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Shair</w:t>
      </w:r>
      <w:proofErr w:type="spellEnd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-Rosenfield,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Sarah,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Schakel</w:t>
      </w:r>
      <w:proofErr w:type="spellEnd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Arjan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H.,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Niedzwiecki</w:t>
      </w:r>
      <w:proofErr w:type="spellEnd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Sara,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Marks,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Gary,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Hooghe</w:t>
      </w:r>
      <w:proofErr w:type="spellEnd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,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Liesbet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Chapman-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Osterkatz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Sandra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(2021)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'Language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difference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and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regional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authority,'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Regional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&amp;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Federal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Studies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31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(1):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73-97.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</w:p>
    <w:p w14:paraId="122DEE7D" w14:textId="6D5A5A0F" w:rsidR="00AE6DDB" w:rsidRPr="00577BC4" w:rsidRDefault="00AE6DDB" w:rsidP="007948D2">
      <w:pPr>
        <w:spacing w:after="0"/>
        <w:ind w:left="567" w:hanging="567"/>
        <w:jc w:val="both"/>
        <w:rPr>
          <w:rFonts w:ascii="Garamond" w:eastAsia="Times New Roman" w:hAnsi="Garamond" w:cs="Times New Roman"/>
          <w:bCs/>
          <w:color w:val="000000"/>
          <w:lang w:eastAsia="en-GB"/>
        </w:rPr>
      </w:pPr>
      <w:proofErr w:type="spellStart"/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Volkens</w:t>
      </w:r>
      <w:proofErr w:type="spellEnd"/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,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A.,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Krause,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W.,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Lehmann,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P.,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proofErr w:type="spellStart"/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Matthieß</w:t>
      </w:r>
      <w:proofErr w:type="spellEnd"/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,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T.,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Merz,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N.,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Regel,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S.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&amp;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Weßels,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B.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>(2019).</w:t>
      </w:r>
      <w:r w:rsidR="00577BC4" w:rsidRPr="003C676A">
        <w:rPr>
          <w:rFonts w:ascii="Garamond" w:eastAsia="Times New Roman" w:hAnsi="Garamond" w:cs="Times New Roman"/>
          <w:bCs/>
          <w:color w:val="000000"/>
          <w:lang w:val="de-DE"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The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Manifesto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Data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Collection.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Manifesto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Project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(MRG/CMP/MARPOR).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Version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2019a.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Berlin: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Wissenschaftszentrum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Berlin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für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proofErr w:type="spellStart"/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Sozialforschung</w:t>
      </w:r>
      <w:proofErr w:type="spellEnd"/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  <w:r w:rsidRPr="00577BC4">
        <w:rPr>
          <w:rFonts w:ascii="Garamond" w:eastAsia="Times New Roman" w:hAnsi="Garamond" w:cs="Times New Roman"/>
          <w:bCs/>
          <w:color w:val="000000"/>
          <w:lang w:eastAsia="en-GB"/>
        </w:rPr>
        <w:t>(WZB).</w:t>
      </w:r>
      <w:r w:rsidR="00577BC4" w:rsidRPr="00577BC4">
        <w:rPr>
          <w:rFonts w:ascii="Garamond" w:eastAsia="Times New Roman" w:hAnsi="Garamond" w:cs="Times New Roman"/>
          <w:bCs/>
          <w:color w:val="000000"/>
          <w:lang w:eastAsia="en-GB"/>
        </w:rPr>
        <w:t xml:space="preserve"> </w:t>
      </w:r>
    </w:p>
    <w:sectPr w:rsidR="00AE6DDB" w:rsidRPr="00577BC4" w:rsidSect="00E320CE">
      <w:pgSz w:w="11906" w:h="16838"/>
      <w:pgMar w:top="1417" w:right="1417" w:bottom="1134" w:left="1417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12F7EF" w16cex:dateUtc="2024-06-11T14:21:00Z"/>
  <w16cex:commentExtensible w16cex:durableId="2A158FB3" w16cex:dateUtc="2024-06-13T13:33:00Z"/>
  <w16cex:commentExtensible w16cex:durableId="2A130975" w16cex:dateUtc="2024-06-11T15:35:00Z"/>
  <w16cex:commentExtensible w16cex:durableId="2A1308E0" w16cex:dateUtc="2024-06-11T15:33:00Z"/>
  <w16cex:commentExtensible w16cex:durableId="2A130AB3" w16cex:dateUtc="2024-06-11T15:41:00Z"/>
  <w16cex:commentExtensible w16cex:durableId="2A130299" w16cex:dateUtc="2024-06-11T15:06:00Z"/>
  <w16cex:commentExtensible w16cex:durableId="2A1303F3" w16cex:dateUtc="2024-06-11T15:12:00Z"/>
  <w16cex:commentExtensible w16cex:durableId="2A13032A" w16cex:dateUtc="2024-06-11T15:08:00Z"/>
  <w16cex:commentExtensible w16cex:durableId="2A12FF54" w16cex:dateUtc="2024-06-11T14:52:00Z"/>
  <w16cex:commentExtensible w16cex:durableId="2A12FFA8" w16cex:dateUtc="2024-06-11T14:54:00Z"/>
  <w16cex:commentExtensible w16cex:durableId="2A12FF8D" w16cex:dateUtc="2024-06-11T14:53:00Z"/>
  <w16cex:commentExtensible w16cex:durableId="2A130391" w16cex:dateUtc="2024-06-11T15:10:00Z"/>
  <w16cex:commentExtensible w16cex:durableId="2A1303D3" w16cex:dateUtc="2024-06-11T15:11:00Z"/>
  <w16cex:commentExtensible w16cex:durableId="2A1301FC" w16cex:dateUtc="2024-06-11T15:03:00Z"/>
  <w16cex:commentExtensible w16cex:durableId="2A130206" w16cex:dateUtc="2024-06-11T15:03:00Z"/>
  <w16cex:commentExtensible w16cex:durableId="2A130210" w16cex:dateUtc="2024-06-11T15:04:00Z"/>
  <w16cex:commentExtensible w16cex:durableId="2A13060C" w16cex:dateUtc="2024-06-11T15:21:00Z"/>
  <w16cex:commentExtensible w16cex:durableId="2A13091A" w16cex:dateUtc="2024-06-11T15:34:00Z"/>
  <w16cex:commentExtensible w16cex:durableId="2A130681" w16cex:dateUtc="2024-06-11T15:23:00Z"/>
  <w16cex:commentExtensible w16cex:durableId="2A130659" w16cex:dateUtc="2024-06-11T15:22:00Z"/>
  <w16cex:commentExtensible w16cex:durableId="2A1306CD" w16cex:dateUtc="2024-06-11T15:24:00Z"/>
  <w16cex:commentExtensible w16cex:durableId="2A1306A2" w16cex:dateUtc="2024-06-11T15:23:00Z"/>
  <w16cex:commentExtensible w16cex:durableId="2A130736" w16cex:dateUtc="2024-06-11T15:26:00Z"/>
  <w16cex:commentExtensible w16cex:durableId="2A130F25" w16cex:dateUtc="2024-06-11T16:00:00Z"/>
  <w16cex:commentExtensible w16cex:durableId="2A130FB5" w16cex:dateUtc="2024-06-11T16:02:00Z"/>
  <w16cex:commentExtensible w16cex:durableId="2A130F82" w16cex:dateUtc="2024-06-11T16:01:00Z"/>
  <w16cex:commentExtensible w16cex:durableId="2A131072" w16cex:dateUtc="2024-06-11T16:05:00Z"/>
  <w16cex:commentExtensible w16cex:durableId="2A1310B3" w16cex:dateUtc="2024-06-11T16:06:00Z"/>
  <w16cex:commentExtensible w16cex:durableId="2A1310C1" w16cex:dateUtc="2024-06-11T16:06:00Z"/>
  <w16cex:commentExtensible w16cex:durableId="2A1310CB" w16cex:dateUtc="2024-06-11T16:07:00Z"/>
  <w16cex:commentExtensible w16cex:durableId="2A1310D6" w16cex:dateUtc="2024-06-11T16:07:00Z"/>
  <w16cex:commentExtensible w16cex:durableId="2A1310DD" w16cex:dateUtc="2024-06-11T16:0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CA1FCE" w14:textId="77777777" w:rsidR="0053414E" w:rsidRDefault="0053414E" w:rsidP="002071B2">
      <w:pPr>
        <w:spacing w:after="0" w:line="240" w:lineRule="auto"/>
      </w:pPr>
      <w:r>
        <w:separator/>
      </w:r>
    </w:p>
  </w:endnote>
  <w:endnote w:type="continuationSeparator" w:id="0">
    <w:p w14:paraId="082E9A93" w14:textId="77777777" w:rsidR="0053414E" w:rsidRDefault="0053414E" w:rsidP="00207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Garamond" w:hAnsi="Garamond"/>
      </w:rPr>
      <w:id w:val="1969465240"/>
      <w:docPartObj>
        <w:docPartGallery w:val="Page Numbers (Bottom of Page)"/>
        <w:docPartUnique/>
      </w:docPartObj>
    </w:sdtPr>
    <w:sdtContent>
      <w:p w14:paraId="5B742598" w14:textId="77777777" w:rsidR="0053414E" w:rsidRPr="00E671B3" w:rsidRDefault="0053414E">
        <w:pPr>
          <w:pStyle w:val="Fuzeile"/>
          <w:jc w:val="center"/>
          <w:rPr>
            <w:rFonts w:ascii="Garamond" w:hAnsi="Garamond"/>
          </w:rPr>
        </w:pPr>
        <w:r w:rsidRPr="00E671B3">
          <w:rPr>
            <w:rFonts w:ascii="Garamond" w:hAnsi="Garamond"/>
          </w:rPr>
          <w:fldChar w:fldCharType="begin"/>
        </w:r>
        <w:r w:rsidRPr="00E671B3">
          <w:rPr>
            <w:rFonts w:ascii="Garamond" w:hAnsi="Garamond"/>
          </w:rPr>
          <w:instrText>PAGE   \* MERGEFORMAT</w:instrText>
        </w:r>
        <w:r w:rsidRPr="00E671B3">
          <w:rPr>
            <w:rFonts w:ascii="Garamond" w:hAnsi="Garamond"/>
          </w:rPr>
          <w:fldChar w:fldCharType="separate"/>
        </w:r>
        <w:r w:rsidRPr="00E671B3">
          <w:rPr>
            <w:rFonts w:ascii="Garamond" w:hAnsi="Garamond"/>
            <w:lang w:val="de-DE"/>
          </w:rPr>
          <w:t>2</w:t>
        </w:r>
        <w:r w:rsidRPr="00E671B3">
          <w:rPr>
            <w:rFonts w:ascii="Garamond" w:hAnsi="Garamond"/>
          </w:rPr>
          <w:fldChar w:fldCharType="end"/>
        </w:r>
      </w:p>
    </w:sdtContent>
  </w:sdt>
  <w:p w14:paraId="11D327A4" w14:textId="77777777" w:rsidR="0053414E" w:rsidRDefault="0053414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22EABC" w14:textId="77777777" w:rsidR="0053414E" w:rsidRDefault="0053414E" w:rsidP="002071B2">
      <w:pPr>
        <w:spacing w:after="0" w:line="240" w:lineRule="auto"/>
      </w:pPr>
      <w:r>
        <w:separator/>
      </w:r>
    </w:p>
  </w:footnote>
  <w:footnote w:type="continuationSeparator" w:id="0">
    <w:p w14:paraId="01071D95" w14:textId="77777777" w:rsidR="0053414E" w:rsidRDefault="0053414E" w:rsidP="002071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B4EAB4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C66FA3"/>
    <w:multiLevelType w:val="hybridMultilevel"/>
    <w:tmpl w:val="9C76D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77CA8"/>
    <w:multiLevelType w:val="hybridMultilevel"/>
    <w:tmpl w:val="26EC9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93324C"/>
    <w:multiLevelType w:val="hybridMultilevel"/>
    <w:tmpl w:val="A9A4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DE30B1"/>
    <w:multiLevelType w:val="hybridMultilevel"/>
    <w:tmpl w:val="9C76D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C3E1A"/>
    <w:multiLevelType w:val="hybridMultilevel"/>
    <w:tmpl w:val="B44A1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5448FB"/>
    <w:multiLevelType w:val="hybridMultilevel"/>
    <w:tmpl w:val="9C76D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bC0MDc0szQytTA2MzVV0lEKTi0uzszPAykwNKwFAEwrf/gtAAAA"/>
  </w:docVars>
  <w:rsids>
    <w:rsidRoot w:val="001F5A0D"/>
    <w:rsid w:val="00007BAE"/>
    <w:rsid w:val="0002565D"/>
    <w:rsid w:val="000260D6"/>
    <w:rsid w:val="000728C1"/>
    <w:rsid w:val="0008619E"/>
    <w:rsid w:val="000A07FC"/>
    <w:rsid w:val="000B1917"/>
    <w:rsid w:val="000E24AB"/>
    <w:rsid w:val="00114631"/>
    <w:rsid w:val="00136EAB"/>
    <w:rsid w:val="00170B76"/>
    <w:rsid w:val="001726A6"/>
    <w:rsid w:val="001A274A"/>
    <w:rsid w:val="001A3D44"/>
    <w:rsid w:val="001F5A0D"/>
    <w:rsid w:val="002071B2"/>
    <w:rsid w:val="0021019B"/>
    <w:rsid w:val="002219E7"/>
    <w:rsid w:val="00231718"/>
    <w:rsid w:val="002347EA"/>
    <w:rsid w:val="00251E62"/>
    <w:rsid w:val="00266CE1"/>
    <w:rsid w:val="00266E11"/>
    <w:rsid w:val="002A237A"/>
    <w:rsid w:val="002A3CED"/>
    <w:rsid w:val="002C546E"/>
    <w:rsid w:val="002E2462"/>
    <w:rsid w:val="002E6914"/>
    <w:rsid w:val="002F1FD0"/>
    <w:rsid w:val="00306723"/>
    <w:rsid w:val="003174E1"/>
    <w:rsid w:val="00353DFD"/>
    <w:rsid w:val="00355F62"/>
    <w:rsid w:val="003C676A"/>
    <w:rsid w:val="003F4081"/>
    <w:rsid w:val="00410994"/>
    <w:rsid w:val="004445E1"/>
    <w:rsid w:val="00445D0F"/>
    <w:rsid w:val="00457CB5"/>
    <w:rsid w:val="005113EB"/>
    <w:rsid w:val="00525217"/>
    <w:rsid w:val="0053414E"/>
    <w:rsid w:val="00577BC4"/>
    <w:rsid w:val="005B43F8"/>
    <w:rsid w:val="005E6367"/>
    <w:rsid w:val="00604C0B"/>
    <w:rsid w:val="0061138F"/>
    <w:rsid w:val="00616D69"/>
    <w:rsid w:val="00641288"/>
    <w:rsid w:val="0064200D"/>
    <w:rsid w:val="00646EDA"/>
    <w:rsid w:val="0066794B"/>
    <w:rsid w:val="00685BEF"/>
    <w:rsid w:val="00735B88"/>
    <w:rsid w:val="007402F5"/>
    <w:rsid w:val="007428AC"/>
    <w:rsid w:val="00776DBB"/>
    <w:rsid w:val="00777EEA"/>
    <w:rsid w:val="007948D2"/>
    <w:rsid w:val="007A7658"/>
    <w:rsid w:val="007B4FE8"/>
    <w:rsid w:val="007C3D83"/>
    <w:rsid w:val="00851F8A"/>
    <w:rsid w:val="00877B2A"/>
    <w:rsid w:val="0088070A"/>
    <w:rsid w:val="0088787B"/>
    <w:rsid w:val="008A28D7"/>
    <w:rsid w:val="008A5C58"/>
    <w:rsid w:val="008C34EE"/>
    <w:rsid w:val="008D1080"/>
    <w:rsid w:val="008D1D4E"/>
    <w:rsid w:val="008F33AB"/>
    <w:rsid w:val="00906B79"/>
    <w:rsid w:val="00907AAF"/>
    <w:rsid w:val="00915390"/>
    <w:rsid w:val="00936E12"/>
    <w:rsid w:val="00944693"/>
    <w:rsid w:val="009517DF"/>
    <w:rsid w:val="00975095"/>
    <w:rsid w:val="0097641D"/>
    <w:rsid w:val="009935ED"/>
    <w:rsid w:val="00994BEC"/>
    <w:rsid w:val="009F2C34"/>
    <w:rsid w:val="00A72F82"/>
    <w:rsid w:val="00A8336C"/>
    <w:rsid w:val="00AA638F"/>
    <w:rsid w:val="00AB687E"/>
    <w:rsid w:val="00AE6DDB"/>
    <w:rsid w:val="00AF009D"/>
    <w:rsid w:val="00B16945"/>
    <w:rsid w:val="00B25A17"/>
    <w:rsid w:val="00B45D7C"/>
    <w:rsid w:val="00B46AC0"/>
    <w:rsid w:val="00B721CC"/>
    <w:rsid w:val="00BD02A6"/>
    <w:rsid w:val="00BD256F"/>
    <w:rsid w:val="00BE206F"/>
    <w:rsid w:val="00BF473E"/>
    <w:rsid w:val="00C111A9"/>
    <w:rsid w:val="00C32295"/>
    <w:rsid w:val="00C62CAE"/>
    <w:rsid w:val="00C71008"/>
    <w:rsid w:val="00C900C8"/>
    <w:rsid w:val="00D8789D"/>
    <w:rsid w:val="00DD22EB"/>
    <w:rsid w:val="00E320CE"/>
    <w:rsid w:val="00E671B3"/>
    <w:rsid w:val="00EA3347"/>
    <w:rsid w:val="00EB1CF5"/>
    <w:rsid w:val="00EB2F39"/>
    <w:rsid w:val="00EC5E86"/>
    <w:rsid w:val="00EF154F"/>
    <w:rsid w:val="00F20667"/>
    <w:rsid w:val="00F31C3C"/>
    <w:rsid w:val="00F42F2A"/>
    <w:rsid w:val="00F70A99"/>
    <w:rsid w:val="00F774CD"/>
    <w:rsid w:val="00F87093"/>
    <w:rsid w:val="00FB786F"/>
    <w:rsid w:val="00FC0D16"/>
    <w:rsid w:val="00FE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F4029"/>
  <w15:chartTrackingRefBased/>
  <w15:docId w15:val="{B08DCB6D-725B-4F51-B6A6-BEC554334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F5A0D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F5A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F5A0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1F5A0D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F5A0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F5A0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customStyle="1" w:styleId="Flietext">
    <w:name w:val="Fließtext_"/>
    <w:basedOn w:val="Absatz-Standardschriftart"/>
    <w:link w:val="Flietext0"/>
    <w:rsid w:val="007402F5"/>
    <w:rPr>
      <w:rFonts w:ascii="Arial" w:eastAsia="Arial" w:hAnsi="Arial" w:cs="Arial"/>
      <w:sz w:val="17"/>
      <w:szCs w:val="17"/>
    </w:rPr>
  </w:style>
  <w:style w:type="paragraph" w:customStyle="1" w:styleId="Flietext0">
    <w:name w:val="Fließtext"/>
    <w:basedOn w:val="Standard"/>
    <w:link w:val="Flietext"/>
    <w:rsid w:val="007402F5"/>
    <w:pPr>
      <w:widowControl w:val="0"/>
      <w:spacing w:after="0" w:line="293" w:lineRule="auto"/>
      <w:ind w:firstLine="320"/>
    </w:pPr>
    <w:rPr>
      <w:rFonts w:ascii="Arial" w:eastAsia="Arial" w:hAnsi="Arial" w:cs="Arial"/>
      <w:sz w:val="17"/>
      <w:szCs w:val="17"/>
      <w:lang w:val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7402F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64200D"/>
    <w:pPr>
      <w:ind w:left="720"/>
      <w:contextualSpacing/>
    </w:pPr>
  </w:style>
  <w:style w:type="character" w:customStyle="1" w:styleId="Andere">
    <w:name w:val="Andere_"/>
    <w:basedOn w:val="Absatz-Standardschriftart"/>
    <w:link w:val="Andere0"/>
    <w:rsid w:val="00B16945"/>
    <w:rPr>
      <w:rFonts w:ascii="Garamond" w:eastAsia="Garamond" w:hAnsi="Garamond" w:cs="Garamond"/>
      <w:sz w:val="16"/>
      <w:szCs w:val="16"/>
    </w:rPr>
  </w:style>
  <w:style w:type="paragraph" w:customStyle="1" w:styleId="Andere0">
    <w:name w:val="Andere"/>
    <w:basedOn w:val="Standard"/>
    <w:link w:val="Andere"/>
    <w:rsid w:val="00B16945"/>
    <w:pPr>
      <w:widowControl w:val="0"/>
      <w:spacing w:after="0" w:line="240" w:lineRule="auto"/>
    </w:pPr>
    <w:rPr>
      <w:rFonts w:ascii="Garamond" w:eastAsia="Garamond" w:hAnsi="Garamond" w:cs="Garamond"/>
      <w:sz w:val="16"/>
      <w:szCs w:val="16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2071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071B2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2071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071B2"/>
    <w:rPr>
      <w:lang w:val="en-GB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900C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900C8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7A7658"/>
    <w:pPr>
      <w:spacing w:after="0" w:line="240" w:lineRule="auto"/>
    </w:pPr>
    <w:rPr>
      <w:lang w:val="en-GB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A765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A765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A7658"/>
    <w:rPr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A765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A7658"/>
    <w:rPr>
      <w:b/>
      <w:bCs/>
      <w:sz w:val="20"/>
      <w:szCs w:val="20"/>
      <w:lang w:val="en-GB"/>
    </w:rPr>
  </w:style>
  <w:style w:type="paragraph" w:styleId="Aufzhlungszeichen">
    <w:name w:val="List Bullet"/>
    <w:basedOn w:val="Standard"/>
    <w:uiPriority w:val="99"/>
    <w:unhideWhenUsed/>
    <w:rsid w:val="00FE1798"/>
    <w:pPr>
      <w:numPr>
        <w:numId w:val="6"/>
      </w:numPr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7C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7CB5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19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yenisafak.com/secim-2015/secim-sonuclar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ulti-level-cross-level-politics.eu/" TargetMode="External"/><Relationship Id="rId12" Type="http://schemas.openxmlformats.org/officeDocument/2006/relationships/hyperlink" Target="http://cede.izt.uam.mx" TargetMode="External"/><Relationship Id="rId2" Type="http://schemas.openxmlformats.org/officeDocument/2006/relationships/styles" Target="styles.xml"/><Relationship Id="rId20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thedanishparliament.dk/~/media/pdf/publikationer/english/the-parliamentary-system-of-denmark_2011.ashx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dst.dk/en/Statistik/emner/befolkning-og-valg/val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ec.gov.a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6628</Words>
  <Characters>37780</Characters>
  <Application>Microsoft Office Word</Application>
  <DocSecurity>0</DocSecurity>
  <Lines>314</Lines>
  <Paragraphs>88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Kaftan, Lea</dc:creator>
  <cp:keywords/>
  <dc:description/>
  <cp:lastModifiedBy>Roeth, Leonce</cp:lastModifiedBy>
  <cp:revision>3</cp:revision>
  <cp:lastPrinted>2024-07-10T16:37:00Z</cp:lastPrinted>
  <dcterms:created xsi:type="dcterms:W3CDTF">2024-07-10T16:37:00Z</dcterms:created>
  <dcterms:modified xsi:type="dcterms:W3CDTF">2024-07-10T17:00:00Z</dcterms:modified>
</cp:coreProperties>
</file>