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6A6B" w14:textId="12D4CA87" w:rsidR="005718CD" w:rsidRPr="00587085" w:rsidRDefault="006F205E" w:rsidP="005718CD">
      <w:pPr>
        <w:spacing w:after="0" w:line="240" w:lineRule="auto"/>
        <w:jc w:val="center"/>
        <w:rPr>
          <w:b/>
          <w:bCs/>
          <w:lang w:val="en-GB"/>
        </w:rPr>
      </w:pPr>
      <w:r>
        <w:rPr>
          <w:b/>
          <w:bCs/>
          <w:lang w:val="en-GB"/>
        </w:rPr>
        <w:t>SUPPLEMENTARY MATERIAL</w:t>
      </w:r>
    </w:p>
    <w:p w14:paraId="4BEAB1CB" w14:textId="0AAD4036" w:rsidR="003373C9" w:rsidRPr="00587085" w:rsidRDefault="00BB0CBE" w:rsidP="00FF5483">
      <w:pPr>
        <w:spacing w:after="0" w:line="240" w:lineRule="auto"/>
        <w:jc w:val="center"/>
        <w:rPr>
          <w:b/>
          <w:bCs/>
          <w:lang w:val="en-GB"/>
        </w:rPr>
      </w:pPr>
      <w:r w:rsidRPr="00587085">
        <w:rPr>
          <w:b/>
          <w:bCs/>
          <w:lang w:val="en-GB"/>
        </w:rPr>
        <w:t xml:space="preserve">Comparison of The </w:t>
      </w:r>
      <w:proofErr w:type="spellStart"/>
      <w:r w:rsidRPr="00587085">
        <w:rPr>
          <w:b/>
          <w:bCs/>
          <w:lang w:val="en-GB"/>
        </w:rPr>
        <w:t>PopuList</w:t>
      </w:r>
      <w:proofErr w:type="spellEnd"/>
      <w:r w:rsidRPr="00587085">
        <w:rPr>
          <w:b/>
          <w:bCs/>
          <w:lang w:val="en-GB"/>
        </w:rPr>
        <w:t xml:space="preserve"> 3.0 to the Populism and Political Parties Expert Survey (POPPA)</w:t>
      </w:r>
    </w:p>
    <w:p w14:paraId="33851715" w14:textId="13D354B4" w:rsidR="00BB0CBE" w:rsidRPr="00587085" w:rsidRDefault="00BB0CBE" w:rsidP="00BB0CBE">
      <w:pPr>
        <w:spacing w:after="0" w:line="240" w:lineRule="auto"/>
        <w:rPr>
          <w:b/>
          <w:bCs/>
          <w:lang w:val="en-GB"/>
        </w:rPr>
      </w:pPr>
    </w:p>
    <w:p w14:paraId="5D9FD871" w14:textId="77777777" w:rsidR="006653D9" w:rsidRPr="00587085" w:rsidRDefault="006653D9" w:rsidP="00BB0CBE">
      <w:pPr>
        <w:spacing w:after="0" w:line="240" w:lineRule="auto"/>
        <w:rPr>
          <w:lang w:val="en-GB"/>
        </w:rPr>
      </w:pPr>
    </w:p>
    <w:p w14:paraId="0F136C35" w14:textId="3E4D2F72" w:rsidR="006653D9" w:rsidRPr="00587085" w:rsidRDefault="006653D9" w:rsidP="00A92EF7">
      <w:pPr>
        <w:spacing w:after="0" w:line="240" w:lineRule="auto"/>
        <w:jc w:val="both"/>
        <w:rPr>
          <w:b/>
          <w:bCs/>
          <w:lang w:val="en-GB"/>
        </w:rPr>
      </w:pPr>
      <w:r w:rsidRPr="00587085">
        <w:rPr>
          <w:b/>
          <w:bCs/>
          <w:lang w:val="en-GB"/>
        </w:rPr>
        <w:t>Introduction</w:t>
      </w:r>
    </w:p>
    <w:p w14:paraId="4597199A" w14:textId="77777777" w:rsidR="006653D9" w:rsidRPr="00587085" w:rsidRDefault="006653D9" w:rsidP="00A92EF7">
      <w:pPr>
        <w:spacing w:after="0" w:line="240" w:lineRule="auto"/>
        <w:jc w:val="both"/>
        <w:rPr>
          <w:lang w:val="en-GB"/>
        </w:rPr>
      </w:pPr>
    </w:p>
    <w:p w14:paraId="2D65293A" w14:textId="6D319038" w:rsidR="00BB0CBE" w:rsidRPr="00587085" w:rsidRDefault="00BB0CBE" w:rsidP="00A92EF7">
      <w:pPr>
        <w:spacing w:after="0" w:line="240" w:lineRule="auto"/>
        <w:jc w:val="both"/>
        <w:rPr>
          <w:lang w:val="en-GB"/>
        </w:rPr>
      </w:pPr>
      <w:r w:rsidRPr="00587085">
        <w:rPr>
          <w:lang w:val="en-GB"/>
        </w:rPr>
        <w:t xml:space="preserve">How does The </w:t>
      </w:r>
      <w:proofErr w:type="spellStart"/>
      <w:r w:rsidRPr="00587085">
        <w:rPr>
          <w:lang w:val="en-GB"/>
        </w:rPr>
        <w:t>PopuList</w:t>
      </w:r>
      <w:proofErr w:type="spellEnd"/>
      <w:r w:rsidRPr="00587085">
        <w:rPr>
          <w:lang w:val="en-GB"/>
        </w:rPr>
        <w:t xml:space="preserve"> compare to other </w:t>
      </w:r>
      <w:r w:rsidR="00EE4B6C" w:rsidRPr="00587085">
        <w:rPr>
          <w:lang w:val="en-GB"/>
        </w:rPr>
        <w:t xml:space="preserve">datasets </w:t>
      </w:r>
      <w:r w:rsidR="00581DF2">
        <w:rPr>
          <w:lang w:val="en-GB"/>
        </w:rPr>
        <w:t xml:space="preserve">that </w:t>
      </w:r>
      <w:r w:rsidR="00EE4B6C" w:rsidRPr="00587085">
        <w:rPr>
          <w:lang w:val="en-GB"/>
        </w:rPr>
        <w:t>includ</w:t>
      </w:r>
      <w:r w:rsidR="00581DF2">
        <w:rPr>
          <w:lang w:val="en-GB"/>
        </w:rPr>
        <w:t>e</w:t>
      </w:r>
      <w:r w:rsidR="00EE4B6C" w:rsidRPr="00587085">
        <w:rPr>
          <w:lang w:val="en-GB"/>
        </w:rPr>
        <w:t xml:space="preserve"> </w:t>
      </w:r>
      <w:r w:rsidR="003F00EA">
        <w:rPr>
          <w:lang w:val="en-GB"/>
        </w:rPr>
        <w:t xml:space="preserve">indicators </w:t>
      </w:r>
      <w:r w:rsidRPr="00587085">
        <w:rPr>
          <w:lang w:val="en-GB"/>
        </w:rPr>
        <w:t xml:space="preserve">related to populism, the far </w:t>
      </w:r>
      <w:r w:rsidR="00DC2DCA" w:rsidRPr="00587085">
        <w:rPr>
          <w:lang w:val="en-GB"/>
        </w:rPr>
        <w:t xml:space="preserve">left, </w:t>
      </w:r>
      <w:r w:rsidRPr="00587085">
        <w:rPr>
          <w:lang w:val="en-GB"/>
        </w:rPr>
        <w:t xml:space="preserve">and the far </w:t>
      </w:r>
      <w:r w:rsidR="00DC2DCA" w:rsidRPr="00587085">
        <w:rPr>
          <w:lang w:val="en-GB"/>
        </w:rPr>
        <w:t>right</w:t>
      </w:r>
      <w:r w:rsidRPr="00587085">
        <w:rPr>
          <w:lang w:val="en-GB"/>
        </w:rPr>
        <w:t>? The Populism and Political Parties Expert Survey (POPPA) is an expert survey that measures several characteristics of political parties</w:t>
      </w:r>
      <w:r w:rsidR="00581DF2">
        <w:rPr>
          <w:lang w:val="en-GB"/>
        </w:rPr>
        <w:t>,</w:t>
      </w:r>
      <w:r w:rsidRPr="00587085">
        <w:rPr>
          <w:lang w:val="en-GB"/>
        </w:rPr>
        <w:t xml:space="preserve"> </w:t>
      </w:r>
      <w:r w:rsidR="003F00EA">
        <w:rPr>
          <w:lang w:val="en-GB"/>
        </w:rPr>
        <w:t xml:space="preserve">including populism </w:t>
      </w:r>
      <w:r w:rsidRPr="00587085">
        <w:rPr>
          <w:lang w:val="en-GB"/>
        </w:rPr>
        <w:t>(</w:t>
      </w:r>
      <w:r w:rsidR="00027866" w:rsidRPr="00587085">
        <w:rPr>
          <w:lang w:val="en-GB"/>
        </w:rPr>
        <w:t xml:space="preserve">Meijers </w:t>
      </w:r>
      <w:r w:rsidR="00CE71F7">
        <w:rPr>
          <w:lang w:val="en-GB"/>
        </w:rPr>
        <w:t>and</w:t>
      </w:r>
      <w:r w:rsidR="00CE71F7" w:rsidRPr="00587085">
        <w:rPr>
          <w:lang w:val="en-GB"/>
        </w:rPr>
        <w:t xml:space="preserve"> </w:t>
      </w:r>
      <w:r w:rsidR="00027866" w:rsidRPr="00587085">
        <w:rPr>
          <w:lang w:val="en-GB"/>
        </w:rPr>
        <w:t>Zaslove 2021)</w:t>
      </w:r>
      <w:r w:rsidRPr="00587085">
        <w:rPr>
          <w:lang w:val="en-GB"/>
        </w:rPr>
        <w:t>. Although there are other expert surveys that examine populism and related concepts – like the Chapel Hill Expert Survey (</w:t>
      </w:r>
      <w:r w:rsidR="00027866" w:rsidRPr="00587085">
        <w:rPr>
          <w:lang w:val="en-GB"/>
        </w:rPr>
        <w:t xml:space="preserve">Polk </w:t>
      </w:r>
      <w:r w:rsidR="00DC2DCA" w:rsidRPr="00587085">
        <w:rPr>
          <w:lang w:val="en-GB"/>
        </w:rPr>
        <w:t xml:space="preserve">et </w:t>
      </w:r>
      <w:r w:rsidR="00027866" w:rsidRPr="00587085">
        <w:rPr>
          <w:lang w:val="en-GB"/>
        </w:rPr>
        <w:t>al. 2017</w:t>
      </w:r>
      <w:r w:rsidRPr="00587085">
        <w:rPr>
          <w:lang w:val="en-GB"/>
        </w:rPr>
        <w:t>) and the Global Party Survey (</w:t>
      </w:r>
      <w:r w:rsidR="00027866" w:rsidRPr="00587085">
        <w:rPr>
          <w:lang w:val="en-GB"/>
        </w:rPr>
        <w:t>Norris 2020</w:t>
      </w:r>
      <w:r w:rsidRPr="00587085">
        <w:rPr>
          <w:lang w:val="en-GB"/>
        </w:rPr>
        <w:t>) – we focus on POPPA because it includes the most fine-grained measure of populism</w:t>
      </w:r>
      <w:r w:rsidR="00910F07" w:rsidRPr="00587085">
        <w:rPr>
          <w:lang w:val="en-GB"/>
        </w:rPr>
        <w:t xml:space="preserve"> to date for political parties</w:t>
      </w:r>
      <w:r w:rsidRPr="00587085">
        <w:rPr>
          <w:lang w:val="en-GB"/>
        </w:rPr>
        <w:t>.</w:t>
      </w:r>
      <w:r w:rsidR="00717546" w:rsidRPr="00587085">
        <w:rPr>
          <w:lang w:val="en-GB"/>
        </w:rPr>
        <w:t xml:space="preserve"> </w:t>
      </w:r>
      <w:r w:rsidRPr="00587085">
        <w:rPr>
          <w:lang w:val="en-GB"/>
        </w:rPr>
        <w:t>POPPA measures the positions and attitudes of 250 parties</w:t>
      </w:r>
      <w:r w:rsidR="00CE71F7">
        <w:rPr>
          <w:lang w:val="en-GB"/>
        </w:rPr>
        <w:t xml:space="preserve"> (populist as well as non-populist)</w:t>
      </w:r>
      <w:r w:rsidRPr="00587085">
        <w:rPr>
          <w:lang w:val="en-GB"/>
        </w:rPr>
        <w:t xml:space="preserve"> in 28 European countries </w:t>
      </w:r>
      <w:r w:rsidR="00717546" w:rsidRPr="00587085">
        <w:rPr>
          <w:lang w:val="en-GB"/>
        </w:rPr>
        <w:t xml:space="preserve">and was </w:t>
      </w:r>
      <w:r w:rsidR="000B7E8F" w:rsidRPr="00587085">
        <w:rPr>
          <w:lang w:val="en-GB"/>
        </w:rPr>
        <w:t>administered</w:t>
      </w:r>
      <w:r w:rsidR="00717546" w:rsidRPr="00587085">
        <w:rPr>
          <w:lang w:val="en-GB"/>
        </w:rPr>
        <w:t xml:space="preserve"> in 2018.</w:t>
      </w:r>
      <w:r w:rsidR="00027866" w:rsidRPr="00587085">
        <w:rPr>
          <w:lang w:val="en-GB"/>
        </w:rPr>
        <w:t xml:space="preserve"> It is important to emphasi</w:t>
      </w:r>
      <w:r w:rsidR="000B7E8F" w:rsidRPr="00587085">
        <w:rPr>
          <w:lang w:val="en-GB"/>
        </w:rPr>
        <w:t>s</w:t>
      </w:r>
      <w:r w:rsidR="00027866" w:rsidRPr="00587085">
        <w:rPr>
          <w:lang w:val="en-GB"/>
        </w:rPr>
        <w:t>e that whereas we categori</w:t>
      </w:r>
      <w:r w:rsidR="00B8424B" w:rsidRPr="00587085">
        <w:rPr>
          <w:lang w:val="en-GB"/>
        </w:rPr>
        <w:t>s</w:t>
      </w:r>
      <w:r w:rsidR="00027866" w:rsidRPr="00587085">
        <w:rPr>
          <w:lang w:val="en-GB"/>
        </w:rPr>
        <w:t>e parties as either populist/far</w:t>
      </w:r>
      <w:r w:rsidR="00CE71F7">
        <w:rPr>
          <w:lang w:val="en-GB"/>
        </w:rPr>
        <w:t xml:space="preserve"> </w:t>
      </w:r>
      <w:r w:rsidR="00B8424B" w:rsidRPr="00587085">
        <w:rPr>
          <w:lang w:val="en-GB"/>
        </w:rPr>
        <w:t>left</w:t>
      </w:r>
      <w:r w:rsidR="00027866" w:rsidRPr="00587085">
        <w:rPr>
          <w:lang w:val="en-GB"/>
        </w:rPr>
        <w:t>/far</w:t>
      </w:r>
      <w:r w:rsidR="00CE71F7">
        <w:rPr>
          <w:lang w:val="en-GB"/>
        </w:rPr>
        <w:t xml:space="preserve"> </w:t>
      </w:r>
      <w:r w:rsidR="00B8424B" w:rsidRPr="00587085">
        <w:rPr>
          <w:lang w:val="en-GB"/>
        </w:rPr>
        <w:t xml:space="preserve">right </w:t>
      </w:r>
      <w:r w:rsidR="00027866" w:rsidRPr="00587085">
        <w:rPr>
          <w:lang w:val="en-GB"/>
        </w:rPr>
        <w:t xml:space="preserve">or not, POPPA works with continuous measures. </w:t>
      </w:r>
      <w:r w:rsidR="008C65BD" w:rsidRPr="00587085">
        <w:rPr>
          <w:lang w:val="en-GB"/>
        </w:rPr>
        <w:t xml:space="preserve"> </w:t>
      </w:r>
      <w:r w:rsidRPr="00587085">
        <w:rPr>
          <w:lang w:val="en-GB"/>
        </w:rPr>
        <w:t xml:space="preserve">  </w:t>
      </w:r>
    </w:p>
    <w:p w14:paraId="38238C09" w14:textId="46BFF9D4" w:rsidR="00717546" w:rsidRPr="00587085" w:rsidRDefault="00717546" w:rsidP="00A92EF7">
      <w:pPr>
        <w:spacing w:after="0" w:line="240" w:lineRule="auto"/>
        <w:jc w:val="both"/>
        <w:rPr>
          <w:lang w:val="en-GB"/>
        </w:rPr>
      </w:pPr>
    </w:p>
    <w:p w14:paraId="114FA5FC" w14:textId="27808955" w:rsidR="00006EF4" w:rsidRPr="00587085" w:rsidRDefault="00717546" w:rsidP="00A92EF7">
      <w:pPr>
        <w:spacing w:after="0" w:line="240" w:lineRule="auto"/>
        <w:jc w:val="both"/>
        <w:rPr>
          <w:lang w:val="en-GB"/>
        </w:rPr>
      </w:pPr>
      <w:r w:rsidRPr="00587085">
        <w:rPr>
          <w:lang w:val="en-GB"/>
        </w:rPr>
        <w:t xml:space="preserve">Below we examine </w:t>
      </w:r>
      <w:r w:rsidR="00006EF4" w:rsidRPr="00587085">
        <w:rPr>
          <w:lang w:val="en-GB"/>
        </w:rPr>
        <w:t>how</w:t>
      </w:r>
      <w:r w:rsidRPr="00587085">
        <w:rPr>
          <w:lang w:val="en-GB"/>
        </w:rPr>
        <w:t xml:space="preserve"> the categori</w:t>
      </w:r>
      <w:r w:rsidR="00B8424B" w:rsidRPr="00587085">
        <w:rPr>
          <w:lang w:val="en-GB"/>
        </w:rPr>
        <w:t>s</w:t>
      </w:r>
      <w:r w:rsidRPr="00587085">
        <w:rPr>
          <w:lang w:val="en-GB"/>
        </w:rPr>
        <w:t xml:space="preserve">ations of The </w:t>
      </w:r>
      <w:proofErr w:type="spellStart"/>
      <w:r w:rsidRPr="00587085">
        <w:rPr>
          <w:lang w:val="en-GB"/>
        </w:rPr>
        <w:t>PopuList</w:t>
      </w:r>
      <w:proofErr w:type="spellEnd"/>
      <w:r w:rsidRPr="00587085">
        <w:rPr>
          <w:lang w:val="en-GB"/>
        </w:rPr>
        <w:t xml:space="preserve"> </w:t>
      </w:r>
      <w:r w:rsidR="00027866" w:rsidRPr="00587085">
        <w:rPr>
          <w:lang w:val="en-GB"/>
        </w:rPr>
        <w:t>compare</w:t>
      </w:r>
      <w:r w:rsidRPr="00587085">
        <w:rPr>
          <w:lang w:val="en-GB"/>
        </w:rPr>
        <w:t xml:space="preserve"> to the POPPA measures. </w:t>
      </w:r>
      <w:r w:rsidR="00027866" w:rsidRPr="00587085">
        <w:rPr>
          <w:lang w:val="en-GB"/>
        </w:rPr>
        <w:t xml:space="preserve">Such a comparison is useful because it </w:t>
      </w:r>
      <w:r w:rsidR="00FE7E51">
        <w:rPr>
          <w:lang w:val="en-GB"/>
        </w:rPr>
        <w:t xml:space="preserve">allows us to identify </w:t>
      </w:r>
      <w:r w:rsidR="00027866" w:rsidRPr="00587085">
        <w:rPr>
          <w:lang w:val="en-GB"/>
        </w:rPr>
        <w:t xml:space="preserve">outliers: (1) parties that are </w:t>
      </w:r>
      <w:r w:rsidR="00B67224">
        <w:rPr>
          <w:lang w:val="en-GB"/>
        </w:rPr>
        <w:t>classified</w:t>
      </w:r>
      <w:r w:rsidR="00B67224" w:rsidRPr="00587085">
        <w:rPr>
          <w:lang w:val="en-GB"/>
        </w:rPr>
        <w:t xml:space="preserve"> </w:t>
      </w:r>
      <w:r w:rsidR="006101D5">
        <w:rPr>
          <w:lang w:val="en-GB"/>
        </w:rPr>
        <w:t xml:space="preserve">by us </w:t>
      </w:r>
      <w:r w:rsidR="00027866" w:rsidRPr="00587085">
        <w:rPr>
          <w:lang w:val="en-GB"/>
        </w:rPr>
        <w:t>as populist/far</w:t>
      </w:r>
      <w:r w:rsidR="00A12205">
        <w:rPr>
          <w:lang w:val="en-GB"/>
        </w:rPr>
        <w:t xml:space="preserve"> </w:t>
      </w:r>
      <w:r w:rsidR="002E6652" w:rsidRPr="00587085">
        <w:rPr>
          <w:lang w:val="en-GB"/>
        </w:rPr>
        <w:t>left</w:t>
      </w:r>
      <w:r w:rsidR="00027866" w:rsidRPr="00587085">
        <w:rPr>
          <w:lang w:val="en-GB"/>
        </w:rPr>
        <w:t>/far</w:t>
      </w:r>
      <w:r w:rsidR="00A12205">
        <w:rPr>
          <w:lang w:val="en-GB"/>
        </w:rPr>
        <w:t xml:space="preserve"> </w:t>
      </w:r>
      <w:r w:rsidR="002E6652" w:rsidRPr="00587085">
        <w:rPr>
          <w:lang w:val="en-GB"/>
        </w:rPr>
        <w:t>right</w:t>
      </w:r>
      <w:r w:rsidR="00027866" w:rsidRPr="00587085">
        <w:rPr>
          <w:lang w:val="en-GB"/>
        </w:rPr>
        <w:t>, but do not score high on the corresponding continuous measure</w:t>
      </w:r>
      <w:r w:rsidR="00006EF4" w:rsidRPr="00587085">
        <w:rPr>
          <w:lang w:val="en-GB"/>
        </w:rPr>
        <w:t>s</w:t>
      </w:r>
      <w:r w:rsidR="00027866" w:rsidRPr="00587085">
        <w:rPr>
          <w:lang w:val="en-GB"/>
        </w:rPr>
        <w:t xml:space="preserve">; (2) parties that are not </w:t>
      </w:r>
      <w:r w:rsidR="00A12205">
        <w:rPr>
          <w:lang w:val="en-GB"/>
        </w:rPr>
        <w:t>classified</w:t>
      </w:r>
      <w:r w:rsidR="00A12205" w:rsidRPr="00587085">
        <w:rPr>
          <w:lang w:val="en-GB"/>
        </w:rPr>
        <w:t xml:space="preserve"> </w:t>
      </w:r>
      <w:r w:rsidR="00027866" w:rsidRPr="00587085">
        <w:rPr>
          <w:lang w:val="en-GB"/>
        </w:rPr>
        <w:t xml:space="preserve">under one of </w:t>
      </w:r>
      <w:r w:rsidR="002E6652" w:rsidRPr="00587085">
        <w:rPr>
          <w:lang w:val="en-GB"/>
        </w:rPr>
        <w:t>T</w:t>
      </w:r>
      <w:r w:rsidR="00027866" w:rsidRPr="00587085">
        <w:rPr>
          <w:lang w:val="en-GB"/>
        </w:rPr>
        <w:t xml:space="preserve">he </w:t>
      </w:r>
      <w:proofErr w:type="spellStart"/>
      <w:r w:rsidR="00027866" w:rsidRPr="00587085">
        <w:rPr>
          <w:lang w:val="en-GB"/>
        </w:rPr>
        <w:t>PopuList’s</w:t>
      </w:r>
      <w:proofErr w:type="spellEnd"/>
      <w:r w:rsidR="00027866" w:rsidRPr="00587085">
        <w:rPr>
          <w:lang w:val="en-GB"/>
        </w:rPr>
        <w:t xml:space="preserve"> categori</w:t>
      </w:r>
      <w:r w:rsidR="00006EF4" w:rsidRPr="00587085">
        <w:rPr>
          <w:lang w:val="en-GB"/>
        </w:rPr>
        <w:t>es</w:t>
      </w:r>
      <w:r w:rsidR="00027866" w:rsidRPr="00587085">
        <w:rPr>
          <w:lang w:val="en-GB"/>
        </w:rPr>
        <w:t>, but do score high on the related continuous measure in POPPA.</w:t>
      </w:r>
      <w:r w:rsidR="00006EF4" w:rsidRPr="00587085">
        <w:rPr>
          <w:lang w:val="en-GB"/>
        </w:rPr>
        <w:t xml:space="preserve"> </w:t>
      </w:r>
    </w:p>
    <w:p w14:paraId="786F4AF8" w14:textId="77777777" w:rsidR="00006EF4" w:rsidRPr="00587085" w:rsidRDefault="00006EF4" w:rsidP="00A92EF7">
      <w:pPr>
        <w:spacing w:after="0" w:line="240" w:lineRule="auto"/>
        <w:jc w:val="both"/>
        <w:rPr>
          <w:lang w:val="en-GB"/>
        </w:rPr>
      </w:pPr>
    </w:p>
    <w:p w14:paraId="364BB992" w14:textId="61A26175" w:rsidR="00FF5483" w:rsidRPr="00587085" w:rsidRDefault="00717546" w:rsidP="00A92EF7">
      <w:pPr>
        <w:spacing w:after="0" w:line="240" w:lineRule="auto"/>
        <w:jc w:val="both"/>
        <w:rPr>
          <w:lang w:val="en-GB"/>
        </w:rPr>
      </w:pPr>
      <w:r w:rsidRPr="00587085">
        <w:rPr>
          <w:lang w:val="en-GB"/>
        </w:rPr>
        <w:t>We would like to emphasi</w:t>
      </w:r>
      <w:r w:rsidR="002E6652" w:rsidRPr="00587085">
        <w:rPr>
          <w:lang w:val="en-GB"/>
        </w:rPr>
        <w:t>s</w:t>
      </w:r>
      <w:r w:rsidRPr="00587085">
        <w:rPr>
          <w:lang w:val="en-GB"/>
        </w:rPr>
        <w:t>e that the researchers behind the POPPA dataset have already examined how the two datasets compare (</w:t>
      </w:r>
      <w:r w:rsidR="00006EF4" w:rsidRPr="00587085">
        <w:rPr>
          <w:lang w:val="en-GB"/>
        </w:rPr>
        <w:t>Meijers and Zaslove 2021</w:t>
      </w:r>
      <w:r w:rsidRPr="00587085">
        <w:rPr>
          <w:lang w:val="en-GB"/>
        </w:rPr>
        <w:t xml:space="preserve">). </w:t>
      </w:r>
      <w:r w:rsidR="006101D5">
        <w:rPr>
          <w:lang w:val="en-GB"/>
        </w:rPr>
        <w:t>T</w:t>
      </w:r>
      <w:r w:rsidRPr="00587085">
        <w:rPr>
          <w:lang w:val="en-GB"/>
        </w:rPr>
        <w:t xml:space="preserve">his comparison was based on The </w:t>
      </w:r>
      <w:proofErr w:type="spellStart"/>
      <w:r w:rsidRPr="00587085">
        <w:rPr>
          <w:lang w:val="en-GB"/>
        </w:rPr>
        <w:t>PopuList</w:t>
      </w:r>
      <w:proofErr w:type="spellEnd"/>
      <w:r w:rsidRPr="00587085">
        <w:rPr>
          <w:lang w:val="en-GB"/>
        </w:rPr>
        <w:t xml:space="preserve"> 2.0. The point-biserial correlation was </w:t>
      </w:r>
      <w:r w:rsidRPr="00587085">
        <w:rPr>
          <w:i/>
          <w:iCs/>
          <w:lang w:val="en-GB"/>
        </w:rPr>
        <w:t>r</w:t>
      </w:r>
      <w:r w:rsidRPr="00587085">
        <w:rPr>
          <w:lang w:val="en-GB"/>
        </w:rPr>
        <w:t xml:space="preserve"> = 0.67, and, hence, generally acceptable. Below</w:t>
      </w:r>
      <w:r w:rsidR="006101D5">
        <w:rPr>
          <w:lang w:val="en-GB"/>
        </w:rPr>
        <w:t>,</w:t>
      </w:r>
      <w:r w:rsidRPr="00587085">
        <w:rPr>
          <w:lang w:val="en-GB"/>
        </w:rPr>
        <w:t xml:space="preserve"> we focus on comparing POPPA to The </w:t>
      </w:r>
      <w:proofErr w:type="spellStart"/>
      <w:r w:rsidRPr="00587085">
        <w:rPr>
          <w:lang w:val="en-GB"/>
        </w:rPr>
        <w:t>PopuList</w:t>
      </w:r>
      <w:proofErr w:type="spellEnd"/>
      <w:r w:rsidRPr="00587085">
        <w:rPr>
          <w:lang w:val="en-GB"/>
        </w:rPr>
        <w:t xml:space="preserve"> 3.0. </w:t>
      </w:r>
      <w:r w:rsidR="00580B36" w:rsidRPr="00587085">
        <w:rPr>
          <w:lang w:val="en-GB"/>
        </w:rPr>
        <w:t>Most importantly, w</w:t>
      </w:r>
      <w:r w:rsidRPr="00587085">
        <w:rPr>
          <w:lang w:val="en-GB"/>
        </w:rPr>
        <w:t xml:space="preserve">e examine </w:t>
      </w:r>
      <w:r w:rsidR="00EE4B6C" w:rsidRPr="00587085">
        <w:rPr>
          <w:lang w:val="en-GB"/>
        </w:rPr>
        <w:t xml:space="preserve">in greater depth </w:t>
      </w:r>
      <w:r w:rsidRPr="00587085">
        <w:rPr>
          <w:lang w:val="en-GB"/>
        </w:rPr>
        <w:t xml:space="preserve">parties </w:t>
      </w:r>
      <w:r w:rsidR="00FF5483" w:rsidRPr="00587085">
        <w:rPr>
          <w:lang w:val="en-GB"/>
        </w:rPr>
        <w:t>that stand out</w:t>
      </w:r>
      <w:r w:rsidR="00EE4B6C" w:rsidRPr="00587085">
        <w:rPr>
          <w:lang w:val="en-GB"/>
        </w:rPr>
        <w:t xml:space="preserve"> in the ways described above</w:t>
      </w:r>
      <w:r w:rsidR="00FF5483" w:rsidRPr="00587085">
        <w:rPr>
          <w:lang w:val="en-GB"/>
        </w:rPr>
        <w:t xml:space="preserve">. First, we focus on </w:t>
      </w:r>
      <w:r w:rsidR="00581DF2" w:rsidRPr="00587085">
        <w:rPr>
          <w:lang w:val="en-GB"/>
        </w:rPr>
        <w:t>populis</w:t>
      </w:r>
      <w:r w:rsidR="00581DF2">
        <w:rPr>
          <w:lang w:val="en-GB"/>
        </w:rPr>
        <w:t>t parties</w:t>
      </w:r>
      <w:r w:rsidR="00FF5483" w:rsidRPr="00587085">
        <w:rPr>
          <w:lang w:val="en-GB"/>
        </w:rPr>
        <w:t xml:space="preserve">, </w:t>
      </w:r>
      <w:r w:rsidR="00006EF4" w:rsidRPr="00587085">
        <w:rPr>
          <w:lang w:val="en-GB"/>
        </w:rPr>
        <w:t xml:space="preserve">and </w:t>
      </w:r>
      <w:r w:rsidR="00FF5483" w:rsidRPr="00587085">
        <w:rPr>
          <w:lang w:val="en-GB"/>
        </w:rPr>
        <w:t xml:space="preserve">then </w:t>
      </w:r>
      <w:r w:rsidR="00006EF4" w:rsidRPr="00587085">
        <w:rPr>
          <w:lang w:val="en-GB"/>
        </w:rPr>
        <w:t>on</w:t>
      </w:r>
      <w:r w:rsidR="00FF5483" w:rsidRPr="00587085">
        <w:rPr>
          <w:lang w:val="en-GB"/>
        </w:rPr>
        <w:t xml:space="preserve"> far</w:t>
      </w:r>
      <w:r w:rsidR="00006EF4" w:rsidRPr="00587085">
        <w:rPr>
          <w:lang w:val="en-GB"/>
        </w:rPr>
        <w:t>-</w:t>
      </w:r>
      <w:r w:rsidR="00FF5483" w:rsidRPr="00587085">
        <w:rPr>
          <w:lang w:val="en-GB"/>
        </w:rPr>
        <w:t>right and far</w:t>
      </w:r>
      <w:r w:rsidR="00006EF4" w:rsidRPr="00587085">
        <w:rPr>
          <w:lang w:val="en-GB"/>
        </w:rPr>
        <w:t>-</w:t>
      </w:r>
      <w:r w:rsidR="00FF5483" w:rsidRPr="00587085">
        <w:rPr>
          <w:lang w:val="en-GB"/>
        </w:rPr>
        <w:t>left</w:t>
      </w:r>
      <w:r w:rsidR="00006EF4" w:rsidRPr="00587085">
        <w:rPr>
          <w:lang w:val="en-GB"/>
        </w:rPr>
        <w:t xml:space="preserve"> parties.</w:t>
      </w:r>
      <w:r w:rsidR="00FF5483" w:rsidRPr="00587085">
        <w:rPr>
          <w:lang w:val="en-GB"/>
        </w:rPr>
        <w:t xml:space="preserve"> </w:t>
      </w:r>
      <w:r w:rsidR="00006EF4" w:rsidRPr="00587085">
        <w:rPr>
          <w:lang w:val="en-GB"/>
        </w:rPr>
        <w:t>W</w:t>
      </w:r>
      <w:r w:rsidR="00FF5483" w:rsidRPr="00587085">
        <w:rPr>
          <w:lang w:val="en-GB"/>
        </w:rPr>
        <w:t xml:space="preserve">e do not examine Euroscepticism because </w:t>
      </w:r>
      <w:r w:rsidR="00581DF2">
        <w:rPr>
          <w:lang w:val="en-GB"/>
        </w:rPr>
        <w:t>that</w:t>
      </w:r>
      <w:r w:rsidR="00581DF2" w:rsidRPr="00587085">
        <w:rPr>
          <w:lang w:val="en-GB"/>
        </w:rPr>
        <w:t xml:space="preserve"> </w:t>
      </w:r>
      <w:r w:rsidR="007524B1">
        <w:rPr>
          <w:lang w:val="en-GB"/>
        </w:rPr>
        <w:t>is</w:t>
      </w:r>
      <w:r w:rsidR="007524B1" w:rsidRPr="00587085">
        <w:rPr>
          <w:lang w:val="en-GB"/>
        </w:rPr>
        <w:t xml:space="preserve"> </w:t>
      </w:r>
      <w:r w:rsidR="00FF5483" w:rsidRPr="00587085">
        <w:rPr>
          <w:lang w:val="en-GB"/>
        </w:rPr>
        <w:t xml:space="preserve">a secondary category in The </w:t>
      </w:r>
      <w:proofErr w:type="spellStart"/>
      <w:r w:rsidR="00FF5483" w:rsidRPr="00587085">
        <w:rPr>
          <w:lang w:val="en-GB"/>
        </w:rPr>
        <w:t>PopuList</w:t>
      </w:r>
      <w:proofErr w:type="spellEnd"/>
      <w:r w:rsidR="00FF5483" w:rsidRPr="00587085">
        <w:rPr>
          <w:lang w:val="en-GB"/>
        </w:rPr>
        <w:t xml:space="preserve"> </w:t>
      </w:r>
      <w:r w:rsidR="00006EF4" w:rsidRPr="00587085">
        <w:rPr>
          <w:lang w:val="en-GB"/>
        </w:rPr>
        <w:t>(</w:t>
      </w:r>
      <w:r w:rsidR="00FF5483" w:rsidRPr="00587085">
        <w:rPr>
          <w:lang w:val="en-GB"/>
        </w:rPr>
        <w:t xml:space="preserve">i.e., we have only examined Euroscepticism </w:t>
      </w:r>
      <w:r w:rsidR="00581DF2">
        <w:rPr>
          <w:lang w:val="en-GB"/>
        </w:rPr>
        <w:t>for</w:t>
      </w:r>
      <w:r w:rsidR="00581DF2" w:rsidRPr="00587085">
        <w:rPr>
          <w:lang w:val="en-GB"/>
        </w:rPr>
        <w:t xml:space="preserve"> </w:t>
      </w:r>
      <w:r w:rsidR="00FF5483" w:rsidRPr="00587085">
        <w:rPr>
          <w:lang w:val="en-GB"/>
        </w:rPr>
        <w:t>parties that are either populist, and/or far-</w:t>
      </w:r>
      <w:r w:rsidR="005F3B80" w:rsidRPr="00587085">
        <w:rPr>
          <w:lang w:val="en-GB"/>
        </w:rPr>
        <w:t>left</w:t>
      </w:r>
      <w:r w:rsidR="00FF5483" w:rsidRPr="00587085">
        <w:rPr>
          <w:lang w:val="en-GB"/>
        </w:rPr>
        <w:t>/</w:t>
      </w:r>
      <w:r w:rsidR="005F3B80" w:rsidRPr="00587085">
        <w:rPr>
          <w:lang w:val="en-GB"/>
        </w:rPr>
        <w:t>right</w:t>
      </w:r>
      <w:r w:rsidR="00FF5483" w:rsidRPr="00587085">
        <w:rPr>
          <w:lang w:val="en-GB"/>
        </w:rPr>
        <w:t>).</w:t>
      </w:r>
    </w:p>
    <w:p w14:paraId="2BE7B9A4" w14:textId="322207CD" w:rsidR="00FF5483" w:rsidRPr="00587085" w:rsidRDefault="00FF5483" w:rsidP="00A92EF7">
      <w:pPr>
        <w:spacing w:after="0" w:line="240" w:lineRule="auto"/>
        <w:jc w:val="both"/>
        <w:rPr>
          <w:lang w:val="en-GB"/>
        </w:rPr>
      </w:pPr>
    </w:p>
    <w:p w14:paraId="5E91FFB7" w14:textId="77777777" w:rsidR="006653D9" w:rsidRPr="00587085" w:rsidRDefault="006653D9" w:rsidP="00A92EF7">
      <w:pPr>
        <w:spacing w:after="0" w:line="240" w:lineRule="auto"/>
        <w:jc w:val="both"/>
        <w:rPr>
          <w:lang w:val="en-GB"/>
        </w:rPr>
      </w:pPr>
    </w:p>
    <w:p w14:paraId="58AB5652" w14:textId="508FDF6B" w:rsidR="00962E47" w:rsidRPr="00587085" w:rsidRDefault="00962E47" w:rsidP="00A92EF7">
      <w:pPr>
        <w:spacing w:after="0" w:line="240" w:lineRule="auto"/>
        <w:jc w:val="both"/>
        <w:rPr>
          <w:b/>
          <w:bCs/>
          <w:lang w:val="en-GB"/>
        </w:rPr>
      </w:pPr>
      <w:r w:rsidRPr="00587085">
        <w:rPr>
          <w:b/>
          <w:bCs/>
          <w:lang w:val="en-GB"/>
        </w:rPr>
        <w:t>Populism</w:t>
      </w:r>
    </w:p>
    <w:p w14:paraId="74A2B8FC" w14:textId="77777777" w:rsidR="00962E47" w:rsidRPr="00587085" w:rsidRDefault="00962E47" w:rsidP="00A92EF7">
      <w:pPr>
        <w:spacing w:after="0" w:line="240" w:lineRule="auto"/>
        <w:jc w:val="both"/>
        <w:rPr>
          <w:lang w:val="en-GB"/>
        </w:rPr>
      </w:pPr>
    </w:p>
    <w:p w14:paraId="408EF1F6" w14:textId="77777777" w:rsidR="007524B1" w:rsidRDefault="00962E47" w:rsidP="00A92EF7">
      <w:pPr>
        <w:spacing w:after="0" w:line="240" w:lineRule="auto"/>
        <w:jc w:val="both"/>
        <w:rPr>
          <w:lang w:val="en-GB"/>
        </w:rPr>
      </w:pPr>
      <w:r w:rsidRPr="00587085">
        <w:rPr>
          <w:lang w:val="en-GB"/>
        </w:rPr>
        <w:t>POPPA measures populism as a weighted arithmetic mean of five items:</w:t>
      </w:r>
    </w:p>
    <w:p w14:paraId="0A72EDB0" w14:textId="77777777" w:rsidR="007524B1" w:rsidRDefault="007524B1" w:rsidP="00A92EF7">
      <w:pPr>
        <w:spacing w:after="0" w:line="240" w:lineRule="auto"/>
        <w:jc w:val="both"/>
        <w:rPr>
          <w:lang w:val="en-GB"/>
        </w:rPr>
      </w:pPr>
    </w:p>
    <w:p w14:paraId="50AD1061" w14:textId="6D68EB2B" w:rsidR="007524B1" w:rsidRPr="007576D2" w:rsidRDefault="00962E47" w:rsidP="007576D2">
      <w:pPr>
        <w:pStyle w:val="ListParagraph"/>
        <w:numPr>
          <w:ilvl w:val="0"/>
          <w:numId w:val="7"/>
        </w:numPr>
        <w:spacing w:after="0" w:line="240" w:lineRule="auto"/>
        <w:jc w:val="both"/>
        <w:rPr>
          <w:lang w:val="en-GB"/>
        </w:rPr>
      </w:pPr>
      <w:r w:rsidRPr="007576D2">
        <w:rPr>
          <w:lang w:val="en-GB"/>
        </w:rPr>
        <w:t>“Politics is a moral struggle between good and bad” (Manichean worldview);</w:t>
      </w:r>
    </w:p>
    <w:p w14:paraId="14911C06" w14:textId="12D9D950" w:rsidR="007524B1" w:rsidRPr="007576D2" w:rsidRDefault="00962E47" w:rsidP="007576D2">
      <w:pPr>
        <w:pStyle w:val="ListParagraph"/>
        <w:numPr>
          <w:ilvl w:val="0"/>
          <w:numId w:val="7"/>
        </w:numPr>
        <w:spacing w:after="0" w:line="240" w:lineRule="auto"/>
        <w:jc w:val="both"/>
        <w:rPr>
          <w:lang w:val="en-GB"/>
        </w:rPr>
      </w:pPr>
      <w:r w:rsidRPr="007576D2">
        <w:rPr>
          <w:lang w:val="en-GB"/>
        </w:rPr>
        <w:t xml:space="preserve">“The ordinary people </w:t>
      </w:r>
      <w:r w:rsidR="001B0D83" w:rsidRPr="007576D2">
        <w:rPr>
          <w:lang w:val="en-GB"/>
        </w:rPr>
        <w:t>are</w:t>
      </w:r>
      <w:r w:rsidRPr="007576D2">
        <w:rPr>
          <w:lang w:val="en-GB"/>
        </w:rPr>
        <w:t xml:space="preserve"> indivisible (i.e., the people are seen as homogenous)” (indivisible people);</w:t>
      </w:r>
    </w:p>
    <w:p w14:paraId="5D57E071" w14:textId="1267469F" w:rsidR="007576D2" w:rsidRPr="007576D2" w:rsidRDefault="00962E47" w:rsidP="007576D2">
      <w:pPr>
        <w:pStyle w:val="ListParagraph"/>
        <w:numPr>
          <w:ilvl w:val="0"/>
          <w:numId w:val="7"/>
        </w:numPr>
        <w:spacing w:after="0" w:line="240" w:lineRule="auto"/>
        <w:jc w:val="both"/>
        <w:rPr>
          <w:lang w:val="en-GB"/>
        </w:rPr>
      </w:pPr>
      <w:r w:rsidRPr="007576D2">
        <w:rPr>
          <w:lang w:val="en-GB"/>
        </w:rPr>
        <w:t xml:space="preserve">“The ordinary people’s interests </w:t>
      </w:r>
      <w:r w:rsidR="001B0D83" w:rsidRPr="007576D2">
        <w:rPr>
          <w:lang w:val="en-GB"/>
        </w:rPr>
        <w:t>are</w:t>
      </w:r>
      <w:r w:rsidRPr="007576D2">
        <w:rPr>
          <w:lang w:val="en-GB"/>
        </w:rPr>
        <w:t xml:space="preserve"> singular (i.e., a ‘general will’)” (general will);</w:t>
      </w:r>
    </w:p>
    <w:p w14:paraId="14C0887D" w14:textId="59B80D0F" w:rsidR="007524B1" w:rsidRPr="007576D2" w:rsidRDefault="00962E47" w:rsidP="007576D2">
      <w:pPr>
        <w:pStyle w:val="ListParagraph"/>
        <w:numPr>
          <w:ilvl w:val="0"/>
          <w:numId w:val="7"/>
        </w:numPr>
        <w:spacing w:after="0" w:line="240" w:lineRule="auto"/>
        <w:jc w:val="both"/>
        <w:rPr>
          <w:lang w:val="en-GB"/>
        </w:rPr>
      </w:pPr>
      <w:r w:rsidRPr="00587085">
        <w:rPr>
          <w:lang w:val="en-GB"/>
        </w:rPr>
        <w:t>“Sovereignty should lie exclusively with the</w:t>
      </w:r>
      <w:r w:rsidR="007524B1">
        <w:rPr>
          <w:lang w:val="en-GB"/>
        </w:rPr>
        <w:t xml:space="preserve"> </w:t>
      </w:r>
      <w:r w:rsidRPr="007576D2">
        <w:rPr>
          <w:lang w:val="en-GB"/>
        </w:rPr>
        <w:t>ordinary people (i.e., the ordinary people, not the elites, should have the final say in politics)” (people-centrism);</w:t>
      </w:r>
    </w:p>
    <w:p w14:paraId="517EDE32" w14:textId="07626268" w:rsidR="007524B1" w:rsidRPr="007576D2" w:rsidRDefault="00962E47" w:rsidP="007576D2">
      <w:pPr>
        <w:pStyle w:val="ListParagraph"/>
        <w:numPr>
          <w:ilvl w:val="0"/>
          <w:numId w:val="7"/>
        </w:numPr>
        <w:spacing w:after="0" w:line="240" w:lineRule="auto"/>
        <w:jc w:val="both"/>
        <w:rPr>
          <w:lang w:val="en-GB"/>
        </w:rPr>
      </w:pPr>
      <w:r w:rsidRPr="007576D2">
        <w:rPr>
          <w:lang w:val="en-GB"/>
        </w:rPr>
        <w:t>“Anti-elite dispositions” (anti-elitism).</w:t>
      </w:r>
    </w:p>
    <w:p w14:paraId="6B0E14BF" w14:textId="77777777" w:rsidR="007524B1" w:rsidRDefault="007524B1" w:rsidP="00A92EF7">
      <w:pPr>
        <w:spacing w:after="0" w:line="240" w:lineRule="auto"/>
        <w:jc w:val="both"/>
        <w:rPr>
          <w:lang w:val="en-GB"/>
        </w:rPr>
      </w:pPr>
    </w:p>
    <w:p w14:paraId="33FF1934" w14:textId="4D26FEA5" w:rsidR="00BB0CBE" w:rsidRPr="00587085" w:rsidRDefault="00962E47" w:rsidP="00A92EF7">
      <w:pPr>
        <w:spacing w:after="0" w:line="240" w:lineRule="auto"/>
        <w:jc w:val="both"/>
        <w:rPr>
          <w:lang w:val="en-GB"/>
        </w:rPr>
      </w:pPr>
      <w:r w:rsidRPr="00587085">
        <w:rPr>
          <w:lang w:val="en-GB"/>
        </w:rPr>
        <w:t xml:space="preserve">All items are measured on an 11-point scale (0-10). </w:t>
      </w:r>
    </w:p>
    <w:p w14:paraId="7499E0C3" w14:textId="4E5088EF" w:rsidR="00962E47" w:rsidRPr="00587085" w:rsidRDefault="00962E47" w:rsidP="00A92EF7">
      <w:pPr>
        <w:spacing w:after="0" w:line="240" w:lineRule="auto"/>
        <w:jc w:val="both"/>
        <w:rPr>
          <w:lang w:val="en-GB"/>
        </w:rPr>
      </w:pPr>
    </w:p>
    <w:p w14:paraId="75544431" w14:textId="2B078355" w:rsidR="007B0D04" w:rsidRPr="00587085" w:rsidRDefault="00962E47" w:rsidP="00A92EF7">
      <w:pPr>
        <w:spacing w:after="0" w:line="240" w:lineRule="auto"/>
        <w:jc w:val="both"/>
        <w:rPr>
          <w:lang w:val="en-GB"/>
        </w:rPr>
      </w:pPr>
      <w:r w:rsidRPr="00587085">
        <w:rPr>
          <w:lang w:val="en-GB"/>
        </w:rPr>
        <w:t xml:space="preserve">The point-biserial correlation between this measure of populism </w:t>
      </w:r>
      <w:r w:rsidR="001B0D83" w:rsidRPr="00587085">
        <w:rPr>
          <w:lang w:val="en-GB"/>
        </w:rPr>
        <w:t>(directly available in the POPPA dataset</w:t>
      </w:r>
      <w:r w:rsidR="00945A1E" w:rsidRPr="00587085">
        <w:rPr>
          <w:lang w:val="en-GB"/>
        </w:rPr>
        <w:t xml:space="preserve">) </w:t>
      </w:r>
      <w:r w:rsidRPr="00587085">
        <w:rPr>
          <w:lang w:val="en-GB"/>
        </w:rPr>
        <w:t xml:space="preserve">and our </w:t>
      </w:r>
      <w:r w:rsidR="00F4148B" w:rsidRPr="00587085">
        <w:rPr>
          <w:lang w:val="en-GB"/>
        </w:rPr>
        <w:t xml:space="preserve">own </w:t>
      </w:r>
      <w:r w:rsidRPr="00587085">
        <w:rPr>
          <w:lang w:val="en-GB"/>
        </w:rPr>
        <w:t xml:space="preserve">dichotomous classification of populist parties is </w:t>
      </w:r>
      <w:r w:rsidRPr="00587085">
        <w:rPr>
          <w:i/>
          <w:iCs/>
          <w:lang w:val="en-GB"/>
        </w:rPr>
        <w:t>r</w:t>
      </w:r>
      <w:r w:rsidRPr="00587085">
        <w:rPr>
          <w:lang w:val="en-GB"/>
        </w:rPr>
        <w:t xml:space="preserve"> = 0.6</w:t>
      </w:r>
      <w:r w:rsidR="007318EA">
        <w:rPr>
          <w:lang w:val="en-GB"/>
        </w:rPr>
        <w:t>6</w:t>
      </w:r>
      <w:r w:rsidRPr="00587085">
        <w:rPr>
          <w:lang w:val="en-GB"/>
        </w:rPr>
        <w:t xml:space="preserve">, and, hence, comparable </w:t>
      </w:r>
      <w:r w:rsidR="00945A1E" w:rsidRPr="00587085">
        <w:rPr>
          <w:lang w:val="en-GB"/>
        </w:rPr>
        <w:t>to the correlation with</w:t>
      </w:r>
      <w:r w:rsidRPr="00587085">
        <w:rPr>
          <w:lang w:val="en-GB"/>
        </w:rPr>
        <w:t xml:space="preserve"> </w:t>
      </w:r>
      <w:r w:rsidR="006533D0" w:rsidRPr="00587085">
        <w:rPr>
          <w:lang w:val="en-GB"/>
        </w:rPr>
        <w:t xml:space="preserve">The </w:t>
      </w:r>
      <w:proofErr w:type="spellStart"/>
      <w:r w:rsidR="006533D0" w:rsidRPr="00587085">
        <w:rPr>
          <w:lang w:val="en-GB"/>
        </w:rPr>
        <w:t>PopuList</w:t>
      </w:r>
      <w:proofErr w:type="spellEnd"/>
      <w:r w:rsidR="006533D0" w:rsidRPr="00587085">
        <w:rPr>
          <w:lang w:val="en-GB"/>
        </w:rPr>
        <w:t xml:space="preserve"> 2.0. The mean populism score of populist parties (excluding borderline cases) is </w:t>
      </w:r>
      <w:r w:rsidR="00945A1E" w:rsidRPr="00587085">
        <w:rPr>
          <w:i/>
          <w:iCs/>
          <w:lang w:val="en-GB"/>
        </w:rPr>
        <w:t>M</w:t>
      </w:r>
      <w:r w:rsidR="006533D0" w:rsidRPr="00587085">
        <w:rPr>
          <w:lang w:val="en-GB"/>
        </w:rPr>
        <w:t xml:space="preserve"> = 7.4</w:t>
      </w:r>
      <w:r w:rsidR="00F83613">
        <w:rPr>
          <w:lang w:val="en-GB"/>
        </w:rPr>
        <w:t>7</w:t>
      </w:r>
      <w:r w:rsidR="006533D0" w:rsidRPr="00587085">
        <w:rPr>
          <w:lang w:val="en-GB"/>
        </w:rPr>
        <w:t xml:space="preserve"> (</w:t>
      </w:r>
      <w:r w:rsidR="006533D0" w:rsidRPr="00587085">
        <w:rPr>
          <w:i/>
          <w:iCs/>
          <w:lang w:val="en-GB"/>
        </w:rPr>
        <w:t>n</w:t>
      </w:r>
      <w:r w:rsidR="006533D0" w:rsidRPr="00587085">
        <w:rPr>
          <w:lang w:val="en-GB"/>
        </w:rPr>
        <w:t xml:space="preserve"> = 5</w:t>
      </w:r>
      <w:r w:rsidR="00F83613">
        <w:rPr>
          <w:lang w:val="en-GB"/>
        </w:rPr>
        <w:t>4</w:t>
      </w:r>
      <w:r w:rsidR="006533D0" w:rsidRPr="00587085">
        <w:rPr>
          <w:lang w:val="en-GB"/>
        </w:rPr>
        <w:t>). The minimum value is 2.68</w:t>
      </w:r>
      <w:r w:rsidR="00F4148B" w:rsidRPr="00587085">
        <w:rPr>
          <w:lang w:val="en-GB"/>
        </w:rPr>
        <w:t>,</w:t>
      </w:r>
      <w:r w:rsidR="006533D0" w:rsidRPr="00587085">
        <w:rPr>
          <w:lang w:val="en-GB"/>
        </w:rPr>
        <w:t xml:space="preserve"> and the maximum value is 10.00. The mean populism value of non-populist parties is </w:t>
      </w:r>
      <w:r w:rsidR="00945A1E" w:rsidRPr="00587085">
        <w:rPr>
          <w:i/>
          <w:iCs/>
          <w:lang w:val="en-GB"/>
        </w:rPr>
        <w:t>M</w:t>
      </w:r>
      <w:r w:rsidR="006533D0" w:rsidRPr="00587085">
        <w:rPr>
          <w:lang w:val="en-GB"/>
        </w:rPr>
        <w:t xml:space="preserve"> = 3.3</w:t>
      </w:r>
      <w:r w:rsidR="00F83613">
        <w:rPr>
          <w:lang w:val="en-GB"/>
        </w:rPr>
        <w:t>4</w:t>
      </w:r>
      <w:r w:rsidR="006533D0" w:rsidRPr="00587085">
        <w:rPr>
          <w:lang w:val="en-GB"/>
        </w:rPr>
        <w:t xml:space="preserve"> (</w:t>
      </w:r>
      <w:r w:rsidR="006533D0" w:rsidRPr="00587085">
        <w:rPr>
          <w:i/>
          <w:iCs/>
          <w:lang w:val="en-GB"/>
        </w:rPr>
        <w:t xml:space="preserve">n </w:t>
      </w:r>
      <w:r w:rsidR="006533D0" w:rsidRPr="00587085">
        <w:rPr>
          <w:lang w:val="en-GB"/>
        </w:rPr>
        <w:t>= 17</w:t>
      </w:r>
      <w:r w:rsidR="00F83613">
        <w:rPr>
          <w:lang w:val="en-GB"/>
        </w:rPr>
        <w:t>3</w:t>
      </w:r>
      <w:r w:rsidR="006533D0" w:rsidRPr="00587085">
        <w:rPr>
          <w:lang w:val="en-GB"/>
        </w:rPr>
        <w:t>)</w:t>
      </w:r>
      <w:r w:rsidR="00945A1E" w:rsidRPr="00587085">
        <w:rPr>
          <w:lang w:val="en-GB"/>
        </w:rPr>
        <w:t>:</w:t>
      </w:r>
      <w:r w:rsidR="006533D0" w:rsidRPr="00587085">
        <w:rPr>
          <w:lang w:val="en-GB"/>
        </w:rPr>
        <w:t xml:space="preserve"> 4 full points less on an 11-point </w:t>
      </w:r>
      <w:r w:rsidR="006533D0" w:rsidRPr="00587085">
        <w:rPr>
          <w:lang w:val="en-GB"/>
        </w:rPr>
        <w:lastRenderedPageBreak/>
        <w:t>scale.</w:t>
      </w:r>
      <w:r w:rsidR="007B0D04" w:rsidRPr="00587085">
        <w:rPr>
          <w:lang w:val="en-GB"/>
        </w:rPr>
        <w:t xml:space="preserve"> The difference between these means is statistically significant (</w:t>
      </w:r>
      <w:r w:rsidR="007B0D04" w:rsidRPr="00587085">
        <w:rPr>
          <w:i/>
          <w:iCs/>
          <w:lang w:val="en-GB"/>
        </w:rPr>
        <w:t>t</w:t>
      </w:r>
      <w:r w:rsidR="007B0D04" w:rsidRPr="00587085">
        <w:rPr>
          <w:lang w:val="en-GB"/>
        </w:rPr>
        <w:t xml:space="preserve"> = -1</w:t>
      </w:r>
      <w:r w:rsidR="00CF22F9">
        <w:rPr>
          <w:lang w:val="en-GB"/>
        </w:rPr>
        <w:t>4</w:t>
      </w:r>
      <w:r w:rsidR="007B0D04" w:rsidRPr="00587085">
        <w:rPr>
          <w:lang w:val="en-GB"/>
        </w:rPr>
        <w:t>.</w:t>
      </w:r>
      <w:r w:rsidR="00CF22F9">
        <w:rPr>
          <w:lang w:val="en-GB"/>
        </w:rPr>
        <w:t>38</w:t>
      </w:r>
      <w:r w:rsidR="007B0D04" w:rsidRPr="00587085">
        <w:rPr>
          <w:lang w:val="en-GB"/>
        </w:rPr>
        <w:t xml:space="preserve">, </w:t>
      </w:r>
      <w:r w:rsidR="007B0D04" w:rsidRPr="00587085">
        <w:rPr>
          <w:i/>
          <w:iCs/>
          <w:lang w:val="en-GB"/>
        </w:rPr>
        <w:t>p</w:t>
      </w:r>
      <w:r w:rsidR="007B0D04" w:rsidRPr="00587085">
        <w:rPr>
          <w:lang w:val="en-GB"/>
        </w:rPr>
        <w:t xml:space="preserve"> &lt; 0.0001), see Figure 1 below.</w:t>
      </w:r>
    </w:p>
    <w:p w14:paraId="6C3D29F3" w14:textId="54EA153E" w:rsidR="007B0D04" w:rsidRDefault="007B0D04" w:rsidP="00962E47">
      <w:pPr>
        <w:spacing w:after="0" w:line="240" w:lineRule="auto"/>
        <w:rPr>
          <w:lang w:val="en-GB"/>
        </w:rPr>
      </w:pPr>
    </w:p>
    <w:p w14:paraId="333DC55D" w14:textId="77777777" w:rsidR="00A701F4" w:rsidRPr="00587085" w:rsidRDefault="00A701F4" w:rsidP="00962E47">
      <w:pPr>
        <w:spacing w:after="0" w:line="240" w:lineRule="auto"/>
        <w:rPr>
          <w:lang w:val="en-GB"/>
        </w:rPr>
      </w:pPr>
    </w:p>
    <w:p w14:paraId="5E030241" w14:textId="78265D8E" w:rsidR="007B0D04" w:rsidRPr="00587085" w:rsidRDefault="007B0D04" w:rsidP="00A92EF7">
      <w:pPr>
        <w:spacing w:after="0" w:line="240" w:lineRule="auto"/>
        <w:jc w:val="both"/>
        <w:rPr>
          <w:b/>
          <w:bCs/>
          <w:i/>
          <w:iCs/>
          <w:lang w:val="en-GB"/>
        </w:rPr>
      </w:pPr>
      <w:r w:rsidRPr="00587085">
        <w:rPr>
          <w:b/>
          <w:bCs/>
          <w:i/>
          <w:iCs/>
          <w:lang w:val="en-GB"/>
        </w:rPr>
        <w:t xml:space="preserve">Figure 1. Comparing the mean populism scores (by POPPA) for parties that are </w:t>
      </w:r>
      <w:r w:rsidR="00693C1D">
        <w:rPr>
          <w:b/>
          <w:bCs/>
          <w:i/>
          <w:iCs/>
          <w:lang w:val="en-GB"/>
        </w:rPr>
        <w:t>classified</w:t>
      </w:r>
      <w:r w:rsidR="00693C1D" w:rsidRPr="00587085">
        <w:rPr>
          <w:b/>
          <w:bCs/>
          <w:i/>
          <w:iCs/>
          <w:lang w:val="en-GB"/>
        </w:rPr>
        <w:t xml:space="preserve"> </w:t>
      </w:r>
      <w:r w:rsidRPr="00587085">
        <w:rPr>
          <w:b/>
          <w:bCs/>
          <w:i/>
          <w:iCs/>
          <w:lang w:val="en-GB"/>
        </w:rPr>
        <w:t xml:space="preserve">as populist versus not populist (by The </w:t>
      </w:r>
      <w:proofErr w:type="spellStart"/>
      <w:r w:rsidRPr="00587085">
        <w:rPr>
          <w:b/>
          <w:bCs/>
          <w:i/>
          <w:iCs/>
          <w:lang w:val="en-GB"/>
        </w:rPr>
        <w:t>PopuList</w:t>
      </w:r>
      <w:proofErr w:type="spellEnd"/>
      <w:r w:rsidR="002A663B">
        <w:rPr>
          <w:b/>
          <w:bCs/>
          <w:i/>
          <w:iCs/>
          <w:lang w:val="en-GB"/>
        </w:rPr>
        <w:t xml:space="preserve"> 3.0</w:t>
      </w:r>
      <w:r w:rsidRPr="00587085">
        <w:rPr>
          <w:b/>
          <w:bCs/>
          <w:i/>
          <w:iCs/>
          <w:lang w:val="en-GB"/>
        </w:rPr>
        <w:t>)</w:t>
      </w:r>
    </w:p>
    <w:p w14:paraId="61E6548B" w14:textId="5F252533" w:rsidR="007B0D04" w:rsidRPr="00587085" w:rsidRDefault="00CF22F9" w:rsidP="00962E47">
      <w:pPr>
        <w:spacing w:after="0" w:line="240" w:lineRule="auto"/>
        <w:rPr>
          <w:lang w:val="en-GB"/>
        </w:rPr>
      </w:pPr>
      <w:r>
        <w:rPr>
          <w:noProof/>
          <w:lang w:val="en-GB"/>
        </w:rPr>
        <w:drawing>
          <wp:inline distT="0" distB="0" distL="0" distR="0" wp14:anchorId="2F1110B6" wp14:editId="3DDECD29">
            <wp:extent cx="5731510" cy="3820795"/>
            <wp:effectExtent l="0" t="0" r="254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02A2087A" w14:textId="737B589A" w:rsidR="00962E47" w:rsidRPr="00587085" w:rsidRDefault="007B0D04" w:rsidP="00962E47">
      <w:pPr>
        <w:spacing w:after="0" w:line="240" w:lineRule="auto"/>
        <w:rPr>
          <w:lang w:val="en-GB"/>
        </w:rPr>
      </w:pPr>
      <w:r w:rsidRPr="00587085">
        <w:rPr>
          <w:lang w:val="en-GB"/>
        </w:rPr>
        <w:t xml:space="preserve"> </w:t>
      </w:r>
      <w:r w:rsidR="006533D0" w:rsidRPr="00587085">
        <w:rPr>
          <w:lang w:val="en-GB"/>
        </w:rPr>
        <w:t xml:space="preserve"> </w:t>
      </w:r>
    </w:p>
    <w:p w14:paraId="652F2DD1" w14:textId="5DFD92A0" w:rsidR="006533D0" w:rsidRPr="00587085" w:rsidRDefault="006533D0" w:rsidP="00962E47">
      <w:pPr>
        <w:spacing w:after="0" w:line="240" w:lineRule="auto"/>
        <w:rPr>
          <w:lang w:val="en-GB"/>
        </w:rPr>
      </w:pPr>
    </w:p>
    <w:p w14:paraId="4DD26CF6" w14:textId="02D461C1" w:rsidR="006335A8" w:rsidRPr="00587085" w:rsidRDefault="006533D0" w:rsidP="00A92EF7">
      <w:pPr>
        <w:spacing w:after="0" w:line="240" w:lineRule="auto"/>
        <w:jc w:val="both"/>
        <w:rPr>
          <w:lang w:val="en-GB"/>
        </w:rPr>
      </w:pPr>
      <w:r w:rsidRPr="00587085">
        <w:rPr>
          <w:lang w:val="en-GB"/>
        </w:rPr>
        <w:t xml:space="preserve">We have </w:t>
      </w:r>
      <w:r w:rsidR="007B0D04" w:rsidRPr="00587085">
        <w:rPr>
          <w:lang w:val="en-GB"/>
        </w:rPr>
        <w:t>checked</w:t>
      </w:r>
      <w:r w:rsidRPr="00587085">
        <w:rPr>
          <w:lang w:val="en-GB"/>
        </w:rPr>
        <w:t xml:space="preserve"> which populist parties </w:t>
      </w:r>
      <w:r w:rsidR="00581DF2">
        <w:rPr>
          <w:lang w:val="en-GB"/>
        </w:rPr>
        <w:t xml:space="preserve">in The Populist 3.0 </w:t>
      </w:r>
      <w:r w:rsidRPr="00587085">
        <w:rPr>
          <w:lang w:val="en-GB"/>
        </w:rPr>
        <w:t xml:space="preserve">score relatively low on populism </w:t>
      </w:r>
      <w:r w:rsidR="00581DF2" w:rsidRPr="00587085">
        <w:rPr>
          <w:lang w:val="en-GB"/>
        </w:rPr>
        <w:t xml:space="preserve">in the POPPA dataset </w:t>
      </w:r>
      <w:r w:rsidRPr="00587085">
        <w:rPr>
          <w:lang w:val="en-GB"/>
        </w:rPr>
        <w:t xml:space="preserve">(i.e., below the </w:t>
      </w:r>
      <w:r w:rsidR="00EE4B6C" w:rsidRPr="00587085">
        <w:rPr>
          <w:lang w:val="en-GB"/>
        </w:rPr>
        <w:t>75</w:t>
      </w:r>
      <w:r w:rsidR="00EE4B6C" w:rsidRPr="00587085">
        <w:rPr>
          <w:vertAlign w:val="superscript"/>
          <w:lang w:val="en-GB"/>
        </w:rPr>
        <w:t>th</w:t>
      </w:r>
      <w:r w:rsidR="00EE4B6C" w:rsidRPr="00587085">
        <w:rPr>
          <w:lang w:val="en-GB"/>
        </w:rPr>
        <w:t xml:space="preserve"> percentile, which is</w:t>
      </w:r>
      <w:r w:rsidR="00945A1E" w:rsidRPr="00587085">
        <w:rPr>
          <w:lang w:val="en-GB"/>
        </w:rPr>
        <w:t xml:space="preserve"> </w:t>
      </w:r>
      <w:r w:rsidR="00EE4B6C" w:rsidRPr="00587085">
        <w:rPr>
          <w:lang w:val="en-GB"/>
        </w:rPr>
        <w:t>6.73</w:t>
      </w:r>
      <w:r w:rsidRPr="00587085">
        <w:rPr>
          <w:lang w:val="en-GB"/>
        </w:rPr>
        <w:t xml:space="preserve">). There are </w:t>
      </w:r>
      <w:r w:rsidR="00011886">
        <w:rPr>
          <w:lang w:val="en-GB"/>
        </w:rPr>
        <w:t>ten</w:t>
      </w:r>
      <w:r w:rsidR="008C65BD" w:rsidRPr="00587085">
        <w:rPr>
          <w:lang w:val="en-GB"/>
        </w:rPr>
        <w:t xml:space="preserve"> cases that fulfil this criterion.</w:t>
      </w:r>
      <w:r w:rsidR="00011886">
        <w:rPr>
          <w:rStyle w:val="FootnoteReference"/>
          <w:lang w:val="en-GB"/>
        </w:rPr>
        <w:footnoteReference w:id="1"/>
      </w:r>
      <w:r w:rsidR="007B0D04" w:rsidRPr="00587085">
        <w:rPr>
          <w:lang w:val="en-GB"/>
        </w:rPr>
        <w:t xml:space="preserve"> A</w:t>
      </w:r>
      <w:r w:rsidR="006335A8" w:rsidRPr="00587085">
        <w:rPr>
          <w:lang w:val="en-GB"/>
        </w:rPr>
        <w:t xml:space="preserve">n </w:t>
      </w:r>
      <w:r w:rsidR="007B0D04" w:rsidRPr="00587085">
        <w:rPr>
          <w:lang w:val="en-GB"/>
        </w:rPr>
        <w:t xml:space="preserve">inspection of these cases shows that they mostly </w:t>
      </w:r>
      <w:r w:rsidR="005E0FAE">
        <w:rPr>
          <w:lang w:val="en-GB"/>
        </w:rPr>
        <w:t>include</w:t>
      </w:r>
      <w:r w:rsidR="007B0D04" w:rsidRPr="00587085">
        <w:rPr>
          <w:lang w:val="en-GB"/>
        </w:rPr>
        <w:t xml:space="preserve"> parties from Central and Eastern Europe that hold an ideological position that is relatively </w:t>
      </w:r>
      <w:r w:rsidR="00820301">
        <w:rPr>
          <w:lang w:val="en-GB"/>
        </w:rPr>
        <w:t xml:space="preserve">moderate and ‘reformist’ </w:t>
      </w:r>
      <w:r w:rsidR="007D6402">
        <w:rPr>
          <w:lang w:val="en-GB"/>
        </w:rPr>
        <w:t xml:space="preserve">in character </w:t>
      </w:r>
      <w:r w:rsidR="00820301">
        <w:rPr>
          <w:lang w:val="en-GB"/>
        </w:rPr>
        <w:t>(Hanley and Sikk 201</w:t>
      </w:r>
      <w:r w:rsidR="007D6402">
        <w:rPr>
          <w:lang w:val="en-GB"/>
        </w:rPr>
        <w:t>6</w:t>
      </w:r>
      <w:r w:rsidR="00820301">
        <w:rPr>
          <w:lang w:val="en-GB"/>
        </w:rPr>
        <w:t>)</w:t>
      </w:r>
      <w:r w:rsidR="007D6402">
        <w:rPr>
          <w:lang w:val="en-GB"/>
        </w:rPr>
        <w:t>,</w:t>
      </w:r>
      <w:r w:rsidR="00820301" w:rsidRPr="00587085">
        <w:rPr>
          <w:lang w:val="en-GB"/>
        </w:rPr>
        <w:t xml:space="preserve"> </w:t>
      </w:r>
      <w:r w:rsidR="007B0D04" w:rsidRPr="00587085">
        <w:rPr>
          <w:lang w:val="en-GB"/>
        </w:rPr>
        <w:t>and that often have had</w:t>
      </w:r>
      <w:r w:rsidR="007D6402">
        <w:rPr>
          <w:lang w:val="en-GB"/>
        </w:rPr>
        <w:t xml:space="preserve"> –</w:t>
      </w:r>
      <w:r w:rsidR="007B0D04" w:rsidRPr="00587085">
        <w:rPr>
          <w:lang w:val="en-GB"/>
        </w:rPr>
        <w:t xml:space="preserve"> or still have</w:t>
      </w:r>
      <w:r w:rsidR="007D6402">
        <w:rPr>
          <w:lang w:val="en-GB"/>
        </w:rPr>
        <w:t xml:space="preserve"> –</w:t>
      </w:r>
      <w:r w:rsidR="007B0D04" w:rsidRPr="00587085">
        <w:rPr>
          <w:lang w:val="en-GB"/>
        </w:rPr>
        <w:t xml:space="preserve"> government responsibilities. </w:t>
      </w:r>
      <w:r w:rsidR="000C3088">
        <w:rPr>
          <w:lang w:val="en-GB"/>
        </w:rPr>
        <w:t>W</w:t>
      </w:r>
      <w:r w:rsidR="005E0FAE">
        <w:rPr>
          <w:lang w:val="en-GB"/>
        </w:rPr>
        <w:t>e discuss two of them</w:t>
      </w:r>
      <w:r w:rsidR="000C3088">
        <w:rPr>
          <w:lang w:val="en-GB"/>
        </w:rPr>
        <w:t xml:space="preserve"> for illustrative purposes</w:t>
      </w:r>
      <w:r w:rsidR="005E0FAE">
        <w:rPr>
          <w:lang w:val="en-GB"/>
        </w:rPr>
        <w:t>.</w:t>
      </w:r>
    </w:p>
    <w:p w14:paraId="5F989D45" w14:textId="77777777" w:rsidR="006335A8" w:rsidRPr="00587085" w:rsidRDefault="006335A8" w:rsidP="00A92EF7">
      <w:pPr>
        <w:spacing w:after="0" w:line="240" w:lineRule="auto"/>
        <w:jc w:val="both"/>
        <w:rPr>
          <w:lang w:val="en-GB"/>
        </w:rPr>
      </w:pPr>
    </w:p>
    <w:p w14:paraId="2987797D" w14:textId="70645A53" w:rsidR="006335A8" w:rsidRPr="00587085" w:rsidRDefault="005E0FAE" w:rsidP="005B439C">
      <w:pPr>
        <w:spacing w:after="0" w:line="240" w:lineRule="auto"/>
        <w:jc w:val="both"/>
        <w:rPr>
          <w:lang w:val="en-GB"/>
        </w:rPr>
      </w:pPr>
      <w:r>
        <w:rPr>
          <w:lang w:val="en-GB"/>
        </w:rPr>
        <w:t>The first one</w:t>
      </w:r>
      <w:r w:rsidR="006335A8" w:rsidRPr="00587085">
        <w:rPr>
          <w:lang w:val="en-GB"/>
        </w:rPr>
        <w:t xml:space="preserve"> is Citizens for European Development of Bulgaria (GERB), a right-wing party that has been a central force in Bulgarian politics since the late 2000s. Its leader, Boyko Borisov, served three times as prime minister. The low score in POPPA might well be due to the party’s central role in the political system</w:t>
      </w:r>
      <w:r w:rsidR="001609FE">
        <w:rPr>
          <w:lang w:val="en-GB"/>
        </w:rPr>
        <w:t xml:space="preserve"> and its involvement in corruption scandals</w:t>
      </w:r>
      <w:r w:rsidR="006335A8" w:rsidRPr="00587085">
        <w:rPr>
          <w:lang w:val="en-GB"/>
        </w:rPr>
        <w:t>. Yet</w:t>
      </w:r>
      <w:r w:rsidR="00581DF2">
        <w:rPr>
          <w:lang w:val="en-GB"/>
        </w:rPr>
        <w:t>,</w:t>
      </w:r>
      <w:r w:rsidR="006335A8" w:rsidRPr="00587085">
        <w:rPr>
          <w:lang w:val="en-GB"/>
        </w:rPr>
        <w:t xml:space="preserve"> because of the party’s </w:t>
      </w:r>
      <w:r w:rsidR="004C42F6">
        <w:rPr>
          <w:lang w:val="en-GB"/>
        </w:rPr>
        <w:t xml:space="preserve">continued </w:t>
      </w:r>
      <w:r w:rsidR="00FB13F4">
        <w:rPr>
          <w:lang w:val="en-GB"/>
        </w:rPr>
        <w:t xml:space="preserve">populist </w:t>
      </w:r>
      <w:r w:rsidR="007B4220">
        <w:rPr>
          <w:lang w:val="en-GB"/>
        </w:rPr>
        <w:t>framing of the political</w:t>
      </w:r>
      <w:r w:rsidR="00FB13F4">
        <w:rPr>
          <w:lang w:val="en-GB"/>
        </w:rPr>
        <w:t xml:space="preserve"> and </w:t>
      </w:r>
      <w:r w:rsidR="004C42F6">
        <w:rPr>
          <w:lang w:val="en-GB"/>
        </w:rPr>
        <w:t>self-depiction as carrier of the general will of the</w:t>
      </w:r>
      <w:r w:rsidR="00496024">
        <w:rPr>
          <w:lang w:val="en-GB"/>
        </w:rPr>
        <w:t xml:space="preserve"> Bulgarian</w:t>
      </w:r>
      <w:r w:rsidR="004C42F6">
        <w:rPr>
          <w:lang w:val="en-GB"/>
        </w:rPr>
        <w:t xml:space="preserve"> people</w:t>
      </w:r>
      <w:r w:rsidR="00FB13F4">
        <w:rPr>
          <w:lang w:val="en-GB"/>
        </w:rPr>
        <w:t>,</w:t>
      </w:r>
      <w:r w:rsidR="006335A8" w:rsidRPr="00587085">
        <w:rPr>
          <w:lang w:val="en-GB"/>
        </w:rPr>
        <w:t xml:space="preserve"> we have </w:t>
      </w:r>
      <w:r w:rsidR="00581DF2">
        <w:rPr>
          <w:lang w:val="en-GB"/>
        </w:rPr>
        <w:t xml:space="preserve">nevertheless </w:t>
      </w:r>
      <w:r w:rsidR="006335A8" w:rsidRPr="00587085">
        <w:rPr>
          <w:lang w:val="en-GB"/>
        </w:rPr>
        <w:t xml:space="preserve">coded it as populist. </w:t>
      </w:r>
      <w:r w:rsidR="000C3088">
        <w:rPr>
          <w:lang w:val="en-GB"/>
        </w:rPr>
        <w:t>Second</w:t>
      </w:r>
      <w:r w:rsidR="006335A8" w:rsidRPr="00587085">
        <w:rPr>
          <w:lang w:val="en-GB"/>
        </w:rPr>
        <w:t xml:space="preserve">, </w:t>
      </w:r>
      <w:proofErr w:type="spellStart"/>
      <w:r w:rsidR="006335A8" w:rsidRPr="000C3088">
        <w:rPr>
          <w:i/>
          <w:iCs/>
          <w:lang w:val="en-GB"/>
        </w:rPr>
        <w:t>Smer</w:t>
      </w:r>
      <w:proofErr w:type="spellEnd"/>
      <w:r w:rsidR="006335A8" w:rsidRPr="00587085">
        <w:rPr>
          <w:lang w:val="en-GB"/>
        </w:rPr>
        <w:t xml:space="preserve"> (Direction) has been a central political force in the politics of Slovakia and </w:t>
      </w:r>
      <w:r w:rsidR="006101D5">
        <w:rPr>
          <w:lang w:val="en-GB"/>
        </w:rPr>
        <w:t xml:space="preserve">has </w:t>
      </w:r>
      <w:r w:rsidR="006335A8" w:rsidRPr="00587085">
        <w:rPr>
          <w:lang w:val="en-GB"/>
        </w:rPr>
        <w:t xml:space="preserve">led several government coalitions. </w:t>
      </w:r>
      <w:r w:rsidR="00244BBF">
        <w:rPr>
          <w:lang w:val="en-GB"/>
        </w:rPr>
        <w:t xml:space="preserve">As in the case of GERB, the party has been tainted by corruption while in government. </w:t>
      </w:r>
      <w:r w:rsidR="006335A8" w:rsidRPr="00587085">
        <w:rPr>
          <w:lang w:val="en-GB"/>
        </w:rPr>
        <w:t xml:space="preserve">This might well be the reason that the </w:t>
      </w:r>
      <w:r w:rsidR="00581DF2">
        <w:rPr>
          <w:lang w:val="en-GB"/>
        </w:rPr>
        <w:t xml:space="preserve">POPPA </w:t>
      </w:r>
      <w:r w:rsidR="006335A8" w:rsidRPr="00587085">
        <w:rPr>
          <w:lang w:val="en-GB"/>
        </w:rPr>
        <w:t xml:space="preserve">experts have </w:t>
      </w:r>
      <w:r w:rsidR="005B439C">
        <w:rPr>
          <w:lang w:val="en-GB"/>
        </w:rPr>
        <w:t xml:space="preserve">scored </w:t>
      </w:r>
      <w:proofErr w:type="spellStart"/>
      <w:r w:rsidR="005B439C" w:rsidRPr="005B439C">
        <w:rPr>
          <w:i/>
          <w:lang w:val="en-GB"/>
        </w:rPr>
        <w:t>Smer</w:t>
      </w:r>
      <w:proofErr w:type="spellEnd"/>
      <w:r w:rsidR="005B439C">
        <w:rPr>
          <w:lang w:val="en-GB"/>
        </w:rPr>
        <w:t xml:space="preserve"> low on the dimensions pertaining to populism</w:t>
      </w:r>
      <w:r w:rsidR="006335A8" w:rsidRPr="00587085">
        <w:rPr>
          <w:lang w:val="en-GB"/>
        </w:rPr>
        <w:t xml:space="preserve">. </w:t>
      </w:r>
      <w:r w:rsidR="00581DF2">
        <w:rPr>
          <w:lang w:val="en-GB"/>
        </w:rPr>
        <w:t>Bu</w:t>
      </w:r>
      <w:r w:rsidR="006335A8" w:rsidRPr="00587085">
        <w:rPr>
          <w:lang w:val="en-GB"/>
        </w:rPr>
        <w:t xml:space="preserve">t despite its role as a central force in Slovak politics, we have classified the party as populist because of its persistent </w:t>
      </w:r>
      <w:r w:rsidR="000625A2">
        <w:rPr>
          <w:lang w:val="en-GB"/>
        </w:rPr>
        <w:t>populist</w:t>
      </w:r>
      <w:r w:rsidR="00A21166">
        <w:rPr>
          <w:lang w:val="en-GB"/>
        </w:rPr>
        <w:t xml:space="preserve"> </w:t>
      </w:r>
      <w:r w:rsidR="006335A8" w:rsidRPr="00587085">
        <w:rPr>
          <w:lang w:val="en-GB"/>
        </w:rPr>
        <w:t>rhetoric.</w:t>
      </w:r>
    </w:p>
    <w:p w14:paraId="3132E509" w14:textId="3D3784A6" w:rsidR="00726332" w:rsidRPr="00587085" w:rsidRDefault="00726332" w:rsidP="00A92EF7">
      <w:pPr>
        <w:spacing w:after="0" w:line="240" w:lineRule="auto"/>
        <w:jc w:val="both"/>
        <w:rPr>
          <w:lang w:val="en-GB"/>
        </w:rPr>
      </w:pPr>
    </w:p>
    <w:p w14:paraId="15E8A861" w14:textId="7C642001" w:rsidR="00726332" w:rsidRPr="00587085" w:rsidRDefault="00726332" w:rsidP="00A92EF7">
      <w:pPr>
        <w:spacing w:after="0" w:line="240" w:lineRule="auto"/>
        <w:jc w:val="both"/>
        <w:rPr>
          <w:lang w:val="en-GB"/>
        </w:rPr>
      </w:pPr>
      <w:r w:rsidRPr="00587085">
        <w:rPr>
          <w:lang w:val="en-GB"/>
        </w:rPr>
        <w:t>These cases show that a party that plays a central role in a country’s political system</w:t>
      </w:r>
      <w:r w:rsidR="00581DF2">
        <w:rPr>
          <w:lang w:val="en-GB"/>
        </w:rPr>
        <w:t>,</w:t>
      </w:r>
      <w:r w:rsidRPr="00587085">
        <w:rPr>
          <w:lang w:val="en-GB"/>
        </w:rPr>
        <w:t xml:space="preserve"> </w:t>
      </w:r>
      <w:r w:rsidR="00AD1E27" w:rsidRPr="00587085">
        <w:rPr>
          <w:lang w:val="en-GB"/>
        </w:rPr>
        <w:t>sometimes even</w:t>
      </w:r>
      <w:r w:rsidRPr="00587085">
        <w:rPr>
          <w:lang w:val="en-GB"/>
        </w:rPr>
        <w:t xml:space="preserve"> as a leading government party</w:t>
      </w:r>
      <w:r w:rsidR="00F4148B" w:rsidRPr="00587085">
        <w:rPr>
          <w:lang w:val="en-GB"/>
        </w:rPr>
        <w:t>,</w:t>
      </w:r>
      <w:r w:rsidRPr="00587085">
        <w:rPr>
          <w:lang w:val="en-GB"/>
        </w:rPr>
        <w:t xml:space="preserve"> </w:t>
      </w:r>
      <w:r w:rsidR="00AD1E27" w:rsidRPr="00587085">
        <w:rPr>
          <w:lang w:val="en-GB"/>
        </w:rPr>
        <w:t>tends to score</w:t>
      </w:r>
      <w:r w:rsidRPr="00587085">
        <w:rPr>
          <w:lang w:val="en-GB"/>
        </w:rPr>
        <w:t xml:space="preserve"> lower on POPPA’s continuous populism scale. </w:t>
      </w:r>
      <w:r w:rsidR="00AD1E27" w:rsidRPr="00587085">
        <w:rPr>
          <w:lang w:val="en-GB"/>
        </w:rPr>
        <w:t xml:space="preserve">This makes sense </w:t>
      </w:r>
      <w:r w:rsidR="00581DF2">
        <w:rPr>
          <w:lang w:val="en-GB"/>
        </w:rPr>
        <w:t>given</w:t>
      </w:r>
      <w:r w:rsidR="00581DF2" w:rsidRPr="00587085">
        <w:rPr>
          <w:lang w:val="en-GB"/>
        </w:rPr>
        <w:t xml:space="preserve"> </w:t>
      </w:r>
      <w:r w:rsidR="00AD1E27" w:rsidRPr="00587085">
        <w:rPr>
          <w:lang w:val="en-GB"/>
        </w:rPr>
        <w:t xml:space="preserve">POPPA’s purpose: showing </w:t>
      </w:r>
      <w:r w:rsidR="00AD1E27" w:rsidRPr="00587085">
        <w:rPr>
          <w:i/>
          <w:iCs/>
          <w:lang w:val="en-GB"/>
        </w:rPr>
        <w:t>how</w:t>
      </w:r>
      <w:r w:rsidR="00AD1E27" w:rsidRPr="00587085">
        <w:rPr>
          <w:lang w:val="en-GB"/>
        </w:rPr>
        <w:t xml:space="preserve"> populist political parties are. </w:t>
      </w:r>
      <w:r w:rsidR="00581DF2">
        <w:rPr>
          <w:lang w:val="en-GB"/>
        </w:rPr>
        <w:t>But</w:t>
      </w:r>
      <w:r w:rsidR="00581DF2" w:rsidRPr="00587085">
        <w:rPr>
          <w:lang w:val="en-GB"/>
        </w:rPr>
        <w:t xml:space="preserve"> </w:t>
      </w:r>
      <w:r w:rsidR="00AD1E27" w:rsidRPr="00587085">
        <w:rPr>
          <w:lang w:val="en-GB"/>
        </w:rPr>
        <w:t xml:space="preserve">the considerations for </w:t>
      </w:r>
      <w:r w:rsidR="00CD09F7" w:rsidRPr="00587085">
        <w:rPr>
          <w:lang w:val="en-GB"/>
        </w:rPr>
        <w:t xml:space="preserve">The </w:t>
      </w:r>
      <w:proofErr w:type="spellStart"/>
      <w:r w:rsidR="00AD1E27" w:rsidRPr="00587085">
        <w:rPr>
          <w:lang w:val="en-GB"/>
        </w:rPr>
        <w:t>PopuList</w:t>
      </w:r>
      <w:proofErr w:type="spellEnd"/>
      <w:r w:rsidR="00AD1E27" w:rsidRPr="00587085">
        <w:rPr>
          <w:lang w:val="en-GB"/>
        </w:rPr>
        <w:t xml:space="preserve"> are different. Parties that are ideologically moderate and/or tone down their populism because of office responsibilities do not </w:t>
      </w:r>
      <w:r w:rsidR="00470A92" w:rsidRPr="00587085">
        <w:rPr>
          <w:lang w:val="en-GB"/>
        </w:rPr>
        <w:t xml:space="preserve">necessarily cease to be populist. Hence, </w:t>
      </w:r>
      <w:r w:rsidRPr="00587085">
        <w:rPr>
          <w:lang w:val="en-GB"/>
        </w:rPr>
        <w:t xml:space="preserve">such </w:t>
      </w:r>
      <w:r w:rsidR="00470A92" w:rsidRPr="00587085">
        <w:rPr>
          <w:lang w:val="en-GB"/>
        </w:rPr>
        <w:t>parties</w:t>
      </w:r>
      <w:r w:rsidRPr="00587085">
        <w:rPr>
          <w:lang w:val="en-GB"/>
        </w:rPr>
        <w:t xml:space="preserve"> </w:t>
      </w:r>
      <w:r w:rsidR="00470A92" w:rsidRPr="00587085">
        <w:rPr>
          <w:lang w:val="en-GB"/>
        </w:rPr>
        <w:t>c</w:t>
      </w:r>
      <w:r w:rsidRPr="00587085">
        <w:rPr>
          <w:lang w:val="en-GB"/>
        </w:rPr>
        <w:t xml:space="preserve">ould </w:t>
      </w:r>
      <w:r w:rsidR="00470A92" w:rsidRPr="00587085">
        <w:rPr>
          <w:lang w:val="en-GB"/>
        </w:rPr>
        <w:t xml:space="preserve">(and often should) still </w:t>
      </w:r>
      <w:r w:rsidRPr="00587085">
        <w:rPr>
          <w:lang w:val="en-GB"/>
        </w:rPr>
        <w:t xml:space="preserve">be </w:t>
      </w:r>
      <w:r w:rsidR="00735268">
        <w:rPr>
          <w:lang w:val="en-GB"/>
        </w:rPr>
        <w:t>classified</w:t>
      </w:r>
      <w:r w:rsidR="00735268" w:rsidRPr="00587085">
        <w:rPr>
          <w:lang w:val="en-GB"/>
        </w:rPr>
        <w:t xml:space="preserve"> </w:t>
      </w:r>
      <w:r w:rsidRPr="00587085">
        <w:rPr>
          <w:lang w:val="en-GB"/>
        </w:rPr>
        <w:t xml:space="preserve">as populist </w:t>
      </w:r>
      <w:r w:rsidR="00470A92" w:rsidRPr="00587085">
        <w:rPr>
          <w:lang w:val="en-GB"/>
        </w:rPr>
        <w:t>within</w:t>
      </w:r>
      <w:r w:rsidRPr="00587085">
        <w:rPr>
          <w:lang w:val="en-GB"/>
        </w:rPr>
        <w:t xml:space="preserve"> </w:t>
      </w:r>
      <w:r w:rsidR="00064FED">
        <w:rPr>
          <w:lang w:val="en-GB"/>
        </w:rPr>
        <w:t>our</w:t>
      </w:r>
      <w:r w:rsidR="00064FED" w:rsidRPr="00587085">
        <w:rPr>
          <w:lang w:val="en-GB"/>
        </w:rPr>
        <w:t xml:space="preserve"> </w:t>
      </w:r>
      <w:r w:rsidRPr="00587085">
        <w:rPr>
          <w:lang w:val="en-GB"/>
        </w:rPr>
        <w:t xml:space="preserve">dichotomous </w:t>
      </w:r>
      <w:r w:rsidR="00064FED">
        <w:rPr>
          <w:lang w:val="en-GB"/>
        </w:rPr>
        <w:t>approach</w:t>
      </w:r>
      <w:r w:rsidRPr="00587085">
        <w:rPr>
          <w:lang w:val="en-GB"/>
        </w:rPr>
        <w:t xml:space="preserve">. We have decided to </w:t>
      </w:r>
      <w:r w:rsidR="00064FED">
        <w:rPr>
          <w:lang w:val="en-GB"/>
        </w:rPr>
        <w:t>classify</w:t>
      </w:r>
      <w:r w:rsidR="00064FED" w:rsidRPr="00587085">
        <w:rPr>
          <w:lang w:val="en-GB"/>
        </w:rPr>
        <w:t xml:space="preserve"> </w:t>
      </w:r>
      <w:r w:rsidRPr="00587085">
        <w:rPr>
          <w:lang w:val="en-GB"/>
        </w:rPr>
        <w:t xml:space="preserve">parties that </w:t>
      </w:r>
      <w:r w:rsidR="00F4148B" w:rsidRPr="00587085">
        <w:rPr>
          <w:lang w:val="en-GB"/>
        </w:rPr>
        <w:t>continuously</w:t>
      </w:r>
      <w:r w:rsidRPr="00587085">
        <w:rPr>
          <w:lang w:val="en-GB"/>
        </w:rPr>
        <w:t xml:space="preserve"> employ a populist message as populist parties</w:t>
      </w:r>
      <w:r w:rsidR="00F4148B" w:rsidRPr="00587085">
        <w:rPr>
          <w:lang w:val="en-GB"/>
        </w:rPr>
        <w:t xml:space="preserve"> – even </w:t>
      </w:r>
      <w:r w:rsidR="00064FED">
        <w:rPr>
          <w:lang w:val="en-GB"/>
        </w:rPr>
        <w:t xml:space="preserve">in the event of a (temporary) </w:t>
      </w:r>
      <w:r w:rsidR="00AA2B0A">
        <w:rPr>
          <w:lang w:val="en-GB"/>
        </w:rPr>
        <w:t xml:space="preserve">attenuation </w:t>
      </w:r>
      <w:r w:rsidR="00F4148B" w:rsidRPr="00587085">
        <w:rPr>
          <w:lang w:val="en-GB"/>
        </w:rPr>
        <w:t>of their populist rhetoric</w:t>
      </w:r>
      <w:r w:rsidRPr="00587085">
        <w:rPr>
          <w:lang w:val="en-GB"/>
        </w:rPr>
        <w:t xml:space="preserve">.  </w:t>
      </w:r>
    </w:p>
    <w:p w14:paraId="721D4B3B" w14:textId="4236B591" w:rsidR="008C65BD" w:rsidRPr="00587085" w:rsidRDefault="008C65BD" w:rsidP="00A92EF7">
      <w:pPr>
        <w:spacing w:after="0" w:line="240" w:lineRule="auto"/>
        <w:jc w:val="both"/>
        <w:rPr>
          <w:lang w:val="en-GB"/>
        </w:rPr>
      </w:pPr>
    </w:p>
    <w:p w14:paraId="5FFFDB42" w14:textId="49F1560D" w:rsidR="004D21C8" w:rsidRPr="00587085" w:rsidRDefault="008C65BD" w:rsidP="00A92EF7">
      <w:pPr>
        <w:spacing w:after="0" w:line="240" w:lineRule="auto"/>
        <w:jc w:val="both"/>
        <w:rPr>
          <w:lang w:val="en-GB"/>
        </w:rPr>
      </w:pPr>
      <w:r w:rsidRPr="00587085">
        <w:rPr>
          <w:lang w:val="en-GB"/>
        </w:rPr>
        <w:t xml:space="preserve">There are also </w:t>
      </w:r>
      <w:r w:rsidR="000C3088">
        <w:rPr>
          <w:lang w:val="en-GB"/>
        </w:rPr>
        <w:t>two</w:t>
      </w:r>
      <w:r w:rsidRPr="00587085">
        <w:rPr>
          <w:lang w:val="en-GB"/>
        </w:rPr>
        <w:t xml:space="preserve"> parties that </w:t>
      </w:r>
      <w:r w:rsidR="00975A5D" w:rsidRPr="00587085">
        <w:rPr>
          <w:lang w:val="en-GB"/>
        </w:rPr>
        <w:t xml:space="preserve">are not classified as populist </w:t>
      </w:r>
      <w:r w:rsidR="00895E75" w:rsidRPr="00587085">
        <w:rPr>
          <w:lang w:val="en-GB"/>
        </w:rPr>
        <w:t xml:space="preserve">in The </w:t>
      </w:r>
      <w:proofErr w:type="spellStart"/>
      <w:r w:rsidR="00895E75" w:rsidRPr="00587085">
        <w:rPr>
          <w:lang w:val="en-GB"/>
        </w:rPr>
        <w:t>PopuList</w:t>
      </w:r>
      <w:proofErr w:type="spellEnd"/>
      <w:r w:rsidR="00895E75" w:rsidRPr="00587085">
        <w:rPr>
          <w:lang w:val="en-GB"/>
        </w:rPr>
        <w:t xml:space="preserve"> </w:t>
      </w:r>
      <w:r w:rsidR="000C3088">
        <w:rPr>
          <w:lang w:val="en-GB"/>
        </w:rPr>
        <w:t xml:space="preserve">(and fulfil our criteria for selection) </w:t>
      </w:r>
      <w:r w:rsidR="00975A5D" w:rsidRPr="00587085">
        <w:rPr>
          <w:lang w:val="en-GB"/>
        </w:rPr>
        <w:t xml:space="preserve">but </w:t>
      </w:r>
      <w:r w:rsidRPr="00587085">
        <w:rPr>
          <w:lang w:val="en-GB"/>
        </w:rPr>
        <w:t xml:space="preserve">score relatively high on </w:t>
      </w:r>
      <w:r w:rsidR="00975A5D" w:rsidRPr="00587085">
        <w:rPr>
          <w:lang w:val="en-GB"/>
        </w:rPr>
        <w:t xml:space="preserve">POPPA’s </w:t>
      </w:r>
      <w:r w:rsidRPr="00587085">
        <w:rPr>
          <w:lang w:val="en-GB"/>
        </w:rPr>
        <w:t>populism</w:t>
      </w:r>
      <w:r w:rsidR="00975A5D" w:rsidRPr="00587085">
        <w:rPr>
          <w:lang w:val="en-GB"/>
        </w:rPr>
        <w:t xml:space="preserve"> score</w:t>
      </w:r>
      <w:r w:rsidRPr="00587085">
        <w:rPr>
          <w:lang w:val="en-GB"/>
        </w:rPr>
        <w:t xml:space="preserve"> </w:t>
      </w:r>
      <w:r w:rsidR="00975A5D" w:rsidRPr="00587085">
        <w:rPr>
          <w:lang w:val="en-GB"/>
        </w:rPr>
        <w:t xml:space="preserve">– </w:t>
      </w:r>
      <w:r w:rsidRPr="00587085">
        <w:rPr>
          <w:lang w:val="en-GB"/>
        </w:rPr>
        <w:t xml:space="preserve">i.e., higher than the </w:t>
      </w:r>
      <w:r w:rsidR="004D21C8" w:rsidRPr="00587085">
        <w:rPr>
          <w:lang w:val="en-GB"/>
        </w:rPr>
        <w:t>90</w:t>
      </w:r>
      <w:r w:rsidR="004D21C8" w:rsidRPr="00587085">
        <w:rPr>
          <w:vertAlign w:val="superscript"/>
          <w:lang w:val="en-GB"/>
        </w:rPr>
        <w:t>th</w:t>
      </w:r>
      <w:r w:rsidR="004D21C8" w:rsidRPr="00587085">
        <w:rPr>
          <w:lang w:val="en-GB"/>
        </w:rPr>
        <w:t xml:space="preserve"> percentile</w:t>
      </w:r>
      <w:r w:rsidRPr="00587085">
        <w:rPr>
          <w:lang w:val="en-GB"/>
        </w:rPr>
        <w:t xml:space="preserve"> </w:t>
      </w:r>
      <w:r w:rsidR="00975A5D" w:rsidRPr="00587085">
        <w:rPr>
          <w:lang w:val="en-GB"/>
        </w:rPr>
        <w:t>(</w:t>
      </w:r>
      <w:r w:rsidR="004D21C8" w:rsidRPr="00587085">
        <w:rPr>
          <w:lang w:val="en-GB"/>
        </w:rPr>
        <w:t>8.57</w:t>
      </w:r>
      <w:r w:rsidRPr="00587085">
        <w:rPr>
          <w:lang w:val="en-GB"/>
        </w:rPr>
        <w:t xml:space="preserve">). </w:t>
      </w:r>
      <w:r w:rsidR="002A663B">
        <w:rPr>
          <w:lang w:val="en-GB"/>
        </w:rPr>
        <w:t>T</w:t>
      </w:r>
      <w:r w:rsidR="006653D9" w:rsidRPr="00587085">
        <w:rPr>
          <w:lang w:val="en-GB"/>
        </w:rPr>
        <w:t>he discrepanc</w:t>
      </w:r>
      <w:r w:rsidR="002A663B">
        <w:rPr>
          <w:lang w:val="en-GB"/>
        </w:rPr>
        <w:t>y</w:t>
      </w:r>
      <w:r w:rsidR="006653D9" w:rsidRPr="00587085">
        <w:rPr>
          <w:lang w:val="en-GB"/>
        </w:rPr>
        <w:t xml:space="preserve"> stem</w:t>
      </w:r>
      <w:r w:rsidR="002A663B">
        <w:rPr>
          <w:lang w:val="en-GB"/>
        </w:rPr>
        <w:t>s</w:t>
      </w:r>
      <w:r w:rsidR="006653D9" w:rsidRPr="00587085">
        <w:rPr>
          <w:lang w:val="en-GB"/>
        </w:rPr>
        <w:t xml:space="preserve"> from</w:t>
      </w:r>
      <w:r w:rsidR="002A663B">
        <w:rPr>
          <w:lang w:val="en-GB"/>
        </w:rPr>
        <w:t xml:space="preserve"> the fact that</w:t>
      </w:r>
      <w:r w:rsidR="006653D9" w:rsidRPr="00587085">
        <w:rPr>
          <w:lang w:val="en-GB"/>
        </w:rPr>
        <w:t xml:space="preserve"> </w:t>
      </w:r>
      <w:r w:rsidR="002A663B" w:rsidRPr="00587085">
        <w:rPr>
          <w:lang w:val="en-GB"/>
        </w:rPr>
        <w:t xml:space="preserve">anti-establishment </w:t>
      </w:r>
      <w:r w:rsidR="006653D9" w:rsidRPr="00587085">
        <w:rPr>
          <w:lang w:val="en-GB"/>
        </w:rPr>
        <w:t>parties get a high overall populism score in POPPA. However, because we see people-centrism</w:t>
      </w:r>
      <w:r w:rsidR="00B41146" w:rsidRPr="00587085">
        <w:rPr>
          <w:lang w:val="en-GB"/>
        </w:rPr>
        <w:t xml:space="preserve"> </w:t>
      </w:r>
      <w:r w:rsidR="006653D9" w:rsidRPr="00587085">
        <w:rPr>
          <w:lang w:val="en-GB"/>
        </w:rPr>
        <w:t xml:space="preserve">as </w:t>
      </w:r>
      <w:r w:rsidR="002A663B">
        <w:rPr>
          <w:lang w:val="en-GB"/>
        </w:rPr>
        <w:t xml:space="preserve">an </w:t>
      </w:r>
      <w:r w:rsidR="006653D9" w:rsidRPr="00587085">
        <w:rPr>
          <w:lang w:val="en-GB"/>
        </w:rPr>
        <w:t>additional necessary feature of populism</w:t>
      </w:r>
      <w:r w:rsidR="00FF4BAE" w:rsidRPr="00587085">
        <w:rPr>
          <w:lang w:val="en-GB"/>
        </w:rPr>
        <w:t>,</w:t>
      </w:r>
      <w:r w:rsidR="006653D9" w:rsidRPr="00587085">
        <w:rPr>
          <w:lang w:val="en-GB"/>
        </w:rPr>
        <w:t xml:space="preserve"> we have only </w:t>
      </w:r>
      <w:r w:rsidR="00F4148B" w:rsidRPr="00587085">
        <w:rPr>
          <w:lang w:val="en-GB"/>
        </w:rPr>
        <w:t>included</w:t>
      </w:r>
      <w:r w:rsidR="006653D9" w:rsidRPr="00587085">
        <w:rPr>
          <w:lang w:val="en-GB"/>
        </w:rPr>
        <w:t xml:space="preserve"> parties </w:t>
      </w:r>
      <w:r w:rsidR="00B41146" w:rsidRPr="00587085">
        <w:rPr>
          <w:lang w:val="en-GB"/>
        </w:rPr>
        <w:t>as full part of the set if they</w:t>
      </w:r>
      <w:r w:rsidR="006653D9" w:rsidRPr="00587085">
        <w:rPr>
          <w:lang w:val="en-GB"/>
        </w:rPr>
        <w:t xml:space="preserve"> are both people-centric and anti-elitist.</w:t>
      </w:r>
    </w:p>
    <w:p w14:paraId="13F582B5" w14:textId="4CA41A0B" w:rsidR="00975A5D" w:rsidRPr="00587085" w:rsidRDefault="00975A5D" w:rsidP="00A92EF7">
      <w:pPr>
        <w:spacing w:after="0" w:line="240" w:lineRule="auto"/>
        <w:jc w:val="both"/>
        <w:rPr>
          <w:lang w:val="en-GB"/>
        </w:rPr>
      </w:pPr>
    </w:p>
    <w:p w14:paraId="4E87EBFD" w14:textId="351D39AA" w:rsidR="00975A5D" w:rsidRPr="00587085" w:rsidRDefault="00975A5D" w:rsidP="00A92EF7">
      <w:pPr>
        <w:spacing w:after="0" w:line="240" w:lineRule="auto"/>
        <w:jc w:val="both"/>
        <w:rPr>
          <w:lang w:val="en-GB"/>
        </w:rPr>
      </w:pPr>
      <w:r w:rsidRPr="00587085">
        <w:rPr>
          <w:lang w:val="en-GB"/>
        </w:rPr>
        <w:t xml:space="preserve">An example of a party that scores high on POPPA’s populism score but is not </w:t>
      </w:r>
      <w:r w:rsidR="00AA2B0A">
        <w:rPr>
          <w:lang w:val="en-GB"/>
        </w:rPr>
        <w:t>classified</w:t>
      </w:r>
      <w:r w:rsidR="00AA2B0A" w:rsidRPr="00587085">
        <w:rPr>
          <w:lang w:val="en-GB"/>
        </w:rPr>
        <w:t xml:space="preserve"> </w:t>
      </w:r>
      <w:r w:rsidRPr="00587085">
        <w:rPr>
          <w:lang w:val="en-GB"/>
        </w:rPr>
        <w:t xml:space="preserve">as populist in The </w:t>
      </w:r>
      <w:proofErr w:type="spellStart"/>
      <w:r w:rsidRPr="00587085">
        <w:rPr>
          <w:lang w:val="en-GB"/>
        </w:rPr>
        <w:t>PopuList</w:t>
      </w:r>
      <w:proofErr w:type="spellEnd"/>
      <w:r w:rsidRPr="00587085">
        <w:rPr>
          <w:lang w:val="en-GB"/>
        </w:rPr>
        <w:t xml:space="preserve"> is</w:t>
      </w:r>
      <w:r w:rsidR="00F8099D">
        <w:rPr>
          <w:lang w:val="en-GB"/>
        </w:rPr>
        <w:t xml:space="preserve"> the Slovak</w:t>
      </w:r>
      <w:r w:rsidRPr="00587085">
        <w:rPr>
          <w:lang w:val="en-GB"/>
        </w:rPr>
        <w:t xml:space="preserve"> L’SNS (The </w:t>
      </w:r>
      <w:proofErr w:type="spellStart"/>
      <w:r w:rsidRPr="00587085">
        <w:rPr>
          <w:lang w:val="en-GB"/>
        </w:rPr>
        <w:t>Kotlebists</w:t>
      </w:r>
      <w:proofErr w:type="spellEnd"/>
      <w:r w:rsidRPr="00587085">
        <w:rPr>
          <w:lang w:val="en-GB"/>
        </w:rPr>
        <w:t xml:space="preserve"> – People’s Party Our Slovakia), a</w:t>
      </w:r>
      <w:r w:rsidR="00F8099D">
        <w:rPr>
          <w:lang w:val="en-GB"/>
        </w:rPr>
        <w:t>n extremist</w:t>
      </w:r>
      <w:r w:rsidRPr="00587085">
        <w:rPr>
          <w:lang w:val="en-GB"/>
        </w:rPr>
        <w:t xml:space="preserve"> far-right party that employs a strong anti-</w:t>
      </w:r>
      <w:r w:rsidR="00112A29">
        <w:rPr>
          <w:lang w:val="en-GB"/>
        </w:rPr>
        <w:t>establishment</w:t>
      </w:r>
      <w:r w:rsidR="00112A29" w:rsidRPr="00587085">
        <w:rPr>
          <w:lang w:val="en-GB"/>
        </w:rPr>
        <w:t xml:space="preserve"> </w:t>
      </w:r>
      <w:r w:rsidRPr="00587085">
        <w:rPr>
          <w:lang w:val="en-GB"/>
        </w:rPr>
        <w:t xml:space="preserve">and even </w:t>
      </w:r>
      <w:r w:rsidR="005B525B">
        <w:rPr>
          <w:lang w:val="en-GB"/>
        </w:rPr>
        <w:t>anti-democratic</w:t>
      </w:r>
      <w:r w:rsidRPr="00587085">
        <w:rPr>
          <w:lang w:val="en-GB"/>
        </w:rPr>
        <w:t xml:space="preserve"> rhetoric. </w:t>
      </w:r>
      <w:r w:rsidR="006101D5">
        <w:rPr>
          <w:lang w:val="en-GB"/>
        </w:rPr>
        <w:t>T</w:t>
      </w:r>
      <w:r w:rsidR="00050876">
        <w:rPr>
          <w:lang w:val="en-GB"/>
        </w:rPr>
        <w:t xml:space="preserve">he party </w:t>
      </w:r>
      <w:r w:rsidR="00AF239A">
        <w:rPr>
          <w:lang w:val="en-GB"/>
        </w:rPr>
        <w:t>has</w:t>
      </w:r>
      <w:r w:rsidR="00050876">
        <w:rPr>
          <w:lang w:val="en-GB"/>
        </w:rPr>
        <w:t xml:space="preserve"> </w:t>
      </w:r>
      <w:r w:rsidR="00AF239A">
        <w:rPr>
          <w:lang w:val="en-GB"/>
        </w:rPr>
        <w:t xml:space="preserve">often </w:t>
      </w:r>
      <w:r w:rsidR="00050876">
        <w:rPr>
          <w:lang w:val="en-GB"/>
        </w:rPr>
        <w:t>frame</w:t>
      </w:r>
      <w:r w:rsidR="00AF239A">
        <w:rPr>
          <w:lang w:val="en-GB"/>
        </w:rPr>
        <w:t>d</w:t>
      </w:r>
      <w:r w:rsidR="00050876">
        <w:rPr>
          <w:lang w:val="en-GB"/>
        </w:rPr>
        <w:t xml:space="preserve"> the alleged superiority of the Slovak people in elitist term</w:t>
      </w:r>
      <w:r w:rsidR="00D90AD6">
        <w:rPr>
          <w:lang w:val="en-GB"/>
        </w:rPr>
        <w:t>s</w:t>
      </w:r>
      <w:r w:rsidR="006101D5">
        <w:rPr>
          <w:lang w:val="en-GB"/>
        </w:rPr>
        <w:t xml:space="preserve"> and</w:t>
      </w:r>
      <w:r w:rsidR="00D90AD6">
        <w:rPr>
          <w:lang w:val="en-GB"/>
        </w:rPr>
        <w:t>,</w:t>
      </w:r>
      <w:r w:rsidR="003375B2">
        <w:rPr>
          <w:lang w:val="en-GB"/>
        </w:rPr>
        <w:t xml:space="preserve"> hence,</w:t>
      </w:r>
      <w:r w:rsidRPr="00587085">
        <w:rPr>
          <w:lang w:val="en-GB"/>
        </w:rPr>
        <w:t xml:space="preserve"> we have not coded the party as populist.</w:t>
      </w:r>
    </w:p>
    <w:p w14:paraId="747CBEEA" w14:textId="797C8359" w:rsidR="008C65BD" w:rsidRPr="00587085" w:rsidRDefault="008C65BD" w:rsidP="00A92EF7">
      <w:pPr>
        <w:spacing w:after="0" w:line="240" w:lineRule="auto"/>
        <w:jc w:val="both"/>
        <w:rPr>
          <w:lang w:val="en-GB"/>
        </w:rPr>
      </w:pPr>
    </w:p>
    <w:p w14:paraId="733256F3" w14:textId="6D3EAEC5" w:rsidR="008C65BD" w:rsidRPr="00587085" w:rsidRDefault="008C65BD" w:rsidP="00A92EF7">
      <w:pPr>
        <w:spacing w:after="0" w:line="240" w:lineRule="auto"/>
        <w:jc w:val="both"/>
        <w:rPr>
          <w:lang w:val="en-GB"/>
        </w:rPr>
      </w:pPr>
    </w:p>
    <w:p w14:paraId="18C3BD92" w14:textId="0D12B9FD" w:rsidR="008C65BD" w:rsidRPr="00587085" w:rsidRDefault="008C65BD" w:rsidP="00A92EF7">
      <w:pPr>
        <w:spacing w:after="0" w:line="240" w:lineRule="auto"/>
        <w:jc w:val="both"/>
        <w:rPr>
          <w:b/>
          <w:bCs/>
          <w:lang w:val="en-GB"/>
        </w:rPr>
      </w:pPr>
      <w:r w:rsidRPr="00587085">
        <w:rPr>
          <w:b/>
          <w:bCs/>
          <w:lang w:val="en-GB"/>
        </w:rPr>
        <w:t>The far right</w:t>
      </w:r>
    </w:p>
    <w:p w14:paraId="2275E8CB" w14:textId="20706AF8" w:rsidR="008C65BD" w:rsidRPr="00587085" w:rsidRDefault="008C65BD" w:rsidP="00A92EF7">
      <w:pPr>
        <w:spacing w:after="0" w:line="240" w:lineRule="auto"/>
        <w:jc w:val="both"/>
        <w:rPr>
          <w:lang w:val="en-GB"/>
        </w:rPr>
      </w:pPr>
    </w:p>
    <w:p w14:paraId="16F8D599" w14:textId="1B871224" w:rsidR="004E0644" w:rsidRPr="00587085" w:rsidRDefault="008C65BD" w:rsidP="00A92EF7">
      <w:pPr>
        <w:spacing w:after="0" w:line="240" w:lineRule="auto"/>
        <w:jc w:val="both"/>
        <w:rPr>
          <w:lang w:val="en-GB"/>
        </w:rPr>
      </w:pPr>
      <w:r w:rsidRPr="00587085">
        <w:rPr>
          <w:lang w:val="en-GB"/>
        </w:rPr>
        <w:t xml:space="preserve">POPPA </w:t>
      </w:r>
      <w:r w:rsidR="00151B8E" w:rsidRPr="00587085">
        <w:rPr>
          <w:lang w:val="en-GB"/>
        </w:rPr>
        <w:t>contains several variables that together can be used to measure a</w:t>
      </w:r>
      <w:r w:rsidRPr="00587085">
        <w:rPr>
          <w:lang w:val="en-GB"/>
        </w:rPr>
        <w:t xml:space="preserve"> part</w:t>
      </w:r>
      <w:r w:rsidR="00151B8E" w:rsidRPr="00587085">
        <w:rPr>
          <w:lang w:val="en-GB"/>
        </w:rPr>
        <w:t>y</w:t>
      </w:r>
      <w:r w:rsidRPr="00587085">
        <w:rPr>
          <w:lang w:val="en-GB"/>
        </w:rPr>
        <w:t>’</w:t>
      </w:r>
      <w:r w:rsidR="00151B8E" w:rsidRPr="00587085">
        <w:rPr>
          <w:lang w:val="en-GB"/>
        </w:rPr>
        <w:t>s</w:t>
      </w:r>
      <w:r w:rsidRPr="00587085">
        <w:rPr>
          <w:lang w:val="en-GB"/>
        </w:rPr>
        <w:t xml:space="preserve"> far</w:t>
      </w:r>
      <w:r w:rsidR="00151B8E" w:rsidRPr="00587085">
        <w:rPr>
          <w:lang w:val="en-GB"/>
        </w:rPr>
        <w:t>-</w:t>
      </w:r>
      <w:r w:rsidRPr="00587085">
        <w:rPr>
          <w:lang w:val="en-GB"/>
        </w:rPr>
        <w:t xml:space="preserve">right ideology. </w:t>
      </w:r>
      <w:r w:rsidR="00151B8E" w:rsidRPr="00587085">
        <w:rPr>
          <w:lang w:val="en-GB"/>
        </w:rPr>
        <w:t>First, it includes</w:t>
      </w:r>
      <w:r w:rsidRPr="00587085">
        <w:rPr>
          <w:lang w:val="en-GB"/>
        </w:rPr>
        <w:t xml:space="preserve"> an item that examines </w:t>
      </w:r>
      <w:r w:rsidR="004E0644" w:rsidRPr="00587085">
        <w:rPr>
          <w:lang w:val="en-GB"/>
        </w:rPr>
        <w:t>a party’s immigration position. This item is measured on a scale (recoded) from 0 (strongly in favour of immigration) to 10 (strongly opposed to immigration).</w:t>
      </w:r>
      <w:r w:rsidR="00151B8E" w:rsidRPr="00587085">
        <w:rPr>
          <w:lang w:val="en-GB"/>
        </w:rPr>
        <w:t xml:space="preserve"> Second, POPPA asks experts to estimate to what extent a party has “an exclusive idea of who can and should belong to the nation-state (nativism)” (0 = not at all nativist, 10 = very nativist). Third, it includes a measure of the extent to which a party prioriti</w:t>
      </w:r>
      <w:r w:rsidR="00CA3F97" w:rsidRPr="00587085">
        <w:rPr>
          <w:lang w:val="en-GB"/>
        </w:rPr>
        <w:t>s</w:t>
      </w:r>
      <w:r w:rsidR="00151B8E" w:rsidRPr="00587085">
        <w:rPr>
          <w:lang w:val="en-GB"/>
        </w:rPr>
        <w:t xml:space="preserve">es civil liberties (0) or law and order (10). These three variables strongly correlate </w:t>
      </w:r>
      <w:r w:rsidR="001B48B3" w:rsidRPr="00587085">
        <w:rPr>
          <w:lang w:val="en-GB"/>
        </w:rPr>
        <w:t>and they form a reliable scale (</w:t>
      </w:r>
      <w:r w:rsidR="001B48B3" w:rsidRPr="00587085">
        <w:rPr>
          <w:rFonts w:cstheme="minorHAnsi"/>
          <w:i/>
          <w:iCs/>
          <w:lang w:val="en-GB"/>
        </w:rPr>
        <w:t>α</w:t>
      </w:r>
      <w:r w:rsidR="001B48B3" w:rsidRPr="00587085">
        <w:rPr>
          <w:lang w:val="en-GB"/>
        </w:rPr>
        <w:t xml:space="preserve"> = 0.96), </w:t>
      </w:r>
      <w:r w:rsidR="00151B8E" w:rsidRPr="00587085">
        <w:rPr>
          <w:lang w:val="en-GB"/>
        </w:rPr>
        <w:t>so we have computed the mean score of these variables as a measure of far-right ideology.</w:t>
      </w:r>
    </w:p>
    <w:p w14:paraId="1697ADEB" w14:textId="53F7C20C" w:rsidR="004E0644" w:rsidRPr="00587085" w:rsidRDefault="004E0644" w:rsidP="00A92EF7">
      <w:pPr>
        <w:spacing w:after="0" w:line="240" w:lineRule="auto"/>
        <w:jc w:val="both"/>
        <w:rPr>
          <w:lang w:val="en-GB"/>
        </w:rPr>
      </w:pPr>
    </w:p>
    <w:p w14:paraId="1BE461A2" w14:textId="6749B31A" w:rsidR="00EB7036" w:rsidRPr="00587085" w:rsidRDefault="004E0644" w:rsidP="00A92EF7">
      <w:pPr>
        <w:spacing w:after="0" w:line="240" w:lineRule="auto"/>
        <w:jc w:val="both"/>
        <w:rPr>
          <w:lang w:val="en-GB"/>
        </w:rPr>
      </w:pPr>
      <w:r w:rsidRPr="00587085">
        <w:rPr>
          <w:lang w:val="en-GB"/>
        </w:rPr>
        <w:t xml:space="preserve">The point-biserial correlation between parties’ </w:t>
      </w:r>
      <w:r w:rsidR="00F4654E" w:rsidRPr="00587085">
        <w:rPr>
          <w:lang w:val="en-GB"/>
        </w:rPr>
        <w:t>far-right</w:t>
      </w:r>
      <w:r w:rsidRPr="00587085">
        <w:rPr>
          <w:lang w:val="en-GB"/>
        </w:rPr>
        <w:t xml:space="preserve"> position and their classification as either far</w:t>
      </w:r>
      <w:r w:rsidR="007E73AD">
        <w:rPr>
          <w:lang w:val="en-GB"/>
        </w:rPr>
        <w:t xml:space="preserve"> </w:t>
      </w:r>
      <w:r w:rsidRPr="00587085">
        <w:rPr>
          <w:lang w:val="en-GB"/>
        </w:rPr>
        <w:t>right or not is r = 0.6</w:t>
      </w:r>
      <w:r w:rsidR="00151B8E" w:rsidRPr="00587085">
        <w:rPr>
          <w:lang w:val="en-GB"/>
        </w:rPr>
        <w:t>8</w:t>
      </w:r>
      <w:r w:rsidR="00341C72" w:rsidRPr="00587085">
        <w:rPr>
          <w:lang w:val="en-GB"/>
        </w:rPr>
        <w:t>, which is acceptable</w:t>
      </w:r>
      <w:r w:rsidRPr="00587085">
        <w:rPr>
          <w:lang w:val="en-GB"/>
        </w:rPr>
        <w:t xml:space="preserve">. The mean </w:t>
      </w:r>
      <w:r w:rsidR="00151B8E" w:rsidRPr="00587085">
        <w:rPr>
          <w:lang w:val="en-GB"/>
        </w:rPr>
        <w:t>far-right</w:t>
      </w:r>
      <w:r w:rsidRPr="00587085">
        <w:rPr>
          <w:lang w:val="en-GB"/>
        </w:rPr>
        <w:t xml:space="preserve"> score of far</w:t>
      </w:r>
      <w:r w:rsidR="00151B8E" w:rsidRPr="00587085">
        <w:rPr>
          <w:lang w:val="en-GB"/>
        </w:rPr>
        <w:t>-</w:t>
      </w:r>
      <w:r w:rsidRPr="00587085">
        <w:rPr>
          <w:lang w:val="en-GB"/>
        </w:rPr>
        <w:t xml:space="preserve">right parties is </w:t>
      </w:r>
      <w:r w:rsidR="00133759" w:rsidRPr="00587085">
        <w:rPr>
          <w:i/>
          <w:iCs/>
          <w:lang w:val="en-GB"/>
        </w:rPr>
        <w:t>M</w:t>
      </w:r>
      <w:r w:rsidRPr="00587085">
        <w:rPr>
          <w:lang w:val="en-GB"/>
        </w:rPr>
        <w:t xml:space="preserve"> = 8.</w:t>
      </w:r>
      <w:r w:rsidR="003D0FBB">
        <w:rPr>
          <w:lang w:val="en-GB"/>
        </w:rPr>
        <w:t>89</w:t>
      </w:r>
      <w:r w:rsidRPr="00587085">
        <w:rPr>
          <w:lang w:val="en-GB"/>
        </w:rPr>
        <w:t xml:space="preserve"> (</w:t>
      </w:r>
      <w:r w:rsidRPr="00587085">
        <w:rPr>
          <w:i/>
          <w:iCs/>
          <w:lang w:val="en-GB"/>
        </w:rPr>
        <w:t>n</w:t>
      </w:r>
      <w:r w:rsidRPr="00587085">
        <w:rPr>
          <w:lang w:val="en-GB"/>
        </w:rPr>
        <w:t xml:space="preserve"> = 3</w:t>
      </w:r>
      <w:r w:rsidR="003D0FBB">
        <w:rPr>
          <w:lang w:val="en-GB"/>
        </w:rPr>
        <w:t>2</w:t>
      </w:r>
      <w:r w:rsidRPr="00587085">
        <w:rPr>
          <w:lang w:val="en-GB"/>
        </w:rPr>
        <w:t xml:space="preserve">). The minimum value is </w:t>
      </w:r>
      <w:r w:rsidR="003D0FBB">
        <w:rPr>
          <w:lang w:val="en-GB"/>
        </w:rPr>
        <w:t>7.43</w:t>
      </w:r>
      <w:r w:rsidRPr="00587085">
        <w:rPr>
          <w:lang w:val="en-GB"/>
        </w:rPr>
        <w:t xml:space="preserve"> and the maximum value is 10.00. The mean score of parties that are </w:t>
      </w:r>
      <w:r w:rsidRPr="00587085">
        <w:rPr>
          <w:i/>
          <w:iCs/>
          <w:lang w:val="en-GB"/>
        </w:rPr>
        <w:t>not</w:t>
      </w:r>
      <w:r w:rsidRPr="00587085">
        <w:rPr>
          <w:lang w:val="en-GB"/>
        </w:rPr>
        <w:t xml:space="preserve"> far-right is </w:t>
      </w:r>
      <w:r w:rsidR="00133759" w:rsidRPr="00587085">
        <w:rPr>
          <w:i/>
          <w:iCs/>
          <w:lang w:val="en-GB"/>
        </w:rPr>
        <w:t>M</w:t>
      </w:r>
      <w:r w:rsidRPr="00587085">
        <w:rPr>
          <w:lang w:val="en-GB"/>
        </w:rPr>
        <w:t xml:space="preserve"> = 4.</w:t>
      </w:r>
      <w:r w:rsidR="00133759" w:rsidRPr="00587085">
        <w:rPr>
          <w:lang w:val="en-GB"/>
        </w:rPr>
        <w:t>26</w:t>
      </w:r>
      <w:r w:rsidRPr="00587085">
        <w:rPr>
          <w:lang w:val="en-GB"/>
        </w:rPr>
        <w:t xml:space="preserve"> (</w:t>
      </w:r>
      <w:r w:rsidRPr="00587085">
        <w:rPr>
          <w:i/>
          <w:iCs/>
          <w:lang w:val="en-GB"/>
        </w:rPr>
        <w:t>n</w:t>
      </w:r>
      <w:r w:rsidRPr="00587085">
        <w:rPr>
          <w:lang w:val="en-GB"/>
        </w:rPr>
        <w:t xml:space="preserve"> = 20</w:t>
      </w:r>
      <w:r w:rsidR="00133759" w:rsidRPr="00587085">
        <w:rPr>
          <w:lang w:val="en-GB"/>
        </w:rPr>
        <w:t>7</w:t>
      </w:r>
      <w:r w:rsidRPr="00587085">
        <w:rPr>
          <w:lang w:val="en-GB"/>
        </w:rPr>
        <w:t>)</w:t>
      </w:r>
      <w:r w:rsidR="00AB165B" w:rsidRPr="00587085">
        <w:rPr>
          <w:lang w:val="en-GB"/>
        </w:rPr>
        <w:t xml:space="preserve">: </w:t>
      </w:r>
      <w:r w:rsidR="003D0FBB">
        <w:rPr>
          <w:lang w:val="en-GB"/>
        </w:rPr>
        <w:t>more than</w:t>
      </w:r>
      <w:r w:rsidR="00AB165B" w:rsidRPr="00587085">
        <w:rPr>
          <w:lang w:val="en-GB"/>
        </w:rPr>
        <w:t xml:space="preserve"> 3.5 points lower.</w:t>
      </w:r>
      <w:r w:rsidR="00133759" w:rsidRPr="00587085">
        <w:rPr>
          <w:lang w:val="en-GB"/>
        </w:rPr>
        <w:t xml:space="preserve"> </w:t>
      </w:r>
      <w:r w:rsidRPr="00587085">
        <w:rPr>
          <w:lang w:val="en-GB"/>
        </w:rPr>
        <w:t>The minimum value is 1</w:t>
      </w:r>
      <w:r w:rsidR="00133759" w:rsidRPr="00587085">
        <w:rPr>
          <w:lang w:val="en-GB"/>
        </w:rPr>
        <w:t>.14</w:t>
      </w:r>
      <w:r w:rsidRPr="00587085">
        <w:rPr>
          <w:lang w:val="en-GB"/>
        </w:rPr>
        <w:t xml:space="preserve"> and the maximum value is 9.</w:t>
      </w:r>
      <w:r w:rsidR="00133759" w:rsidRPr="00587085">
        <w:rPr>
          <w:lang w:val="en-GB"/>
        </w:rPr>
        <w:t>12</w:t>
      </w:r>
      <w:r w:rsidRPr="00587085">
        <w:rPr>
          <w:lang w:val="en-GB"/>
        </w:rPr>
        <w:t xml:space="preserve">, indicating that there </w:t>
      </w:r>
      <w:r w:rsidR="00341C72" w:rsidRPr="00587085">
        <w:rPr>
          <w:lang w:val="en-GB"/>
        </w:rPr>
        <w:t xml:space="preserve">are also some non-far-right parties that score very high on </w:t>
      </w:r>
      <w:r w:rsidR="00133759" w:rsidRPr="00587085">
        <w:rPr>
          <w:lang w:val="en-GB"/>
        </w:rPr>
        <w:t>far-right</w:t>
      </w:r>
      <w:r w:rsidR="00341C72" w:rsidRPr="00587085">
        <w:rPr>
          <w:lang w:val="en-GB"/>
        </w:rPr>
        <w:t xml:space="preserve"> attitudes. </w:t>
      </w:r>
      <w:r w:rsidR="00EB7036" w:rsidRPr="00587085">
        <w:rPr>
          <w:lang w:val="en-GB"/>
        </w:rPr>
        <w:t>The difference between these means is statistically significant (</w:t>
      </w:r>
      <w:r w:rsidR="00EB7036" w:rsidRPr="00587085">
        <w:rPr>
          <w:i/>
          <w:iCs/>
          <w:lang w:val="en-GB"/>
        </w:rPr>
        <w:t>t</w:t>
      </w:r>
      <w:r w:rsidR="00EB7036" w:rsidRPr="00587085">
        <w:rPr>
          <w:lang w:val="en-GB"/>
        </w:rPr>
        <w:t xml:space="preserve"> = -2</w:t>
      </w:r>
      <w:r w:rsidR="00CF22F9">
        <w:rPr>
          <w:lang w:val="en-GB"/>
        </w:rPr>
        <w:t>7</w:t>
      </w:r>
      <w:r w:rsidR="00EB7036" w:rsidRPr="00587085">
        <w:rPr>
          <w:lang w:val="en-GB"/>
        </w:rPr>
        <w:t>.</w:t>
      </w:r>
      <w:r w:rsidR="00CF22F9">
        <w:rPr>
          <w:lang w:val="en-GB"/>
        </w:rPr>
        <w:t>12</w:t>
      </w:r>
      <w:r w:rsidR="00EB7036" w:rsidRPr="00587085">
        <w:rPr>
          <w:lang w:val="en-GB"/>
        </w:rPr>
        <w:t xml:space="preserve">, </w:t>
      </w:r>
      <w:r w:rsidR="00EB7036" w:rsidRPr="00587085">
        <w:rPr>
          <w:i/>
          <w:iCs/>
          <w:lang w:val="en-GB"/>
        </w:rPr>
        <w:t>p</w:t>
      </w:r>
      <w:r w:rsidR="00EB7036" w:rsidRPr="00587085">
        <w:rPr>
          <w:lang w:val="en-GB"/>
        </w:rPr>
        <w:t xml:space="preserve"> &lt; 0.0001), and displayed in Figure 2.</w:t>
      </w:r>
    </w:p>
    <w:p w14:paraId="2B0A00B3" w14:textId="63C95275" w:rsidR="00EB7036" w:rsidRDefault="00EB7036" w:rsidP="00A92EF7">
      <w:pPr>
        <w:spacing w:after="0" w:line="240" w:lineRule="auto"/>
        <w:jc w:val="both"/>
        <w:rPr>
          <w:lang w:val="en-GB"/>
        </w:rPr>
      </w:pPr>
    </w:p>
    <w:p w14:paraId="3D6D2BE5" w14:textId="2039BE6B" w:rsidR="00A701F4" w:rsidRDefault="00A701F4" w:rsidP="00A92EF7">
      <w:pPr>
        <w:spacing w:after="0" w:line="240" w:lineRule="auto"/>
        <w:jc w:val="both"/>
        <w:rPr>
          <w:lang w:val="en-GB"/>
        </w:rPr>
      </w:pPr>
    </w:p>
    <w:p w14:paraId="624ADA9F" w14:textId="6CB1F81A" w:rsidR="00A701F4" w:rsidRDefault="00A701F4" w:rsidP="00A92EF7">
      <w:pPr>
        <w:spacing w:after="0" w:line="240" w:lineRule="auto"/>
        <w:jc w:val="both"/>
        <w:rPr>
          <w:lang w:val="en-GB"/>
        </w:rPr>
      </w:pPr>
    </w:p>
    <w:p w14:paraId="0287DE55" w14:textId="3169111C" w:rsidR="00A701F4" w:rsidRDefault="00A701F4" w:rsidP="00A92EF7">
      <w:pPr>
        <w:spacing w:after="0" w:line="240" w:lineRule="auto"/>
        <w:jc w:val="both"/>
        <w:rPr>
          <w:lang w:val="en-GB"/>
        </w:rPr>
      </w:pPr>
    </w:p>
    <w:p w14:paraId="26C23BCA" w14:textId="047C6BFC" w:rsidR="00A701F4" w:rsidRDefault="00A701F4" w:rsidP="00A92EF7">
      <w:pPr>
        <w:spacing w:after="0" w:line="240" w:lineRule="auto"/>
        <w:jc w:val="both"/>
        <w:rPr>
          <w:lang w:val="en-GB"/>
        </w:rPr>
      </w:pPr>
    </w:p>
    <w:p w14:paraId="34474D7B" w14:textId="2E744499" w:rsidR="00A701F4" w:rsidRDefault="00A701F4" w:rsidP="00A92EF7">
      <w:pPr>
        <w:spacing w:after="0" w:line="240" w:lineRule="auto"/>
        <w:jc w:val="both"/>
        <w:rPr>
          <w:lang w:val="en-GB"/>
        </w:rPr>
      </w:pPr>
    </w:p>
    <w:p w14:paraId="3D785E0D" w14:textId="4DBCE29A" w:rsidR="00A701F4" w:rsidRDefault="00A701F4" w:rsidP="00A92EF7">
      <w:pPr>
        <w:spacing w:after="0" w:line="240" w:lineRule="auto"/>
        <w:jc w:val="both"/>
        <w:rPr>
          <w:lang w:val="en-GB"/>
        </w:rPr>
      </w:pPr>
    </w:p>
    <w:p w14:paraId="624E0B87" w14:textId="77777777" w:rsidR="00A701F4" w:rsidRPr="00587085" w:rsidRDefault="00A701F4" w:rsidP="00A92EF7">
      <w:pPr>
        <w:spacing w:after="0" w:line="240" w:lineRule="auto"/>
        <w:jc w:val="both"/>
        <w:rPr>
          <w:lang w:val="en-GB"/>
        </w:rPr>
      </w:pPr>
    </w:p>
    <w:p w14:paraId="08EB32F8" w14:textId="67706F2B" w:rsidR="00EB7036" w:rsidRPr="00587085" w:rsidRDefault="00EB7036" w:rsidP="00A92EF7">
      <w:pPr>
        <w:spacing w:after="0" w:line="240" w:lineRule="auto"/>
        <w:jc w:val="both"/>
        <w:rPr>
          <w:b/>
          <w:bCs/>
          <w:i/>
          <w:iCs/>
          <w:lang w:val="en-GB"/>
        </w:rPr>
      </w:pPr>
      <w:r w:rsidRPr="00587085">
        <w:rPr>
          <w:b/>
          <w:bCs/>
          <w:i/>
          <w:iCs/>
          <w:lang w:val="en-GB"/>
        </w:rPr>
        <w:lastRenderedPageBreak/>
        <w:t xml:space="preserve">Figure 2. Comparing the mean far-right scores (by POPPA) for parties that are </w:t>
      </w:r>
      <w:r w:rsidR="007454E9">
        <w:rPr>
          <w:b/>
          <w:bCs/>
          <w:i/>
          <w:iCs/>
          <w:lang w:val="en-GB"/>
        </w:rPr>
        <w:t>classified</w:t>
      </w:r>
      <w:r w:rsidR="007454E9" w:rsidRPr="00587085">
        <w:rPr>
          <w:b/>
          <w:bCs/>
          <w:i/>
          <w:iCs/>
          <w:lang w:val="en-GB"/>
        </w:rPr>
        <w:t xml:space="preserve"> </w:t>
      </w:r>
      <w:r w:rsidRPr="00587085">
        <w:rPr>
          <w:b/>
          <w:bCs/>
          <w:i/>
          <w:iCs/>
          <w:lang w:val="en-GB"/>
        </w:rPr>
        <w:t>as far</w:t>
      </w:r>
      <w:r w:rsidR="00060FB8">
        <w:rPr>
          <w:b/>
          <w:bCs/>
          <w:i/>
          <w:iCs/>
          <w:lang w:val="en-GB"/>
        </w:rPr>
        <w:t xml:space="preserve"> </w:t>
      </w:r>
      <w:r w:rsidRPr="00587085">
        <w:rPr>
          <w:b/>
          <w:bCs/>
          <w:i/>
          <w:iCs/>
          <w:lang w:val="en-GB"/>
        </w:rPr>
        <w:t>right versus not far</w:t>
      </w:r>
      <w:r w:rsidR="00060FB8">
        <w:rPr>
          <w:b/>
          <w:bCs/>
          <w:i/>
          <w:iCs/>
          <w:lang w:val="en-GB"/>
        </w:rPr>
        <w:t xml:space="preserve"> </w:t>
      </w:r>
      <w:r w:rsidRPr="00587085">
        <w:rPr>
          <w:b/>
          <w:bCs/>
          <w:i/>
          <w:iCs/>
          <w:lang w:val="en-GB"/>
        </w:rPr>
        <w:t xml:space="preserve">right (by The </w:t>
      </w:r>
      <w:proofErr w:type="spellStart"/>
      <w:r w:rsidRPr="00587085">
        <w:rPr>
          <w:b/>
          <w:bCs/>
          <w:i/>
          <w:iCs/>
          <w:lang w:val="en-GB"/>
        </w:rPr>
        <w:t>PopuList</w:t>
      </w:r>
      <w:proofErr w:type="spellEnd"/>
      <w:r w:rsidR="002A663B">
        <w:rPr>
          <w:b/>
          <w:bCs/>
          <w:i/>
          <w:iCs/>
          <w:lang w:val="en-GB"/>
        </w:rPr>
        <w:t xml:space="preserve"> 3.0</w:t>
      </w:r>
      <w:r w:rsidRPr="00587085">
        <w:rPr>
          <w:b/>
          <w:bCs/>
          <w:i/>
          <w:iCs/>
          <w:lang w:val="en-GB"/>
        </w:rPr>
        <w:t>)</w:t>
      </w:r>
    </w:p>
    <w:p w14:paraId="0E94A3C5" w14:textId="3896B897" w:rsidR="00EB7036" w:rsidRPr="00587085" w:rsidRDefault="00741B8D" w:rsidP="004E0644">
      <w:pPr>
        <w:spacing w:after="0" w:line="240" w:lineRule="auto"/>
        <w:rPr>
          <w:lang w:val="en-GB"/>
        </w:rPr>
      </w:pPr>
      <w:r>
        <w:rPr>
          <w:noProof/>
          <w:lang w:val="en-GB"/>
        </w:rPr>
        <w:drawing>
          <wp:inline distT="0" distB="0" distL="0" distR="0" wp14:anchorId="09343D0B" wp14:editId="712CCEFD">
            <wp:extent cx="5731510" cy="3820795"/>
            <wp:effectExtent l="0" t="0" r="2540" b="8255"/>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57EFE7E6" w14:textId="671D3539" w:rsidR="00EB7036" w:rsidRDefault="00EB7036" w:rsidP="004E0644">
      <w:pPr>
        <w:spacing w:after="0" w:line="240" w:lineRule="auto"/>
        <w:rPr>
          <w:lang w:val="en-GB"/>
        </w:rPr>
      </w:pPr>
    </w:p>
    <w:p w14:paraId="668FBD39" w14:textId="77777777" w:rsidR="00A701F4" w:rsidRPr="00587085" w:rsidRDefault="00A701F4" w:rsidP="004E0644">
      <w:pPr>
        <w:spacing w:after="0" w:line="240" w:lineRule="auto"/>
        <w:rPr>
          <w:lang w:val="en-GB"/>
        </w:rPr>
      </w:pPr>
    </w:p>
    <w:p w14:paraId="5DD03396" w14:textId="7941DF17" w:rsidR="0021726A" w:rsidRPr="00F41111" w:rsidRDefault="00EB7036" w:rsidP="00F41111">
      <w:pPr>
        <w:jc w:val="both"/>
        <w:rPr>
          <w:lang w:val="en-GB"/>
        </w:rPr>
      </w:pPr>
      <w:r w:rsidRPr="00587085">
        <w:rPr>
          <w:lang w:val="en-GB"/>
        </w:rPr>
        <w:t xml:space="preserve">There </w:t>
      </w:r>
      <w:r w:rsidR="003D0FBB">
        <w:rPr>
          <w:lang w:val="en-GB"/>
        </w:rPr>
        <w:t>are no</w:t>
      </w:r>
      <w:r w:rsidR="00362DA4" w:rsidRPr="00587085">
        <w:rPr>
          <w:lang w:val="en-GB"/>
        </w:rPr>
        <w:t xml:space="preserve"> far-right part</w:t>
      </w:r>
      <w:r w:rsidR="003D0FBB">
        <w:rPr>
          <w:lang w:val="en-GB"/>
        </w:rPr>
        <w:t>ies</w:t>
      </w:r>
      <w:r w:rsidR="00362DA4" w:rsidRPr="00587085">
        <w:rPr>
          <w:lang w:val="en-GB"/>
        </w:rPr>
        <w:t xml:space="preserve"> </w:t>
      </w:r>
      <w:r w:rsidR="002A663B">
        <w:rPr>
          <w:lang w:val="en-GB"/>
        </w:rPr>
        <w:t xml:space="preserve">in The </w:t>
      </w:r>
      <w:proofErr w:type="spellStart"/>
      <w:r w:rsidR="002A663B">
        <w:rPr>
          <w:lang w:val="en-GB"/>
        </w:rPr>
        <w:t>PopuList</w:t>
      </w:r>
      <w:proofErr w:type="spellEnd"/>
      <w:r w:rsidR="002A663B">
        <w:rPr>
          <w:lang w:val="en-GB"/>
        </w:rPr>
        <w:t xml:space="preserve"> 3.0 </w:t>
      </w:r>
      <w:r w:rsidR="00362DA4" w:rsidRPr="00587085">
        <w:rPr>
          <w:lang w:val="en-GB"/>
        </w:rPr>
        <w:t xml:space="preserve">that score relatively low on far-right attitudes </w:t>
      </w:r>
      <w:r w:rsidR="002A663B" w:rsidRPr="00587085">
        <w:rPr>
          <w:lang w:val="en-GB"/>
        </w:rPr>
        <w:t xml:space="preserve">in the POPPA dataset </w:t>
      </w:r>
      <w:r w:rsidR="00362DA4" w:rsidRPr="00587085">
        <w:rPr>
          <w:lang w:val="en-GB"/>
        </w:rPr>
        <w:t xml:space="preserve">(i.e., below the </w:t>
      </w:r>
      <w:r w:rsidR="001B48B3" w:rsidRPr="00587085">
        <w:rPr>
          <w:lang w:val="en-GB"/>
        </w:rPr>
        <w:t>75</w:t>
      </w:r>
      <w:r w:rsidR="001B48B3" w:rsidRPr="00587085">
        <w:rPr>
          <w:vertAlign w:val="superscript"/>
          <w:lang w:val="en-GB"/>
        </w:rPr>
        <w:t>th</w:t>
      </w:r>
      <w:r w:rsidR="001B48B3" w:rsidRPr="00587085">
        <w:rPr>
          <w:lang w:val="en-GB"/>
        </w:rPr>
        <w:t xml:space="preserve"> percentile, which is</w:t>
      </w:r>
      <w:r w:rsidR="00362DA4" w:rsidRPr="00587085">
        <w:rPr>
          <w:lang w:val="en-GB"/>
        </w:rPr>
        <w:t xml:space="preserve"> </w:t>
      </w:r>
      <w:r w:rsidR="00EE2AFE" w:rsidRPr="00587085">
        <w:rPr>
          <w:lang w:val="en-GB"/>
        </w:rPr>
        <w:t>6.57</w:t>
      </w:r>
      <w:r w:rsidR="001B48B3" w:rsidRPr="00587085">
        <w:rPr>
          <w:lang w:val="en-GB"/>
        </w:rPr>
        <w:t>)</w:t>
      </w:r>
      <w:r w:rsidR="00162CE2" w:rsidRPr="00587085">
        <w:rPr>
          <w:lang w:val="en-GB"/>
        </w:rPr>
        <w:t>.</w:t>
      </w:r>
      <w:r w:rsidR="00D46C72">
        <w:rPr>
          <w:lang w:val="en-GB"/>
        </w:rPr>
        <w:t xml:space="preserve"> </w:t>
      </w:r>
      <w:r w:rsidR="0021726A" w:rsidRPr="00587085">
        <w:rPr>
          <w:lang w:val="en-GB"/>
        </w:rPr>
        <w:t xml:space="preserve">There </w:t>
      </w:r>
      <w:r w:rsidRPr="00587085">
        <w:rPr>
          <w:lang w:val="en-GB"/>
        </w:rPr>
        <w:t xml:space="preserve">are </w:t>
      </w:r>
      <w:r w:rsidR="003D0FBB">
        <w:rPr>
          <w:lang w:val="en-GB"/>
        </w:rPr>
        <w:t xml:space="preserve">also </w:t>
      </w:r>
      <w:r w:rsidRPr="00587085">
        <w:rPr>
          <w:lang w:val="en-GB"/>
        </w:rPr>
        <w:t xml:space="preserve">no parties </w:t>
      </w:r>
      <w:r w:rsidR="002A663B">
        <w:rPr>
          <w:lang w:val="en-GB"/>
        </w:rPr>
        <w:t>that</w:t>
      </w:r>
      <w:r w:rsidR="002A663B" w:rsidRPr="00587085">
        <w:rPr>
          <w:lang w:val="en-GB"/>
        </w:rPr>
        <w:t xml:space="preserve"> </w:t>
      </w:r>
      <w:r w:rsidR="00162CE2" w:rsidRPr="00587085">
        <w:rPr>
          <w:lang w:val="en-GB"/>
        </w:rPr>
        <w:t>have a far-right score above the 90</w:t>
      </w:r>
      <w:r w:rsidR="00162CE2" w:rsidRPr="00587085">
        <w:rPr>
          <w:vertAlign w:val="superscript"/>
          <w:lang w:val="en-GB"/>
        </w:rPr>
        <w:t>th</w:t>
      </w:r>
      <w:r w:rsidR="00162CE2" w:rsidRPr="00587085">
        <w:rPr>
          <w:lang w:val="en-GB"/>
        </w:rPr>
        <w:t xml:space="preserve"> percentile (= 8.74) in the POPPA da</w:t>
      </w:r>
      <w:r w:rsidR="003D6C83">
        <w:rPr>
          <w:lang w:val="en-GB"/>
        </w:rPr>
        <w:t>t</w:t>
      </w:r>
      <w:r w:rsidR="00162CE2" w:rsidRPr="00587085">
        <w:rPr>
          <w:lang w:val="en-GB"/>
        </w:rPr>
        <w:t xml:space="preserve">aset but </w:t>
      </w:r>
      <w:r w:rsidR="002A663B">
        <w:rPr>
          <w:lang w:val="en-GB"/>
        </w:rPr>
        <w:t xml:space="preserve">that </w:t>
      </w:r>
      <w:r w:rsidR="00162CE2" w:rsidRPr="00587085">
        <w:rPr>
          <w:lang w:val="en-GB"/>
        </w:rPr>
        <w:t xml:space="preserve">are not classified as far right in The </w:t>
      </w:r>
      <w:proofErr w:type="spellStart"/>
      <w:r w:rsidR="00162CE2" w:rsidRPr="00587085">
        <w:rPr>
          <w:lang w:val="en-GB"/>
        </w:rPr>
        <w:t>PopuList</w:t>
      </w:r>
      <w:proofErr w:type="spellEnd"/>
      <w:r w:rsidR="002A663B">
        <w:rPr>
          <w:lang w:val="en-GB"/>
        </w:rPr>
        <w:t xml:space="preserve"> 3.0</w:t>
      </w:r>
      <w:r w:rsidR="00162CE2" w:rsidRPr="00587085">
        <w:rPr>
          <w:lang w:val="en-GB"/>
        </w:rPr>
        <w:t xml:space="preserve">. </w:t>
      </w:r>
      <w:r w:rsidR="0021726A" w:rsidRPr="00587085">
        <w:rPr>
          <w:lang w:val="en-GB"/>
        </w:rPr>
        <w:t xml:space="preserve">This comparison shows that there is a </w:t>
      </w:r>
      <w:r w:rsidR="002A663B">
        <w:rPr>
          <w:lang w:val="en-GB"/>
        </w:rPr>
        <w:t>strong</w:t>
      </w:r>
      <w:r w:rsidR="0021726A" w:rsidRPr="00587085">
        <w:rPr>
          <w:lang w:val="en-GB"/>
        </w:rPr>
        <w:t xml:space="preserve"> overlap between the </w:t>
      </w:r>
      <w:r w:rsidR="003D6C83">
        <w:rPr>
          <w:lang w:val="en-GB"/>
        </w:rPr>
        <w:t>classification</w:t>
      </w:r>
      <w:r w:rsidR="003D6C83" w:rsidRPr="00587085">
        <w:rPr>
          <w:lang w:val="en-GB"/>
        </w:rPr>
        <w:t xml:space="preserve"> </w:t>
      </w:r>
      <w:r w:rsidR="0021726A" w:rsidRPr="00587085">
        <w:rPr>
          <w:lang w:val="en-GB"/>
        </w:rPr>
        <w:t xml:space="preserve">in The </w:t>
      </w:r>
      <w:proofErr w:type="spellStart"/>
      <w:r w:rsidR="0021726A" w:rsidRPr="00587085">
        <w:rPr>
          <w:lang w:val="en-GB"/>
        </w:rPr>
        <w:t>PopuList</w:t>
      </w:r>
      <w:proofErr w:type="spellEnd"/>
      <w:r w:rsidR="0021726A" w:rsidRPr="00587085">
        <w:rPr>
          <w:lang w:val="en-GB"/>
        </w:rPr>
        <w:t xml:space="preserve"> </w:t>
      </w:r>
      <w:r w:rsidR="002A663B">
        <w:rPr>
          <w:lang w:val="en-GB"/>
        </w:rPr>
        <w:t xml:space="preserve">3.0 </w:t>
      </w:r>
      <w:r w:rsidR="0021726A" w:rsidRPr="00587085">
        <w:rPr>
          <w:lang w:val="en-GB"/>
        </w:rPr>
        <w:t>and the continuous measure of POPPA</w:t>
      </w:r>
      <w:r w:rsidR="002A663B" w:rsidRPr="002A663B">
        <w:rPr>
          <w:lang w:val="en-GB"/>
        </w:rPr>
        <w:t xml:space="preserve"> </w:t>
      </w:r>
      <w:r w:rsidR="002A663B" w:rsidRPr="00587085">
        <w:rPr>
          <w:lang w:val="en-GB"/>
        </w:rPr>
        <w:t>when it comes to the far-right category</w:t>
      </w:r>
      <w:r w:rsidR="0021726A" w:rsidRPr="00587085">
        <w:rPr>
          <w:lang w:val="en-GB"/>
        </w:rPr>
        <w:t xml:space="preserve">. </w:t>
      </w:r>
    </w:p>
    <w:p w14:paraId="24A2425E" w14:textId="7FD8DBF9" w:rsidR="00341C72" w:rsidRPr="00587085" w:rsidRDefault="00341C72" w:rsidP="00A92EF7">
      <w:pPr>
        <w:spacing w:after="0" w:line="240" w:lineRule="auto"/>
        <w:jc w:val="both"/>
        <w:rPr>
          <w:lang w:val="en-GB"/>
        </w:rPr>
      </w:pPr>
    </w:p>
    <w:p w14:paraId="3D7BD8C4" w14:textId="67EF0B38" w:rsidR="00341C72" w:rsidRPr="00587085" w:rsidRDefault="00341C72" w:rsidP="00A92EF7">
      <w:pPr>
        <w:spacing w:after="0" w:line="240" w:lineRule="auto"/>
        <w:jc w:val="both"/>
        <w:rPr>
          <w:b/>
          <w:bCs/>
          <w:lang w:val="en-GB"/>
        </w:rPr>
      </w:pPr>
      <w:r w:rsidRPr="00587085">
        <w:rPr>
          <w:b/>
          <w:bCs/>
          <w:lang w:val="en-GB"/>
        </w:rPr>
        <w:t>The far left</w:t>
      </w:r>
    </w:p>
    <w:p w14:paraId="588E3F5B" w14:textId="642161FE" w:rsidR="00341C72" w:rsidRPr="00587085" w:rsidRDefault="00341C72" w:rsidP="00A92EF7">
      <w:pPr>
        <w:spacing w:after="0" w:line="240" w:lineRule="auto"/>
        <w:jc w:val="both"/>
        <w:rPr>
          <w:lang w:val="en-GB"/>
        </w:rPr>
      </w:pPr>
    </w:p>
    <w:p w14:paraId="6FB9489A" w14:textId="74F3EF19" w:rsidR="00341C72" w:rsidRPr="00587085" w:rsidRDefault="002A663B" w:rsidP="00A92EF7">
      <w:pPr>
        <w:spacing w:after="0" w:line="240" w:lineRule="auto"/>
        <w:jc w:val="both"/>
        <w:rPr>
          <w:lang w:val="en-GB"/>
        </w:rPr>
      </w:pPr>
      <w:r>
        <w:rPr>
          <w:lang w:val="en-GB"/>
        </w:rPr>
        <w:t>Finally, w</w:t>
      </w:r>
      <w:r w:rsidRPr="00587085">
        <w:rPr>
          <w:lang w:val="en-GB"/>
        </w:rPr>
        <w:t xml:space="preserve">e </w:t>
      </w:r>
      <w:r w:rsidR="00341C72" w:rsidRPr="00587085">
        <w:rPr>
          <w:lang w:val="en-GB"/>
        </w:rPr>
        <w:t xml:space="preserve">used a party’s position </w:t>
      </w:r>
      <w:r w:rsidR="00E10865" w:rsidRPr="00587085">
        <w:rPr>
          <w:lang w:val="en-GB"/>
        </w:rPr>
        <w:t>on socioeconomic issues</w:t>
      </w:r>
      <w:r w:rsidR="00945550">
        <w:rPr>
          <w:lang w:val="en-GB"/>
        </w:rPr>
        <w:t xml:space="preserve"> in </w:t>
      </w:r>
      <w:r w:rsidR="003D0200">
        <w:rPr>
          <w:lang w:val="en-GB"/>
        </w:rPr>
        <w:t xml:space="preserve">the </w:t>
      </w:r>
      <w:r w:rsidR="00945550">
        <w:rPr>
          <w:lang w:val="en-GB"/>
        </w:rPr>
        <w:t>POPPA</w:t>
      </w:r>
      <w:r w:rsidR="003D0200">
        <w:rPr>
          <w:lang w:val="en-GB"/>
        </w:rPr>
        <w:t xml:space="preserve"> dataset</w:t>
      </w:r>
      <w:r w:rsidR="00E10865" w:rsidRPr="00587085">
        <w:rPr>
          <w:lang w:val="en-GB"/>
        </w:rPr>
        <w:t xml:space="preserve"> </w:t>
      </w:r>
      <w:r w:rsidR="00341C72" w:rsidRPr="00587085">
        <w:rPr>
          <w:lang w:val="en-GB"/>
        </w:rPr>
        <w:t xml:space="preserve">as a proxy for </w:t>
      </w:r>
      <w:r w:rsidR="00315587" w:rsidRPr="00587085">
        <w:rPr>
          <w:lang w:val="en-GB"/>
        </w:rPr>
        <w:t>far</w:t>
      </w:r>
      <w:r w:rsidR="00F4654E" w:rsidRPr="00587085">
        <w:rPr>
          <w:lang w:val="en-GB"/>
        </w:rPr>
        <w:t>-</w:t>
      </w:r>
      <w:r w:rsidR="00341C72" w:rsidRPr="00587085">
        <w:rPr>
          <w:lang w:val="en-GB"/>
        </w:rPr>
        <w:t xml:space="preserve">left ideology. </w:t>
      </w:r>
      <w:r>
        <w:rPr>
          <w:lang w:val="en-GB"/>
        </w:rPr>
        <w:t>To be clear, s</w:t>
      </w:r>
      <w:r w:rsidRPr="00587085">
        <w:rPr>
          <w:lang w:val="en-GB"/>
        </w:rPr>
        <w:t xml:space="preserve">uch </w:t>
      </w:r>
      <w:r w:rsidR="00E10865" w:rsidRPr="00587085">
        <w:rPr>
          <w:lang w:val="en-GB"/>
        </w:rPr>
        <w:t xml:space="preserve">a measure is far from ideal. One key </w:t>
      </w:r>
      <w:r>
        <w:rPr>
          <w:lang w:val="en-GB"/>
        </w:rPr>
        <w:t>problem</w:t>
      </w:r>
      <w:r w:rsidRPr="00587085">
        <w:rPr>
          <w:lang w:val="en-GB"/>
        </w:rPr>
        <w:t xml:space="preserve"> </w:t>
      </w:r>
      <w:r w:rsidR="00E10865" w:rsidRPr="00587085">
        <w:rPr>
          <w:lang w:val="en-GB"/>
        </w:rPr>
        <w:t xml:space="preserve">with this measure is that many parties with ideologies that are not </w:t>
      </w:r>
      <w:r w:rsidR="005A2FE7" w:rsidRPr="00587085">
        <w:rPr>
          <w:lang w:val="en-GB"/>
        </w:rPr>
        <w:t>far</w:t>
      </w:r>
      <w:r w:rsidR="005D08D4">
        <w:rPr>
          <w:lang w:val="en-GB"/>
        </w:rPr>
        <w:t xml:space="preserve"> </w:t>
      </w:r>
      <w:r w:rsidR="00E10865" w:rsidRPr="00587085">
        <w:rPr>
          <w:lang w:val="en-GB"/>
        </w:rPr>
        <w:t>left score high on this value. Think</w:t>
      </w:r>
      <w:r w:rsidR="00945550">
        <w:rPr>
          <w:lang w:val="en-GB"/>
        </w:rPr>
        <w:t>, for example,</w:t>
      </w:r>
      <w:r w:rsidR="00E10865" w:rsidRPr="00587085">
        <w:rPr>
          <w:lang w:val="en-GB"/>
        </w:rPr>
        <w:t xml:space="preserve"> of green parties. </w:t>
      </w:r>
      <w:r>
        <w:rPr>
          <w:lang w:val="en-GB"/>
        </w:rPr>
        <w:t>But</w:t>
      </w:r>
      <w:r w:rsidRPr="00587085">
        <w:rPr>
          <w:lang w:val="en-GB"/>
        </w:rPr>
        <w:t xml:space="preserve"> </w:t>
      </w:r>
      <w:r w:rsidR="00E10865" w:rsidRPr="00587085">
        <w:rPr>
          <w:lang w:val="en-GB"/>
        </w:rPr>
        <w:t xml:space="preserve">the item taps into the far-left ideology at least to some extent. </w:t>
      </w:r>
      <w:r w:rsidR="00341C72" w:rsidRPr="00587085">
        <w:rPr>
          <w:lang w:val="en-GB"/>
        </w:rPr>
        <w:t xml:space="preserve">The item (recoded) measures to what extent </w:t>
      </w:r>
      <w:r w:rsidR="00F4654E" w:rsidRPr="00587085">
        <w:rPr>
          <w:lang w:val="en-GB"/>
        </w:rPr>
        <w:t>a</w:t>
      </w:r>
      <w:r w:rsidR="00341C72" w:rsidRPr="00587085">
        <w:rPr>
          <w:lang w:val="en-GB"/>
        </w:rPr>
        <w:t xml:space="preserve"> party is in favo</w:t>
      </w:r>
      <w:r w:rsidR="00060FB8">
        <w:rPr>
          <w:lang w:val="en-GB"/>
        </w:rPr>
        <w:t>u</w:t>
      </w:r>
      <w:r w:rsidR="00341C72" w:rsidRPr="00587085">
        <w:rPr>
          <w:lang w:val="en-GB"/>
        </w:rPr>
        <w:t>r of a reduced government role in the economy (0) versus an active government role in the economy (10).</w:t>
      </w:r>
    </w:p>
    <w:p w14:paraId="7EDD30D7" w14:textId="06A7938E" w:rsidR="00341C72" w:rsidRPr="00587085" w:rsidRDefault="00341C72" w:rsidP="00A92EF7">
      <w:pPr>
        <w:spacing w:after="0" w:line="240" w:lineRule="auto"/>
        <w:jc w:val="both"/>
        <w:rPr>
          <w:lang w:val="en-GB"/>
        </w:rPr>
      </w:pPr>
    </w:p>
    <w:p w14:paraId="67A03FA0" w14:textId="09F220AB" w:rsidR="004B0CC5" w:rsidRPr="00587085" w:rsidRDefault="002A663B" w:rsidP="00A92EF7">
      <w:pPr>
        <w:spacing w:after="0" w:line="240" w:lineRule="auto"/>
        <w:jc w:val="both"/>
        <w:rPr>
          <w:lang w:val="en-GB"/>
        </w:rPr>
      </w:pPr>
      <w:r>
        <w:rPr>
          <w:lang w:val="en-GB"/>
        </w:rPr>
        <w:t>Unsurprisingly, t</w:t>
      </w:r>
      <w:r w:rsidRPr="00587085">
        <w:rPr>
          <w:lang w:val="en-GB"/>
        </w:rPr>
        <w:t xml:space="preserve">he </w:t>
      </w:r>
      <w:r w:rsidR="00341C72" w:rsidRPr="00587085">
        <w:rPr>
          <w:lang w:val="en-GB"/>
        </w:rPr>
        <w:t xml:space="preserve">point-biserial correlation </w:t>
      </w:r>
      <w:r w:rsidR="00E10865" w:rsidRPr="00587085">
        <w:rPr>
          <w:lang w:val="en-GB"/>
        </w:rPr>
        <w:t>is relatively low</w:t>
      </w:r>
      <w:r>
        <w:rPr>
          <w:lang w:val="en-GB"/>
        </w:rPr>
        <w:t xml:space="preserve"> (</w:t>
      </w:r>
      <w:r w:rsidRPr="00587085">
        <w:rPr>
          <w:i/>
          <w:iCs/>
          <w:lang w:val="en-GB"/>
        </w:rPr>
        <w:t xml:space="preserve">r </w:t>
      </w:r>
      <w:r w:rsidRPr="00587085">
        <w:rPr>
          <w:lang w:val="en-GB"/>
        </w:rPr>
        <w:t>= 0.5</w:t>
      </w:r>
      <w:r w:rsidR="00400159">
        <w:rPr>
          <w:lang w:val="en-GB"/>
        </w:rPr>
        <w:t>1</w:t>
      </w:r>
      <w:r>
        <w:rPr>
          <w:lang w:val="en-GB"/>
        </w:rPr>
        <w:t>)</w:t>
      </w:r>
      <w:r w:rsidR="00E10865" w:rsidRPr="00587085">
        <w:rPr>
          <w:lang w:val="en-GB"/>
        </w:rPr>
        <w:t xml:space="preserve">, also compared </w:t>
      </w:r>
      <w:r w:rsidR="00FA4933" w:rsidRPr="00587085">
        <w:rPr>
          <w:lang w:val="en-GB"/>
        </w:rPr>
        <w:t>to</w:t>
      </w:r>
      <w:r w:rsidR="00E10865" w:rsidRPr="00587085">
        <w:rPr>
          <w:lang w:val="en-GB"/>
        </w:rPr>
        <w:t xml:space="preserve"> the </w:t>
      </w:r>
      <w:r w:rsidR="00FA4933" w:rsidRPr="00587085">
        <w:rPr>
          <w:lang w:val="en-GB"/>
        </w:rPr>
        <w:t>correlations presented</w:t>
      </w:r>
      <w:r w:rsidR="00E10865" w:rsidRPr="00587085">
        <w:rPr>
          <w:lang w:val="en-GB"/>
        </w:rPr>
        <w:t xml:space="preserve"> above.</w:t>
      </w:r>
      <w:r w:rsidR="00FA4933" w:rsidRPr="00587085">
        <w:rPr>
          <w:lang w:val="en-GB"/>
        </w:rPr>
        <w:t xml:space="preserve"> </w:t>
      </w:r>
      <w:r w:rsidR="00A53FB6" w:rsidRPr="00587085">
        <w:rPr>
          <w:lang w:val="en-GB"/>
        </w:rPr>
        <w:t xml:space="preserve">The mean economic position of far-left parties (excluding borderline cases) is </w:t>
      </w:r>
      <w:r w:rsidR="00637881" w:rsidRPr="00587085">
        <w:rPr>
          <w:i/>
          <w:iCs/>
          <w:lang w:val="en-GB"/>
        </w:rPr>
        <w:t>M</w:t>
      </w:r>
      <w:r w:rsidR="00A53FB6" w:rsidRPr="00587085">
        <w:rPr>
          <w:lang w:val="en-GB"/>
        </w:rPr>
        <w:t xml:space="preserve"> = 8.5</w:t>
      </w:r>
      <w:r w:rsidR="00400159">
        <w:rPr>
          <w:lang w:val="en-GB"/>
        </w:rPr>
        <w:t>5</w:t>
      </w:r>
      <w:r w:rsidR="00A53FB6" w:rsidRPr="00587085">
        <w:rPr>
          <w:lang w:val="en-GB"/>
        </w:rPr>
        <w:t xml:space="preserve"> (</w:t>
      </w:r>
      <w:r w:rsidR="00A53FB6" w:rsidRPr="00587085">
        <w:rPr>
          <w:i/>
          <w:iCs/>
          <w:lang w:val="en-GB"/>
        </w:rPr>
        <w:t>n</w:t>
      </w:r>
      <w:r w:rsidR="00A53FB6" w:rsidRPr="00587085">
        <w:rPr>
          <w:lang w:val="en-GB"/>
        </w:rPr>
        <w:t xml:space="preserve"> = 1</w:t>
      </w:r>
      <w:r w:rsidR="00400159">
        <w:rPr>
          <w:lang w:val="en-GB"/>
        </w:rPr>
        <w:t>6</w:t>
      </w:r>
      <w:r w:rsidR="00A53FB6" w:rsidRPr="00587085">
        <w:rPr>
          <w:lang w:val="en-GB"/>
        </w:rPr>
        <w:t xml:space="preserve">, min = 6.38 / max = 9.77). The mean among other parties is </w:t>
      </w:r>
      <w:r w:rsidR="00637881" w:rsidRPr="00587085">
        <w:rPr>
          <w:i/>
          <w:iCs/>
          <w:lang w:val="en-GB"/>
        </w:rPr>
        <w:t>M</w:t>
      </w:r>
      <w:r w:rsidR="00A53FB6" w:rsidRPr="00587085">
        <w:rPr>
          <w:lang w:val="en-GB"/>
        </w:rPr>
        <w:t xml:space="preserve"> = 4.7</w:t>
      </w:r>
      <w:r w:rsidR="00400159">
        <w:rPr>
          <w:lang w:val="en-GB"/>
        </w:rPr>
        <w:t>7</w:t>
      </w:r>
      <w:r w:rsidR="00A53FB6" w:rsidRPr="00587085">
        <w:rPr>
          <w:lang w:val="en-GB"/>
        </w:rPr>
        <w:t xml:space="preserve"> (</w:t>
      </w:r>
      <w:r w:rsidR="00A53FB6" w:rsidRPr="00587085">
        <w:rPr>
          <w:i/>
          <w:iCs/>
          <w:lang w:val="en-GB"/>
        </w:rPr>
        <w:t>n</w:t>
      </w:r>
      <w:r w:rsidR="00A53FB6" w:rsidRPr="00587085">
        <w:rPr>
          <w:lang w:val="en-GB"/>
        </w:rPr>
        <w:t xml:space="preserve"> = 221, min = 0.29 / max = 9.20). This is a big difference</w:t>
      </w:r>
      <w:r w:rsidR="004B0CC5" w:rsidRPr="00587085">
        <w:rPr>
          <w:lang w:val="en-GB"/>
        </w:rPr>
        <w:t xml:space="preserve"> that is statistically significant (</w:t>
      </w:r>
      <w:r w:rsidR="004B0CC5" w:rsidRPr="00587085">
        <w:rPr>
          <w:i/>
          <w:iCs/>
          <w:lang w:val="en-GB"/>
        </w:rPr>
        <w:t>t</w:t>
      </w:r>
      <w:r w:rsidR="004B0CC5" w:rsidRPr="00587085">
        <w:rPr>
          <w:lang w:val="en-GB"/>
        </w:rPr>
        <w:t xml:space="preserve"> = -1</w:t>
      </w:r>
      <w:r w:rsidR="00741B8D">
        <w:rPr>
          <w:lang w:val="en-GB"/>
        </w:rPr>
        <w:t>4</w:t>
      </w:r>
      <w:r w:rsidR="004B0CC5" w:rsidRPr="00587085">
        <w:rPr>
          <w:lang w:val="en-GB"/>
        </w:rPr>
        <w:t>.</w:t>
      </w:r>
      <w:r w:rsidR="00741B8D">
        <w:rPr>
          <w:lang w:val="en-GB"/>
        </w:rPr>
        <w:t>7</w:t>
      </w:r>
      <w:r w:rsidR="004B0CC5" w:rsidRPr="00587085">
        <w:rPr>
          <w:lang w:val="en-GB"/>
        </w:rPr>
        <w:t xml:space="preserve">2, </w:t>
      </w:r>
      <w:r w:rsidR="004B0CC5" w:rsidRPr="00587085">
        <w:rPr>
          <w:i/>
          <w:iCs/>
          <w:lang w:val="en-GB"/>
        </w:rPr>
        <w:t>p</w:t>
      </w:r>
      <w:r w:rsidR="004B0CC5" w:rsidRPr="00587085">
        <w:rPr>
          <w:lang w:val="en-GB"/>
        </w:rPr>
        <w:t xml:space="preserve"> &lt; 0.0001)</w:t>
      </w:r>
      <w:r w:rsidR="00A53FB6" w:rsidRPr="00587085">
        <w:rPr>
          <w:lang w:val="en-GB"/>
        </w:rPr>
        <w:t>.</w:t>
      </w:r>
      <w:r w:rsidR="004B0CC5" w:rsidRPr="00587085">
        <w:rPr>
          <w:lang w:val="en-GB"/>
        </w:rPr>
        <w:t xml:space="preserve"> See Figure 3 below.</w:t>
      </w:r>
    </w:p>
    <w:p w14:paraId="2A98778D" w14:textId="12925936" w:rsidR="00A53FB6" w:rsidRPr="00587085" w:rsidRDefault="00A53FB6" w:rsidP="00A92EF7">
      <w:pPr>
        <w:spacing w:after="0" w:line="240" w:lineRule="auto"/>
        <w:jc w:val="both"/>
        <w:rPr>
          <w:lang w:val="en-GB"/>
        </w:rPr>
      </w:pPr>
    </w:p>
    <w:p w14:paraId="13751A8D" w14:textId="0E8853F7" w:rsidR="004B0CC5" w:rsidRPr="00587085" w:rsidRDefault="004B0CC5" w:rsidP="00A92EF7">
      <w:pPr>
        <w:spacing w:after="0" w:line="240" w:lineRule="auto"/>
        <w:jc w:val="both"/>
        <w:rPr>
          <w:lang w:val="en-GB"/>
        </w:rPr>
      </w:pPr>
    </w:p>
    <w:p w14:paraId="1F09DBD0" w14:textId="58426D10" w:rsidR="004B0CC5" w:rsidRPr="00587085" w:rsidRDefault="004B0CC5" w:rsidP="00A92EF7">
      <w:pPr>
        <w:spacing w:after="0" w:line="240" w:lineRule="auto"/>
        <w:jc w:val="both"/>
        <w:rPr>
          <w:lang w:val="en-GB"/>
        </w:rPr>
      </w:pPr>
    </w:p>
    <w:p w14:paraId="075EE8FD" w14:textId="5F1CF425" w:rsidR="004B0CC5" w:rsidRPr="00587085" w:rsidRDefault="004B0CC5" w:rsidP="00A92EF7">
      <w:pPr>
        <w:spacing w:after="0" w:line="240" w:lineRule="auto"/>
        <w:jc w:val="both"/>
        <w:rPr>
          <w:lang w:val="en-GB"/>
        </w:rPr>
      </w:pPr>
    </w:p>
    <w:p w14:paraId="74CF1F28" w14:textId="77777777" w:rsidR="004B0CC5" w:rsidRPr="00587085" w:rsidRDefault="004B0CC5" w:rsidP="00A92EF7">
      <w:pPr>
        <w:spacing w:after="0" w:line="240" w:lineRule="auto"/>
        <w:jc w:val="both"/>
        <w:rPr>
          <w:lang w:val="en-GB"/>
        </w:rPr>
      </w:pPr>
    </w:p>
    <w:p w14:paraId="67B1AF58" w14:textId="33175607" w:rsidR="004B0CC5" w:rsidRPr="00587085" w:rsidRDefault="004B0CC5" w:rsidP="00A92EF7">
      <w:pPr>
        <w:spacing w:after="0" w:line="240" w:lineRule="auto"/>
        <w:jc w:val="both"/>
        <w:rPr>
          <w:b/>
          <w:bCs/>
          <w:i/>
          <w:iCs/>
          <w:lang w:val="en-GB"/>
        </w:rPr>
      </w:pPr>
      <w:r w:rsidRPr="00587085">
        <w:rPr>
          <w:b/>
          <w:bCs/>
          <w:i/>
          <w:iCs/>
          <w:lang w:val="en-GB"/>
        </w:rPr>
        <w:t xml:space="preserve">Figure 3. Comparing the mean far-left scores (by POPPA) for parties that are </w:t>
      </w:r>
      <w:r w:rsidR="00060FB8">
        <w:rPr>
          <w:b/>
          <w:bCs/>
          <w:i/>
          <w:iCs/>
          <w:lang w:val="en-GB"/>
        </w:rPr>
        <w:t>classified</w:t>
      </w:r>
      <w:r w:rsidR="00060FB8" w:rsidRPr="00587085">
        <w:rPr>
          <w:b/>
          <w:bCs/>
          <w:i/>
          <w:iCs/>
          <w:lang w:val="en-GB"/>
        </w:rPr>
        <w:t xml:space="preserve"> </w:t>
      </w:r>
      <w:r w:rsidRPr="00587085">
        <w:rPr>
          <w:b/>
          <w:bCs/>
          <w:i/>
          <w:iCs/>
          <w:lang w:val="en-GB"/>
        </w:rPr>
        <w:t>as far</w:t>
      </w:r>
      <w:r w:rsidR="00060FB8">
        <w:rPr>
          <w:b/>
          <w:bCs/>
          <w:i/>
          <w:iCs/>
          <w:lang w:val="en-GB"/>
        </w:rPr>
        <w:t xml:space="preserve"> </w:t>
      </w:r>
      <w:r w:rsidRPr="00587085">
        <w:rPr>
          <w:b/>
          <w:bCs/>
          <w:i/>
          <w:iCs/>
          <w:lang w:val="en-GB"/>
        </w:rPr>
        <w:t>left versus not far</w:t>
      </w:r>
      <w:r w:rsidR="00060FB8">
        <w:rPr>
          <w:b/>
          <w:bCs/>
          <w:i/>
          <w:iCs/>
          <w:lang w:val="en-GB"/>
        </w:rPr>
        <w:t xml:space="preserve"> </w:t>
      </w:r>
      <w:r w:rsidRPr="00587085">
        <w:rPr>
          <w:b/>
          <w:bCs/>
          <w:i/>
          <w:iCs/>
          <w:lang w:val="en-GB"/>
        </w:rPr>
        <w:t xml:space="preserve">left (by The </w:t>
      </w:r>
      <w:proofErr w:type="spellStart"/>
      <w:r w:rsidRPr="00587085">
        <w:rPr>
          <w:b/>
          <w:bCs/>
          <w:i/>
          <w:iCs/>
          <w:lang w:val="en-GB"/>
        </w:rPr>
        <w:t>PopuList</w:t>
      </w:r>
      <w:proofErr w:type="spellEnd"/>
      <w:r w:rsidR="002A663B">
        <w:rPr>
          <w:b/>
          <w:bCs/>
          <w:i/>
          <w:iCs/>
          <w:lang w:val="en-GB"/>
        </w:rPr>
        <w:t xml:space="preserve"> 3.0</w:t>
      </w:r>
      <w:r w:rsidRPr="00587085">
        <w:rPr>
          <w:b/>
          <w:bCs/>
          <w:i/>
          <w:iCs/>
          <w:lang w:val="en-GB"/>
        </w:rPr>
        <w:t>)</w:t>
      </w:r>
    </w:p>
    <w:p w14:paraId="0A40736B" w14:textId="0D9A1E1E" w:rsidR="004B0CC5" w:rsidRPr="00587085" w:rsidRDefault="00741B8D" w:rsidP="00341C72">
      <w:pPr>
        <w:spacing w:after="0" w:line="240" w:lineRule="auto"/>
        <w:rPr>
          <w:lang w:val="en-GB"/>
        </w:rPr>
      </w:pPr>
      <w:r>
        <w:rPr>
          <w:noProof/>
          <w:lang w:val="en-GB"/>
        </w:rPr>
        <w:drawing>
          <wp:inline distT="0" distB="0" distL="0" distR="0" wp14:anchorId="6C820A23" wp14:editId="48CECC46">
            <wp:extent cx="5731510" cy="3820795"/>
            <wp:effectExtent l="0" t="0" r="2540" b="8255"/>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4B0EE2EF" w14:textId="335B14AA" w:rsidR="00A53FB6" w:rsidRDefault="00A53FB6" w:rsidP="00341C72">
      <w:pPr>
        <w:spacing w:after="0" w:line="240" w:lineRule="auto"/>
        <w:rPr>
          <w:lang w:val="en-GB"/>
        </w:rPr>
      </w:pPr>
    </w:p>
    <w:p w14:paraId="4834993F" w14:textId="77777777" w:rsidR="00A701F4" w:rsidRPr="00587085" w:rsidRDefault="00A701F4" w:rsidP="00341C72">
      <w:pPr>
        <w:spacing w:after="0" w:line="240" w:lineRule="auto"/>
        <w:rPr>
          <w:lang w:val="en-GB"/>
        </w:rPr>
      </w:pPr>
    </w:p>
    <w:p w14:paraId="69ED68A3" w14:textId="33F17E47" w:rsidR="00A53FB6" w:rsidRPr="00587085" w:rsidRDefault="00A53FB6" w:rsidP="00A92EF7">
      <w:pPr>
        <w:spacing w:after="0" w:line="240" w:lineRule="auto"/>
        <w:jc w:val="both"/>
        <w:rPr>
          <w:lang w:val="en-GB"/>
        </w:rPr>
      </w:pPr>
      <w:r w:rsidRPr="00587085">
        <w:rPr>
          <w:lang w:val="en-GB"/>
        </w:rPr>
        <w:t xml:space="preserve">There </w:t>
      </w:r>
      <w:r w:rsidR="00637881" w:rsidRPr="00587085">
        <w:rPr>
          <w:lang w:val="en-GB"/>
        </w:rPr>
        <w:t>is one</w:t>
      </w:r>
      <w:r w:rsidRPr="00587085">
        <w:rPr>
          <w:lang w:val="en-GB"/>
        </w:rPr>
        <w:t xml:space="preserve"> far-left part</w:t>
      </w:r>
      <w:r w:rsidR="00637881" w:rsidRPr="00587085">
        <w:rPr>
          <w:lang w:val="en-GB"/>
        </w:rPr>
        <w:t>y</w:t>
      </w:r>
      <w:r w:rsidRPr="00587085">
        <w:rPr>
          <w:lang w:val="en-GB"/>
        </w:rPr>
        <w:t xml:space="preserve"> </w:t>
      </w:r>
      <w:r w:rsidR="002A663B">
        <w:rPr>
          <w:lang w:val="en-GB"/>
        </w:rPr>
        <w:t xml:space="preserve">in The </w:t>
      </w:r>
      <w:proofErr w:type="spellStart"/>
      <w:r w:rsidR="002A663B">
        <w:rPr>
          <w:lang w:val="en-GB"/>
        </w:rPr>
        <w:t>PopuList</w:t>
      </w:r>
      <w:proofErr w:type="spellEnd"/>
      <w:r w:rsidR="002A663B">
        <w:rPr>
          <w:lang w:val="en-GB"/>
        </w:rPr>
        <w:t xml:space="preserve"> 3.0 </w:t>
      </w:r>
      <w:r w:rsidRPr="00587085">
        <w:rPr>
          <w:lang w:val="en-GB"/>
        </w:rPr>
        <w:t>that score</w:t>
      </w:r>
      <w:r w:rsidR="00637881" w:rsidRPr="00587085">
        <w:rPr>
          <w:lang w:val="en-GB"/>
        </w:rPr>
        <w:t>s</w:t>
      </w:r>
      <w:r w:rsidRPr="00587085">
        <w:rPr>
          <w:lang w:val="en-GB"/>
        </w:rPr>
        <w:t xml:space="preserve"> below the </w:t>
      </w:r>
      <w:r w:rsidR="00637881" w:rsidRPr="00587085">
        <w:rPr>
          <w:lang w:val="en-GB"/>
        </w:rPr>
        <w:t>75</w:t>
      </w:r>
      <w:r w:rsidR="00637881" w:rsidRPr="00587085">
        <w:rPr>
          <w:vertAlign w:val="superscript"/>
          <w:lang w:val="en-GB"/>
        </w:rPr>
        <w:t>th</w:t>
      </w:r>
      <w:r w:rsidR="00637881" w:rsidRPr="00587085">
        <w:rPr>
          <w:lang w:val="en-GB"/>
        </w:rPr>
        <w:t xml:space="preserve"> percentile</w:t>
      </w:r>
      <w:r w:rsidRPr="00587085">
        <w:rPr>
          <w:lang w:val="en-GB"/>
        </w:rPr>
        <w:t xml:space="preserve"> </w:t>
      </w:r>
      <w:r w:rsidR="002A663B">
        <w:rPr>
          <w:lang w:val="en-GB"/>
        </w:rPr>
        <w:t xml:space="preserve">in the POPPA dataset, </w:t>
      </w:r>
      <w:r w:rsidRPr="00587085">
        <w:rPr>
          <w:lang w:val="en-GB"/>
        </w:rPr>
        <w:t xml:space="preserve">which is </w:t>
      </w:r>
      <w:r w:rsidR="00637881" w:rsidRPr="00587085">
        <w:rPr>
          <w:lang w:val="en-GB"/>
        </w:rPr>
        <w:t>6.80</w:t>
      </w:r>
      <w:r w:rsidR="004B0CC5" w:rsidRPr="00587085">
        <w:rPr>
          <w:lang w:val="en-GB"/>
        </w:rPr>
        <w:t xml:space="preserve">. This </w:t>
      </w:r>
      <w:r w:rsidR="00C370BB">
        <w:rPr>
          <w:lang w:val="en-GB"/>
        </w:rPr>
        <w:t xml:space="preserve">is the Slovene </w:t>
      </w:r>
      <w:r w:rsidR="004B0CC5" w:rsidRPr="00587085">
        <w:rPr>
          <w:lang w:val="en-GB"/>
        </w:rPr>
        <w:t xml:space="preserve">party </w:t>
      </w:r>
      <w:proofErr w:type="spellStart"/>
      <w:r w:rsidR="002824E4">
        <w:rPr>
          <w:lang w:val="en-GB"/>
        </w:rPr>
        <w:t>Levica</w:t>
      </w:r>
      <w:proofErr w:type="spellEnd"/>
      <w:r w:rsidR="004B0CC5" w:rsidRPr="00587085">
        <w:rPr>
          <w:lang w:val="en-GB"/>
        </w:rPr>
        <w:t xml:space="preserve">, </w:t>
      </w:r>
      <w:r w:rsidR="00C370BB">
        <w:rPr>
          <w:lang w:val="en-GB"/>
        </w:rPr>
        <w:t>which</w:t>
      </w:r>
      <w:r w:rsidR="004B0CC5" w:rsidRPr="00587085">
        <w:rPr>
          <w:lang w:val="en-GB"/>
        </w:rPr>
        <w:t xml:space="preserve"> supported a </w:t>
      </w:r>
      <w:r w:rsidR="00C370BB">
        <w:rPr>
          <w:lang w:val="en-GB"/>
        </w:rPr>
        <w:t xml:space="preserve">previous </w:t>
      </w:r>
      <w:r w:rsidR="004B0CC5" w:rsidRPr="00587085">
        <w:rPr>
          <w:lang w:val="en-GB"/>
        </w:rPr>
        <w:t>government coalition and</w:t>
      </w:r>
      <w:r w:rsidR="00F2231E">
        <w:rPr>
          <w:lang w:val="en-GB"/>
        </w:rPr>
        <w:t>, at the time of writing,</w:t>
      </w:r>
      <w:r w:rsidR="004B0CC5" w:rsidRPr="00587085">
        <w:rPr>
          <w:lang w:val="en-GB"/>
        </w:rPr>
        <w:t xml:space="preserve"> is </w:t>
      </w:r>
      <w:r w:rsidR="00F2231E">
        <w:rPr>
          <w:lang w:val="en-GB"/>
        </w:rPr>
        <w:t>part of the government coalition</w:t>
      </w:r>
      <w:r w:rsidR="004B0CC5" w:rsidRPr="00587085">
        <w:rPr>
          <w:lang w:val="en-GB"/>
        </w:rPr>
        <w:t xml:space="preserve"> </w:t>
      </w:r>
      <w:r w:rsidR="00C370BB">
        <w:rPr>
          <w:lang w:val="en-GB"/>
        </w:rPr>
        <w:t>(</w:t>
      </w:r>
      <w:r w:rsidR="004B0CC5" w:rsidRPr="00587085">
        <w:rPr>
          <w:lang w:val="en-GB"/>
        </w:rPr>
        <w:t xml:space="preserve">but this is after POPPA was in the field). The government support might have caused coders to see the party as relatively moderate. </w:t>
      </w:r>
      <w:r w:rsidRPr="00587085">
        <w:rPr>
          <w:lang w:val="en-GB"/>
        </w:rPr>
        <w:t xml:space="preserve">There </w:t>
      </w:r>
      <w:r w:rsidR="00523961">
        <w:rPr>
          <w:lang w:val="en-GB"/>
        </w:rPr>
        <w:t xml:space="preserve">is </w:t>
      </w:r>
      <w:r w:rsidR="00741B8D">
        <w:rPr>
          <w:lang w:val="en-GB"/>
        </w:rPr>
        <w:t xml:space="preserve">also </w:t>
      </w:r>
      <w:r w:rsidR="00523961">
        <w:rPr>
          <w:lang w:val="en-GB"/>
        </w:rPr>
        <w:t>one</w:t>
      </w:r>
      <w:r w:rsidRPr="00587085">
        <w:rPr>
          <w:lang w:val="en-GB"/>
        </w:rPr>
        <w:t xml:space="preserve"> part</w:t>
      </w:r>
      <w:r w:rsidR="00523961">
        <w:rPr>
          <w:lang w:val="en-GB"/>
        </w:rPr>
        <w:t>y</w:t>
      </w:r>
      <w:r w:rsidR="005E2328">
        <w:rPr>
          <w:lang w:val="en-GB"/>
        </w:rPr>
        <w:t xml:space="preserve"> not classified as far left in The </w:t>
      </w:r>
      <w:proofErr w:type="spellStart"/>
      <w:r w:rsidR="005E2328">
        <w:rPr>
          <w:lang w:val="en-GB"/>
        </w:rPr>
        <w:t>PopuList</w:t>
      </w:r>
      <w:proofErr w:type="spellEnd"/>
      <w:r w:rsidRPr="00587085">
        <w:rPr>
          <w:lang w:val="en-GB"/>
        </w:rPr>
        <w:t xml:space="preserve"> that score</w:t>
      </w:r>
      <w:r w:rsidR="00523961">
        <w:rPr>
          <w:lang w:val="en-GB"/>
        </w:rPr>
        <w:t>s</w:t>
      </w:r>
      <w:r w:rsidRPr="00587085">
        <w:rPr>
          <w:lang w:val="en-GB"/>
        </w:rPr>
        <w:t xml:space="preserve"> above the </w:t>
      </w:r>
      <w:r w:rsidR="00637881" w:rsidRPr="00587085">
        <w:rPr>
          <w:lang w:val="en-GB"/>
        </w:rPr>
        <w:t>overall 90</w:t>
      </w:r>
      <w:r w:rsidR="00637881" w:rsidRPr="00587085">
        <w:rPr>
          <w:vertAlign w:val="superscript"/>
          <w:lang w:val="en-GB"/>
        </w:rPr>
        <w:t>th</w:t>
      </w:r>
      <w:r w:rsidR="00637881" w:rsidRPr="00587085">
        <w:rPr>
          <w:lang w:val="en-GB"/>
        </w:rPr>
        <w:t xml:space="preserve"> percentile</w:t>
      </w:r>
      <w:r w:rsidR="005E2328">
        <w:rPr>
          <w:lang w:val="en-GB"/>
        </w:rPr>
        <w:t xml:space="preserve"> in the POPPA dataset</w:t>
      </w:r>
      <w:r w:rsidR="004B0CC5" w:rsidRPr="00587085">
        <w:rPr>
          <w:lang w:val="en-GB"/>
        </w:rPr>
        <w:t xml:space="preserve">. </w:t>
      </w:r>
      <w:r w:rsidR="00523961">
        <w:rPr>
          <w:lang w:val="en-GB"/>
        </w:rPr>
        <w:t>This</w:t>
      </w:r>
      <w:r w:rsidR="004B0CC5" w:rsidRPr="00587085">
        <w:rPr>
          <w:lang w:val="en-GB"/>
        </w:rPr>
        <w:t xml:space="preserve"> is Human Shield (ŽZ) in Croatia, a populist party </w:t>
      </w:r>
      <w:r w:rsidR="00C76088">
        <w:rPr>
          <w:lang w:val="en-GB"/>
        </w:rPr>
        <w:t xml:space="preserve">with an ambiguous ideological profile that </w:t>
      </w:r>
      <w:r w:rsidR="00BF30C6">
        <w:rPr>
          <w:lang w:val="en-GB"/>
        </w:rPr>
        <w:t>combined libertarian stances of the post-materialist left with anti-immigration positions in recent years</w:t>
      </w:r>
      <w:r w:rsidR="004B0CC5" w:rsidRPr="00587085">
        <w:rPr>
          <w:lang w:val="en-GB"/>
        </w:rPr>
        <w:t>.</w:t>
      </w:r>
    </w:p>
    <w:p w14:paraId="6C11D1F2" w14:textId="4EBFA158" w:rsidR="000B3B21" w:rsidRPr="00587085" w:rsidRDefault="000B3B21" w:rsidP="00A92EF7">
      <w:pPr>
        <w:spacing w:after="0" w:line="240" w:lineRule="auto"/>
        <w:contextualSpacing/>
        <w:jc w:val="both"/>
        <w:rPr>
          <w:lang w:val="en-GB"/>
        </w:rPr>
      </w:pPr>
    </w:p>
    <w:p w14:paraId="289D9E56" w14:textId="77777777" w:rsidR="000B3B21" w:rsidRPr="00587085" w:rsidRDefault="000B3B21" w:rsidP="00A92EF7">
      <w:pPr>
        <w:spacing w:after="0" w:line="240" w:lineRule="auto"/>
        <w:contextualSpacing/>
        <w:jc w:val="both"/>
        <w:rPr>
          <w:lang w:val="en-GB"/>
        </w:rPr>
      </w:pPr>
    </w:p>
    <w:p w14:paraId="651DF920" w14:textId="42CC63C8" w:rsidR="000B3B21" w:rsidRPr="00587085" w:rsidRDefault="000B3B21" w:rsidP="00A92EF7">
      <w:pPr>
        <w:spacing w:after="0" w:line="240" w:lineRule="auto"/>
        <w:contextualSpacing/>
        <w:jc w:val="both"/>
        <w:rPr>
          <w:b/>
          <w:bCs/>
          <w:lang w:val="en-GB"/>
        </w:rPr>
      </w:pPr>
      <w:r w:rsidRPr="00587085">
        <w:rPr>
          <w:b/>
          <w:bCs/>
          <w:lang w:val="en-GB"/>
        </w:rPr>
        <w:t>Conclusion</w:t>
      </w:r>
    </w:p>
    <w:p w14:paraId="361CCCB8" w14:textId="09E67940" w:rsidR="000B3B21" w:rsidRPr="00587085" w:rsidRDefault="000B3B21" w:rsidP="00A92EF7">
      <w:pPr>
        <w:spacing w:after="0" w:line="240" w:lineRule="auto"/>
        <w:contextualSpacing/>
        <w:jc w:val="both"/>
        <w:rPr>
          <w:b/>
          <w:bCs/>
          <w:lang w:val="en-GB"/>
        </w:rPr>
      </w:pPr>
    </w:p>
    <w:p w14:paraId="69C64DE3" w14:textId="1CFE7147" w:rsidR="000B3B21" w:rsidRPr="00587085" w:rsidRDefault="000B3B21" w:rsidP="00A92EF7">
      <w:pPr>
        <w:spacing w:after="0" w:line="240" w:lineRule="auto"/>
        <w:contextualSpacing/>
        <w:jc w:val="both"/>
        <w:rPr>
          <w:lang w:val="en-GB"/>
        </w:rPr>
      </w:pPr>
      <w:r w:rsidRPr="00587085">
        <w:rPr>
          <w:lang w:val="en-GB"/>
        </w:rPr>
        <w:t xml:space="preserve">In this </w:t>
      </w:r>
      <w:r w:rsidR="006F205E">
        <w:rPr>
          <w:lang w:val="en-GB"/>
        </w:rPr>
        <w:t>supplementary material</w:t>
      </w:r>
      <w:r w:rsidRPr="00587085">
        <w:rPr>
          <w:lang w:val="en-GB"/>
        </w:rPr>
        <w:t xml:space="preserve"> we have compared the categori</w:t>
      </w:r>
      <w:r w:rsidR="00FB081B" w:rsidRPr="00587085">
        <w:rPr>
          <w:lang w:val="en-GB"/>
        </w:rPr>
        <w:t>s</w:t>
      </w:r>
      <w:r w:rsidRPr="00587085">
        <w:rPr>
          <w:lang w:val="en-GB"/>
        </w:rPr>
        <w:t xml:space="preserve">ations in The </w:t>
      </w:r>
      <w:proofErr w:type="spellStart"/>
      <w:r w:rsidRPr="00587085">
        <w:rPr>
          <w:lang w:val="en-GB"/>
        </w:rPr>
        <w:t>PopuList</w:t>
      </w:r>
      <w:proofErr w:type="spellEnd"/>
      <w:r w:rsidRPr="00587085">
        <w:rPr>
          <w:lang w:val="en-GB"/>
        </w:rPr>
        <w:t xml:space="preserve"> 3.0 with measures of related constructs in the POPPA dataset. We have not only examined the relevant point-biserial correlation coefficients </w:t>
      </w:r>
      <w:r w:rsidR="00C370BB">
        <w:rPr>
          <w:lang w:val="en-GB"/>
        </w:rPr>
        <w:t>but</w:t>
      </w:r>
      <w:r w:rsidRPr="00587085">
        <w:rPr>
          <w:lang w:val="en-GB"/>
        </w:rPr>
        <w:t xml:space="preserve"> also compared mean scores for parties that </w:t>
      </w:r>
      <w:r w:rsidR="006F4E5F" w:rsidRPr="00587085">
        <w:rPr>
          <w:lang w:val="en-GB"/>
        </w:rPr>
        <w:t>are categori</w:t>
      </w:r>
      <w:r w:rsidR="00FB081B" w:rsidRPr="00587085">
        <w:rPr>
          <w:lang w:val="en-GB"/>
        </w:rPr>
        <w:t>s</w:t>
      </w:r>
      <w:r w:rsidR="006F4E5F" w:rsidRPr="00587085">
        <w:rPr>
          <w:lang w:val="en-GB"/>
        </w:rPr>
        <w:t>ed as populist/far</w:t>
      </w:r>
      <w:r w:rsidR="00ED2734">
        <w:rPr>
          <w:lang w:val="en-GB"/>
        </w:rPr>
        <w:t xml:space="preserve"> </w:t>
      </w:r>
      <w:r w:rsidR="00FB081B" w:rsidRPr="00587085">
        <w:rPr>
          <w:lang w:val="en-GB"/>
        </w:rPr>
        <w:t>left</w:t>
      </w:r>
      <w:r w:rsidR="006F4E5F" w:rsidRPr="00587085">
        <w:rPr>
          <w:lang w:val="en-GB"/>
        </w:rPr>
        <w:t>/far</w:t>
      </w:r>
      <w:r w:rsidR="00ED2734">
        <w:rPr>
          <w:lang w:val="en-GB"/>
        </w:rPr>
        <w:t xml:space="preserve"> </w:t>
      </w:r>
      <w:r w:rsidR="00FB081B" w:rsidRPr="00587085">
        <w:rPr>
          <w:lang w:val="en-GB"/>
        </w:rPr>
        <w:t xml:space="preserve">right </w:t>
      </w:r>
      <w:r w:rsidR="00B11615" w:rsidRPr="00587085">
        <w:rPr>
          <w:lang w:val="en-GB"/>
        </w:rPr>
        <w:t>with</w:t>
      </w:r>
      <w:r w:rsidR="006F4E5F" w:rsidRPr="00587085">
        <w:rPr>
          <w:lang w:val="en-GB"/>
        </w:rPr>
        <w:t xml:space="preserve"> parties that are not. The results indicate that</w:t>
      </w:r>
      <w:r w:rsidR="00ED2734">
        <w:rPr>
          <w:lang w:val="en-GB"/>
        </w:rPr>
        <w:t>,</w:t>
      </w:r>
      <w:r w:rsidR="006F4E5F" w:rsidRPr="00587085">
        <w:rPr>
          <w:lang w:val="en-GB"/>
        </w:rPr>
        <w:t xml:space="preserve"> when it comes to populist parties and far-right parties, the magnitude of the correlations is acceptable and the differences </w:t>
      </w:r>
      <w:r w:rsidR="008649CC" w:rsidRPr="00587085">
        <w:rPr>
          <w:lang w:val="en-GB"/>
        </w:rPr>
        <w:t xml:space="preserve">between the means of parties </w:t>
      </w:r>
      <w:r w:rsidR="00ED2734">
        <w:rPr>
          <w:lang w:val="en-GB"/>
        </w:rPr>
        <w:t>classified</w:t>
      </w:r>
      <w:r w:rsidR="00ED2734" w:rsidRPr="00587085">
        <w:rPr>
          <w:lang w:val="en-GB"/>
        </w:rPr>
        <w:t xml:space="preserve"> </w:t>
      </w:r>
      <w:r w:rsidR="008649CC" w:rsidRPr="00587085">
        <w:rPr>
          <w:lang w:val="en-GB"/>
        </w:rPr>
        <w:t>as populist</w:t>
      </w:r>
      <w:r w:rsidR="00A701F4">
        <w:rPr>
          <w:lang w:val="en-GB"/>
        </w:rPr>
        <w:t xml:space="preserve"> or </w:t>
      </w:r>
      <w:r w:rsidR="008649CC" w:rsidRPr="00587085">
        <w:rPr>
          <w:lang w:val="en-GB"/>
        </w:rPr>
        <w:t>far</w:t>
      </w:r>
      <w:r w:rsidR="00ED2734">
        <w:rPr>
          <w:lang w:val="en-GB"/>
        </w:rPr>
        <w:t xml:space="preserve"> </w:t>
      </w:r>
      <w:r w:rsidR="008649CC" w:rsidRPr="00587085">
        <w:rPr>
          <w:lang w:val="en-GB"/>
        </w:rPr>
        <w:t xml:space="preserve">right and those that are not </w:t>
      </w:r>
      <w:r w:rsidR="006F4E5F" w:rsidRPr="00587085">
        <w:rPr>
          <w:lang w:val="en-GB"/>
        </w:rPr>
        <w:t xml:space="preserve">are relatively large. </w:t>
      </w:r>
      <w:r w:rsidR="00C370BB">
        <w:rPr>
          <w:lang w:val="en-GB"/>
        </w:rPr>
        <w:t>Bu</w:t>
      </w:r>
      <w:r w:rsidR="00C370BB" w:rsidRPr="00587085">
        <w:rPr>
          <w:lang w:val="en-GB"/>
        </w:rPr>
        <w:t xml:space="preserve">t </w:t>
      </w:r>
      <w:r w:rsidR="008649CC" w:rsidRPr="00587085">
        <w:rPr>
          <w:lang w:val="en-GB"/>
        </w:rPr>
        <w:t>t</w:t>
      </w:r>
      <w:r w:rsidR="006F4E5F" w:rsidRPr="00587085">
        <w:rPr>
          <w:lang w:val="en-GB"/>
        </w:rPr>
        <w:t>he point</w:t>
      </w:r>
      <w:r w:rsidR="00A342F3" w:rsidRPr="00587085">
        <w:rPr>
          <w:lang w:val="en-GB"/>
        </w:rPr>
        <w:t>-</w:t>
      </w:r>
      <w:r w:rsidR="006F4E5F" w:rsidRPr="00587085">
        <w:rPr>
          <w:lang w:val="en-GB"/>
        </w:rPr>
        <w:t xml:space="preserve">biserial correlation </w:t>
      </w:r>
      <w:r w:rsidR="00B11615" w:rsidRPr="00587085">
        <w:rPr>
          <w:lang w:val="en-GB"/>
        </w:rPr>
        <w:t>for</w:t>
      </w:r>
      <w:r w:rsidR="006F4E5F" w:rsidRPr="00587085">
        <w:rPr>
          <w:lang w:val="en-GB"/>
        </w:rPr>
        <w:t xml:space="preserve"> far-left parties is </w:t>
      </w:r>
      <w:r w:rsidR="00B11615" w:rsidRPr="00587085">
        <w:rPr>
          <w:lang w:val="en-GB"/>
        </w:rPr>
        <w:t>relatively low</w:t>
      </w:r>
      <w:r w:rsidR="006F4E5F" w:rsidRPr="00587085">
        <w:rPr>
          <w:lang w:val="en-GB"/>
        </w:rPr>
        <w:t xml:space="preserve">. </w:t>
      </w:r>
      <w:r w:rsidR="00A342F3" w:rsidRPr="00587085">
        <w:rPr>
          <w:lang w:val="en-GB"/>
        </w:rPr>
        <w:t>T</w:t>
      </w:r>
      <w:r w:rsidR="006F4E5F" w:rsidRPr="00587085">
        <w:rPr>
          <w:lang w:val="en-GB"/>
        </w:rPr>
        <w:t xml:space="preserve">his is most </w:t>
      </w:r>
      <w:r w:rsidR="00B11615" w:rsidRPr="00587085">
        <w:rPr>
          <w:lang w:val="en-GB"/>
        </w:rPr>
        <w:t>likely</w:t>
      </w:r>
      <w:r w:rsidR="006F4E5F" w:rsidRPr="00587085">
        <w:rPr>
          <w:lang w:val="en-GB"/>
        </w:rPr>
        <w:t xml:space="preserve"> due to the </w:t>
      </w:r>
      <w:r w:rsidR="005C2199" w:rsidRPr="00587085">
        <w:rPr>
          <w:lang w:val="en-GB"/>
        </w:rPr>
        <w:t>less-than-ideal</w:t>
      </w:r>
      <w:r w:rsidR="006F4E5F" w:rsidRPr="00587085">
        <w:rPr>
          <w:lang w:val="en-GB"/>
        </w:rPr>
        <w:t xml:space="preserve"> measure of </w:t>
      </w:r>
      <w:r w:rsidR="005C2199" w:rsidRPr="00587085">
        <w:rPr>
          <w:lang w:val="en-GB"/>
        </w:rPr>
        <w:t>far</w:t>
      </w:r>
      <w:r w:rsidR="006F4E5F" w:rsidRPr="00587085">
        <w:rPr>
          <w:lang w:val="en-GB"/>
        </w:rPr>
        <w:t xml:space="preserve">-left ideology in POPPA: in contrast to the </w:t>
      </w:r>
      <w:r w:rsidR="00B11615" w:rsidRPr="00587085">
        <w:rPr>
          <w:lang w:val="en-GB"/>
        </w:rPr>
        <w:t xml:space="preserve">composite </w:t>
      </w:r>
      <w:r w:rsidR="006F4E5F" w:rsidRPr="00587085">
        <w:rPr>
          <w:lang w:val="en-GB"/>
        </w:rPr>
        <w:t xml:space="preserve">measures of populism and far-right positions, the </w:t>
      </w:r>
      <w:r w:rsidR="00C370BB">
        <w:rPr>
          <w:lang w:val="en-GB"/>
        </w:rPr>
        <w:t xml:space="preserve">single </w:t>
      </w:r>
      <w:r w:rsidR="006F4E5F" w:rsidRPr="00587085">
        <w:rPr>
          <w:lang w:val="en-GB"/>
        </w:rPr>
        <w:t xml:space="preserve">available item </w:t>
      </w:r>
      <w:r w:rsidR="00B11615" w:rsidRPr="00587085">
        <w:rPr>
          <w:lang w:val="en-GB"/>
        </w:rPr>
        <w:t xml:space="preserve">of socioeconomic ideology </w:t>
      </w:r>
      <w:r w:rsidR="006F4E5F" w:rsidRPr="00587085">
        <w:rPr>
          <w:lang w:val="en-GB"/>
        </w:rPr>
        <w:t xml:space="preserve">does not </w:t>
      </w:r>
      <w:r w:rsidR="00E47F22">
        <w:rPr>
          <w:lang w:val="en-GB"/>
        </w:rPr>
        <w:t xml:space="preserve">seem to </w:t>
      </w:r>
      <w:r w:rsidR="006F4E5F" w:rsidRPr="00587085">
        <w:rPr>
          <w:lang w:val="en-GB"/>
        </w:rPr>
        <w:t xml:space="preserve">capture </w:t>
      </w:r>
      <w:r w:rsidR="005C2199" w:rsidRPr="00587085">
        <w:rPr>
          <w:lang w:val="en-GB"/>
        </w:rPr>
        <w:t>far</w:t>
      </w:r>
      <w:r w:rsidR="006F4E5F" w:rsidRPr="00587085">
        <w:rPr>
          <w:lang w:val="en-GB"/>
        </w:rPr>
        <w:t xml:space="preserve">-left ideology </w:t>
      </w:r>
      <w:r w:rsidR="00E47F22">
        <w:rPr>
          <w:lang w:val="en-GB"/>
        </w:rPr>
        <w:t>in full</w:t>
      </w:r>
      <w:r w:rsidR="006F4E5F" w:rsidRPr="00587085">
        <w:rPr>
          <w:lang w:val="en-GB"/>
        </w:rPr>
        <w:t>.</w:t>
      </w:r>
    </w:p>
    <w:p w14:paraId="630EAA68" w14:textId="44AC30F2" w:rsidR="006F4E5F" w:rsidRPr="00587085" w:rsidRDefault="006F4E5F" w:rsidP="00A92EF7">
      <w:pPr>
        <w:spacing w:after="0" w:line="240" w:lineRule="auto"/>
        <w:contextualSpacing/>
        <w:jc w:val="both"/>
        <w:rPr>
          <w:lang w:val="en-GB"/>
        </w:rPr>
      </w:pPr>
    </w:p>
    <w:p w14:paraId="1CDE939A" w14:textId="4EC8A638" w:rsidR="006F4E5F" w:rsidRPr="00587085" w:rsidRDefault="006F4E5F" w:rsidP="00A92EF7">
      <w:pPr>
        <w:spacing w:after="0" w:line="240" w:lineRule="auto"/>
        <w:contextualSpacing/>
        <w:jc w:val="both"/>
        <w:rPr>
          <w:lang w:val="en-GB"/>
        </w:rPr>
      </w:pPr>
      <w:r w:rsidRPr="00587085">
        <w:rPr>
          <w:lang w:val="en-GB"/>
        </w:rPr>
        <w:lastRenderedPageBreak/>
        <w:t>We have examined populist/far-</w:t>
      </w:r>
      <w:r w:rsidR="005C2199" w:rsidRPr="00587085">
        <w:rPr>
          <w:lang w:val="en-GB"/>
        </w:rPr>
        <w:t>left</w:t>
      </w:r>
      <w:r w:rsidRPr="00587085">
        <w:rPr>
          <w:lang w:val="en-GB"/>
        </w:rPr>
        <w:t>/far-</w:t>
      </w:r>
      <w:r w:rsidR="005C2199" w:rsidRPr="00587085">
        <w:rPr>
          <w:lang w:val="en-GB"/>
        </w:rPr>
        <w:t xml:space="preserve">right </w:t>
      </w:r>
      <w:r w:rsidRPr="00587085">
        <w:rPr>
          <w:lang w:val="en-GB"/>
        </w:rPr>
        <w:t>parties that score relatively low on the relevant POPPA measure</w:t>
      </w:r>
      <w:r w:rsidR="00E94013" w:rsidRPr="00587085">
        <w:rPr>
          <w:lang w:val="en-GB"/>
        </w:rPr>
        <w:t>s</w:t>
      </w:r>
      <w:r w:rsidRPr="00587085">
        <w:rPr>
          <w:lang w:val="en-GB"/>
        </w:rPr>
        <w:t xml:space="preserve"> (below the 75</w:t>
      </w:r>
      <w:r w:rsidRPr="00587085">
        <w:rPr>
          <w:vertAlign w:val="superscript"/>
          <w:lang w:val="en-GB"/>
        </w:rPr>
        <w:t>th</w:t>
      </w:r>
      <w:r w:rsidRPr="00587085">
        <w:rPr>
          <w:lang w:val="en-GB"/>
        </w:rPr>
        <w:t xml:space="preserve"> percentile</w:t>
      </w:r>
      <w:r w:rsidR="00E94013" w:rsidRPr="00587085">
        <w:rPr>
          <w:lang w:val="en-GB"/>
        </w:rPr>
        <w:t>,</w:t>
      </w:r>
      <w:r w:rsidRPr="00587085">
        <w:rPr>
          <w:lang w:val="en-GB"/>
        </w:rPr>
        <w:t xml:space="preserve"> taking into account the whole dataset), and parties that are not classified as such but score relatively high (above the 90</w:t>
      </w:r>
      <w:r w:rsidRPr="00587085">
        <w:rPr>
          <w:vertAlign w:val="superscript"/>
          <w:lang w:val="en-GB"/>
        </w:rPr>
        <w:t>th</w:t>
      </w:r>
      <w:r w:rsidRPr="00587085">
        <w:rPr>
          <w:lang w:val="en-GB"/>
        </w:rPr>
        <w:t xml:space="preserve"> percentile, </w:t>
      </w:r>
      <w:r w:rsidR="00E94013" w:rsidRPr="00587085">
        <w:rPr>
          <w:lang w:val="en-GB"/>
        </w:rPr>
        <w:t xml:space="preserve">taking </w:t>
      </w:r>
      <w:r w:rsidRPr="00587085">
        <w:rPr>
          <w:lang w:val="en-GB"/>
        </w:rPr>
        <w:t>into account the whole dataset). Th</w:t>
      </w:r>
      <w:r w:rsidR="00B11615" w:rsidRPr="00587085">
        <w:rPr>
          <w:lang w:val="en-GB"/>
        </w:rPr>
        <w:t>e</w:t>
      </w:r>
      <w:r w:rsidRPr="00587085">
        <w:rPr>
          <w:lang w:val="en-GB"/>
        </w:rPr>
        <w:t xml:space="preserve"> analys</w:t>
      </w:r>
      <w:r w:rsidR="00B11615" w:rsidRPr="00587085">
        <w:rPr>
          <w:lang w:val="en-GB"/>
        </w:rPr>
        <w:t>e</w:t>
      </w:r>
      <w:r w:rsidRPr="00587085">
        <w:rPr>
          <w:lang w:val="en-GB"/>
        </w:rPr>
        <w:t xml:space="preserve">s </w:t>
      </w:r>
      <w:r w:rsidR="00E94013" w:rsidRPr="00587085">
        <w:rPr>
          <w:lang w:val="en-GB"/>
        </w:rPr>
        <w:t>show</w:t>
      </w:r>
      <w:r w:rsidRPr="00587085">
        <w:rPr>
          <w:lang w:val="en-GB"/>
        </w:rPr>
        <w:t xml:space="preserve"> that there are relatively </w:t>
      </w:r>
      <w:r w:rsidR="00B11615" w:rsidRPr="00587085">
        <w:rPr>
          <w:lang w:val="en-GB"/>
        </w:rPr>
        <w:t>few</w:t>
      </w:r>
      <w:r w:rsidRPr="00587085">
        <w:rPr>
          <w:lang w:val="en-GB"/>
        </w:rPr>
        <w:t xml:space="preserve"> outliers. </w:t>
      </w:r>
      <w:r w:rsidR="00C370BB">
        <w:rPr>
          <w:lang w:val="en-GB"/>
        </w:rPr>
        <w:t>The m</w:t>
      </w:r>
      <w:r w:rsidR="00C370BB" w:rsidRPr="00587085">
        <w:rPr>
          <w:lang w:val="en-GB"/>
        </w:rPr>
        <w:t xml:space="preserve">ost </w:t>
      </w:r>
      <w:r w:rsidRPr="00587085">
        <w:rPr>
          <w:lang w:val="en-GB"/>
        </w:rPr>
        <w:t xml:space="preserve">important discrepancies </w:t>
      </w:r>
      <w:r w:rsidR="00C370BB">
        <w:rPr>
          <w:lang w:val="en-GB"/>
        </w:rPr>
        <w:t>relate</w:t>
      </w:r>
      <w:r w:rsidRPr="00587085">
        <w:rPr>
          <w:lang w:val="en-GB"/>
        </w:rPr>
        <w:t xml:space="preserve"> to parties that are coded as populist in The </w:t>
      </w:r>
      <w:proofErr w:type="spellStart"/>
      <w:r w:rsidRPr="00587085">
        <w:rPr>
          <w:lang w:val="en-GB"/>
        </w:rPr>
        <w:t>PopuList</w:t>
      </w:r>
      <w:proofErr w:type="spellEnd"/>
      <w:r w:rsidRPr="00587085">
        <w:rPr>
          <w:lang w:val="en-GB"/>
        </w:rPr>
        <w:t xml:space="preserve"> but score relatively low </w:t>
      </w:r>
      <w:r w:rsidR="00C370BB">
        <w:rPr>
          <w:lang w:val="en-GB"/>
        </w:rPr>
        <w:t xml:space="preserve">on populism </w:t>
      </w:r>
      <w:r w:rsidRPr="00587085">
        <w:rPr>
          <w:lang w:val="en-GB"/>
        </w:rPr>
        <w:t xml:space="preserve">in POPPA. These cases consist mostly of parties from Central and Eastern Europe that hold an </w:t>
      </w:r>
      <w:r w:rsidR="00C370BB">
        <w:rPr>
          <w:lang w:val="en-GB"/>
        </w:rPr>
        <w:t xml:space="preserve">overall </w:t>
      </w:r>
      <w:r w:rsidRPr="00587085">
        <w:rPr>
          <w:lang w:val="en-GB"/>
        </w:rPr>
        <w:t xml:space="preserve">ideological position that is relatively </w:t>
      </w:r>
      <w:r w:rsidR="00176F85">
        <w:rPr>
          <w:lang w:val="en-GB"/>
        </w:rPr>
        <w:t>moderate</w:t>
      </w:r>
      <w:r w:rsidR="00176F85" w:rsidRPr="00587085">
        <w:rPr>
          <w:lang w:val="en-GB"/>
        </w:rPr>
        <w:t xml:space="preserve"> </w:t>
      </w:r>
      <w:r w:rsidRPr="00587085">
        <w:rPr>
          <w:lang w:val="en-GB"/>
        </w:rPr>
        <w:t xml:space="preserve">and </w:t>
      </w:r>
      <w:r w:rsidR="00B11615" w:rsidRPr="00587085">
        <w:rPr>
          <w:lang w:val="en-GB"/>
        </w:rPr>
        <w:t xml:space="preserve">that </w:t>
      </w:r>
      <w:r w:rsidRPr="00587085">
        <w:rPr>
          <w:lang w:val="en-GB"/>
        </w:rPr>
        <w:t>often have had</w:t>
      </w:r>
      <w:r w:rsidR="00E94013" w:rsidRPr="00587085">
        <w:rPr>
          <w:lang w:val="en-GB"/>
        </w:rPr>
        <w:t>,</w:t>
      </w:r>
      <w:r w:rsidRPr="00587085">
        <w:rPr>
          <w:lang w:val="en-GB"/>
        </w:rPr>
        <w:t xml:space="preserve"> or still have</w:t>
      </w:r>
      <w:r w:rsidR="00E94013" w:rsidRPr="00587085">
        <w:rPr>
          <w:lang w:val="en-GB"/>
        </w:rPr>
        <w:t>,</w:t>
      </w:r>
      <w:r w:rsidRPr="00587085">
        <w:rPr>
          <w:lang w:val="en-GB"/>
        </w:rPr>
        <w:t xml:space="preserve"> government responsibilities. </w:t>
      </w:r>
      <w:r w:rsidR="00E94013" w:rsidRPr="00587085">
        <w:rPr>
          <w:lang w:val="en-GB"/>
        </w:rPr>
        <w:t xml:space="preserve">There are also some parties that are not coded as populist, but score, nevertheless, high on the POPPA populism score. These cases turn out to be parties that </w:t>
      </w:r>
      <w:r w:rsidR="00FE435D">
        <w:rPr>
          <w:lang w:val="en-GB"/>
        </w:rPr>
        <w:t>might be</w:t>
      </w:r>
      <w:r w:rsidR="00FE435D" w:rsidRPr="00587085">
        <w:rPr>
          <w:lang w:val="en-GB"/>
        </w:rPr>
        <w:t xml:space="preserve"> </w:t>
      </w:r>
      <w:r w:rsidR="00E94013" w:rsidRPr="00587085">
        <w:rPr>
          <w:lang w:val="en-GB"/>
        </w:rPr>
        <w:t>anti-</w:t>
      </w:r>
      <w:r w:rsidR="00F24799" w:rsidRPr="00587085">
        <w:rPr>
          <w:lang w:val="en-GB"/>
        </w:rPr>
        <w:t>establishment</w:t>
      </w:r>
      <w:r w:rsidR="00E94013" w:rsidRPr="00587085">
        <w:rPr>
          <w:lang w:val="en-GB"/>
        </w:rPr>
        <w:t xml:space="preserve">, but </w:t>
      </w:r>
      <w:r w:rsidR="005E2328">
        <w:rPr>
          <w:lang w:val="en-GB"/>
        </w:rPr>
        <w:t>do not necessarily qualify as populist</w:t>
      </w:r>
      <w:r w:rsidR="00E94013" w:rsidRPr="00587085">
        <w:rPr>
          <w:lang w:val="en-GB"/>
        </w:rPr>
        <w:t xml:space="preserve">. </w:t>
      </w:r>
    </w:p>
    <w:p w14:paraId="76F6586E" w14:textId="63AB6D58" w:rsidR="00E94013" w:rsidRPr="00587085" w:rsidRDefault="00E94013" w:rsidP="00A92EF7">
      <w:pPr>
        <w:spacing w:after="0" w:line="240" w:lineRule="auto"/>
        <w:contextualSpacing/>
        <w:jc w:val="both"/>
        <w:rPr>
          <w:lang w:val="en-GB"/>
        </w:rPr>
      </w:pPr>
    </w:p>
    <w:p w14:paraId="7B3F06DD" w14:textId="56A8292A" w:rsidR="00A342F3" w:rsidRPr="00B70FFA" w:rsidRDefault="00E94013" w:rsidP="00A92EF7">
      <w:pPr>
        <w:spacing w:after="0" w:line="240" w:lineRule="auto"/>
        <w:contextualSpacing/>
        <w:jc w:val="both"/>
        <w:rPr>
          <w:lang w:val="en-GB"/>
        </w:rPr>
      </w:pPr>
      <w:r w:rsidRPr="00587085">
        <w:rPr>
          <w:lang w:val="en-GB"/>
        </w:rPr>
        <w:t xml:space="preserve">These findings show how dichotomous and continuous measures of populism (and related concepts) have different strengths and weaknesses. </w:t>
      </w:r>
      <w:r w:rsidR="00C370BB">
        <w:rPr>
          <w:lang w:val="en-GB"/>
        </w:rPr>
        <w:t>As always, i</w:t>
      </w:r>
      <w:r w:rsidRPr="00587085">
        <w:rPr>
          <w:lang w:val="en-GB"/>
        </w:rPr>
        <w:t>t depends on a researcher’s specific research question which dataset is more useful.</w:t>
      </w:r>
    </w:p>
    <w:p w14:paraId="141401C9" w14:textId="52759002" w:rsidR="00CA0EEE" w:rsidRPr="00587085" w:rsidRDefault="00CA0EEE" w:rsidP="00A92EF7">
      <w:pPr>
        <w:spacing w:after="0" w:line="240" w:lineRule="auto"/>
        <w:jc w:val="both"/>
        <w:rPr>
          <w:lang w:val="en-GB"/>
        </w:rPr>
      </w:pPr>
    </w:p>
    <w:p w14:paraId="20343FCE" w14:textId="0F808C8B" w:rsidR="00CA0EEE" w:rsidRPr="00587085" w:rsidRDefault="00CA0EEE" w:rsidP="00A92EF7">
      <w:pPr>
        <w:spacing w:after="0" w:line="240" w:lineRule="auto"/>
        <w:jc w:val="both"/>
        <w:rPr>
          <w:lang w:val="en-GB"/>
        </w:rPr>
      </w:pPr>
    </w:p>
    <w:p w14:paraId="2046BD2F" w14:textId="77777777" w:rsidR="005718CD" w:rsidRDefault="005718CD" w:rsidP="00A92EF7">
      <w:pPr>
        <w:spacing w:after="0" w:line="240" w:lineRule="auto"/>
        <w:jc w:val="both"/>
        <w:rPr>
          <w:b/>
          <w:bCs/>
          <w:lang w:val="en-GB"/>
        </w:rPr>
        <w:sectPr w:rsidR="005718CD" w:rsidSect="00754D08">
          <w:footerReference w:type="default" r:id="rId11"/>
          <w:pgSz w:w="11906" w:h="16838"/>
          <w:pgMar w:top="1440" w:right="1440" w:bottom="1440" w:left="1440" w:header="708" w:footer="708" w:gutter="0"/>
          <w:cols w:space="708"/>
          <w:docGrid w:linePitch="360"/>
        </w:sectPr>
      </w:pPr>
    </w:p>
    <w:p w14:paraId="519C67A4" w14:textId="1B957A68" w:rsidR="00CA0EEE" w:rsidRPr="00587085" w:rsidRDefault="00CA0EEE" w:rsidP="00A92EF7">
      <w:pPr>
        <w:spacing w:after="0" w:line="240" w:lineRule="auto"/>
        <w:jc w:val="both"/>
        <w:rPr>
          <w:b/>
          <w:bCs/>
          <w:lang w:val="en-GB"/>
        </w:rPr>
      </w:pPr>
      <w:r w:rsidRPr="00587085">
        <w:rPr>
          <w:b/>
          <w:bCs/>
          <w:lang w:val="en-GB"/>
        </w:rPr>
        <w:lastRenderedPageBreak/>
        <w:t>References</w:t>
      </w:r>
    </w:p>
    <w:p w14:paraId="5085AA3E" w14:textId="32E0EAC9" w:rsidR="00CA0EEE" w:rsidRPr="00587085" w:rsidRDefault="00CA0EEE" w:rsidP="00A92EF7">
      <w:pPr>
        <w:spacing w:after="0" w:line="240" w:lineRule="auto"/>
        <w:jc w:val="both"/>
        <w:rPr>
          <w:lang w:val="en-GB"/>
        </w:rPr>
      </w:pPr>
    </w:p>
    <w:p w14:paraId="601DD428" w14:textId="77777777" w:rsidR="00E13EA5" w:rsidRDefault="00E13EA5" w:rsidP="00A92EF7">
      <w:pPr>
        <w:spacing w:after="0" w:line="240" w:lineRule="auto"/>
        <w:jc w:val="both"/>
        <w:rPr>
          <w:lang w:val="en-GB"/>
        </w:rPr>
      </w:pPr>
      <w:r w:rsidRPr="00E13EA5">
        <w:rPr>
          <w:lang w:val="en-GB"/>
        </w:rPr>
        <w:t xml:space="preserve">Hanley, S., &amp; Sikk, A. (2016). Economy, corruption or floating voters? Explaining the breakthroughs of anti-establishment reform parties in eastern Europe. </w:t>
      </w:r>
      <w:r w:rsidRPr="00E13EA5">
        <w:rPr>
          <w:i/>
          <w:iCs/>
          <w:lang w:val="en-GB"/>
        </w:rPr>
        <w:t>Party Politics</w:t>
      </w:r>
      <w:r w:rsidRPr="00E13EA5">
        <w:rPr>
          <w:lang w:val="en-GB"/>
        </w:rPr>
        <w:t xml:space="preserve">, 22(4), 522–533. </w:t>
      </w:r>
    </w:p>
    <w:p w14:paraId="542CFDFD" w14:textId="77777777" w:rsidR="00E13EA5" w:rsidRDefault="00E13EA5" w:rsidP="00A92EF7">
      <w:pPr>
        <w:spacing w:after="0" w:line="240" w:lineRule="auto"/>
        <w:jc w:val="both"/>
        <w:rPr>
          <w:lang w:val="en-GB"/>
        </w:rPr>
      </w:pPr>
    </w:p>
    <w:p w14:paraId="799BE7D3" w14:textId="26CAFBDC" w:rsidR="00CA0EEE" w:rsidRPr="00587085" w:rsidRDefault="00CA0EEE" w:rsidP="00A92EF7">
      <w:pPr>
        <w:spacing w:after="0" w:line="240" w:lineRule="auto"/>
        <w:jc w:val="both"/>
        <w:rPr>
          <w:lang w:val="en-GB"/>
        </w:rPr>
      </w:pPr>
      <w:r w:rsidRPr="00587085">
        <w:rPr>
          <w:lang w:val="en-GB"/>
        </w:rPr>
        <w:t>Meijers, M.</w:t>
      </w:r>
      <w:r w:rsidR="00027866" w:rsidRPr="00587085">
        <w:rPr>
          <w:lang w:val="en-GB"/>
        </w:rPr>
        <w:t>,</w:t>
      </w:r>
      <w:r w:rsidRPr="00587085">
        <w:rPr>
          <w:lang w:val="en-GB"/>
        </w:rPr>
        <w:t xml:space="preserve"> &amp; Zaslove, A. (2021). Measuring populism in political parties: appraisal of a new approach. </w:t>
      </w:r>
      <w:r w:rsidRPr="00587085">
        <w:rPr>
          <w:i/>
          <w:iCs/>
          <w:lang w:val="en-GB"/>
        </w:rPr>
        <w:t xml:space="preserve">Comparative </w:t>
      </w:r>
      <w:r w:rsidR="00027866" w:rsidRPr="00587085">
        <w:rPr>
          <w:i/>
          <w:iCs/>
          <w:lang w:val="en-GB"/>
        </w:rPr>
        <w:t>P</w:t>
      </w:r>
      <w:r w:rsidRPr="00587085">
        <w:rPr>
          <w:i/>
          <w:iCs/>
          <w:lang w:val="en-GB"/>
        </w:rPr>
        <w:t xml:space="preserve">olitical </w:t>
      </w:r>
      <w:r w:rsidR="00027866" w:rsidRPr="00587085">
        <w:rPr>
          <w:i/>
          <w:iCs/>
          <w:lang w:val="en-GB"/>
        </w:rPr>
        <w:t>S</w:t>
      </w:r>
      <w:r w:rsidRPr="00587085">
        <w:rPr>
          <w:i/>
          <w:iCs/>
          <w:lang w:val="en-GB"/>
        </w:rPr>
        <w:t>tudies</w:t>
      </w:r>
      <w:r w:rsidRPr="00587085">
        <w:rPr>
          <w:lang w:val="en-GB"/>
        </w:rPr>
        <w:t>, 54(2), 372-407.</w:t>
      </w:r>
    </w:p>
    <w:p w14:paraId="50BF0058" w14:textId="4A7D2262" w:rsidR="00027866" w:rsidRPr="00587085" w:rsidRDefault="00027866" w:rsidP="00A92EF7">
      <w:pPr>
        <w:spacing w:after="0" w:line="240" w:lineRule="auto"/>
        <w:jc w:val="both"/>
        <w:rPr>
          <w:lang w:val="en-GB"/>
        </w:rPr>
      </w:pPr>
    </w:p>
    <w:p w14:paraId="3D9CF174" w14:textId="2164D65C" w:rsidR="00027866" w:rsidRPr="00587085" w:rsidRDefault="00027866" w:rsidP="00A92EF7">
      <w:pPr>
        <w:spacing w:after="0" w:line="240" w:lineRule="auto"/>
        <w:jc w:val="both"/>
        <w:rPr>
          <w:lang w:val="en-GB"/>
        </w:rPr>
      </w:pPr>
      <w:r w:rsidRPr="00587085">
        <w:rPr>
          <w:lang w:val="en-GB"/>
        </w:rPr>
        <w:t xml:space="preserve">Norris, P. (2020). Measuring populism worldwide. </w:t>
      </w:r>
      <w:r w:rsidRPr="00587085">
        <w:rPr>
          <w:i/>
          <w:iCs/>
          <w:lang w:val="en-GB"/>
        </w:rPr>
        <w:t>Party</w:t>
      </w:r>
      <w:r w:rsidR="00D9347A" w:rsidRPr="00587085">
        <w:rPr>
          <w:i/>
          <w:iCs/>
          <w:lang w:val="en-GB"/>
        </w:rPr>
        <w:t xml:space="preserve"> Politics</w:t>
      </w:r>
      <w:r w:rsidRPr="00587085">
        <w:rPr>
          <w:lang w:val="en-GB"/>
        </w:rPr>
        <w:t>, 26(6), 697-717.</w:t>
      </w:r>
    </w:p>
    <w:p w14:paraId="7D927B5B" w14:textId="779342D3" w:rsidR="00027866" w:rsidRPr="00587085" w:rsidRDefault="00027866" w:rsidP="00A92EF7">
      <w:pPr>
        <w:spacing w:after="0" w:line="240" w:lineRule="auto"/>
        <w:jc w:val="both"/>
        <w:rPr>
          <w:lang w:val="en-GB"/>
        </w:rPr>
      </w:pPr>
    </w:p>
    <w:p w14:paraId="677780BA" w14:textId="54B31A74" w:rsidR="00027866" w:rsidRPr="00587085" w:rsidRDefault="00027866" w:rsidP="00A92EF7">
      <w:pPr>
        <w:spacing w:after="0" w:line="240" w:lineRule="auto"/>
        <w:jc w:val="both"/>
        <w:rPr>
          <w:lang w:val="en-GB"/>
        </w:rPr>
      </w:pPr>
      <w:r w:rsidRPr="00587085">
        <w:rPr>
          <w:lang w:val="en-GB"/>
        </w:rPr>
        <w:t xml:space="preserve">Polk, J., </w:t>
      </w:r>
      <w:proofErr w:type="spellStart"/>
      <w:r w:rsidRPr="00587085">
        <w:rPr>
          <w:lang w:val="en-GB"/>
        </w:rPr>
        <w:t>Rovny</w:t>
      </w:r>
      <w:proofErr w:type="spellEnd"/>
      <w:r w:rsidRPr="00587085">
        <w:rPr>
          <w:lang w:val="en-GB"/>
        </w:rPr>
        <w:t xml:space="preserve">, J., Bakker, R., Edwards, E., </w:t>
      </w:r>
      <w:proofErr w:type="spellStart"/>
      <w:r w:rsidRPr="00587085">
        <w:rPr>
          <w:lang w:val="en-GB"/>
        </w:rPr>
        <w:t>Hooghe</w:t>
      </w:r>
      <w:proofErr w:type="spellEnd"/>
      <w:r w:rsidRPr="00587085">
        <w:rPr>
          <w:lang w:val="en-GB"/>
        </w:rPr>
        <w:t xml:space="preserve">, L., Jolly, S., ... &amp; </w:t>
      </w:r>
      <w:proofErr w:type="spellStart"/>
      <w:r w:rsidRPr="00587085">
        <w:rPr>
          <w:lang w:val="en-GB"/>
        </w:rPr>
        <w:t>Zilovic</w:t>
      </w:r>
      <w:proofErr w:type="spellEnd"/>
      <w:r w:rsidRPr="00587085">
        <w:rPr>
          <w:lang w:val="en-GB"/>
        </w:rPr>
        <w:t xml:space="preserve">, M. (2017). Explaining the salience of anti-elitism and reducing political corruption for political parties in Europe with the 2014 Chapel Hill Expert Survey data. </w:t>
      </w:r>
      <w:r w:rsidRPr="00587085">
        <w:rPr>
          <w:i/>
          <w:iCs/>
          <w:lang w:val="en-GB"/>
        </w:rPr>
        <w:t>Research &amp; Politics</w:t>
      </w:r>
      <w:r w:rsidRPr="00587085">
        <w:rPr>
          <w:lang w:val="en-GB"/>
        </w:rPr>
        <w:t>, 4(1), 1-9.</w:t>
      </w:r>
    </w:p>
    <w:sectPr w:rsidR="00027866" w:rsidRPr="00587085" w:rsidSect="00754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C266" w14:textId="77777777" w:rsidR="004544E3" w:rsidRDefault="004544E3" w:rsidP="00F4148B">
      <w:pPr>
        <w:spacing w:after="0" w:line="240" w:lineRule="auto"/>
      </w:pPr>
      <w:r>
        <w:separator/>
      </w:r>
    </w:p>
  </w:endnote>
  <w:endnote w:type="continuationSeparator" w:id="0">
    <w:p w14:paraId="4B07C484" w14:textId="77777777" w:rsidR="004544E3" w:rsidRDefault="004544E3" w:rsidP="00F4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147091"/>
      <w:docPartObj>
        <w:docPartGallery w:val="Page Numbers (Bottom of Page)"/>
        <w:docPartUnique/>
      </w:docPartObj>
    </w:sdtPr>
    <w:sdtEndPr>
      <w:rPr>
        <w:noProof/>
      </w:rPr>
    </w:sdtEndPr>
    <w:sdtContent>
      <w:p w14:paraId="099E430D" w14:textId="69BE34CA" w:rsidR="00F4148B" w:rsidRDefault="00F4148B">
        <w:pPr>
          <w:pStyle w:val="Footer"/>
          <w:jc w:val="center"/>
        </w:pPr>
        <w:r>
          <w:fldChar w:fldCharType="begin"/>
        </w:r>
        <w:r>
          <w:instrText xml:space="preserve"> PAGE   \* MERGEFORMAT </w:instrText>
        </w:r>
        <w:r>
          <w:fldChar w:fldCharType="separate"/>
        </w:r>
        <w:r w:rsidR="00B75F88">
          <w:rPr>
            <w:noProof/>
          </w:rPr>
          <w:t>1</w:t>
        </w:r>
        <w:r>
          <w:rPr>
            <w:noProof/>
          </w:rPr>
          <w:fldChar w:fldCharType="end"/>
        </w:r>
      </w:p>
    </w:sdtContent>
  </w:sdt>
  <w:p w14:paraId="2014611C" w14:textId="77777777" w:rsidR="00F4148B" w:rsidRDefault="00F41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7253" w14:textId="77777777" w:rsidR="004544E3" w:rsidRDefault="004544E3" w:rsidP="00F4148B">
      <w:pPr>
        <w:spacing w:after="0" w:line="240" w:lineRule="auto"/>
      </w:pPr>
      <w:r>
        <w:separator/>
      </w:r>
    </w:p>
  </w:footnote>
  <w:footnote w:type="continuationSeparator" w:id="0">
    <w:p w14:paraId="2D57AFE0" w14:textId="77777777" w:rsidR="004544E3" w:rsidRDefault="004544E3" w:rsidP="00F4148B">
      <w:pPr>
        <w:spacing w:after="0" w:line="240" w:lineRule="auto"/>
      </w:pPr>
      <w:r>
        <w:continuationSeparator/>
      </w:r>
    </w:p>
  </w:footnote>
  <w:footnote w:id="1">
    <w:p w14:paraId="28B6D16D" w14:textId="610191A8" w:rsidR="00011886" w:rsidRDefault="00011886">
      <w:pPr>
        <w:pStyle w:val="FootnoteText"/>
      </w:pPr>
      <w:r>
        <w:rPr>
          <w:rStyle w:val="FootnoteReference"/>
        </w:rPr>
        <w:footnoteRef/>
      </w:r>
      <w:r>
        <w:t xml:space="preserve"> BBT and GERB in BG, HDSSB, HDZ and BM365 in Croatia, SF in Ireland, SNS and Smer in Slovakia, and ZL and N.Si in Slovenia.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B13"/>
    <w:multiLevelType w:val="hybridMultilevel"/>
    <w:tmpl w:val="87008AF6"/>
    <w:lvl w:ilvl="0" w:tplc="D070F6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011D08"/>
    <w:multiLevelType w:val="hybridMultilevel"/>
    <w:tmpl w:val="D2C6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10225"/>
    <w:multiLevelType w:val="hybridMultilevel"/>
    <w:tmpl w:val="E0164D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228E558F"/>
    <w:multiLevelType w:val="hybridMultilevel"/>
    <w:tmpl w:val="402E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F6964"/>
    <w:multiLevelType w:val="hybridMultilevel"/>
    <w:tmpl w:val="D842E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EE3748"/>
    <w:multiLevelType w:val="hybridMultilevel"/>
    <w:tmpl w:val="058E6F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E0E7EAF"/>
    <w:multiLevelType w:val="hybridMultilevel"/>
    <w:tmpl w:val="85D009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C86AF1"/>
    <w:multiLevelType w:val="hybridMultilevel"/>
    <w:tmpl w:val="CFEE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56E29"/>
    <w:multiLevelType w:val="hybridMultilevel"/>
    <w:tmpl w:val="B664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654591">
    <w:abstractNumId w:val="3"/>
  </w:num>
  <w:num w:numId="2" w16cid:durableId="637536813">
    <w:abstractNumId w:val="5"/>
  </w:num>
  <w:num w:numId="3" w16cid:durableId="526910218">
    <w:abstractNumId w:val="2"/>
  </w:num>
  <w:num w:numId="4" w16cid:durableId="12143">
    <w:abstractNumId w:val="8"/>
  </w:num>
  <w:num w:numId="5" w16cid:durableId="1706515655">
    <w:abstractNumId w:val="7"/>
  </w:num>
  <w:num w:numId="6" w16cid:durableId="760758201">
    <w:abstractNumId w:val="1"/>
  </w:num>
  <w:num w:numId="7" w16cid:durableId="1668285033">
    <w:abstractNumId w:val="6"/>
  </w:num>
  <w:num w:numId="8" w16cid:durableId="1127624772">
    <w:abstractNumId w:val="0"/>
  </w:num>
  <w:num w:numId="9" w16cid:durableId="462045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BE"/>
    <w:rsid w:val="0000007D"/>
    <w:rsid w:val="000003AA"/>
    <w:rsid w:val="00001CCC"/>
    <w:rsid w:val="000037C8"/>
    <w:rsid w:val="00004BBF"/>
    <w:rsid w:val="00006EF4"/>
    <w:rsid w:val="00010F4E"/>
    <w:rsid w:val="00011886"/>
    <w:rsid w:val="00012396"/>
    <w:rsid w:val="00013111"/>
    <w:rsid w:val="00013B3D"/>
    <w:rsid w:val="00015674"/>
    <w:rsid w:val="00023991"/>
    <w:rsid w:val="00024D58"/>
    <w:rsid w:val="00027866"/>
    <w:rsid w:val="00033528"/>
    <w:rsid w:val="00034FB8"/>
    <w:rsid w:val="00037450"/>
    <w:rsid w:val="00040A5B"/>
    <w:rsid w:val="00050876"/>
    <w:rsid w:val="000525D8"/>
    <w:rsid w:val="00060FB8"/>
    <w:rsid w:val="000624CB"/>
    <w:rsid w:val="000625A2"/>
    <w:rsid w:val="000636F9"/>
    <w:rsid w:val="00064FED"/>
    <w:rsid w:val="000663FF"/>
    <w:rsid w:val="00067523"/>
    <w:rsid w:val="00070A2F"/>
    <w:rsid w:val="00071E04"/>
    <w:rsid w:val="00072285"/>
    <w:rsid w:val="00072B66"/>
    <w:rsid w:val="00072FD1"/>
    <w:rsid w:val="00074B85"/>
    <w:rsid w:val="000758B2"/>
    <w:rsid w:val="00075A2A"/>
    <w:rsid w:val="000835D5"/>
    <w:rsid w:val="000836BD"/>
    <w:rsid w:val="000871F7"/>
    <w:rsid w:val="00092E96"/>
    <w:rsid w:val="0009316B"/>
    <w:rsid w:val="00093BBF"/>
    <w:rsid w:val="000A3705"/>
    <w:rsid w:val="000A4359"/>
    <w:rsid w:val="000B0418"/>
    <w:rsid w:val="000B27DA"/>
    <w:rsid w:val="000B3041"/>
    <w:rsid w:val="000B3B21"/>
    <w:rsid w:val="000B5394"/>
    <w:rsid w:val="000B5459"/>
    <w:rsid w:val="000B7A28"/>
    <w:rsid w:val="000B7E8F"/>
    <w:rsid w:val="000C0AFA"/>
    <w:rsid w:val="000C147A"/>
    <w:rsid w:val="000C3088"/>
    <w:rsid w:val="000C3932"/>
    <w:rsid w:val="000C4108"/>
    <w:rsid w:val="000C4E6C"/>
    <w:rsid w:val="000C5ECD"/>
    <w:rsid w:val="000D007F"/>
    <w:rsid w:val="000D1AE8"/>
    <w:rsid w:val="000D2ACA"/>
    <w:rsid w:val="000E05C3"/>
    <w:rsid w:val="000E1A45"/>
    <w:rsid w:val="000E28ED"/>
    <w:rsid w:val="000E6D90"/>
    <w:rsid w:val="000F0778"/>
    <w:rsid w:val="000F449C"/>
    <w:rsid w:val="000F6B51"/>
    <w:rsid w:val="00102293"/>
    <w:rsid w:val="00103783"/>
    <w:rsid w:val="001049FA"/>
    <w:rsid w:val="0011271E"/>
    <w:rsid w:val="00112A29"/>
    <w:rsid w:val="00123B90"/>
    <w:rsid w:val="001242B6"/>
    <w:rsid w:val="0012438D"/>
    <w:rsid w:val="00124456"/>
    <w:rsid w:val="001266D8"/>
    <w:rsid w:val="001307E9"/>
    <w:rsid w:val="0013257A"/>
    <w:rsid w:val="00133759"/>
    <w:rsid w:val="00143E53"/>
    <w:rsid w:val="0014451D"/>
    <w:rsid w:val="00145C0A"/>
    <w:rsid w:val="00145DDD"/>
    <w:rsid w:val="00151931"/>
    <w:rsid w:val="00151B8E"/>
    <w:rsid w:val="00153C19"/>
    <w:rsid w:val="00155017"/>
    <w:rsid w:val="001609FE"/>
    <w:rsid w:val="00161A8B"/>
    <w:rsid w:val="00161C70"/>
    <w:rsid w:val="00162CE2"/>
    <w:rsid w:val="001664EB"/>
    <w:rsid w:val="00172AEE"/>
    <w:rsid w:val="00173E28"/>
    <w:rsid w:val="001751EC"/>
    <w:rsid w:val="00176F85"/>
    <w:rsid w:val="00181FA7"/>
    <w:rsid w:val="00185D0B"/>
    <w:rsid w:val="00192872"/>
    <w:rsid w:val="00194E91"/>
    <w:rsid w:val="001977BD"/>
    <w:rsid w:val="00197970"/>
    <w:rsid w:val="001A014A"/>
    <w:rsid w:val="001A2FF9"/>
    <w:rsid w:val="001A38DB"/>
    <w:rsid w:val="001A3E88"/>
    <w:rsid w:val="001B0D83"/>
    <w:rsid w:val="001B1D95"/>
    <w:rsid w:val="001B48B3"/>
    <w:rsid w:val="001C2327"/>
    <w:rsid w:val="001C27DD"/>
    <w:rsid w:val="001C285D"/>
    <w:rsid w:val="001C2D16"/>
    <w:rsid w:val="001C2DC5"/>
    <w:rsid w:val="001C2F72"/>
    <w:rsid w:val="001C5B2A"/>
    <w:rsid w:val="001C7995"/>
    <w:rsid w:val="001D18AA"/>
    <w:rsid w:val="001E0A8B"/>
    <w:rsid w:val="001E30F0"/>
    <w:rsid w:val="001E5912"/>
    <w:rsid w:val="001F12A6"/>
    <w:rsid w:val="001F47F8"/>
    <w:rsid w:val="00203791"/>
    <w:rsid w:val="00204073"/>
    <w:rsid w:val="002052E0"/>
    <w:rsid w:val="00206D6D"/>
    <w:rsid w:val="00207525"/>
    <w:rsid w:val="00207B6F"/>
    <w:rsid w:val="00212AB0"/>
    <w:rsid w:val="00215DDC"/>
    <w:rsid w:val="0021726A"/>
    <w:rsid w:val="0022199F"/>
    <w:rsid w:val="002230BA"/>
    <w:rsid w:val="00227149"/>
    <w:rsid w:val="00227440"/>
    <w:rsid w:val="002276AC"/>
    <w:rsid w:val="00232B54"/>
    <w:rsid w:val="002344CC"/>
    <w:rsid w:val="002351FF"/>
    <w:rsid w:val="002375B5"/>
    <w:rsid w:val="002377A1"/>
    <w:rsid w:val="002416FF"/>
    <w:rsid w:val="00242F7D"/>
    <w:rsid w:val="00244BBF"/>
    <w:rsid w:val="00247122"/>
    <w:rsid w:val="00251FA4"/>
    <w:rsid w:val="00253CDC"/>
    <w:rsid w:val="00265954"/>
    <w:rsid w:val="002670F7"/>
    <w:rsid w:val="00270400"/>
    <w:rsid w:val="00281284"/>
    <w:rsid w:val="002824E4"/>
    <w:rsid w:val="00291D59"/>
    <w:rsid w:val="00293779"/>
    <w:rsid w:val="0029397E"/>
    <w:rsid w:val="002A0ACD"/>
    <w:rsid w:val="002A10DE"/>
    <w:rsid w:val="002A4AC1"/>
    <w:rsid w:val="002A65E4"/>
    <w:rsid w:val="002A663B"/>
    <w:rsid w:val="002B1C63"/>
    <w:rsid w:val="002B2E20"/>
    <w:rsid w:val="002D119A"/>
    <w:rsid w:val="002D29B0"/>
    <w:rsid w:val="002D38E3"/>
    <w:rsid w:val="002D5A6A"/>
    <w:rsid w:val="002D6A04"/>
    <w:rsid w:val="002E12C2"/>
    <w:rsid w:val="002E4604"/>
    <w:rsid w:val="002E6652"/>
    <w:rsid w:val="002E7B7E"/>
    <w:rsid w:val="00305488"/>
    <w:rsid w:val="003078B2"/>
    <w:rsid w:val="003136D0"/>
    <w:rsid w:val="00313B54"/>
    <w:rsid w:val="00315587"/>
    <w:rsid w:val="00317028"/>
    <w:rsid w:val="0032052D"/>
    <w:rsid w:val="00326FDE"/>
    <w:rsid w:val="00327DBA"/>
    <w:rsid w:val="003332F4"/>
    <w:rsid w:val="00333956"/>
    <w:rsid w:val="003353A8"/>
    <w:rsid w:val="00336E59"/>
    <w:rsid w:val="003373C9"/>
    <w:rsid w:val="003375B2"/>
    <w:rsid w:val="003408A5"/>
    <w:rsid w:val="00341C72"/>
    <w:rsid w:val="00356F1D"/>
    <w:rsid w:val="003576EC"/>
    <w:rsid w:val="00357FF5"/>
    <w:rsid w:val="0036264F"/>
    <w:rsid w:val="00362DA4"/>
    <w:rsid w:val="00363C6A"/>
    <w:rsid w:val="00363F7B"/>
    <w:rsid w:val="00366676"/>
    <w:rsid w:val="00374487"/>
    <w:rsid w:val="0037704F"/>
    <w:rsid w:val="00380F6C"/>
    <w:rsid w:val="0038161A"/>
    <w:rsid w:val="00385604"/>
    <w:rsid w:val="003A1B81"/>
    <w:rsid w:val="003A2CE9"/>
    <w:rsid w:val="003B182E"/>
    <w:rsid w:val="003B2F5A"/>
    <w:rsid w:val="003B6F81"/>
    <w:rsid w:val="003B73DC"/>
    <w:rsid w:val="003C16CA"/>
    <w:rsid w:val="003C3B7C"/>
    <w:rsid w:val="003C63CC"/>
    <w:rsid w:val="003C65CE"/>
    <w:rsid w:val="003D00F4"/>
    <w:rsid w:val="003D0200"/>
    <w:rsid w:val="003D04ED"/>
    <w:rsid w:val="003D0FBB"/>
    <w:rsid w:val="003D4630"/>
    <w:rsid w:val="003D6C83"/>
    <w:rsid w:val="003E452C"/>
    <w:rsid w:val="003F00EA"/>
    <w:rsid w:val="003F025E"/>
    <w:rsid w:val="003F2279"/>
    <w:rsid w:val="003F589F"/>
    <w:rsid w:val="003F6891"/>
    <w:rsid w:val="003F7F11"/>
    <w:rsid w:val="00400159"/>
    <w:rsid w:val="00410131"/>
    <w:rsid w:val="00416979"/>
    <w:rsid w:val="00421272"/>
    <w:rsid w:val="00421847"/>
    <w:rsid w:val="00421F04"/>
    <w:rsid w:val="00431E88"/>
    <w:rsid w:val="00433600"/>
    <w:rsid w:val="00434867"/>
    <w:rsid w:val="0043732C"/>
    <w:rsid w:val="004377BF"/>
    <w:rsid w:val="00440E15"/>
    <w:rsid w:val="00445830"/>
    <w:rsid w:val="00450A7E"/>
    <w:rsid w:val="004544E3"/>
    <w:rsid w:val="004565E1"/>
    <w:rsid w:val="00460FBF"/>
    <w:rsid w:val="004612F5"/>
    <w:rsid w:val="00470A92"/>
    <w:rsid w:val="00474623"/>
    <w:rsid w:val="004853F4"/>
    <w:rsid w:val="0049051D"/>
    <w:rsid w:val="00491775"/>
    <w:rsid w:val="00492738"/>
    <w:rsid w:val="00493B39"/>
    <w:rsid w:val="00496024"/>
    <w:rsid w:val="0049669A"/>
    <w:rsid w:val="004968A8"/>
    <w:rsid w:val="004A0223"/>
    <w:rsid w:val="004A77FF"/>
    <w:rsid w:val="004A7D6A"/>
    <w:rsid w:val="004B097D"/>
    <w:rsid w:val="004B0CC5"/>
    <w:rsid w:val="004B1423"/>
    <w:rsid w:val="004B4E30"/>
    <w:rsid w:val="004B5CB3"/>
    <w:rsid w:val="004B75A4"/>
    <w:rsid w:val="004C2AF4"/>
    <w:rsid w:val="004C42F6"/>
    <w:rsid w:val="004D135C"/>
    <w:rsid w:val="004D1604"/>
    <w:rsid w:val="004D1D98"/>
    <w:rsid w:val="004D21C8"/>
    <w:rsid w:val="004D3E38"/>
    <w:rsid w:val="004D7B63"/>
    <w:rsid w:val="004E0644"/>
    <w:rsid w:val="004E3D40"/>
    <w:rsid w:val="004E49EE"/>
    <w:rsid w:val="004E6A94"/>
    <w:rsid w:val="004E6E4E"/>
    <w:rsid w:val="004F19B7"/>
    <w:rsid w:val="004F27A5"/>
    <w:rsid w:val="004F45D3"/>
    <w:rsid w:val="004F76CD"/>
    <w:rsid w:val="00507AE6"/>
    <w:rsid w:val="00510A3B"/>
    <w:rsid w:val="00512104"/>
    <w:rsid w:val="00515D50"/>
    <w:rsid w:val="005205F6"/>
    <w:rsid w:val="00520F06"/>
    <w:rsid w:val="00523961"/>
    <w:rsid w:val="00527C06"/>
    <w:rsid w:val="0053030F"/>
    <w:rsid w:val="0053392A"/>
    <w:rsid w:val="00533982"/>
    <w:rsid w:val="00534212"/>
    <w:rsid w:val="00535464"/>
    <w:rsid w:val="00535F95"/>
    <w:rsid w:val="00537D1B"/>
    <w:rsid w:val="00541E21"/>
    <w:rsid w:val="00545C7F"/>
    <w:rsid w:val="0054671C"/>
    <w:rsid w:val="00550232"/>
    <w:rsid w:val="00550453"/>
    <w:rsid w:val="00551FD2"/>
    <w:rsid w:val="005525D4"/>
    <w:rsid w:val="00563B2B"/>
    <w:rsid w:val="00564C75"/>
    <w:rsid w:val="00567A27"/>
    <w:rsid w:val="0057134D"/>
    <w:rsid w:val="005718CD"/>
    <w:rsid w:val="00572273"/>
    <w:rsid w:val="00573423"/>
    <w:rsid w:val="005767CF"/>
    <w:rsid w:val="00576D4B"/>
    <w:rsid w:val="00577E4A"/>
    <w:rsid w:val="00577E99"/>
    <w:rsid w:val="00580B36"/>
    <w:rsid w:val="00581DF2"/>
    <w:rsid w:val="00582A25"/>
    <w:rsid w:val="00583D26"/>
    <w:rsid w:val="00586F7B"/>
    <w:rsid w:val="00587085"/>
    <w:rsid w:val="005911DD"/>
    <w:rsid w:val="005937DF"/>
    <w:rsid w:val="005968C2"/>
    <w:rsid w:val="005A14F0"/>
    <w:rsid w:val="005A2FE7"/>
    <w:rsid w:val="005A3F8D"/>
    <w:rsid w:val="005A45EC"/>
    <w:rsid w:val="005A5585"/>
    <w:rsid w:val="005A5BF4"/>
    <w:rsid w:val="005A70AD"/>
    <w:rsid w:val="005B11EB"/>
    <w:rsid w:val="005B28F2"/>
    <w:rsid w:val="005B3672"/>
    <w:rsid w:val="005B439C"/>
    <w:rsid w:val="005B4B89"/>
    <w:rsid w:val="005B525B"/>
    <w:rsid w:val="005B5430"/>
    <w:rsid w:val="005B745B"/>
    <w:rsid w:val="005C2199"/>
    <w:rsid w:val="005C5086"/>
    <w:rsid w:val="005C5D1C"/>
    <w:rsid w:val="005D08D4"/>
    <w:rsid w:val="005D27D8"/>
    <w:rsid w:val="005E0FAE"/>
    <w:rsid w:val="005E15E9"/>
    <w:rsid w:val="005E2328"/>
    <w:rsid w:val="005F0127"/>
    <w:rsid w:val="005F12CE"/>
    <w:rsid w:val="005F3B80"/>
    <w:rsid w:val="005F6B03"/>
    <w:rsid w:val="00602D52"/>
    <w:rsid w:val="00603380"/>
    <w:rsid w:val="006047D5"/>
    <w:rsid w:val="006059BE"/>
    <w:rsid w:val="00607C41"/>
    <w:rsid w:val="006101D5"/>
    <w:rsid w:val="00614220"/>
    <w:rsid w:val="00617C76"/>
    <w:rsid w:val="0062055D"/>
    <w:rsid w:val="0062342A"/>
    <w:rsid w:val="00623959"/>
    <w:rsid w:val="00625842"/>
    <w:rsid w:val="00633155"/>
    <w:rsid w:val="006335A8"/>
    <w:rsid w:val="00637881"/>
    <w:rsid w:val="00642859"/>
    <w:rsid w:val="00643D04"/>
    <w:rsid w:val="0064533F"/>
    <w:rsid w:val="006533AE"/>
    <w:rsid w:val="006533D0"/>
    <w:rsid w:val="00655DB8"/>
    <w:rsid w:val="00661AF4"/>
    <w:rsid w:val="00661E05"/>
    <w:rsid w:val="006621AB"/>
    <w:rsid w:val="00663672"/>
    <w:rsid w:val="006653D9"/>
    <w:rsid w:val="00673860"/>
    <w:rsid w:val="00674E3C"/>
    <w:rsid w:val="00680806"/>
    <w:rsid w:val="0068329B"/>
    <w:rsid w:val="00685054"/>
    <w:rsid w:val="006863C6"/>
    <w:rsid w:val="00692BFB"/>
    <w:rsid w:val="00693C1D"/>
    <w:rsid w:val="00694002"/>
    <w:rsid w:val="0069788F"/>
    <w:rsid w:val="006A37FC"/>
    <w:rsid w:val="006A6050"/>
    <w:rsid w:val="006A612C"/>
    <w:rsid w:val="006B48DE"/>
    <w:rsid w:val="006B50C8"/>
    <w:rsid w:val="006B63F3"/>
    <w:rsid w:val="006B64B7"/>
    <w:rsid w:val="006B7368"/>
    <w:rsid w:val="006B7B49"/>
    <w:rsid w:val="006C5FDD"/>
    <w:rsid w:val="006C641E"/>
    <w:rsid w:val="006C6805"/>
    <w:rsid w:val="006C7A73"/>
    <w:rsid w:val="006D2BEB"/>
    <w:rsid w:val="006D3E2A"/>
    <w:rsid w:val="006D46BB"/>
    <w:rsid w:val="006D7A54"/>
    <w:rsid w:val="006F1C2D"/>
    <w:rsid w:val="006F205E"/>
    <w:rsid w:val="006F4E5F"/>
    <w:rsid w:val="00703010"/>
    <w:rsid w:val="007122BA"/>
    <w:rsid w:val="007129BA"/>
    <w:rsid w:val="00713E29"/>
    <w:rsid w:val="00715FDB"/>
    <w:rsid w:val="00716C0F"/>
    <w:rsid w:val="00717546"/>
    <w:rsid w:val="00722CD8"/>
    <w:rsid w:val="00723966"/>
    <w:rsid w:val="0072437A"/>
    <w:rsid w:val="00724768"/>
    <w:rsid w:val="00726332"/>
    <w:rsid w:val="00727D55"/>
    <w:rsid w:val="007318EA"/>
    <w:rsid w:val="0073236C"/>
    <w:rsid w:val="00732FD3"/>
    <w:rsid w:val="00735268"/>
    <w:rsid w:val="00737826"/>
    <w:rsid w:val="0074027F"/>
    <w:rsid w:val="00741B8D"/>
    <w:rsid w:val="00742D29"/>
    <w:rsid w:val="007454E9"/>
    <w:rsid w:val="00745D35"/>
    <w:rsid w:val="007466FA"/>
    <w:rsid w:val="00750FAC"/>
    <w:rsid w:val="007524B1"/>
    <w:rsid w:val="00754D08"/>
    <w:rsid w:val="007553C3"/>
    <w:rsid w:val="0075633E"/>
    <w:rsid w:val="007576D2"/>
    <w:rsid w:val="007612C7"/>
    <w:rsid w:val="00761CA7"/>
    <w:rsid w:val="00763430"/>
    <w:rsid w:val="00765CE3"/>
    <w:rsid w:val="007660F7"/>
    <w:rsid w:val="00771963"/>
    <w:rsid w:val="00775DA7"/>
    <w:rsid w:val="00780E95"/>
    <w:rsid w:val="00786E2D"/>
    <w:rsid w:val="00792D8F"/>
    <w:rsid w:val="0079442E"/>
    <w:rsid w:val="007B0D04"/>
    <w:rsid w:val="007B1665"/>
    <w:rsid w:val="007B41D4"/>
    <w:rsid w:val="007B4220"/>
    <w:rsid w:val="007B5375"/>
    <w:rsid w:val="007B651A"/>
    <w:rsid w:val="007C1181"/>
    <w:rsid w:val="007C2241"/>
    <w:rsid w:val="007C2D7F"/>
    <w:rsid w:val="007C430B"/>
    <w:rsid w:val="007D1539"/>
    <w:rsid w:val="007D1DA7"/>
    <w:rsid w:val="007D5B33"/>
    <w:rsid w:val="007D6195"/>
    <w:rsid w:val="007D6402"/>
    <w:rsid w:val="007D749F"/>
    <w:rsid w:val="007D7F17"/>
    <w:rsid w:val="007E5B66"/>
    <w:rsid w:val="007E73AD"/>
    <w:rsid w:val="007F0629"/>
    <w:rsid w:val="007F15F9"/>
    <w:rsid w:val="007F284C"/>
    <w:rsid w:val="00804330"/>
    <w:rsid w:val="00807C5B"/>
    <w:rsid w:val="008135C1"/>
    <w:rsid w:val="00817502"/>
    <w:rsid w:val="00820301"/>
    <w:rsid w:val="008245DA"/>
    <w:rsid w:val="00826045"/>
    <w:rsid w:val="008321B5"/>
    <w:rsid w:val="0083316A"/>
    <w:rsid w:val="00834281"/>
    <w:rsid w:val="008361DC"/>
    <w:rsid w:val="008404C3"/>
    <w:rsid w:val="00844888"/>
    <w:rsid w:val="008449D8"/>
    <w:rsid w:val="00846539"/>
    <w:rsid w:val="00846B77"/>
    <w:rsid w:val="008511A0"/>
    <w:rsid w:val="00851BD2"/>
    <w:rsid w:val="00854B2E"/>
    <w:rsid w:val="0086177B"/>
    <w:rsid w:val="008649CC"/>
    <w:rsid w:val="0086776F"/>
    <w:rsid w:val="00870635"/>
    <w:rsid w:val="00871935"/>
    <w:rsid w:val="00871A1F"/>
    <w:rsid w:val="008742F3"/>
    <w:rsid w:val="008758C2"/>
    <w:rsid w:val="008844DF"/>
    <w:rsid w:val="00887A61"/>
    <w:rsid w:val="00892997"/>
    <w:rsid w:val="00895E75"/>
    <w:rsid w:val="008967CD"/>
    <w:rsid w:val="008A1543"/>
    <w:rsid w:val="008A5543"/>
    <w:rsid w:val="008A62A7"/>
    <w:rsid w:val="008B03F6"/>
    <w:rsid w:val="008B1831"/>
    <w:rsid w:val="008B4C0A"/>
    <w:rsid w:val="008B62FF"/>
    <w:rsid w:val="008C4356"/>
    <w:rsid w:val="008C5DCA"/>
    <w:rsid w:val="008C65BD"/>
    <w:rsid w:val="008D6143"/>
    <w:rsid w:val="008D6FAB"/>
    <w:rsid w:val="008E060E"/>
    <w:rsid w:val="008E092A"/>
    <w:rsid w:val="008E6913"/>
    <w:rsid w:val="008F218D"/>
    <w:rsid w:val="008F3BD5"/>
    <w:rsid w:val="008F5AD4"/>
    <w:rsid w:val="00901016"/>
    <w:rsid w:val="00903267"/>
    <w:rsid w:val="00903BA6"/>
    <w:rsid w:val="00906BE3"/>
    <w:rsid w:val="00910F07"/>
    <w:rsid w:val="00910F48"/>
    <w:rsid w:val="00915DB6"/>
    <w:rsid w:val="009224FD"/>
    <w:rsid w:val="009238D5"/>
    <w:rsid w:val="009329B9"/>
    <w:rsid w:val="00932C30"/>
    <w:rsid w:val="009367B3"/>
    <w:rsid w:val="00944D46"/>
    <w:rsid w:val="00945550"/>
    <w:rsid w:val="00945A1E"/>
    <w:rsid w:val="009517DB"/>
    <w:rsid w:val="00953336"/>
    <w:rsid w:val="00956ED7"/>
    <w:rsid w:val="00961264"/>
    <w:rsid w:val="00961887"/>
    <w:rsid w:val="00962E47"/>
    <w:rsid w:val="00966C79"/>
    <w:rsid w:val="00970092"/>
    <w:rsid w:val="00970291"/>
    <w:rsid w:val="0097193A"/>
    <w:rsid w:val="00975A5D"/>
    <w:rsid w:val="009771FC"/>
    <w:rsid w:val="00982450"/>
    <w:rsid w:val="00987DC4"/>
    <w:rsid w:val="00990FE3"/>
    <w:rsid w:val="0099119F"/>
    <w:rsid w:val="009A0F29"/>
    <w:rsid w:val="009B112F"/>
    <w:rsid w:val="009B203E"/>
    <w:rsid w:val="009B6924"/>
    <w:rsid w:val="009C0A1F"/>
    <w:rsid w:val="009C3244"/>
    <w:rsid w:val="009C36E4"/>
    <w:rsid w:val="009C4385"/>
    <w:rsid w:val="009C47EF"/>
    <w:rsid w:val="009C490F"/>
    <w:rsid w:val="009C4F5A"/>
    <w:rsid w:val="009C5E87"/>
    <w:rsid w:val="009C7168"/>
    <w:rsid w:val="009C7C9A"/>
    <w:rsid w:val="009D0050"/>
    <w:rsid w:val="009D34CE"/>
    <w:rsid w:val="009D62B7"/>
    <w:rsid w:val="009E64DA"/>
    <w:rsid w:val="009E7C9E"/>
    <w:rsid w:val="009F4034"/>
    <w:rsid w:val="009F4C23"/>
    <w:rsid w:val="009F5738"/>
    <w:rsid w:val="009F668E"/>
    <w:rsid w:val="009F66E8"/>
    <w:rsid w:val="00A01C39"/>
    <w:rsid w:val="00A02F31"/>
    <w:rsid w:val="00A0353A"/>
    <w:rsid w:val="00A106BA"/>
    <w:rsid w:val="00A11532"/>
    <w:rsid w:val="00A12205"/>
    <w:rsid w:val="00A208C2"/>
    <w:rsid w:val="00A21166"/>
    <w:rsid w:val="00A211E6"/>
    <w:rsid w:val="00A2626D"/>
    <w:rsid w:val="00A26498"/>
    <w:rsid w:val="00A31E3B"/>
    <w:rsid w:val="00A31F8C"/>
    <w:rsid w:val="00A342F3"/>
    <w:rsid w:val="00A34FBC"/>
    <w:rsid w:val="00A35BFF"/>
    <w:rsid w:val="00A36268"/>
    <w:rsid w:val="00A3673B"/>
    <w:rsid w:val="00A43D84"/>
    <w:rsid w:val="00A45CAA"/>
    <w:rsid w:val="00A4718E"/>
    <w:rsid w:val="00A50BAF"/>
    <w:rsid w:val="00A53F55"/>
    <w:rsid w:val="00A53FB6"/>
    <w:rsid w:val="00A55B56"/>
    <w:rsid w:val="00A617B4"/>
    <w:rsid w:val="00A6215B"/>
    <w:rsid w:val="00A62252"/>
    <w:rsid w:val="00A6695F"/>
    <w:rsid w:val="00A701F4"/>
    <w:rsid w:val="00A702DF"/>
    <w:rsid w:val="00A71FD4"/>
    <w:rsid w:val="00A7525E"/>
    <w:rsid w:val="00A75467"/>
    <w:rsid w:val="00A75C21"/>
    <w:rsid w:val="00A811D9"/>
    <w:rsid w:val="00A8225B"/>
    <w:rsid w:val="00A856B1"/>
    <w:rsid w:val="00A85AF4"/>
    <w:rsid w:val="00A85D19"/>
    <w:rsid w:val="00A92EF7"/>
    <w:rsid w:val="00AA0D21"/>
    <w:rsid w:val="00AA2B0A"/>
    <w:rsid w:val="00AA457D"/>
    <w:rsid w:val="00AA5792"/>
    <w:rsid w:val="00AB0138"/>
    <w:rsid w:val="00AB165B"/>
    <w:rsid w:val="00AB291C"/>
    <w:rsid w:val="00AC21E1"/>
    <w:rsid w:val="00AC4C3E"/>
    <w:rsid w:val="00AC4DD5"/>
    <w:rsid w:val="00AC6BB1"/>
    <w:rsid w:val="00AD0E75"/>
    <w:rsid w:val="00AD136E"/>
    <w:rsid w:val="00AD1E27"/>
    <w:rsid w:val="00AD3EFB"/>
    <w:rsid w:val="00AD5718"/>
    <w:rsid w:val="00AE18E3"/>
    <w:rsid w:val="00AE3FEF"/>
    <w:rsid w:val="00AF239A"/>
    <w:rsid w:val="00AF2BC0"/>
    <w:rsid w:val="00B00E88"/>
    <w:rsid w:val="00B11615"/>
    <w:rsid w:val="00B13922"/>
    <w:rsid w:val="00B1750F"/>
    <w:rsid w:val="00B229B5"/>
    <w:rsid w:val="00B22B1F"/>
    <w:rsid w:val="00B22CCB"/>
    <w:rsid w:val="00B2457B"/>
    <w:rsid w:val="00B24947"/>
    <w:rsid w:val="00B27A48"/>
    <w:rsid w:val="00B31062"/>
    <w:rsid w:val="00B310A2"/>
    <w:rsid w:val="00B31AFC"/>
    <w:rsid w:val="00B33A0A"/>
    <w:rsid w:val="00B34F9C"/>
    <w:rsid w:val="00B355CF"/>
    <w:rsid w:val="00B41146"/>
    <w:rsid w:val="00B5437F"/>
    <w:rsid w:val="00B6446F"/>
    <w:rsid w:val="00B65466"/>
    <w:rsid w:val="00B67224"/>
    <w:rsid w:val="00B673F5"/>
    <w:rsid w:val="00B67E86"/>
    <w:rsid w:val="00B70FFA"/>
    <w:rsid w:val="00B73D48"/>
    <w:rsid w:val="00B74B03"/>
    <w:rsid w:val="00B752FA"/>
    <w:rsid w:val="00B75F88"/>
    <w:rsid w:val="00B800BC"/>
    <w:rsid w:val="00B820C8"/>
    <w:rsid w:val="00B82563"/>
    <w:rsid w:val="00B82700"/>
    <w:rsid w:val="00B83725"/>
    <w:rsid w:val="00B8424B"/>
    <w:rsid w:val="00B87768"/>
    <w:rsid w:val="00B91284"/>
    <w:rsid w:val="00B92094"/>
    <w:rsid w:val="00B932D4"/>
    <w:rsid w:val="00B935AC"/>
    <w:rsid w:val="00B9542E"/>
    <w:rsid w:val="00B977CD"/>
    <w:rsid w:val="00BA0C90"/>
    <w:rsid w:val="00BA1C19"/>
    <w:rsid w:val="00BA2FE6"/>
    <w:rsid w:val="00BB0986"/>
    <w:rsid w:val="00BB0CBE"/>
    <w:rsid w:val="00BB3CDE"/>
    <w:rsid w:val="00BB4D9F"/>
    <w:rsid w:val="00BC1D98"/>
    <w:rsid w:val="00BC2C95"/>
    <w:rsid w:val="00BC4ABE"/>
    <w:rsid w:val="00BD4173"/>
    <w:rsid w:val="00BE113C"/>
    <w:rsid w:val="00BE2799"/>
    <w:rsid w:val="00BE2B02"/>
    <w:rsid w:val="00BE612F"/>
    <w:rsid w:val="00BE6512"/>
    <w:rsid w:val="00BF0060"/>
    <w:rsid w:val="00BF10A8"/>
    <w:rsid w:val="00BF30C6"/>
    <w:rsid w:val="00BF44F5"/>
    <w:rsid w:val="00C02ED1"/>
    <w:rsid w:val="00C1402B"/>
    <w:rsid w:val="00C15A08"/>
    <w:rsid w:val="00C1709F"/>
    <w:rsid w:val="00C22418"/>
    <w:rsid w:val="00C22E8C"/>
    <w:rsid w:val="00C24801"/>
    <w:rsid w:val="00C24FB6"/>
    <w:rsid w:val="00C26B2F"/>
    <w:rsid w:val="00C31736"/>
    <w:rsid w:val="00C342D8"/>
    <w:rsid w:val="00C370BB"/>
    <w:rsid w:val="00C4462B"/>
    <w:rsid w:val="00C45E95"/>
    <w:rsid w:val="00C46B37"/>
    <w:rsid w:val="00C47CD5"/>
    <w:rsid w:val="00C5642F"/>
    <w:rsid w:val="00C61799"/>
    <w:rsid w:val="00C668EC"/>
    <w:rsid w:val="00C73FB3"/>
    <w:rsid w:val="00C76088"/>
    <w:rsid w:val="00C760C6"/>
    <w:rsid w:val="00C8269F"/>
    <w:rsid w:val="00C9350D"/>
    <w:rsid w:val="00C9379C"/>
    <w:rsid w:val="00C95ACA"/>
    <w:rsid w:val="00C95BC5"/>
    <w:rsid w:val="00C969C8"/>
    <w:rsid w:val="00CA0EEE"/>
    <w:rsid w:val="00CA2993"/>
    <w:rsid w:val="00CA31F3"/>
    <w:rsid w:val="00CA32A1"/>
    <w:rsid w:val="00CA3F97"/>
    <w:rsid w:val="00CA4101"/>
    <w:rsid w:val="00CA5DA7"/>
    <w:rsid w:val="00CB27B7"/>
    <w:rsid w:val="00CB286D"/>
    <w:rsid w:val="00CB503C"/>
    <w:rsid w:val="00CB5066"/>
    <w:rsid w:val="00CB7D86"/>
    <w:rsid w:val="00CC0670"/>
    <w:rsid w:val="00CC3D8E"/>
    <w:rsid w:val="00CC40B6"/>
    <w:rsid w:val="00CC6854"/>
    <w:rsid w:val="00CD09F7"/>
    <w:rsid w:val="00CD2CE8"/>
    <w:rsid w:val="00CD3D05"/>
    <w:rsid w:val="00CE2563"/>
    <w:rsid w:val="00CE71F7"/>
    <w:rsid w:val="00CF22F9"/>
    <w:rsid w:val="00CF3BB7"/>
    <w:rsid w:val="00CF3FFA"/>
    <w:rsid w:val="00CF7699"/>
    <w:rsid w:val="00D00A3A"/>
    <w:rsid w:val="00D043D6"/>
    <w:rsid w:val="00D05FE9"/>
    <w:rsid w:val="00D12100"/>
    <w:rsid w:val="00D12E23"/>
    <w:rsid w:val="00D12E54"/>
    <w:rsid w:val="00D13573"/>
    <w:rsid w:val="00D14F3F"/>
    <w:rsid w:val="00D229A6"/>
    <w:rsid w:val="00D22B5B"/>
    <w:rsid w:val="00D248DE"/>
    <w:rsid w:val="00D27D1E"/>
    <w:rsid w:val="00D31B29"/>
    <w:rsid w:val="00D3705F"/>
    <w:rsid w:val="00D412B7"/>
    <w:rsid w:val="00D45FC8"/>
    <w:rsid w:val="00D46C72"/>
    <w:rsid w:val="00D46E3C"/>
    <w:rsid w:val="00D5272E"/>
    <w:rsid w:val="00D66FD1"/>
    <w:rsid w:val="00D67F97"/>
    <w:rsid w:val="00D75A75"/>
    <w:rsid w:val="00D81B65"/>
    <w:rsid w:val="00D902B5"/>
    <w:rsid w:val="00D90AD6"/>
    <w:rsid w:val="00D92BE7"/>
    <w:rsid w:val="00D9347A"/>
    <w:rsid w:val="00D952D0"/>
    <w:rsid w:val="00D977F1"/>
    <w:rsid w:val="00DA03BE"/>
    <w:rsid w:val="00DA114C"/>
    <w:rsid w:val="00DA3691"/>
    <w:rsid w:val="00DA4FD9"/>
    <w:rsid w:val="00DB2CEC"/>
    <w:rsid w:val="00DB5F6D"/>
    <w:rsid w:val="00DC1081"/>
    <w:rsid w:val="00DC2DCA"/>
    <w:rsid w:val="00DC60B5"/>
    <w:rsid w:val="00DC710A"/>
    <w:rsid w:val="00DD1436"/>
    <w:rsid w:val="00DD405B"/>
    <w:rsid w:val="00DD6752"/>
    <w:rsid w:val="00DE57D9"/>
    <w:rsid w:val="00DE6E56"/>
    <w:rsid w:val="00DF1397"/>
    <w:rsid w:val="00DF636F"/>
    <w:rsid w:val="00E010AB"/>
    <w:rsid w:val="00E03E69"/>
    <w:rsid w:val="00E05B3C"/>
    <w:rsid w:val="00E07C9E"/>
    <w:rsid w:val="00E10865"/>
    <w:rsid w:val="00E13B96"/>
    <w:rsid w:val="00E13EA5"/>
    <w:rsid w:val="00E14BB5"/>
    <w:rsid w:val="00E277CF"/>
    <w:rsid w:val="00E30A66"/>
    <w:rsid w:val="00E37D4A"/>
    <w:rsid w:val="00E41DD2"/>
    <w:rsid w:val="00E424A3"/>
    <w:rsid w:val="00E43BC2"/>
    <w:rsid w:val="00E4403B"/>
    <w:rsid w:val="00E46F90"/>
    <w:rsid w:val="00E47E0A"/>
    <w:rsid w:val="00E47F22"/>
    <w:rsid w:val="00E525C2"/>
    <w:rsid w:val="00E533B7"/>
    <w:rsid w:val="00E5508E"/>
    <w:rsid w:val="00E555E3"/>
    <w:rsid w:val="00E61282"/>
    <w:rsid w:val="00E61CB8"/>
    <w:rsid w:val="00E61F05"/>
    <w:rsid w:val="00E625A0"/>
    <w:rsid w:val="00E6276F"/>
    <w:rsid w:val="00E717C6"/>
    <w:rsid w:val="00E77C0F"/>
    <w:rsid w:val="00E90B70"/>
    <w:rsid w:val="00E931F0"/>
    <w:rsid w:val="00E94013"/>
    <w:rsid w:val="00E95DB0"/>
    <w:rsid w:val="00E977E1"/>
    <w:rsid w:val="00EA7E84"/>
    <w:rsid w:val="00EB0667"/>
    <w:rsid w:val="00EB2BDC"/>
    <w:rsid w:val="00EB7036"/>
    <w:rsid w:val="00EC0E24"/>
    <w:rsid w:val="00EC18E3"/>
    <w:rsid w:val="00ED2734"/>
    <w:rsid w:val="00ED3CE7"/>
    <w:rsid w:val="00ED4570"/>
    <w:rsid w:val="00EE1CD4"/>
    <w:rsid w:val="00EE2AFE"/>
    <w:rsid w:val="00EE35B6"/>
    <w:rsid w:val="00EE4425"/>
    <w:rsid w:val="00EE4B6C"/>
    <w:rsid w:val="00EE596D"/>
    <w:rsid w:val="00EE7586"/>
    <w:rsid w:val="00EF2386"/>
    <w:rsid w:val="00EF5D1F"/>
    <w:rsid w:val="00F003BE"/>
    <w:rsid w:val="00F01A80"/>
    <w:rsid w:val="00F02614"/>
    <w:rsid w:val="00F027DC"/>
    <w:rsid w:val="00F061D4"/>
    <w:rsid w:val="00F15898"/>
    <w:rsid w:val="00F15C93"/>
    <w:rsid w:val="00F17D5B"/>
    <w:rsid w:val="00F17DA6"/>
    <w:rsid w:val="00F215AE"/>
    <w:rsid w:val="00F2231E"/>
    <w:rsid w:val="00F24799"/>
    <w:rsid w:val="00F2549A"/>
    <w:rsid w:val="00F256FB"/>
    <w:rsid w:val="00F25763"/>
    <w:rsid w:val="00F26EC8"/>
    <w:rsid w:val="00F26F16"/>
    <w:rsid w:val="00F3494A"/>
    <w:rsid w:val="00F4107B"/>
    <w:rsid w:val="00F41111"/>
    <w:rsid w:val="00F4148B"/>
    <w:rsid w:val="00F4610D"/>
    <w:rsid w:val="00F4615E"/>
    <w:rsid w:val="00F4654E"/>
    <w:rsid w:val="00F503B1"/>
    <w:rsid w:val="00F50CFE"/>
    <w:rsid w:val="00F51482"/>
    <w:rsid w:val="00F539D6"/>
    <w:rsid w:val="00F54D50"/>
    <w:rsid w:val="00F65759"/>
    <w:rsid w:val="00F66780"/>
    <w:rsid w:val="00F66B4F"/>
    <w:rsid w:val="00F70764"/>
    <w:rsid w:val="00F71253"/>
    <w:rsid w:val="00F71498"/>
    <w:rsid w:val="00F730E5"/>
    <w:rsid w:val="00F75C0D"/>
    <w:rsid w:val="00F76956"/>
    <w:rsid w:val="00F8099D"/>
    <w:rsid w:val="00F83613"/>
    <w:rsid w:val="00F9071B"/>
    <w:rsid w:val="00F921EE"/>
    <w:rsid w:val="00F926BC"/>
    <w:rsid w:val="00F960F9"/>
    <w:rsid w:val="00F96474"/>
    <w:rsid w:val="00FA1AD0"/>
    <w:rsid w:val="00FA1BA5"/>
    <w:rsid w:val="00FA4933"/>
    <w:rsid w:val="00FA7794"/>
    <w:rsid w:val="00FB081B"/>
    <w:rsid w:val="00FB13F4"/>
    <w:rsid w:val="00FB2A03"/>
    <w:rsid w:val="00FC057A"/>
    <w:rsid w:val="00FC0D61"/>
    <w:rsid w:val="00FC160C"/>
    <w:rsid w:val="00FC23E2"/>
    <w:rsid w:val="00FC5EB3"/>
    <w:rsid w:val="00FC7406"/>
    <w:rsid w:val="00FD2272"/>
    <w:rsid w:val="00FD4AF3"/>
    <w:rsid w:val="00FD76DC"/>
    <w:rsid w:val="00FE3419"/>
    <w:rsid w:val="00FE3C2F"/>
    <w:rsid w:val="00FE435D"/>
    <w:rsid w:val="00FE682B"/>
    <w:rsid w:val="00FE7E51"/>
    <w:rsid w:val="00FF4BAE"/>
    <w:rsid w:val="00FF548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2157"/>
  <w15:chartTrackingRefBased/>
  <w15:docId w15:val="{8652A1BD-AF97-476F-82C9-69D563AA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BD"/>
    <w:pPr>
      <w:ind w:left="720"/>
      <w:contextualSpacing/>
    </w:pPr>
  </w:style>
  <w:style w:type="character" w:styleId="Hyperlink">
    <w:name w:val="Hyperlink"/>
    <w:basedOn w:val="DefaultParagraphFont"/>
    <w:uiPriority w:val="99"/>
    <w:unhideWhenUsed/>
    <w:rsid w:val="00027866"/>
    <w:rPr>
      <w:color w:val="0000FF" w:themeColor="hyperlink"/>
      <w:u w:val="single"/>
    </w:rPr>
  </w:style>
  <w:style w:type="character" w:customStyle="1" w:styleId="Menzionenonrisolta1">
    <w:name w:val="Menzione non risolta1"/>
    <w:basedOn w:val="DefaultParagraphFont"/>
    <w:uiPriority w:val="99"/>
    <w:semiHidden/>
    <w:unhideWhenUsed/>
    <w:rsid w:val="00027866"/>
    <w:rPr>
      <w:color w:val="605E5C"/>
      <w:shd w:val="clear" w:color="auto" w:fill="E1DFDD"/>
    </w:rPr>
  </w:style>
  <w:style w:type="character" w:styleId="CommentReference">
    <w:name w:val="annotation reference"/>
    <w:basedOn w:val="DefaultParagraphFont"/>
    <w:uiPriority w:val="99"/>
    <w:semiHidden/>
    <w:unhideWhenUsed/>
    <w:rsid w:val="00DD405B"/>
    <w:rPr>
      <w:sz w:val="16"/>
      <w:szCs w:val="16"/>
    </w:rPr>
  </w:style>
  <w:style w:type="paragraph" w:styleId="CommentText">
    <w:name w:val="annotation text"/>
    <w:basedOn w:val="Normal"/>
    <w:link w:val="CommentTextChar"/>
    <w:uiPriority w:val="99"/>
    <w:unhideWhenUsed/>
    <w:rsid w:val="00DD405B"/>
    <w:pPr>
      <w:spacing w:line="240" w:lineRule="auto"/>
    </w:pPr>
    <w:rPr>
      <w:sz w:val="20"/>
      <w:szCs w:val="20"/>
    </w:rPr>
  </w:style>
  <w:style w:type="character" w:customStyle="1" w:styleId="CommentTextChar">
    <w:name w:val="Comment Text Char"/>
    <w:basedOn w:val="DefaultParagraphFont"/>
    <w:link w:val="CommentText"/>
    <w:uiPriority w:val="99"/>
    <w:rsid w:val="00DD405B"/>
    <w:rPr>
      <w:sz w:val="20"/>
      <w:szCs w:val="20"/>
    </w:rPr>
  </w:style>
  <w:style w:type="paragraph" w:styleId="CommentSubject">
    <w:name w:val="annotation subject"/>
    <w:basedOn w:val="CommentText"/>
    <w:next w:val="CommentText"/>
    <w:link w:val="CommentSubjectChar"/>
    <w:uiPriority w:val="99"/>
    <w:semiHidden/>
    <w:unhideWhenUsed/>
    <w:rsid w:val="00DD405B"/>
    <w:rPr>
      <w:b/>
      <w:bCs/>
    </w:rPr>
  </w:style>
  <w:style w:type="character" w:customStyle="1" w:styleId="CommentSubjectChar">
    <w:name w:val="Comment Subject Char"/>
    <w:basedOn w:val="CommentTextChar"/>
    <w:link w:val="CommentSubject"/>
    <w:uiPriority w:val="99"/>
    <w:semiHidden/>
    <w:rsid w:val="00DD405B"/>
    <w:rPr>
      <w:b/>
      <w:bCs/>
      <w:sz w:val="20"/>
      <w:szCs w:val="20"/>
    </w:rPr>
  </w:style>
  <w:style w:type="paragraph" w:styleId="Header">
    <w:name w:val="header"/>
    <w:basedOn w:val="Normal"/>
    <w:link w:val="HeaderChar"/>
    <w:uiPriority w:val="99"/>
    <w:unhideWhenUsed/>
    <w:rsid w:val="00F4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8B"/>
  </w:style>
  <w:style w:type="paragraph" w:styleId="Footer">
    <w:name w:val="footer"/>
    <w:basedOn w:val="Normal"/>
    <w:link w:val="FooterChar"/>
    <w:uiPriority w:val="99"/>
    <w:unhideWhenUsed/>
    <w:rsid w:val="00F4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8B"/>
  </w:style>
  <w:style w:type="paragraph" w:styleId="Revision">
    <w:name w:val="Revision"/>
    <w:hidden/>
    <w:uiPriority w:val="99"/>
    <w:semiHidden/>
    <w:rsid w:val="00DC2DCA"/>
    <w:pPr>
      <w:spacing w:after="0" w:line="240" w:lineRule="auto"/>
    </w:pPr>
  </w:style>
  <w:style w:type="paragraph" w:styleId="BalloonText">
    <w:name w:val="Balloon Text"/>
    <w:basedOn w:val="Normal"/>
    <w:link w:val="BalloonTextChar"/>
    <w:uiPriority w:val="99"/>
    <w:semiHidden/>
    <w:unhideWhenUsed/>
    <w:rsid w:val="00BE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02"/>
    <w:rPr>
      <w:rFonts w:ascii="Segoe UI" w:hAnsi="Segoe UI" w:cs="Segoe UI"/>
      <w:sz w:val="18"/>
      <w:szCs w:val="18"/>
    </w:rPr>
  </w:style>
  <w:style w:type="paragraph" w:styleId="FootnoteText">
    <w:name w:val="footnote text"/>
    <w:basedOn w:val="Normal"/>
    <w:link w:val="FootnoteTextChar"/>
    <w:uiPriority w:val="99"/>
    <w:semiHidden/>
    <w:unhideWhenUsed/>
    <w:rsid w:val="00011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886"/>
    <w:rPr>
      <w:sz w:val="20"/>
      <w:szCs w:val="20"/>
    </w:rPr>
  </w:style>
  <w:style w:type="character" w:styleId="FootnoteReference">
    <w:name w:val="footnote reference"/>
    <w:basedOn w:val="DefaultParagraphFont"/>
    <w:uiPriority w:val="99"/>
    <w:semiHidden/>
    <w:unhideWhenUsed/>
    <w:rsid w:val="00011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ECBD-B405-4412-959A-1A9006A4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11711</Characters>
  <Application>Microsoft Office Word</Application>
  <DocSecurity>0</DocSecurity>
  <Lines>97</Lines>
  <Paragraphs>27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Rooduijn</dc:creator>
  <cp:keywords/>
  <dc:description/>
  <cp:lastModifiedBy>Matthijs Rooduijn</cp:lastModifiedBy>
  <cp:revision>3</cp:revision>
  <cp:lastPrinted>2023-04-20T09:27:00Z</cp:lastPrinted>
  <dcterms:created xsi:type="dcterms:W3CDTF">2023-06-19T12:31:00Z</dcterms:created>
  <dcterms:modified xsi:type="dcterms:W3CDTF">2023-06-20T12:05:00Z</dcterms:modified>
</cp:coreProperties>
</file>