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DB34" w14:textId="76EBEADE" w:rsidR="002B2BD2" w:rsidRPr="00F838B1" w:rsidRDefault="00563AE3" w:rsidP="00E41C02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838B1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Supplemental Table </w:t>
      </w:r>
      <w:r w:rsidR="00C26439" w:rsidRPr="00F838B1">
        <w:rPr>
          <w:rFonts w:ascii="Times New Roman" w:hAnsi="Times New Roman" w:cs="Times New Roman"/>
          <w:b/>
          <w:bCs/>
          <w:color w:val="000000" w:themeColor="text1"/>
          <w:lang w:val="en-US"/>
        </w:rPr>
        <w:t>5</w:t>
      </w:r>
      <w:r w:rsidRPr="00F838B1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. </w:t>
      </w:r>
      <w:r w:rsidR="002B2BD2" w:rsidRPr="00F838B1">
        <w:rPr>
          <w:rFonts w:ascii="Times New Roman" w:hAnsi="Times New Roman" w:cs="Times New Roman"/>
          <w:color w:val="000000" w:themeColor="text1"/>
          <w:lang w:val="en-US"/>
        </w:rPr>
        <w:t>Synergy factor (SF) analysis</w:t>
      </w:r>
      <w:r w:rsidR="00CF6C86" w:rsidRPr="00F838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2DEB" w:rsidRPr="00F838B1">
        <w:rPr>
          <w:rFonts w:ascii="Times New Roman" w:hAnsi="Times New Roman" w:cs="Times New Roman"/>
          <w:color w:val="000000" w:themeColor="text1"/>
          <w:lang w:val="en-US"/>
        </w:rPr>
        <w:t xml:space="preserve">for the interactions between dietary fat score (DFS) </w:t>
      </w:r>
      <w:r w:rsidR="00F61C5F" w:rsidRPr="00F838B1">
        <w:rPr>
          <w:rFonts w:ascii="Times New Roman" w:hAnsi="Times New Roman" w:cs="Times New Roman"/>
          <w:color w:val="000000" w:themeColor="text1"/>
          <w:lang w:val="en-US"/>
        </w:rPr>
        <w:t xml:space="preserve">and various dietary factors </w:t>
      </w:r>
      <w:r w:rsidR="00813929" w:rsidRPr="00F838B1">
        <w:rPr>
          <w:rFonts w:ascii="Times New Roman" w:hAnsi="Times New Roman" w:cs="Times New Roman"/>
          <w:color w:val="000000" w:themeColor="text1"/>
          <w:lang w:val="en-US"/>
        </w:rPr>
        <w:t xml:space="preserve">in influencing the associated risks for atopic dermatitis (AD) presentation and </w:t>
      </w:r>
      <w:r w:rsidR="00E41C02" w:rsidRPr="00F838B1">
        <w:rPr>
          <w:rFonts w:ascii="Times New Roman" w:hAnsi="Times New Roman" w:cs="Times New Roman"/>
          <w:color w:val="000000" w:themeColor="text1"/>
          <w:lang w:val="en-US"/>
        </w:rPr>
        <w:t>chronicity</w:t>
      </w:r>
      <w:r w:rsidR="00813929" w:rsidRPr="00F838B1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F61C5F" w:rsidRPr="00F838B1">
        <w:rPr>
          <w:rFonts w:ascii="Times New Roman" w:hAnsi="Times New Roman" w:cs="Times New Roman"/>
          <w:color w:val="000000" w:themeColor="text1"/>
          <w:lang w:val="en-US"/>
        </w:rPr>
        <w:t xml:space="preserve">among 13,561 young Chinese adults from the Singapore/Malaysia Cross-sectional Genetics </w:t>
      </w:r>
      <w:r w:rsidR="0098237F" w:rsidRPr="00F838B1">
        <w:rPr>
          <w:rFonts w:ascii="Times New Roman" w:hAnsi="Times New Roman" w:cs="Times New Roman"/>
          <w:color w:val="000000" w:themeColor="text1"/>
          <w:lang w:val="en-US"/>
        </w:rPr>
        <w:t>Epidemiology</w:t>
      </w:r>
      <w:r w:rsidR="00F61C5F" w:rsidRPr="00F838B1">
        <w:rPr>
          <w:rFonts w:ascii="Times New Roman" w:hAnsi="Times New Roman" w:cs="Times New Roman"/>
          <w:color w:val="000000" w:themeColor="text1"/>
          <w:lang w:val="en-US"/>
        </w:rPr>
        <w:t xml:space="preserve"> Study (SMCGES) cohort. </w:t>
      </w:r>
      <w:r w:rsidR="002B2BD2" w:rsidRPr="00F838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669"/>
        <w:gridCol w:w="1059"/>
        <w:gridCol w:w="990"/>
        <w:gridCol w:w="1200"/>
        <w:gridCol w:w="814"/>
        <w:gridCol w:w="936"/>
        <w:gridCol w:w="1265"/>
      </w:tblGrid>
      <w:tr w:rsidR="00F838B1" w:rsidRPr="00F838B1" w14:paraId="3AC31148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295B9DD7" w14:textId="08EADC5D" w:rsidR="006832C6" w:rsidRPr="00F838B1" w:rsidRDefault="00633B70" w:rsidP="00F62C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Interactions Between Dietary Fat Scores (DFS) and </w:t>
            </w:r>
            <w:r w:rsidR="006711E8"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</w:t>
            </w: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ruit/vegetable </w:t>
            </w:r>
            <w:r w:rsidR="006711E8"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</w:t>
            </w: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ntake</w:t>
            </w:r>
          </w:p>
        </w:tc>
      </w:tr>
      <w:tr w:rsidR="00F838B1" w:rsidRPr="00F838B1" w14:paraId="46FC02FC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687AB844" w14:textId="40F8B9ED" w:rsidR="006832C6" w:rsidRPr="00F838B1" w:rsidRDefault="00130D9A" w:rsidP="00F62C7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AD Presentation (3650 non-allergic non-eczema controls vs. 2316 ever AD cases)</w:t>
            </w:r>
          </w:p>
        </w:tc>
      </w:tr>
      <w:tr w:rsidR="00F838B1" w:rsidRPr="00F838B1" w14:paraId="3F5EB282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4D0B682B" w14:textId="27B87500" w:rsidR="006832C6" w:rsidRPr="00F838B1" w:rsidRDefault="004970CE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DFS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49A825AB" w14:textId="372759EC" w:rsidR="006832C6" w:rsidRPr="00F838B1" w:rsidRDefault="004970CE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Fruit/vegetable </w:t>
            </w:r>
            <w:r w:rsidR="009634C9"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Intake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52B9E81D" w14:textId="1AC330F6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Non-</w:t>
            </w:r>
            <w:r w:rsidR="009634C9"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llergic Non-</w:t>
            </w:r>
            <w:r w:rsidR="009634C9"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czema Controls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10A75F4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AD Cases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495BEE2D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Odds Ratio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66CD1AB3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 P Value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65862383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</w:t>
            </w:r>
          </w:p>
          <w:p w14:paraId="660D344D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(95% CI)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239C5467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F838B1" w:rsidRPr="00F838B1" w14:paraId="28366B9B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2EF2FCD2" w14:textId="25D72520" w:rsidR="006832C6" w:rsidRPr="00F838B1" w:rsidRDefault="00491EA8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3AD9C4BA" w14:textId="71EB8B45" w:rsidR="006832C6" w:rsidRPr="00F838B1" w:rsidRDefault="00491EA8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4F5CF580" w14:textId="116EFE01" w:rsidR="006832C6" w:rsidRPr="00F838B1" w:rsidRDefault="00530D2B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  <w:r w:rsidR="000F3CC8"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34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4318DA" w14:textId="61FADC44" w:rsidR="006832C6" w:rsidRPr="00F838B1" w:rsidRDefault="000F3CC8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511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751D2581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Reference</w:t>
            </w:r>
          </w:p>
        </w:tc>
        <w:tc>
          <w:tcPr>
            <w:tcW w:w="814" w:type="dxa"/>
            <w:vMerge w:val="restart"/>
            <w:tcBorders>
              <w:left w:val="nil"/>
              <w:right w:val="nil"/>
            </w:tcBorders>
            <w:vAlign w:val="center"/>
          </w:tcPr>
          <w:p w14:paraId="7A34BC8C" w14:textId="7452E11C" w:rsidR="006832C6" w:rsidRPr="00F838B1" w:rsidRDefault="00BC0418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0.695 </w:t>
            </w:r>
          </w:p>
        </w:tc>
        <w:tc>
          <w:tcPr>
            <w:tcW w:w="936" w:type="dxa"/>
            <w:vMerge w:val="restart"/>
            <w:tcBorders>
              <w:left w:val="nil"/>
              <w:right w:val="nil"/>
            </w:tcBorders>
            <w:vAlign w:val="center"/>
          </w:tcPr>
          <w:p w14:paraId="06AA946B" w14:textId="3D24A48F" w:rsidR="00BC0418" w:rsidRPr="00F838B1" w:rsidRDefault="00BC0418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0.828</w:t>
            </w:r>
          </w:p>
          <w:p w14:paraId="263F152F" w14:textId="785AC20B" w:rsidR="00530D2B" w:rsidRPr="00F838B1" w:rsidRDefault="00BC0418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(0.321-2.133)</w:t>
            </w:r>
          </w:p>
        </w:tc>
        <w:tc>
          <w:tcPr>
            <w:tcW w:w="1265" w:type="dxa"/>
            <w:vMerge w:val="restart"/>
            <w:tcBorders>
              <w:left w:val="nil"/>
            </w:tcBorders>
            <w:vAlign w:val="center"/>
          </w:tcPr>
          <w:p w14:paraId="5D1C780D" w14:textId="77777777" w:rsidR="006832C6" w:rsidRPr="00F838B1" w:rsidRDefault="006832C6" w:rsidP="00683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</w:p>
        </w:tc>
      </w:tr>
      <w:tr w:rsidR="00F838B1" w:rsidRPr="00F838B1" w14:paraId="1BEBBAEB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4ACAEDD4" w14:textId="59F37324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6612B3A8" w14:textId="7260A7C4" w:rsidR="00856D76" w:rsidRPr="00F838B1" w:rsidRDefault="002F091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76832578" w14:textId="769022C4" w:rsidR="00856D76" w:rsidRPr="00F838B1" w:rsidRDefault="000F3CC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416CF3" w14:textId="1E30C6F3" w:rsidR="00856D76" w:rsidRPr="00F838B1" w:rsidRDefault="000F3CC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08FD5F9A" w14:textId="13593C57" w:rsidR="00856D76" w:rsidRPr="00F838B1" w:rsidRDefault="00BC041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1.472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7B4948B2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4576C5E1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78923442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2F55CE96" w14:textId="77777777" w:rsidTr="00F870E5">
        <w:tc>
          <w:tcPr>
            <w:tcW w:w="713" w:type="dxa"/>
            <w:tcBorders>
              <w:right w:val="nil"/>
            </w:tcBorders>
          </w:tcPr>
          <w:p w14:paraId="3D6E956C" w14:textId="0D431524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56673815" w14:textId="6C94BFA3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50DF7464" w14:textId="52328C42" w:rsidR="00856D76" w:rsidRPr="00F838B1" w:rsidRDefault="000F3CC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379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780F659" w14:textId="3ED06ACD" w:rsidR="00856D76" w:rsidRPr="00F838B1" w:rsidRDefault="000F3CC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289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19777BE4" w14:textId="6AC0AC42" w:rsidR="00856D76" w:rsidRPr="00F838B1" w:rsidRDefault="00BC041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1.543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17D89F37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6C60BC19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561CF0FC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4661D8C6" w14:textId="77777777" w:rsidTr="00F870E5">
        <w:tc>
          <w:tcPr>
            <w:tcW w:w="713" w:type="dxa"/>
            <w:tcBorders>
              <w:right w:val="nil"/>
            </w:tcBorders>
          </w:tcPr>
          <w:p w14:paraId="09E31E92" w14:textId="3E3FEDED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691884DA" w14:textId="4EC9144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6CAD99C7" w14:textId="1C4E4819" w:rsidR="00856D76" w:rsidRPr="00F838B1" w:rsidRDefault="000F3CC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253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AF1476D" w14:textId="7EEE5034" w:rsidR="00856D76" w:rsidRPr="00F838B1" w:rsidRDefault="000F3CC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235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754DFC3B" w14:textId="64786DB1" w:rsidR="00856D76" w:rsidRPr="00F838B1" w:rsidRDefault="00BC0418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1.880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4BD26941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621CCC56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05D7E466" w14:textId="77777777" w:rsidR="00856D76" w:rsidRPr="00F838B1" w:rsidRDefault="00856D76" w:rsidP="00856D7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6F4F2FA0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32C5F4DA" w14:textId="3AFC2106" w:rsidR="00B45B2F" w:rsidRPr="00F838B1" w:rsidRDefault="00B45B2F" w:rsidP="00F62C7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AD Chronicity (1402 acute AD controls vs. 809 chronic AD cases)</w:t>
            </w:r>
          </w:p>
        </w:tc>
      </w:tr>
      <w:tr w:rsidR="00F838B1" w:rsidRPr="00F838B1" w14:paraId="1EC70EAB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4BE3048F" w14:textId="757FE48D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DFS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5F32D078" w14:textId="20A624E4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Fruit/vegetable Intake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3B74625C" w14:textId="19C3B2B8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Acute AD Controls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EE2B4C" w14:textId="77777777" w:rsidR="00FC3605" w:rsidRPr="00F838B1" w:rsidRDefault="00FC3605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</w:t>
            </w:r>
          </w:p>
          <w:p w14:paraId="7AEE4A4C" w14:textId="41676DDA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AD Cases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22A52E83" w14:textId="77777777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Odds Ratio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35F61675" w14:textId="77777777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 P Value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3CC84931" w14:textId="77777777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</w:t>
            </w:r>
          </w:p>
          <w:p w14:paraId="6AACA99A" w14:textId="77777777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(95% CI)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7CF359C0" w14:textId="77777777" w:rsidR="009634C9" w:rsidRPr="00F838B1" w:rsidRDefault="009634C9" w:rsidP="009634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F838B1" w:rsidRPr="00F838B1" w14:paraId="75525CC9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558A6999" w14:textId="7F726471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3A01E441" w14:textId="044926A4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759E6B00" w14:textId="4ACC05FB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309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97BD396" w14:textId="0CCD658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182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7E71139B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Reference</w:t>
            </w:r>
          </w:p>
        </w:tc>
        <w:tc>
          <w:tcPr>
            <w:tcW w:w="814" w:type="dxa"/>
            <w:vMerge w:val="restart"/>
            <w:tcBorders>
              <w:left w:val="nil"/>
              <w:right w:val="nil"/>
            </w:tcBorders>
            <w:vAlign w:val="center"/>
          </w:tcPr>
          <w:p w14:paraId="530A13A6" w14:textId="74C2273A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0.282</w:t>
            </w:r>
          </w:p>
        </w:tc>
        <w:tc>
          <w:tcPr>
            <w:tcW w:w="936" w:type="dxa"/>
            <w:vMerge w:val="restart"/>
            <w:tcBorders>
              <w:left w:val="nil"/>
              <w:right w:val="nil"/>
            </w:tcBorders>
            <w:vAlign w:val="center"/>
          </w:tcPr>
          <w:p w14:paraId="6266CDB2" w14:textId="4D0721E6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2.477 (0.475-12.917)</w:t>
            </w:r>
          </w:p>
        </w:tc>
        <w:tc>
          <w:tcPr>
            <w:tcW w:w="1265" w:type="dxa"/>
            <w:vMerge w:val="restart"/>
            <w:tcBorders>
              <w:left w:val="nil"/>
            </w:tcBorders>
            <w:vAlign w:val="center"/>
          </w:tcPr>
          <w:p w14:paraId="1CEE196E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</w:p>
        </w:tc>
      </w:tr>
      <w:tr w:rsidR="00F838B1" w:rsidRPr="00F838B1" w14:paraId="1951943F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73BE8453" w14:textId="3933252A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6EE76759" w14:textId="3E79EC23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3E74C3A2" w14:textId="6596BF1B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81F2E6" w14:textId="060CA749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34501B40" w14:textId="71FAA7A2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0.566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00323AD9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22084D15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3381E59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069B8887" w14:textId="77777777" w:rsidTr="00F870E5">
        <w:tc>
          <w:tcPr>
            <w:tcW w:w="713" w:type="dxa"/>
            <w:tcBorders>
              <w:right w:val="nil"/>
            </w:tcBorders>
          </w:tcPr>
          <w:p w14:paraId="69B0E5D0" w14:textId="3CF7EF11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26D4DDB" w14:textId="7168FCD5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7650969C" w14:textId="0FF99203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178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CAEC687" w14:textId="05686593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94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2802D33B" w14:textId="575C0A75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0.897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0F6E3C0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130197DC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3F2B990E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742A869B" w14:textId="77777777" w:rsidTr="00F870E5">
        <w:tc>
          <w:tcPr>
            <w:tcW w:w="713" w:type="dxa"/>
            <w:tcBorders>
              <w:right w:val="nil"/>
            </w:tcBorders>
          </w:tcPr>
          <w:p w14:paraId="17D15FBD" w14:textId="35DEEBBD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56528E15" w14:textId="4B3F125E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38218CDA" w14:textId="37C2300C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127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A255D23" w14:textId="73E4BA64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94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0672EEAC" w14:textId="02A9EA1E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1.257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023ADFC8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27A79DFA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64643AA4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6D814C89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1E7AF121" w14:textId="7E1E66B1" w:rsidR="00F66BE9" w:rsidRPr="00F838B1" w:rsidRDefault="00F66BE9" w:rsidP="00F66B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Interactions Between Dietary Fat Scores (DFS) and Energy Intake</w:t>
            </w:r>
          </w:p>
        </w:tc>
      </w:tr>
      <w:tr w:rsidR="00F838B1" w:rsidRPr="00F838B1" w14:paraId="55EC28A1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091A6D9F" w14:textId="5F4EC114" w:rsidR="00F66BE9" w:rsidRPr="00F838B1" w:rsidRDefault="00F66BE9" w:rsidP="00F66B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AD Presentation (3650 non-allergic non-eczema controls vs. 2316 ever AD cases)</w:t>
            </w:r>
          </w:p>
        </w:tc>
      </w:tr>
      <w:tr w:rsidR="00F838B1" w:rsidRPr="00F838B1" w14:paraId="6BB6BC60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146223E6" w14:textId="1F194F9E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DFS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07F969" w14:textId="40E899B8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Energy Intake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10F7F63B" w14:textId="3B502118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Non-Allergic Non-Eczema Controls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3ADFB0C" w14:textId="36BF5B9E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AD Cases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1484A506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Odds Ratio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3FBB8A5B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 P Value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18B7A139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</w:t>
            </w:r>
          </w:p>
          <w:p w14:paraId="57B0CB3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(95% CI)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3470F012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F838B1" w:rsidRPr="00F838B1" w14:paraId="6404BD6B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5C65A6E9" w14:textId="0B889889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42C1122F" w14:textId="34FD1711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03E3713D" w14:textId="767A1497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575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77BF4AC" w14:textId="10D8A9B1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258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79663735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Reference</w:t>
            </w:r>
          </w:p>
        </w:tc>
        <w:tc>
          <w:tcPr>
            <w:tcW w:w="814" w:type="dxa"/>
            <w:vMerge w:val="restart"/>
            <w:tcBorders>
              <w:left w:val="nil"/>
              <w:right w:val="nil"/>
            </w:tcBorders>
            <w:vAlign w:val="center"/>
          </w:tcPr>
          <w:p w14:paraId="6160EC74" w14:textId="1EC59820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0.786</w:t>
            </w:r>
          </w:p>
        </w:tc>
        <w:tc>
          <w:tcPr>
            <w:tcW w:w="936" w:type="dxa"/>
            <w:vMerge w:val="restart"/>
            <w:tcBorders>
              <w:left w:val="nil"/>
              <w:right w:val="nil"/>
            </w:tcBorders>
            <w:vAlign w:val="center"/>
          </w:tcPr>
          <w:p w14:paraId="5F81DD62" w14:textId="77777777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1.048</w:t>
            </w:r>
          </w:p>
          <w:p w14:paraId="0DCE759C" w14:textId="0896CDCE" w:rsidR="009D4AC7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(0.749-1.465)</w:t>
            </w:r>
          </w:p>
        </w:tc>
        <w:tc>
          <w:tcPr>
            <w:tcW w:w="1265" w:type="dxa"/>
            <w:vMerge w:val="restart"/>
            <w:tcBorders>
              <w:left w:val="nil"/>
            </w:tcBorders>
            <w:vAlign w:val="center"/>
          </w:tcPr>
          <w:p w14:paraId="4482ABC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</w:p>
        </w:tc>
      </w:tr>
      <w:tr w:rsidR="00F838B1" w:rsidRPr="00F838B1" w14:paraId="3D783CEE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24E3A0B1" w14:textId="2B6D29D2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4B987294" w14:textId="1432D4B6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32706E29" w14:textId="6274AAB4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300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E3EDEEF" w14:textId="7BFE3E94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165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6CFB279A" w14:textId="0F6ADE02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1.226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7A2B224C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63CFB86A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32E2AF9F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07A36F7C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48C64BF4" w14:textId="593A160F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5CB324" w14:textId="0D8386D0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174AC" w14:textId="39C7B0DE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247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F5C96B" w14:textId="339509F1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172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CED08" w14:textId="68F9A9DF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1.552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085E199C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1D093703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0590308E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29D61B69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23F8AEDB" w14:textId="083762A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1658D3FD" w14:textId="0794B178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68C94EE0" w14:textId="00C0BBCF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482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DE3C989" w14:textId="7D20F891" w:rsidR="00F66BE9" w:rsidRPr="00F838B1" w:rsidRDefault="00F9504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431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76B73E4B" w14:textId="1D98F5B6" w:rsidR="00F66BE9" w:rsidRPr="00F838B1" w:rsidRDefault="009D4AC7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1.993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6EDDC5EB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4CFEC02E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641F8FA2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3FD74A96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15E651A8" w14:textId="331DC37A" w:rsidR="00F66BE9" w:rsidRPr="00F838B1" w:rsidRDefault="00F66BE9" w:rsidP="00F66B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AD Chronicity (1402 acute AD controls vs. 809 chronic AD cases)</w:t>
            </w:r>
          </w:p>
        </w:tc>
      </w:tr>
      <w:tr w:rsidR="00F838B1" w:rsidRPr="00F838B1" w14:paraId="5FF6AC12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41552AF1" w14:textId="68DD09C9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DFS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7B5D4034" w14:textId="5182621A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Energy Intake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4375173B" w14:textId="3D75A181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Acute AD Controls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29A8471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</w:t>
            </w:r>
          </w:p>
          <w:p w14:paraId="7E091483" w14:textId="2CD7DF82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AD Cases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3D64DCE0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Odds Ratio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617A5DCE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 P Value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2E6D9F46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</w:t>
            </w:r>
          </w:p>
          <w:p w14:paraId="3E840870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(95% CI)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6A447984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F838B1" w:rsidRPr="00F838B1" w14:paraId="6C6B72B6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153416B1" w14:textId="1847470B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0A574A36" w14:textId="3A31D904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51C6BF26" w14:textId="5449941B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157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0A00439" w14:textId="5F2DB121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95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25CEDC5F" w14:textId="5B57B0F8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Reference</w:t>
            </w:r>
          </w:p>
        </w:tc>
        <w:tc>
          <w:tcPr>
            <w:tcW w:w="814" w:type="dxa"/>
            <w:vMerge w:val="restart"/>
            <w:tcBorders>
              <w:left w:val="nil"/>
              <w:right w:val="nil"/>
            </w:tcBorders>
            <w:vAlign w:val="center"/>
          </w:tcPr>
          <w:p w14:paraId="0BE8DDF0" w14:textId="176C5CCB" w:rsidR="00F66BE9" w:rsidRPr="00F838B1" w:rsidRDefault="00C203E5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0.521</w:t>
            </w:r>
          </w:p>
        </w:tc>
        <w:tc>
          <w:tcPr>
            <w:tcW w:w="936" w:type="dxa"/>
            <w:vMerge w:val="restart"/>
            <w:tcBorders>
              <w:left w:val="nil"/>
              <w:right w:val="nil"/>
            </w:tcBorders>
            <w:vAlign w:val="center"/>
          </w:tcPr>
          <w:p w14:paraId="58EA450B" w14:textId="77777777" w:rsidR="00F66BE9" w:rsidRPr="00F838B1" w:rsidRDefault="00C203E5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0.834</w:t>
            </w:r>
          </w:p>
          <w:p w14:paraId="5FFCD0AD" w14:textId="5567CA14" w:rsidR="00C203E5" w:rsidRPr="00F838B1" w:rsidRDefault="00C203E5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(0.479-1.452)</w:t>
            </w:r>
          </w:p>
        </w:tc>
        <w:tc>
          <w:tcPr>
            <w:tcW w:w="1265" w:type="dxa"/>
            <w:vMerge w:val="restart"/>
            <w:tcBorders>
              <w:left w:val="nil"/>
            </w:tcBorders>
            <w:vAlign w:val="center"/>
          </w:tcPr>
          <w:p w14:paraId="00DE54E5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</w:p>
        </w:tc>
      </w:tr>
      <w:tr w:rsidR="00F838B1" w:rsidRPr="00F838B1" w14:paraId="15C64705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711C9FAF" w14:textId="5287EC5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7226F3C8" w14:textId="057666BA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5B633F8F" w14:textId="1E5DB282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101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98A2D31" w14:textId="7A61C955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53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14F454EB" w14:textId="1E7B20B4" w:rsidR="00F66BE9" w:rsidRPr="00F838B1" w:rsidRDefault="00C203E5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0.867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7C6A83F9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1D55E809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03B36F6C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7872205C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729F5AE9" w14:textId="4D018E19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666FA383" w14:textId="7640151C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63E0D6FE" w14:textId="4A06C2F2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93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3A4B886" w14:textId="6880E841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2147B5E3" w14:textId="58BD55BA" w:rsidR="00F66BE9" w:rsidRPr="00F838B1" w:rsidRDefault="00C203E5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1.333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57198AB3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09EAC893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0F1D7730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6EC60EAD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4D5064E7" w14:textId="4D72FFD5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203BD8F2" w14:textId="17910D98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32FE8C63" w14:textId="5BF67C08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259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A5C8EF3" w14:textId="40EE8201" w:rsidR="00F66BE9" w:rsidRPr="00F838B1" w:rsidRDefault="00C8783C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151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7BE4EA13" w14:textId="6AD47CF8" w:rsidR="00F66BE9" w:rsidRPr="00F838B1" w:rsidRDefault="00C203E5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0.964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17F4C70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24840F3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7948893E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5EE24D63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3F2DE621" w14:textId="39E8630A" w:rsidR="00F66BE9" w:rsidRPr="00F838B1" w:rsidRDefault="00F66BE9" w:rsidP="00F66B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 xml:space="preserve">Interactions Between Dietary Fat Score (DFS) and Total Estimated Dietary Fat Intake Amount </w:t>
            </w:r>
          </w:p>
        </w:tc>
      </w:tr>
      <w:tr w:rsidR="00F838B1" w:rsidRPr="00F838B1" w14:paraId="1EF864FB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7EE7D58C" w14:textId="5A985280" w:rsidR="00F66BE9" w:rsidRPr="00F838B1" w:rsidRDefault="00F66BE9" w:rsidP="00F66BE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AD Presentation (3650 non-allergic non-eczema controls vs. 2316 ever AD cases)</w:t>
            </w:r>
          </w:p>
        </w:tc>
      </w:tr>
      <w:tr w:rsidR="00F838B1" w:rsidRPr="00F838B1" w14:paraId="1952A7C6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2ABFC128" w14:textId="0F8EBD5A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DFS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1961EE7B" w14:textId="76584503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Fat Intake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5D069B15" w14:textId="314E009E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Non-Allergic Non-Eczema Controls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1784985" w14:textId="2EC6ECB9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AD Cases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5EA96BCD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Odds Ratio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24997450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 P Value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2E0FD690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</w:t>
            </w:r>
          </w:p>
          <w:p w14:paraId="30A72050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(95% CI)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168F7A47" w14:textId="77777777" w:rsidR="00F66BE9" w:rsidRPr="00F838B1" w:rsidRDefault="00F66BE9" w:rsidP="00F66B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F838B1" w:rsidRPr="00F838B1" w14:paraId="7D789337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12FB1054" w14:textId="72E9320C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44AE1F3D" w14:textId="51AD50FE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66F12DE4" w14:textId="5A33D635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625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D7A6FA6" w14:textId="50B7FFEA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282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6D1A1BC1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Reference</w:t>
            </w:r>
          </w:p>
        </w:tc>
        <w:tc>
          <w:tcPr>
            <w:tcW w:w="814" w:type="dxa"/>
            <w:vMerge w:val="restart"/>
            <w:tcBorders>
              <w:left w:val="nil"/>
              <w:right w:val="nil"/>
            </w:tcBorders>
            <w:vAlign w:val="center"/>
          </w:tcPr>
          <w:p w14:paraId="1DA79CE6" w14:textId="305BAE7B" w:rsidR="00F51DAB" w:rsidRPr="00F838B1" w:rsidRDefault="009509B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0.787</w:t>
            </w:r>
          </w:p>
        </w:tc>
        <w:tc>
          <w:tcPr>
            <w:tcW w:w="936" w:type="dxa"/>
            <w:vMerge w:val="restart"/>
            <w:tcBorders>
              <w:left w:val="nil"/>
              <w:right w:val="nil"/>
            </w:tcBorders>
            <w:vAlign w:val="center"/>
          </w:tcPr>
          <w:p w14:paraId="66975CBB" w14:textId="318D0A07" w:rsidR="00F51DAB" w:rsidRPr="00F838B1" w:rsidRDefault="009509B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0.965 (0.745-1.250)</w:t>
            </w:r>
          </w:p>
        </w:tc>
        <w:tc>
          <w:tcPr>
            <w:tcW w:w="1265" w:type="dxa"/>
            <w:vMerge w:val="restart"/>
            <w:tcBorders>
              <w:left w:val="nil"/>
            </w:tcBorders>
            <w:vAlign w:val="center"/>
          </w:tcPr>
          <w:p w14:paraId="57CD63C0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</w:p>
        </w:tc>
      </w:tr>
      <w:tr w:rsidR="00F838B1" w:rsidRPr="00F838B1" w14:paraId="11934004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15B4965A" w14:textId="4FF181E6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4BF8A76D" w14:textId="4F8A08B5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1D3BEB4C" w14:textId="49D7E828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703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EBE8F43" w14:textId="160F87DF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390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0F8AD037" w14:textId="00592FE4" w:rsidR="00F51DAB" w:rsidRPr="00F838B1" w:rsidRDefault="009509B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1.230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5B627D69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6C71FE28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6C303CA4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772965C1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590B843C" w14:textId="3D93771D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29DCE723" w14:textId="7B16F3D3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1A9BEE6D" w14:textId="4C813713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558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B1694BA" w14:textId="21BF65C3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421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5C548833" w14:textId="25CC9614" w:rsidR="00F51DAB" w:rsidRPr="00F838B1" w:rsidRDefault="009509B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1.672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31F9E445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5AB6F971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388C3DBE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64F11443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0A31A51D" w14:textId="7C06A28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2D97F0B9" w14:textId="09A5C478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38FAC2F9" w14:textId="3F8E8CF3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515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716952A" w14:textId="1F60A5BC" w:rsidR="00F51DAB" w:rsidRPr="00F838B1" w:rsidRDefault="00244D03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461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08652369" w14:textId="12462187" w:rsidR="00F51DAB" w:rsidRPr="00F838B1" w:rsidRDefault="009509B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1.984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2B0C1AA2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0A668821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1A811436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0320A92D" w14:textId="77777777" w:rsidTr="00F870E5">
        <w:tc>
          <w:tcPr>
            <w:tcW w:w="8646" w:type="dxa"/>
            <w:gridSpan w:val="8"/>
            <w:shd w:val="clear" w:color="auto" w:fill="D1D1D1" w:themeFill="background2" w:themeFillShade="E6"/>
            <w:vAlign w:val="center"/>
          </w:tcPr>
          <w:p w14:paraId="0FA33478" w14:textId="2B8C638E" w:rsidR="00F51DAB" w:rsidRPr="00F838B1" w:rsidRDefault="00F51DAB" w:rsidP="00F51D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AD Chronicity (1402 acute AD controls vs. 809 chronic AD cases)</w:t>
            </w:r>
          </w:p>
        </w:tc>
      </w:tr>
      <w:tr w:rsidR="00F838B1" w:rsidRPr="00F838B1" w14:paraId="676B23BB" w14:textId="77777777" w:rsidTr="00F870E5">
        <w:tc>
          <w:tcPr>
            <w:tcW w:w="713" w:type="dxa"/>
            <w:tcBorders>
              <w:bottom w:val="single" w:sz="4" w:space="0" w:color="auto"/>
              <w:right w:val="nil"/>
            </w:tcBorders>
            <w:vAlign w:val="center"/>
          </w:tcPr>
          <w:p w14:paraId="1706E510" w14:textId="6C4035DC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DFS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8E55C0" w14:textId="10A32E9C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Fat Intake</w:t>
            </w: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CADC6" w14:textId="1C165BB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Acute AD Controls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E729FB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</w:t>
            </w:r>
          </w:p>
          <w:p w14:paraId="0B2344B2" w14:textId="59427ABE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AD Cases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F2A3E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Odds Ratio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D47499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 P Value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0C89F6E3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SF</w:t>
            </w:r>
          </w:p>
          <w:p w14:paraId="23D12C1F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(95% CI)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2A9669F2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F838B1" w:rsidRPr="00F838B1" w14:paraId="42B66EC3" w14:textId="77777777" w:rsidTr="00F870E5">
        <w:tc>
          <w:tcPr>
            <w:tcW w:w="713" w:type="dxa"/>
            <w:tcBorders>
              <w:bottom w:val="single" w:sz="4" w:space="0" w:color="auto"/>
              <w:right w:val="nil"/>
            </w:tcBorders>
            <w:vAlign w:val="center"/>
          </w:tcPr>
          <w:p w14:paraId="1446AD54" w14:textId="0CB800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434AC" w14:textId="515D5FA2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159D6C" w14:textId="0D6EC1C4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168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52AA6" w14:textId="5CB7DD8D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106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820A28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Reference</w:t>
            </w:r>
          </w:p>
        </w:tc>
        <w:tc>
          <w:tcPr>
            <w:tcW w:w="814" w:type="dxa"/>
            <w:vMerge w:val="restart"/>
            <w:tcBorders>
              <w:left w:val="nil"/>
              <w:right w:val="nil"/>
            </w:tcBorders>
            <w:vAlign w:val="center"/>
          </w:tcPr>
          <w:p w14:paraId="36CC70EE" w14:textId="4AB25A0D" w:rsidR="00F51DAB" w:rsidRPr="00F838B1" w:rsidRDefault="00692795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0.868</w:t>
            </w:r>
          </w:p>
        </w:tc>
        <w:tc>
          <w:tcPr>
            <w:tcW w:w="936" w:type="dxa"/>
            <w:vMerge w:val="restart"/>
            <w:tcBorders>
              <w:left w:val="nil"/>
              <w:right w:val="nil"/>
            </w:tcBorders>
            <w:vAlign w:val="center"/>
          </w:tcPr>
          <w:p w14:paraId="0CEF3034" w14:textId="77777777" w:rsidR="00F51DAB" w:rsidRPr="00F838B1" w:rsidRDefault="00692795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0.964</w:t>
            </w:r>
          </w:p>
          <w:p w14:paraId="33F1A63E" w14:textId="1AB4FEEC" w:rsidR="00692795" w:rsidRPr="00F838B1" w:rsidRDefault="00692795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(0.629-1.479)</w:t>
            </w:r>
          </w:p>
        </w:tc>
        <w:tc>
          <w:tcPr>
            <w:tcW w:w="1265" w:type="dxa"/>
            <w:vMerge w:val="restart"/>
            <w:tcBorders>
              <w:left w:val="nil"/>
            </w:tcBorders>
            <w:vAlign w:val="center"/>
          </w:tcPr>
          <w:p w14:paraId="58835DE8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</w:p>
        </w:tc>
      </w:tr>
      <w:tr w:rsidR="00F838B1" w:rsidRPr="00F838B1" w14:paraId="02F29FAA" w14:textId="77777777" w:rsidTr="00F870E5">
        <w:tc>
          <w:tcPr>
            <w:tcW w:w="713" w:type="dxa"/>
            <w:tcBorders>
              <w:bottom w:val="single" w:sz="4" w:space="0" w:color="auto"/>
              <w:right w:val="nil"/>
            </w:tcBorders>
            <w:vAlign w:val="center"/>
          </w:tcPr>
          <w:p w14:paraId="6BC414BD" w14:textId="2DAB456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5C980F" w14:textId="6FD6E50F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426BF6" w14:textId="6FBC8FB5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244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34A783" w14:textId="46474E63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129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0B430D" w14:textId="5E24330B" w:rsidR="00F51DAB" w:rsidRPr="00F838B1" w:rsidRDefault="00692795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0.838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38182A4E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121BD159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503B0318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77C87729" w14:textId="77777777" w:rsidTr="00F870E5">
        <w:tc>
          <w:tcPr>
            <w:tcW w:w="713" w:type="dxa"/>
            <w:tcBorders>
              <w:bottom w:val="single" w:sz="4" w:space="0" w:color="auto"/>
              <w:right w:val="nil"/>
            </w:tcBorders>
            <w:vAlign w:val="center"/>
          </w:tcPr>
          <w:p w14:paraId="30E3FE79" w14:textId="03E8D306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A626E6" w14:textId="5641A020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2F2636" w14:textId="402DB3FC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237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D9CB99" w14:textId="6657B46E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164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64683A" w14:textId="04691B4F" w:rsidR="00F51DAB" w:rsidRPr="00F838B1" w:rsidRDefault="00692795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1.097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39FF4306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10BB21BD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7609F9FE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38B1" w:rsidRPr="00F838B1" w14:paraId="46180F5E" w14:textId="77777777" w:rsidTr="00F870E5">
        <w:tc>
          <w:tcPr>
            <w:tcW w:w="713" w:type="dxa"/>
            <w:tcBorders>
              <w:right w:val="nil"/>
            </w:tcBorders>
            <w:vAlign w:val="center"/>
          </w:tcPr>
          <w:p w14:paraId="609063B1" w14:textId="1CA64CA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1E4D6AA0" w14:textId="0DC25092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059" w:type="dxa"/>
            <w:tcBorders>
              <w:left w:val="nil"/>
              <w:right w:val="nil"/>
            </w:tcBorders>
            <w:vAlign w:val="center"/>
          </w:tcPr>
          <w:p w14:paraId="1B003021" w14:textId="6B926CF1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279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14317B6" w14:textId="1E34B6E6" w:rsidR="00F51DAB" w:rsidRPr="00F838B1" w:rsidRDefault="00776B6C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156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14:paraId="35F18406" w14:textId="3D970F8C" w:rsidR="00F51DAB" w:rsidRPr="00F838B1" w:rsidRDefault="00692795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838B1">
              <w:rPr>
                <w:rFonts w:ascii="Times New Roman" w:hAnsi="Times New Roman" w:cs="Times New Roman"/>
                <w:color w:val="000000" w:themeColor="text1"/>
                <w:lang w:val="en-US"/>
              </w:rPr>
              <w:t>0.886</w:t>
            </w:r>
          </w:p>
        </w:tc>
        <w:tc>
          <w:tcPr>
            <w:tcW w:w="814" w:type="dxa"/>
            <w:vMerge/>
            <w:tcBorders>
              <w:left w:val="nil"/>
              <w:right w:val="nil"/>
            </w:tcBorders>
            <w:vAlign w:val="center"/>
          </w:tcPr>
          <w:p w14:paraId="0D62AB08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6" w:type="dxa"/>
            <w:vMerge/>
            <w:tcBorders>
              <w:left w:val="nil"/>
              <w:right w:val="nil"/>
            </w:tcBorders>
            <w:vAlign w:val="center"/>
          </w:tcPr>
          <w:p w14:paraId="1D480503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65" w:type="dxa"/>
            <w:vMerge/>
            <w:tcBorders>
              <w:left w:val="nil"/>
            </w:tcBorders>
            <w:vAlign w:val="center"/>
          </w:tcPr>
          <w:p w14:paraId="6EF4F2EB" w14:textId="77777777" w:rsidR="00F51DAB" w:rsidRPr="00F838B1" w:rsidRDefault="00F51DAB" w:rsidP="00F51D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66F4DF0" w14:textId="214FDA66" w:rsidR="002B2BD2" w:rsidRPr="00F838B1" w:rsidRDefault="00F75ED7">
      <w:pPr>
        <w:rPr>
          <w:rFonts w:ascii="Times New Roman" w:hAnsi="Times New Roman" w:cs="Times New Roman"/>
          <w:color w:val="000000" w:themeColor="text1"/>
          <w:lang w:val="en-US"/>
        </w:rPr>
      </w:pPr>
      <w:r w:rsidRPr="00F838B1">
        <w:rPr>
          <w:rFonts w:ascii="Times New Roman" w:hAnsi="Times New Roman" w:cs="Times New Roman"/>
          <w:color w:val="000000" w:themeColor="text1"/>
          <w:lang w:val="en-US"/>
        </w:rPr>
        <w:tab/>
      </w:r>
    </w:p>
    <w:sectPr w:rsidR="002B2BD2" w:rsidRPr="00F838B1" w:rsidSect="00DC0D27">
      <w:pgSz w:w="12240" w:h="15840"/>
      <w:pgMar w:top="1440" w:right="1797" w:bottom="1440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358"/>
    <w:multiLevelType w:val="hybridMultilevel"/>
    <w:tmpl w:val="4E6849AA"/>
    <w:lvl w:ilvl="0" w:tplc="531E221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2D15"/>
    <w:multiLevelType w:val="hybridMultilevel"/>
    <w:tmpl w:val="D87A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427"/>
    <w:multiLevelType w:val="hybridMultilevel"/>
    <w:tmpl w:val="E6B68D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0051A"/>
    <w:multiLevelType w:val="hybridMultilevel"/>
    <w:tmpl w:val="0FEC1FF4"/>
    <w:lvl w:ilvl="0" w:tplc="04090017">
      <w:start w:val="1"/>
      <w:numFmt w:val="lowerLetter"/>
      <w:lvlText w:val="%1)"/>
      <w:lvlJc w:val="left"/>
      <w:pPr>
        <w:ind w:left="1129" w:hanging="360"/>
      </w:pPr>
    </w:lvl>
    <w:lvl w:ilvl="1" w:tplc="08090019" w:tentative="1">
      <w:start w:val="1"/>
      <w:numFmt w:val="lowerLetter"/>
      <w:lvlText w:val="%2."/>
      <w:lvlJc w:val="left"/>
      <w:pPr>
        <w:ind w:left="1849" w:hanging="360"/>
      </w:pPr>
    </w:lvl>
    <w:lvl w:ilvl="2" w:tplc="0809001B" w:tentative="1">
      <w:start w:val="1"/>
      <w:numFmt w:val="lowerRoman"/>
      <w:lvlText w:val="%3."/>
      <w:lvlJc w:val="right"/>
      <w:pPr>
        <w:ind w:left="2569" w:hanging="180"/>
      </w:pPr>
    </w:lvl>
    <w:lvl w:ilvl="3" w:tplc="0809000F" w:tentative="1">
      <w:start w:val="1"/>
      <w:numFmt w:val="decimal"/>
      <w:lvlText w:val="%4."/>
      <w:lvlJc w:val="left"/>
      <w:pPr>
        <w:ind w:left="3289" w:hanging="360"/>
      </w:pPr>
    </w:lvl>
    <w:lvl w:ilvl="4" w:tplc="08090019" w:tentative="1">
      <w:start w:val="1"/>
      <w:numFmt w:val="lowerLetter"/>
      <w:lvlText w:val="%5."/>
      <w:lvlJc w:val="left"/>
      <w:pPr>
        <w:ind w:left="4009" w:hanging="360"/>
      </w:pPr>
    </w:lvl>
    <w:lvl w:ilvl="5" w:tplc="0809001B" w:tentative="1">
      <w:start w:val="1"/>
      <w:numFmt w:val="lowerRoman"/>
      <w:lvlText w:val="%6."/>
      <w:lvlJc w:val="right"/>
      <w:pPr>
        <w:ind w:left="4729" w:hanging="180"/>
      </w:pPr>
    </w:lvl>
    <w:lvl w:ilvl="6" w:tplc="0809000F" w:tentative="1">
      <w:start w:val="1"/>
      <w:numFmt w:val="decimal"/>
      <w:lvlText w:val="%7."/>
      <w:lvlJc w:val="left"/>
      <w:pPr>
        <w:ind w:left="5449" w:hanging="360"/>
      </w:pPr>
    </w:lvl>
    <w:lvl w:ilvl="7" w:tplc="08090019" w:tentative="1">
      <w:start w:val="1"/>
      <w:numFmt w:val="lowerLetter"/>
      <w:lvlText w:val="%8."/>
      <w:lvlJc w:val="left"/>
      <w:pPr>
        <w:ind w:left="6169" w:hanging="360"/>
      </w:pPr>
    </w:lvl>
    <w:lvl w:ilvl="8" w:tplc="08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5E7C7FCB"/>
    <w:multiLevelType w:val="hybridMultilevel"/>
    <w:tmpl w:val="0216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C1757"/>
    <w:multiLevelType w:val="hybridMultilevel"/>
    <w:tmpl w:val="29CCDE68"/>
    <w:lvl w:ilvl="0" w:tplc="F832227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2BF8"/>
    <w:multiLevelType w:val="hybridMultilevel"/>
    <w:tmpl w:val="FF6A0DD6"/>
    <w:lvl w:ilvl="0" w:tplc="0D26B2F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A1727"/>
    <w:multiLevelType w:val="hybridMultilevel"/>
    <w:tmpl w:val="710E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64C9"/>
    <w:multiLevelType w:val="hybridMultilevel"/>
    <w:tmpl w:val="5CCA2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E3E1A"/>
    <w:multiLevelType w:val="hybridMultilevel"/>
    <w:tmpl w:val="663CA620"/>
    <w:lvl w:ilvl="0" w:tplc="9A901384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181306">
    <w:abstractNumId w:val="3"/>
  </w:num>
  <w:num w:numId="2" w16cid:durableId="1438285540">
    <w:abstractNumId w:val="1"/>
  </w:num>
  <w:num w:numId="3" w16cid:durableId="894008153">
    <w:abstractNumId w:val="5"/>
  </w:num>
  <w:num w:numId="4" w16cid:durableId="723604524">
    <w:abstractNumId w:val="4"/>
  </w:num>
  <w:num w:numId="5" w16cid:durableId="717045519">
    <w:abstractNumId w:val="6"/>
  </w:num>
  <w:num w:numId="6" w16cid:durableId="595602310">
    <w:abstractNumId w:val="8"/>
  </w:num>
  <w:num w:numId="7" w16cid:durableId="1943610560">
    <w:abstractNumId w:val="0"/>
  </w:num>
  <w:num w:numId="8" w16cid:durableId="1845514416">
    <w:abstractNumId w:val="2"/>
  </w:num>
  <w:num w:numId="9" w16cid:durableId="898125284">
    <w:abstractNumId w:val="9"/>
  </w:num>
  <w:num w:numId="10" w16cid:durableId="1025790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4B"/>
    <w:rsid w:val="000541C3"/>
    <w:rsid w:val="00085D29"/>
    <w:rsid w:val="000C7FD1"/>
    <w:rsid w:val="000D2550"/>
    <w:rsid w:val="000F3CC8"/>
    <w:rsid w:val="001237C3"/>
    <w:rsid w:val="00130D9A"/>
    <w:rsid w:val="001D02B0"/>
    <w:rsid w:val="001D3701"/>
    <w:rsid w:val="001E11DB"/>
    <w:rsid w:val="00211239"/>
    <w:rsid w:val="00241C4F"/>
    <w:rsid w:val="00244D03"/>
    <w:rsid w:val="00253901"/>
    <w:rsid w:val="00286E92"/>
    <w:rsid w:val="00294386"/>
    <w:rsid w:val="002B2BD2"/>
    <w:rsid w:val="002F0916"/>
    <w:rsid w:val="002F2498"/>
    <w:rsid w:val="00324783"/>
    <w:rsid w:val="00374B19"/>
    <w:rsid w:val="003B4C93"/>
    <w:rsid w:val="003D6B4B"/>
    <w:rsid w:val="00441D21"/>
    <w:rsid w:val="0047576D"/>
    <w:rsid w:val="00491EA8"/>
    <w:rsid w:val="004970CE"/>
    <w:rsid w:val="004C7A03"/>
    <w:rsid w:val="00530D2B"/>
    <w:rsid w:val="00556C06"/>
    <w:rsid w:val="00563AE3"/>
    <w:rsid w:val="005A1BC3"/>
    <w:rsid w:val="005C439F"/>
    <w:rsid w:val="00630204"/>
    <w:rsid w:val="00633B70"/>
    <w:rsid w:val="0064263C"/>
    <w:rsid w:val="006436CF"/>
    <w:rsid w:val="006711E8"/>
    <w:rsid w:val="006750FB"/>
    <w:rsid w:val="006832C6"/>
    <w:rsid w:val="00692795"/>
    <w:rsid w:val="00697A79"/>
    <w:rsid w:val="006E6976"/>
    <w:rsid w:val="00753082"/>
    <w:rsid w:val="0077017F"/>
    <w:rsid w:val="00776B6C"/>
    <w:rsid w:val="007A150E"/>
    <w:rsid w:val="007D2487"/>
    <w:rsid w:val="007E7E53"/>
    <w:rsid w:val="00802761"/>
    <w:rsid w:val="00813929"/>
    <w:rsid w:val="00835109"/>
    <w:rsid w:val="00842DEB"/>
    <w:rsid w:val="00856D76"/>
    <w:rsid w:val="008A6537"/>
    <w:rsid w:val="008F25C2"/>
    <w:rsid w:val="008F2D1B"/>
    <w:rsid w:val="009365B4"/>
    <w:rsid w:val="009509BC"/>
    <w:rsid w:val="009634C9"/>
    <w:rsid w:val="0098237F"/>
    <w:rsid w:val="009A182C"/>
    <w:rsid w:val="009D4AC7"/>
    <w:rsid w:val="009F4ECC"/>
    <w:rsid w:val="00A27E69"/>
    <w:rsid w:val="00A37AE3"/>
    <w:rsid w:val="00A91424"/>
    <w:rsid w:val="00AB06A5"/>
    <w:rsid w:val="00B4169C"/>
    <w:rsid w:val="00B45B2F"/>
    <w:rsid w:val="00BC0418"/>
    <w:rsid w:val="00C05F89"/>
    <w:rsid w:val="00C203E5"/>
    <w:rsid w:val="00C2068A"/>
    <w:rsid w:val="00C26439"/>
    <w:rsid w:val="00C54A06"/>
    <w:rsid w:val="00C54B54"/>
    <w:rsid w:val="00C868B1"/>
    <w:rsid w:val="00C8783C"/>
    <w:rsid w:val="00CB6BDF"/>
    <w:rsid w:val="00CF6C86"/>
    <w:rsid w:val="00D17F69"/>
    <w:rsid w:val="00D747DE"/>
    <w:rsid w:val="00DA244A"/>
    <w:rsid w:val="00DC0D27"/>
    <w:rsid w:val="00E03625"/>
    <w:rsid w:val="00E039D7"/>
    <w:rsid w:val="00E07CE1"/>
    <w:rsid w:val="00E41C02"/>
    <w:rsid w:val="00EB7BA5"/>
    <w:rsid w:val="00F41995"/>
    <w:rsid w:val="00F51DAB"/>
    <w:rsid w:val="00F61C5F"/>
    <w:rsid w:val="00F62C71"/>
    <w:rsid w:val="00F66BE9"/>
    <w:rsid w:val="00F75ED7"/>
    <w:rsid w:val="00F838B1"/>
    <w:rsid w:val="00F870E5"/>
    <w:rsid w:val="00F9264E"/>
    <w:rsid w:val="00F95047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5D22E"/>
  <w14:defaultImageDpi w14:val="32767"/>
  <w15:chartTrackingRefBased/>
  <w15:docId w15:val="{243A5796-E1C8-7E4A-B5B3-0F073D64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B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32C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JUNJIE★ SmiLE</dc:creator>
  <cp:keywords/>
  <dc:description/>
  <cp:lastModifiedBy>Lim Jun Jie</cp:lastModifiedBy>
  <cp:revision>2</cp:revision>
  <dcterms:created xsi:type="dcterms:W3CDTF">2025-02-10T11:28:00Z</dcterms:created>
  <dcterms:modified xsi:type="dcterms:W3CDTF">2025-02-10T11:28:00Z</dcterms:modified>
</cp:coreProperties>
</file>