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BF2C2" w14:textId="77777777" w:rsidR="00AD03F5" w:rsidRPr="00015A39" w:rsidRDefault="00AD03F5" w:rsidP="0004258D">
      <w:pPr>
        <w:pStyle w:val="Heading1"/>
        <w:rPr>
          <w:color w:val="000000" w:themeColor="text1"/>
          <w:sz w:val="24"/>
          <w:szCs w:val="24"/>
        </w:rPr>
      </w:pPr>
      <w:r w:rsidRPr="00015A39">
        <w:rPr>
          <w:color w:val="000000" w:themeColor="text1"/>
          <w:sz w:val="24"/>
          <w:szCs w:val="24"/>
        </w:rPr>
        <w:t>Title Page</w:t>
      </w:r>
    </w:p>
    <w:p w14:paraId="407D0020" w14:textId="77777777" w:rsidR="00AD03F5" w:rsidRPr="00015A39" w:rsidRDefault="00AD03F5" w:rsidP="0004258D">
      <w:pPr>
        <w:pStyle w:val="Heading2"/>
        <w:rPr>
          <w:color w:val="000000" w:themeColor="text1"/>
          <w:sz w:val="24"/>
          <w:szCs w:val="24"/>
        </w:rPr>
      </w:pPr>
      <w:r w:rsidRPr="00015A39">
        <w:rPr>
          <w:color w:val="000000" w:themeColor="text1"/>
          <w:sz w:val="24"/>
          <w:szCs w:val="24"/>
        </w:rPr>
        <w:t>Article Title</w:t>
      </w:r>
    </w:p>
    <w:p w14:paraId="167AAB03" w14:textId="6E0F861B" w:rsidR="00AD03F5" w:rsidRPr="00015A39" w:rsidRDefault="00FF7271" w:rsidP="0004258D">
      <w:pPr>
        <w:spacing w:line="360" w:lineRule="auto"/>
        <w:jc w:val="both"/>
        <w:rPr>
          <w:color w:val="000000" w:themeColor="text1"/>
        </w:rPr>
      </w:pPr>
      <w:r w:rsidRPr="00015A39">
        <w:rPr>
          <w:color w:val="000000" w:themeColor="text1"/>
        </w:rPr>
        <w:t xml:space="preserve">Exploratory Analyses of </w:t>
      </w:r>
      <w:r w:rsidR="00AD03F5" w:rsidRPr="00015A39">
        <w:rPr>
          <w:color w:val="000000" w:themeColor="text1"/>
        </w:rPr>
        <w:t>Frequent High-Fat Food</w:t>
      </w:r>
      <w:r w:rsidR="00722950" w:rsidRPr="00015A39">
        <w:rPr>
          <w:color w:val="000000" w:themeColor="text1"/>
        </w:rPr>
        <w:t xml:space="preserve"> Intake </w:t>
      </w:r>
      <w:r w:rsidR="00AD03F5" w:rsidRPr="00015A39">
        <w:rPr>
          <w:color w:val="000000" w:themeColor="text1"/>
        </w:rPr>
        <w:t xml:space="preserve">in Diets </w:t>
      </w:r>
      <w:r w:rsidR="00687B34" w:rsidRPr="00015A39">
        <w:rPr>
          <w:color w:val="000000" w:themeColor="text1"/>
        </w:rPr>
        <w:t>and Its</w:t>
      </w:r>
      <w:r w:rsidR="0046348B" w:rsidRPr="00015A39">
        <w:rPr>
          <w:color w:val="000000" w:themeColor="text1"/>
        </w:rPr>
        <w:t xml:space="preserve"> </w:t>
      </w:r>
      <w:r w:rsidR="00687B34" w:rsidRPr="00015A39">
        <w:rPr>
          <w:color w:val="000000" w:themeColor="text1"/>
        </w:rPr>
        <w:t xml:space="preserve">Association </w:t>
      </w:r>
      <w:r w:rsidR="00274FE5" w:rsidRPr="00015A39">
        <w:rPr>
          <w:color w:val="000000" w:themeColor="text1"/>
        </w:rPr>
        <w:t xml:space="preserve">with </w:t>
      </w:r>
      <w:r w:rsidR="00924419" w:rsidRPr="00015A39">
        <w:rPr>
          <w:color w:val="000000" w:themeColor="text1"/>
        </w:rPr>
        <w:t xml:space="preserve">Increased Odds of </w:t>
      </w:r>
      <w:r w:rsidR="00AD03F5" w:rsidRPr="00015A39">
        <w:rPr>
          <w:color w:val="000000" w:themeColor="text1"/>
        </w:rPr>
        <w:t xml:space="preserve">Atopic Dermatitis in </w:t>
      </w:r>
      <w:r w:rsidR="00CF70E8" w:rsidRPr="00015A39">
        <w:rPr>
          <w:color w:val="000000" w:themeColor="text1"/>
        </w:rPr>
        <w:t xml:space="preserve">Singapore and Malaysia </w:t>
      </w:r>
      <w:r w:rsidR="00AD03F5" w:rsidRPr="00015A39">
        <w:rPr>
          <w:color w:val="000000" w:themeColor="text1"/>
        </w:rPr>
        <w:t>Young Chinese Adult</w:t>
      </w:r>
      <w:r w:rsidR="00274FE5" w:rsidRPr="00015A39">
        <w:rPr>
          <w:color w:val="000000" w:themeColor="text1"/>
        </w:rPr>
        <w:t>s</w:t>
      </w:r>
    </w:p>
    <w:p w14:paraId="7AFF4E54" w14:textId="5CDB0C1D" w:rsidR="00AD03F5" w:rsidRPr="00015A39" w:rsidRDefault="002B74E8" w:rsidP="0004258D">
      <w:pPr>
        <w:pStyle w:val="Heading2"/>
        <w:rPr>
          <w:color w:val="000000" w:themeColor="text1"/>
          <w:sz w:val="24"/>
          <w:szCs w:val="24"/>
        </w:rPr>
      </w:pPr>
      <w:r w:rsidRPr="00015A39">
        <w:rPr>
          <w:color w:val="000000" w:themeColor="text1"/>
          <w:sz w:val="24"/>
          <w:szCs w:val="24"/>
        </w:rPr>
        <w:t>Short</w:t>
      </w:r>
      <w:r w:rsidR="00AD03F5" w:rsidRPr="00015A39">
        <w:rPr>
          <w:color w:val="000000" w:themeColor="text1"/>
          <w:sz w:val="24"/>
          <w:szCs w:val="24"/>
        </w:rPr>
        <w:t xml:space="preserve"> Title</w:t>
      </w:r>
    </w:p>
    <w:p w14:paraId="2F6CEE38" w14:textId="77777777" w:rsidR="00AD03F5" w:rsidRPr="00015A39" w:rsidRDefault="00AD03F5" w:rsidP="0004258D">
      <w:pPr>
        <w:spacing w:line="360" w:lineRule="auto"/>
        <w:jc w:val="both"/>
        <w:rPr>
          <w:rStyle w:val="Hyperlink"/>
          <w:rFonts w:eastAsiaTheme="minorEastAsia"/>
          <w:color w:val="000000" w:themeColor="text1"/>
          <w:u w:val="none"/>
        </w:rPr>
      </w:pPr>
      <w:r w:rsidRPr="00015A39">
        <w:rPr>
          <w:rStyle w:val="Hyperlink"/>
          <w:rFonts w:eastAsiaTheme="minorEastAsia"/>
          <w:color w:val="000000" w:themeColor="text1"/>
          <w:u w:val="none"/>
        </w:rPr>
        <w:t>Dietary Habits and Atopic Dermatitis</w:t>
      </w:r>
    </w:p>
    <w:p w14:paraId="00FB9E02" w14:textId="77777777" w:rsidR="00AD03F5" w:rsidRPr="00015A39" w:rsidRDefault="00AD03F5" w:rsidP="0004258D">
      <w:pPr>
        <w:pStyle w:val="Heading2"/>
        <w:rPr>
          <w:color w:val="000000" w:themeColor="text1"/>
          <w:sz w:val="24"/>
          <w:szCs w:val="24"/>
        </w:rPr>
      </w:pPr>
      <w:r w:rsidRPr="00015A39">
        <w:rPr>
          <w:color w:val="000000" w:themeColor="text1"/>
          <w:sz w:val="24"/>
          <w:szCs w:val="24"/>
        </w:rPr>
        <w:t>Authors Information</w:t>
      </w:r>
    </w:p>
    <w:p w14:paraId="4FE96707" w14:textId="77777777" w:rsidR="00AD03F5" w:rsidRPr="00015A39" w:rsidRDefault="00AD03F5" w:rsidP="0004258D">
      <w:pPr>
        <w:spacing w:line="360" w:lineRule="auto"/>
        <w:jc w:val="both"/>
        <w:rPr>
          <w:color w:val="000000" w:themeColor="text1"/>
        </w:rPr>
      </w:pPr>
      <w:r w:rsidRPr="00015A39">
        <w:rPr>
          <w:color w:val="000000" w:themeColor="text1"/>
        </w:rPr>
        <w:t>Jun Jie LIM, BSc(Hons)</w:t>
      </w:r>
      <w:r w:rsidRPr="00015A39">
        <w:rPr>
          <w:color w:val="000000" w:themeColor="text1"/>
          <w:vertAlign w:val="superscript"/>
        </w:rPr>
        <w:t>1</w:t>
      </w:r>
      <w:r w:rsidRPr="00015A39">
        <w:rPr>
          <w:color w:val="000000" w:themeColor="text1"/>
        </w:rPr>
        <w:t>:</w:t>
      </w:r>
      <w:r w:rsidRPr="00015A39">
        <w:rPr>
          <w:color w:val="000000" w:themeColor="text1"/>
          <w:vertAlign w:val="superscript"/>
        </w:rPr>
        <w:t xml:space="preserve"> </w:t>
      </w:r>
      <w:r w:rsidRPr="00015A39">
        <w:rPr>
          <w:color w:val="000000" w:themeColor="text1"/>
        </w:rPr>
        <w:t xml:space="preserve">lim.jun.jie@u.nus.edu </w:t>
      </w:r>
    </w:p>
    <w:p w14:paraId="48224924" w14:textId="77777777" w:rsidR="00AD03F5" w:rsidRPr="00015A39" w:rsidRDefault="00AD03F5" w:rsidP="0004258D">
      <w:pPr>
        <w:spacing w:line="360" w:lineRule="auto"/>
        <w:jc w:val="both"/>
        <w:rPr>
          <w:color w:val="000000" w:themeColor="text1"/>
        </w:rPr>
      </w:pPr>
      <w:r w:rsidRPr="00015A39">
        <w:rPr>
          <w:color w:val="000000" w:themeColor="text1"/>
        </w:rPr>
        <w:t xml:space="preserve">Kavita REGINALD, </w:t>
      </w:r>
      <w:proofErr w:type="spellStart"/>
      <w:r w:rsidRPr="00015A39">
        <w:rPr>
          <w:color w:val="000000" w:themeColor="text1"/>
        </w:rPr>
        <w:t>Ph.D</w:t>
      </w:r>
      <w:proofErr w:type="spellEnd"/>
      <w:r w:rsidRPr="00015A39">
        <w:rPr>
          <w:color w:val="000000" w:themeColor="text1"/>
        </w:rPr>
        <w:t xml:space="preserve"> *</w:t>
      </w:r>
      <w:r w:rsidRPr="00015A39">
        <w:rPr>
          <w:color w:val="000000" w:themeColor="text1"/>
          <w:vertAlign w:val="superscript"/>
        </w:rPr>
        <w:t xml:space="preserve">1,2 </w:t>
      </w:r>
      <w:r w:rsidRPr="00015A39">
        <w:rPr>
          <w:color w:val="000000" w:themeColor="text1"/>
        </w:rPr>
        <w:t xml:space="preserve">:kavitar@sunway.edu.my </w:t>
      </w:r>
    </w:p>
    <w:p w14:paraId="665CC7F6" w14:textId="77777777" w:rsidR="00AD03F5" w:rsidRPr="00015A39" w:rsidRDefault="00AD03F5" w:rsidP="0004258D">
      <w:pPr>
        <w:spacing w:line="360" w:lineRule="auto"/>
        <w:jc w:val="both"/>
        <w:rPr>
          <w:color w:val="000000" w:themeColor="text1"/>
        </w:rPr>
      </w:pPr>
      <w:r w:rsidRPr="00015A39">
        <w:rPr>
          <w:color w:val="000000" w:themeColor="text1"/>
        </w:rPr>
        <w:t xml:space="preserve">Yee-How SAY, </w:t>
      </w:r>
      <w:proofErr w:type="spellStart"/>
      <w:r w:rsidRPr="00015A39">
        <w:rPr>
          <w:color w:val="000000" w:themeColor="text1"/>
        </w:rPr>
        <w:t>Ph.D</w:t>
      </w:r>
      <w:proofErr w:type="spellEnd"/>
      <w:r w:rsidRPr="00015A39">
        <w:rPr>
          <w:color w:val="000000" w:themeColor="text1"/>
        </w:rPr>
        <w:t xml:space="preserve"> *</w:t>
      </w:r>
      <w:r w:rsidRPr="00015A39">
        <w:rPr>
          <w:color w:val="000000" w:themeColor="text1"/>
          <w:vertAlign w:val="superscript"/>
        </w:rPr>
        <w:t xml:space="preserve">1,2,3 </w:t>
      </w:r>
      <w:r w:rsidRPr="00015A39">
        <w:rPr>
          <w:color w:val="000000" w:themeColor="text1"/>
        </w:rPr>
        <w:t xml:space="preserve">:yeehows@sunway.edu.my </w:t>
      </w:r>
    </w:p>
    <w:p w14:paraId="10701910" w14:textId="77777777" w:rsidR="00AD03F5" w:rsidRPr="00015A39" w:rsidRDefault="00AD03F5" w:rsidP="0004258D">
      <w:pPr>
        <w:spacing w:line="360" w:lineRule="auto"/>
        <w:jc w:val="both"/>
        <w:rPr>
          <w:color w:val="000000" w:themeColor="text1"/>
        </w:rPr>
      </w:pPr>
      <w:r w:rsidRPr="00015A39">
        <w:rPr>
          <w:color w:val="000000" w:themeColor="text1"/>
        </w:rPr>
        <w:t xml:space="preserve">Mei Hui LIU, </w:t>
      </w:r>
      <w:proofErr w:type="spellStart"/>
      <w:r w:rsidRPr="00015A39">
        <w:rPr>
          <w:color w:val="000000" w:themeColor="text1"/>
        </w:rPr>
        <w:t>Ph.D</w:t>
      </w:r>
      <w:proofErr w:type="spellEnd"/>
      <w:r w:rsidRPr="00015A39">
        <w:rPr>
          <w:color w:val="000000" w:themeColor="text1"/>
        </w:rPr>
        <w:t xml:space="preserve"> </w:t>
      </w:r>
      <w:r w:rsidRPr="00015A39">
        <w:rPr>
          <w:color w:val="000000" w:themeColor="text1"/>
          <w:vertAlign w:val="superscript"/>
        </w:rPr>
        <w:t>4</w:t>
      </w:r>
      <w:r w:rsidRPr="00015A39">
        <w:rPr>
          <w:color w:val="000000" w:themeColor="text1"/>
        </w:rPr>
        <w:t>: fstlmh@nus.edu.sg</w:t>
      </w:r>
    </w:p>
    <w:p w14:paraId="377E357B" w14:textId="77777777" w:rsidR="00AD03F5" w:rsidRPr="00015A39" w:rsidRDefault="00AD03F5" w:rsidP="0004258D">
      <w:pPr>
        <w:spacing w:line="360" w:lineRule="auto"/>
        <w:jc w:val="both"/>
        <w:rPr>
          <w:rStyle w:val="Hyperlink"/>
          <w:color w:val="000000" w:themeColor="text1"/>
        </w:rPr>
      </w:pPr>
      <w:r w:rsidRPr="00015A39">
        <w:rPr>
          <w:color w:val="000000" w:themeColor="text1"/>
        </w:rPr>
        <w:t xml:space="preserve">Fook Tim CHEW, </w:t>
      </w:r>
      <w:proofErr w:type="spellStart"/>
      <w:r w:rsidRPr="00015A39">
        <w:rPr>
          <w:color w:val="000000" w:themeColor="text1"/>
        </w:rPr>
        <w:t>Ph.D</w:t>
      </w:r>
      <w:proofErr w:type="spellEnd"/>
      <w:r w:rsidRPr="00015A39">
        <w:rPr>
          <w:color w:val="000000" w:themeColor="text1"/>
        </w:rPr>
        <w:t xml:space="preserve"> **</w:t>
      </w:r>
      <w:r w:rsidRPr="00015A39">
        <w:rPr>
          <w:color w:val="000000" w:themeColor="text1"/>
          <w:vertAlign w:val="superscript"/>
        </w:rPr>
        <w:t xml:space="preserve">1 </w:t>
      </w:r>
      <w:r w:rsidRPr="00015A39">
        <w:rPr>
          <w:color w:val="000000" w:themeColor="text1"/>
        </w:rPr>
        <w:t>: dbscft@nus.edu.sg</w:t>
      </w:r>
    </w:p>
    <w:p w14:paraId="7FD69223" w14:textId="77777777" w:rsidR="00AD03F5" w:rsidRPr="00015A39" w:rsidRDefault="00AD03F5" w:rsidP="0004258D">
      <w:pPr>
        <w:pStyle w:val="Heading2"/>
        <w:rPr>
          <w:color w:val="000000" w:themeColor="text1"/>
          <w:sz w:val="24"/>
          <w:szCs w:val="24"/>
        </w:rPr>
      </w:pPr>
      <w:r w:rsidRPr="00015A39">
        <w:rPr>
          <w:color w:val="000000" w:themeColor="text1"/>
          <w:sz w:val="24"/>
          <w:szCs w:val="24"/>
        </w:rPr>
        <w:t>Authors Affiliations</w:t>
      </w:r>
    </w:p>
    <w:p w14:paraId="65B13C7A" w14:textId="77777777" w:rsidR="00AD03F5" w:rsidRPr="00015A39" w:rsidRDefault="00AD03F5" w:rsidP="0004258D">
      <w:pPr>
        <w:spacing w:line="360" w:lineRule="auto"/>
        <w:jc w:val="both"/>
        <w:rPr>
          <w:color w:val="000000" w:themeColor="text1"/>
        </w:rPr>
      </w:pPr>
      <w:r w:rsidRPr="00015A39">
        <w:rPr>
          <w:color w:val="000000" w:themeColor="text1"/>
          <w:vertAlign w:val="superscript"/>
        </w:rPr>
        <w:t>1</w:t>
      </w:r>
      <w:r w:rsidRPr="00015A39">
        <w:rPr>
          <w:color w:val="000000" w:themeColor="text1"/>
        </w:rPr>
        <w:t>Department of Biological Sciences, Faculty of Science, National University of Singapore, Singapore 117543.</w:t>
      </w:r>
    </w:p>
    <w:p w14:paraId="5B6A0696" w14:textId="77777777" w:rsidR="00AD03F5" w:rsidRPr="00015A39" w:rsidRDefault="00AD03F5" w:rsidP="0004258D">
      <w:pPr>
        <w:spacing w:line="360" w:lineRule="auto"/>
        <w:jc w:val="both"/>
        <w:rPr>
          <w:color w:val="000000" w:themeColor="text1"/>
        </w:rPr>
      </w:pPr>
      <w:r w:rsidRPr="00015A39">
        <w:rPr>
          <w:color w:val="000000" w:themeColor="text1"/>
          <w:vertAlign w:val="superscript"/>
        </w:rPr>
        <w:t>2</w:t>
      </w:r>
      <w:r w:rsidRPr="00015A39">
        <w:rPr>
          <w:color w:val="000000" w:themeColor="text1"/>
        </w:rPr>
        <w:t xml:space="preserve">Department of Biological Sciences, School of Medicine and Life Sciences, Sunway University, 47500 </w:t>
      </w:r>
      <w:proofErr w:type="spellStart"/>
      <w:r w:rsidRPr="00015A39">
        <w:rPr>
          <w:color w:val="000000" w:themeColor="text1"/>
        </w:rPr>
        <w:t>Petaling</w:t>
      </w:r>
      <w:proofErr w:type="spellEnd"/>
      <w:r w:rsidRPr="00015A39">
        <w:rPr>
          <w:color w:val="000000" w:themeColor="text1"/>
        </w:rPr>
        <w:t xml:space="preserve"> Jaya, Selangor, Malaysia. </w:t>
      </w:r>
    </w:p>
    <w:p w14:paraId="0D8B8269" w14:textId="77777777" w:rsidR="00AD03F5" w:rsidRPr="00015A39" w:rsidRDefault="00AD03F5" w:rsidP="0004258D">
      <w:pPr>
        <w:spacing w:line="360" w:lineRule="auto"/>
        <w:jc w:val="both"/>
        <w:rPr>
          <w:color w:val="000000" w:themeColor="text1"/>
        </w:rPr>
      </w:pPr>
      <w:r w:rsidRPr="00015A39">
        <w:rPr>
          <w:color w:val="000000" w:themeColor="text1"/>
          <w:vertAlign w:val="superscript"/>
        </w:rPr>
        <w:t>3</w:t>
      </w:r>
      <w:r w:rsidRPr="00015A39">
        <w:rPr>
          <w:color w:val="000000" w:themeColor="text1"/>
        </w:rPr>
        <w:t xml:space="preserve">Department of Biomedical Science, Faculty of Science, </w:t>
      </w:r>
      <w:proofErr w:type="spellStart"/>
      <w:r w:rsidRPr="00015A39">
        <w:rPr>
          <w:color w:val="000000" w:themeColor="text1"/>
        </w:rPr>
        <w:t>Universiti</w:t>
      </w:r>
      <w:proofErr w:type="spellEnd"/>
      <w:r w:rsidRPr="00015A39">
        <w:rPr>
          <w:color w:val="000000" w:themeColor="text1"/>
        </w:rPr>
        <w:t xml:space="preserve"> </w:t>
      </w:r>
      <w:proofErr w:type="spellStart"/>
      <w:r w:rsidRPr="00015A39">
        <w:rPr>
          <w:color w:val="000000" w:themeColor="text1"/>
        </w:rPr>
        <w:t>Tunku</w:t>
      </w:r>
      <w:proofErr w:type="spellEnd"/>
      <w:r w:rsidRPr="00015A39">
        <w:rPr>
          <w:color w:val="000000" w:themeColor="text1"/>
        </w:rPr>
        <w:t xml:space="preserve"> Abdul Rahman (UTAR), 31900 Kampar, Perak, Malaysia.</w:t>
      </w:r>
    </w:p>
    <w:p w14:paraId="3C16A86C" w14:textId="77777777" w:rsidR="00AD03F5" w:rsidRPr="00015A39" w:rsidRDefault="00AD03F5" w:rsidP="0004258D">
      <w:pPr>
        <w:spacing w:line="360" w:lineRule="auto"/>
        <w:jc w:val="both"/>
        <w:rPr>
          <w:color w:val="000000" w:themeColor="text1"/>
        </w:rPr>
      </w:pPr>
      <w:r w:rsidRPr="00015A39">
        <w:rPr>
          <w:color w:val="000000" w:themeColor="text1"/>
          <w:vertAlign w:val="superscript"/>
        </w:rPr>
        <w:t>4</w:t>
      </w:r>
      <w:r w:rsidRPr="00015A39">
        <w:rPr>
          <w:color w:val="000000" w:themeColor="text1"/>
        </w:rPr>
        <w:t>Department of Food Science &amp; Technology, Faculty of Science, National University of Singapore, Singapore 117543.</w:t>
      </w:r>
    </w:p>
    <w:p w14:paraId="4C480C81" w14:textId="77777777" w:rsidR="00AD03F5" w:rsidRPr="00015A39" w:rsidRDefault="00AD03F5" w:rsidP="0004258D">
      <w:pPr>
        <w:spacing w:line="360" w:lineRule="auto"/>
        <w:jc w:val="both"/>
        <w:rPr>
          <w:color w:val="000000" w:themeColor="text1"/>
        </w:rPr>
      </w:pPr>
      <w:r w:rsidRPr="00015A39">
        <w:rPr>
          <w:color w:val="000000" w:themeColor="text1"/>
        </w:rPr>
        <w:t xml:space="preserve">*Current Address: </w:t>
      </w:r>
      <w:r w:rsidRPr="00015A39">
        <w:rPr>
          <w:color w:val="000000" w:themeColor="text1"/>
          <w:vertAlign w:val="superscript"/>
        </w:rPr>
        <w:t>2</w:t>
      </w:r>
      <w:r w:rsidRPr="00015A39">
        <w:rPr>
          <w:color w:val="000000" w:themeColor="text1"/>
        </w:rPr>
        <w:t xml:space="preserve">Department of Biological Sciences, School of Medicine and Life Sciences, Sunway University, 47500 </w:t>
      </w:r>
      <w:proofErr w:type="spellStart"/>
      <w:r w:rsidRPr="00015A39">
        <w:rPr>
          <w:color w:val="000000" w:themeColor="text1"/>
        </w:rPr>
        <w:t>Petaling</w:t>
      </w:r>
      <w:proofErr w:type="spellEnd"/>
      <w:r w:rsidRPr="00015A39">
        <w:rPr>
          <w:color w:val="000000" w:themeColor="text1"/>
        </w:rPr>
        <w:t xml:space="preserve"> Jaya, Selangor, Malaysia. </w:t>
      </w:r>
    </w:p>
    <w:p w14:paraId="03147F78" w14:textId="77777777" w:rsidR="00AD03F5" w:rsidRPr="00015A39" w:rsidRDefault="00AD03F5" w:rsidP="0004258D">
      <w:pPr>
        <w:pStyle w:val="Heading2"/>
        <w:rPr>
          <w:color w:val="000000" w:themeColor="text1"/>
          <w:sz w:val="24"/>
          <w:szCs w:val="24"/>
        </w:rPr>
      </w:pPr>
      <w:r w:rsidRPr="00015A39">
        <w:rPr>
          <w:color w:val="000000" w:themeColor="text1"/>
          <w:sz w:val="24"/>
          <w:szCs w:val="24"/>
        </w:rPr>
        <w:t>Corresponding Author</w:t>
      </w:r>
    </w:p>
    <w:p w14:paraId="446AC076" w14:textId="77777777" w:rsidR="00AD03F5" w:rsidRPr="00015A39" w:rsidRDefault="00AD03F5" w:rsidP="0004258D">
      <w:pPr>
        <w:spacing w:line="360" w:lineRule="auto"/>
        <w:jc w:val="both"/>
        <w:rPr>
          <w:color w:val="000000" w:themeColor="text1"/>
        </w:rPr>
      </w:pPr>
      <w:r w:rsidRPr="00015A39">
        <w:rPr>
          <w:color w:val="000000" w:themeColor="text1"/>
        </w:rPr>
        <w:t xml:space="preserve">**Corresponding Author: </w:t>
      </w:r>
    </w:p>
    <w:p w14:paraId="4E664C9B" w14:textId="77777777" w:rsidR="00AD03F5" w:rsidRPr="00015A39" w:rsidRDefault="00AD03F5" w:rsidP="0004258D">
      <w:pPr>
        <w:spacing w:line="360" w:lineRule="auto"/>
        <w:jc w:val="both"/>
        <w:rPr>
          <w:color w:val="000000" w:themeColor="text1"/>
        </w:rPr>
      </w:pPr>
      <w:r w:rsidRPr="00015A39">
        <w:rPr>
          <w:color w:val="000000" w:themeColor="text1"/>
        </w:rPr>
        <w:t>CHEW Fook Tim, PhD</w:t>
      </w:r>
    </w:p>
    <w:p w14:paraId="4595A9B4" w14:textId="77777777" w:rsidR="00AD03F5" w:rsidRPr="00015A39" w:rsidRDefault="00AD03F5" w:rsidP="0004258D">
      <w:pPr>
        <w:spacing w:line="360" w:lineRule="auto"/>
        <w:jc w:val="both"/>
        <w:rPr>
          <w:color w:val="000000" w:themeColor="text1"/>
        </w:rPr>
      </w:pPr>
      <w:r w:rsidRPr="00015A39">
        <w:rPr>
          <w:color w:val="000000" w:themeColor="text1"/>
        </w:rPr>
        <w:t xml:space="preserve">Associate Professor, Department of Biological Sciences; Vice Dean, Faculty of Science National University of Singapore, Allergy and Molecular Immunology Laboratory, Lee </w:t>
      </w:r>
      <w:proofErr w:type="spellStart"/>
      <w:r w:rsidRPr="00015A39">
        <w:rPr>
          <w:color w:val="000000" w:themeColor="text1"/>
        </w:rPr>
        <w:t>Hiok</w:t>
      </w:r>
      <w:proofErr w:type="spellEnd"/>
      <w:r w:rsidRPr="00015A39">
        <w:rPr>
          <w:color w:val="000000" w:themeColor="text1"/>
        </w:rPr>
        <w:t xml:space="preserve"> Kwee Functional Genomics Laboratories, Block S2, Level 5, 14 Science Drive 4, off Lower Kent Ridge Road, Singapore 117543.</w:t>
      </w:r>
    </w:p>
    <w:p w14:paraId="199C3E9A" w14:textId="77777777" w:rsidR="00AD03F5" w:rsidRPr="00015A39" w:rsidRDefault="00AD03F5" w:rsidP="0004258D">
      <w:pPr>
        <w:spacing w:line="360" w:lineRule="auto"/>
        <w:jc w:val="both"/>
        <w:rPr>
          <w:color w:val="000000" w:themeColor="text1"/>
        </w:rPr>
      </w:pPr>
      <w:r w:rsidRPr="00015A39">
        <w:rPr>
          <w:color w:val="000000" w:themeColor="text1"/>
        </w:rPr>
        <w:t>Phone: +65 65161685; Fax: +65 67792486</w:t>
      </w:r>
    </w:p>
    <w:p w14:paraId="020E720D" w14:textId="16848515" w:rsidR="00AD03F5" w:rsidRDefault="00AD03F5" w:rsidP="002C28B2">
      <w:pPr>
        <w:spacing w:line="360" w:lineRule="auto"/>
        <w:jc w:val="both"/>
        <w:rPr>
          <w:color w:val="000000" w:themeColor="text1"/>
        </w:rPr>
      </w:pPr>
      <w:r w:rsidRPr="00015A39">
        <w:rPr>
          <w:color w:val="000000" w:themeColor="text1"/>
        </w:rPr>
        <w:t xml:space="preserve">Email: </w:t>
      </w:r>
      <w:r w:rsidR="00593F3A" w:rsidRPr="00B6276D">
        <w:rPr>
          <w:color w:val="000000" w:themeColor="text1"/>
        </w:rPr>
        <w:t>dbscft@nus.edu.sg</w:t>
      </w:r>
    </w:p>
    <w:p w14:paraId="4A530B51" w14:textId="1D14604F" w:rsidR="00593F3A" w:rsidRPr="00015A39" w:rsidRDefault="00593F3A" w:rsidP="00593F3A">
      <w:pPr>
        <w:pStyle w:val="Heading2"/>
      </w:pPr>
      <w:r w:rsidRPr="00015A39">
        <w:lastRenderedPageBreak/>
        <w:t>Abbreviations</w:t>
      </w:r>
    </w:p>
    <w:p w14:paraId="6EE5F824" w14:textId="77777777" w:rsidR="00593F3A" w:rsidRPr="00015A39" w:rsidRDefault="00593F3A" w:rsidP="00593F3A">
      <w:pPr>
        <w:spacing w:line="360" w:lineRule="auto"/>
        <w:jc w:val="both"/>
        <w:rPr>
          <w:color w:val="000000" w:themeColor="text1"/>
        </w:rPr>
      </w:pPr>
      <w:r w:rsidRPr="00015A39">
        <w:rPr>
          <w:color w:val="000000" w:themeColor="text1"/>
        </w:rPr>
        <w:t xml:space="preserve">AD: Atopic dermatitis; AOR: Adjusted odds ratio; AR: Allergic rhinitis; AS: Allergic asthma; BMI: Body mass index; CI: Confidence intervals; DQDFS: Dietary quality based on dietary fat score; DFS: Dietary fat score; DQTFA: Diet quality based on total fat amount; FFQ: Food frequency questionnaire; HAV: Hepatitis A virus; HBP: Health promotion board; HDM: House dust mites; </w:t>
      </w:r>
      <w:proofErr w:type="spellStart"/>
      <w:r w:rsidRPr="00015A39">
        <w:rPr>
          <w:color w:val="000000" w:themeColor="text1"/>
        </w:rPr>
        <w:t>IgE</w:t>
      </w:r>
      <w:proofErr w:type="spellEnd"/>
      <w:r w:rsidRPr="00015A39">
        <w:rPr>
          <w:color w:val="000000" w:themeColor="text1"/>
        </w:rPr>
        <w:t>: Immunoglobulin E; ISAAC: International study of asthma and allergies in childhood; SF: Synergy factor; SMCGES: Singapore/Malaysia cross-sectional genetics epidemiology study; SPT: Skin prick test; TLR: Toll-like receptor.</w:t>
      </w:r>
    </w:p>
    <w:p w14:paraId="36628097" w14:textId="77777777" w:rsidR="00593F3A" w:rsidRPr="00015A39" w:rsidRDefault="00593F3A" w:rsidP="002C28B2">
      <w:pPr>
        <w:spacing w:line="360" w:lineRule="auto"/>
        <w:jc w:val="both"/>
        <w:rPr>
          <w:color w:val="000000" w:themeColor="text1"/>
          <w:u w:val="single"/>
        </w:rPr>
      </w:pPr>
    </w:p>
    <w:p w14:paraId="4ECAC4C8" w14:textId="7FFB387C" w:rsidR="00CA2641" w:rsidRPr="00015A39" w:rsidRDefault="00CA2641" w:rsidP="0004258D">
      <w:pPr>
        <w:pStyle w:val="Heading1"/>
        <w:rPr>
          <w:color w:val="000000" w:themeColor="text1"/>
          <w:sz w:val="24"/>
          <w:szCs w:val="24"/>
        </w:rPr>
      </w:pPr>
      <w:r w:rsidRPr="00015A39">
        <w:rPr>
          <w:color w:val="000000" w:themeColor="text1"/>
          <w:sz w:val="24"/>
          <w:szCs w:val="24"/>
        </w:rPr>
        <w:t>Abstract</w:t>
      </w:r>
    </w:p>
    <w:p w14:paraId="3B1D4C5B" w14:textId="3D7D2617" w:rsidR="00363E45" w:rsidRPr="00015A39" w:rsidRDefault="007020B0" w:rsidP="0004258D">
      <w:pPr>
        <w:autoSpaceDE w:val="0"/>
        <w:autoSpaceDN w:val="0"/>
        <w:adjustRightInd w:val="0"/>
        <w:spacing w:line="360" w:lineRule="auto"/>
        <w:jc w:val="both"/>
        <w:rPr>
          <w:color w:val="000000" w:themeColor="text1"/>
        </w:rPr>
      </w:pPr>
      <w:r w:rsidRPr="00015A39">
        <w:rPr>
          <w:color w:val="000000" w:themeColor="text1"/>
        </w:rPr>
        <w:t>H</w:t>
      </w:r>
      <w:r w:rsidR="001C76A2" w:rsidRPr="00015A39">
        <w:rPr>
          <w:color w:val="000000" w:themeColor="text1"/>
        </w:rPr>
        <w:t>igh-fat food</w:t>
      </w:r>
      <w:r w:rsidR="00077B4C" w:rsidRPr="00015A39">
        <w:rPr>
          <w:color w:val="000000" w:themeColor="text1"/>
        </w:rPr>
        <w:t xml:space="preserve"> intake</w:t>
      </w:r>
      <w:r w:rsidR="001C76A2" w:rsidRPr="00015A39">
        <w:rPr>
          <w:color w:val="000000" w:themeColor="text1"/>
        </w:rPr>
        <w:t xml:space="preserve"> </w:t>
      </w:r>
      <w:r w:rsidR="00077B4C" w:rsidRPr="00015A39">
        <w:rPr>
          <w:color w:val="000000" w:themeColor="text1"/>
        </w:rPr>
        <w:t>is</w:t>
      </w:r>
      <w:r w:rsidR="001C76A2" w:rsidRPr="00015A39">
        <w:rPr>
          <w:color w:val="000000" w:themeColor="text1"/>
        </w:rPr>
        <w:t xml:space="preserve"> associated with atopic dermatitis (AD)</w:t>
      </w:r>
      <w:r w:rsidR="008518C5" w:rsidRPr="00015A39">
        <w:rPr>
          <w:color w:val="000000" w:themeColor="text1"/>
        </w:rPr>
        <w:t xml:space="preserve">, but the </w:t>
      </w:r>
      <w:r w:rsidR="00BB7303" w:rsidRPr="00015A39">
        <w:rPr>
          <w:color w:val="000000" w:themeColor="text1"/>
        </w:rPr>
        <w:t>role</w:t>
      </w:r>
      <w:r w:rsidR="008518C5" w:rsidRPr="00015A39">
        <w:rPr>
          <w:color w:val="000000" w:themeColor="text1"/>
        </w:rPr>
        <w:t xml:space="preserve"> of habitual dietary </w:t>
      </w:r>
      <w:r w:rsidR="00ED5ED2" w:rsidRPr="00015A39">
        <w:rPr>
          <w:color w:val="000000" w:themeColor="text1"/>
        </w:rPr>
        <w:t>habits</w:t>
      </w:r>
      <w:r w:rsidR="008518C5" w:rsidRPr="00015A39">
        <w:rPr>
          <w:color w:val="000000" w:themeColor="text1"/>
        </w:rPr>
        <w:t xml:space="preserve"> </w:t>
      </w:r>
      <w:r w:rsidR="00F46899" w:rsidRPr="00015A39">
        <w:rPr>
          <w:color w:val="000000" w:themeColor="text1"/>
        </w:rPr>
        <w:t xml:space="preserve">related to the frequency of high-fat food intake </w:t>
      </w:r>
      <w:r w:rsidR="008518C5" w:rsidRPr="00015A39">
        <w:rPr>
          <w:color w:val="000000" w:themeColor="text1"/>
        </w:rPr>
        <w:t xml:space="preserve">remains </w:t>
      </w:r>
      <w:r w:rsidR="00CE5BFD" w:rsidRPr="00015A39">
        <w:rPr>
          <w:color w:val="000000" w:themeColor="text1"/>
        </w:rPr>
        <w:t>unclear</w:t>
      </w:r>
      <w:r w:rsidR="008518C5" w:rsidRPr="00015A39">
        <w:rPr>
          <w:color w:val="000000" w:themeColor="text1"/>
        </w:rPr>
        <w:t>.</w:t>
      </w:r>
      <w:r w:rsidR="007F2275" w:rsidRPr="00015A39">
        <w:rPr>
          <w:color w:val="000000" w:themeColor="text1"/>
        </w:rPr>
        <w:t xml:space="preserve"> </w:t>
      </w:r>
      <w:r w:rsidR="003B0BF8" w:rsidRPr="00015A39">
        <w:rPr>
          <w:color w:val="000000" w:themeColor="text1"/>
        </w:rPr>
        <w:t>To address this, w</w:t>
      </w:r>
      <w:r w:rsidR="00AC01C2" w:rsidRPr="00015A39">
        <w:rPr>
          <w:color w:val="000000" w:themeColor="text1"/>
        </w:rPr>
        <w:t>e</w:t>
      </w:r>
      <w:r w:rsidR="00A10F1B" w:rsidRPr="00015A39">
        <w:rPr>
          <w:color w:val="000000" w:themeColor="text1"/>
        </w:rPr>
        <w:t xml:space="preserve"> developed a frequency-based dietary index, Diet Quality based on Dietary Fat Score, t</w:t>
      </w:r>
      <w:r w:rsidR="00070020" w:rsidRPr="00015A39">
        <w:rPr>
          <w:color w:val="000000" w:themeColor="text1"/>
        </w:rPr>
        <w:t xml:space="preserve">o assess </w:t>
      </w:r>
      <w:r w:rsidR="00A10F1B" w:rsidRPr="00015A39">
        <w:rPr>
          <w:color w:val="000000" w:themeColor="text1"/>
        </w:rPr>
        <w:t>high-fat food</w:t>
      </w:r>
      <w:r w:rsidR="00070020" w:rsidRPr="00015A39">
        <w:rPr>
          <w:color w:val="000000" w:themeColor="text1"/>
        </w:rPr>
        <w:t xml:space="preserve"> intake</w:t>
      </w:r>
      <w:r w:rsidR="00A10F1B" w:rsidRPr="00015A39">
        <w:rPr>
          <w:color w:val="000000" w:themeColor="text1"/>
        </w:rPr>
        <w:t xml:space="preserve"> </w:t>
      </w:r>
      <w:r w:rsidR="00070020" w:rsidRPr="00015A39">
        <w:rPr>
          <w:color w:val="000000" w:themeColor="text1"/>
        </w:rPr>
        <w:t xml:space="preserve">and examined its association with AD in 13,561 young Chinese adults (mean </w:t>
      </w:r>
      <w:r w:rsidR="00267D52" w:rsidRPr="00015A39">
        <w:rPr>
          <w:color w:val="000000" w:themeColor="text1"/>
        </w:rPr>
        <w:t>age</w:t>
      </w:r>
      <w:r w:rsidR="00070020" w:rsidRPr="00015A39">
        <w:rPr>
          <w:color w:val="000000" w:themeColor="text1"/>
        </w:rPr>
        <w:t xml:space="preserve"> = 22.51</w:t>
      </w:r>
      <w:r w:rsidR="00267D52" w:rsidRPr="00015A39">
        <w:rPr>
          <w:color w:val="000000" w:themeColor="text1"/>
        </w:rPr>
        <w:t xml:space="preserve"> years</w:t>
      </w:r>
      <w:r w:rsidR="00070020" w:rsidRPr="00015A39">
        <w:rPr>
          <w:color w:val="000000" w:themeColor="text1"/>
        </w:rPr>
        <w:t>, SD ± 5.90) from Singapore and Malaysia.</w:t>
      </w:r>
      <w:r w:rsidR="005935CE" w:rsidRPr="00015A39">
        <w:rPr>
          <w:color w:val="000000" w:themeColor="text1"/>
        </w:rPr>
        <w:t xml:space="preserve"> </w:t>
      </w:r>
      <w:r w:rsidR="004F454E" w:rsidRPr="00015A39">
        <w:rPr>
          <w:color w:val="000000" w:themeColor="text1"/>
        </w:rPr>
        <w:t>Using</w:t>
      </w:r>
      <w:r w:rsidR="00AA1F8D" w:rsidRPr="00015A39">
        <w:rPr>
          <w:color w:val="000000" w:themeColor="text1"/>
        </w:rPr>
        <w:t xml:space="preserve"> an investigator-administered questionnaire </w:t>
      </w:r>
      <w:r w:rsidR="00D23BDC" w:rsidRPr="00015A39">
        <w:rPr>
          <w:color w:val="000000" w:themeColor="text1"/>
        </w:rPr>
        <w:t xml:space="preserve">aligned with </w:t>
      </w:r>
      <w:r w:rsidR="00AA1F8D" w:rsidRPr="00015A39">
        <w:rPr>
          <w:color w:val="000000" w:themeColor="text1"/>
        </w:rPr>
        <w:t>the validated International Study of Asthma and Allergy in Childhood protocol</w:t>
      </w:r>
      <w:r w:rsidR="00FA6197" w:rsidRPr="00015A39">
        <w:rPr>
          <w:color w:val="000000" w:themeColor="text1"/>
        </w:rPr>
        <w:t>,</w:t>
      </w:r>
      <w:r w:rsidR="00945321" w:rsidRPr="00015A39">
        <w:rPr>
          <w:color w:val="000000" w:themeColor="text1"/>
        </w:rPr>
        <w:t xml:space="preserve"> </w:t>
      </w:r>
      <w:r w:rsidR="004535B6" w:rsidRPr="00015A39">
        <w:rPr>
          <w:color w:val="000000" w:themeColor="text1"/>
        </w:rPr>
        <w:t xml:space="preserve">we conducted </w:t>
      </w:r>
      <w:r w:rsidR="00BB1733" w:rsidRPr="00015A39">
        <w:rPr>
          <w:color w:val="000000" w:themeColor="text1"/>
        </w:rPr>
        <w:t xml:space="preserve">multivariable logistic regression adjusting for </w:t>
      </w:r>
      <w:r w:rsidR="00180AB0" w:rsidRPr="00015A39">
        <w:rPr>
          <w:color w:val="000000" w:themeColor="text1"/>
        </w:rPr>
        <w:t>demographics,</w:t>
      </w:r>
      <w:r w:rsidR="00390680" w:rsidRPr="00015A39">
        <w:rPr>
          <w:color w:val="000000" w:themeColor="text1"/>
        </w:rPr>
        <w:t xml:space="preserve"> body mass index, genetic predisposition, and lifestyle</w:t>
      </w:r>
      <w:r w:rsidR="00CE0322" w:rsidRPr="00015A39">
        <w:rPr>
          <w:color w:val="000000" w:themeColor="text1"/>
        </w:rPr>
        <w:t xml:space="preserve"> factors</w:t>
      </w:r>
      <w:r w:rsidR="00637941" w:rsidRPr="00015A39">
        <w:rPr>
          <w:color w:val="000000" w:themeColor="text1"/>
        </w:rPr>
        <w:t>, with f</w:t>
      </w:r>
      <w:r w:rsidR="00741763" w:rsidRPr="00015A39">
        <w:rPr>
          <w:color w:val="000000" w:themeColor="text1"/>
        </w:rPr>
        <w:t xml:space="preserve">alse discovery rate </w:t>
      </w:r>
      <w:r w:rsidR="00FE29E4" w:rsidRPr="00015A39">
        <w:rPr>
          <w:color w:val="000000" w:themeColor="text1"/>
        </w:rPr>
        <w:t>correction</w:t>
      </w:r>
      <w:r w:rsidR="00741763" w:rsidRPr="00015A39">
        <w:rPr>
          <w:color w:val="000000" w:themeColor="text1"/>
        </w:rPr>
        <w:t xml:space="preserve"> for multiple comparisons.</w:t>
      </w:r>
      <w:r w:rsidR="006235B1" w:rsidRPr="00015A39">
        <w:rPr>
          <w:color w:val="000000" w:themeColor="text1"/>
        </w:rPr>
        <w:t xml:space="preserve"> </w:t>
      </w:r>
      <w:r w:rsidR="009936FB" w:rsidRPr="00015A39">
        <w:rPr>
          <w:color w:val="000000" w:themeColor="text1"/>
        </w:rPr>
        <w:t>Frequent high-fat food</w:t>
      </w:r>
      <w:r w:rsidR="0020379E" w:rsidRPr="00015A39">
        <w:rPr>
          <w:color w:val="000000" w:themeColor="text1"/>
        </w:rPr>
        <w:t xml:space="preserve"> intake </w:t>
      </w:r>
      <w:r w:rsidR="00847B5D" w:rsidRPr="00015A39">
        <w:rPr>
          <w:color w:val="000000" w:themeColor="text1"/>
        </w:rPr>
        <w:t>was</w:t>
      </w:r>
      <w:r w:rsidR="009936FB" w:rsidRPr="00015A39">
        <w:rPr>
          <w:color w:val="000000" w:themeColor="text1"/>
        </w:rPr>
        <w:t xml:space="preserve"> associated with higher odds of AD </w:t>
      </w:r>
      <w:r w:rsidR="00BC103D" w:rsidRPr="00015A39">
        <w:rPr>
          <w:color w:val="000000" w:themeColor="text1"/>
        </w:rPr>
        <w:t xml:space="preserve">presentation </w:t>
      </w:r>
      <w:r w:rsidR="009936FB" w:rsidRPr="00015A39">
        <w:rPr>
          <w:color w:val="000000" w:themeColor="text1"/>
        </w:rPr>
        <w:t xml:space="preserve">(Adjusted Odds Ratios [AOR]: </w:t>
      </w:r>
      <w:r w:rsidR="00327B67" w:rsidRPr="00015A39">
        <w:rPr>
          <w:color w:val="000000" w:themeColor="text1"/>
        </w:rPr>
        <w:t>1.525; 95% Confidence Intervals [CI]: 1.314-1.772; adjusted p &lt; 0.001)</w:t>
      </w:r>
      <w:r w:rsidR="0006218F" w:rsidRPr="00015A39">
        <w:rPr>
          <w:color w:val="000000" w:themeColor="text1"/>
        </w:rPr>
        <w:t xml:space="preserve">. </w:t>
      </w:r>
      <w:r w:rsidR="00846573" w:rsidRPr="00015A39">
        <w:rPr>
          <w:color w:val="000000" w:themeColor="text1"/>
        </w:rPr>
        <w:t>The association remained significant regardless of total fat intake</w:t>
      </w:r>
      <w:r w:rsidR="00363E45" w:rsidRPr="00015A39">
        <w:rPr>
          <w:color w:val="000000" w:themeColor="text1"/>
        </w:rPr>
        <w:t xml:space="preserve"> (AOR: 1.445; 95% CI: 1.054-1.801; adjusted p &lt; 0.001) and among individuals with</w:t>
      </w:r>
      <w:r w:rsidR="00FB7AB5" w:rsidRPr="00015A39">
        <w:rPr>
          <w:color w:val="000000" w:themeColor="text1"/>
        </w:rPr>
        <w:t xml:space="preserve"> </w:t>
      </w:r>
      <w:r w:rsidR="005F5652" w:rsidRPr="00015A39">
        <w:rPr>
          <w:color w:val="000000" w:themeColor="text1"/>
        </w:rPr>
        <w:t>high fruit and vegetable intake</w:t>
      </w:r>
      <w:r w:rsidR="007D5D66" w:rsidRPr="00015A39">
        <w:rPr>
          <w:color w:val="000000" w:themeColor="text1"/>
        </w:rPr>
        <w:t xml:space="preserve"> </w:t>
      </w:r>
      <w:r w:rsidR="002260FC" w:rsidRPr="00015A39">
        <w:rPr>
          <w:color w:val="000000" w:themeColor="text1"/>
        </w:rPr>
        <w:t>(</w:t>
      </w:r>
      <w:r w:rsidR="00AA56BA" w:rsidRPr="00015A39">
        <w:rPr>
          <w:color w:val="000000" w:themeColor="text1"/>
        </w:rPr>
        <w:t xml:space="preserve">Adjusted Odds Ratios [AOR]: </w:t>
      </w:r>
      <w:r w:rsidR="00B67BAF" w:rsidRPr="00015A39">
        <w:rPr>
          <w:color w:val="000000" w:themeColor="text1"/>
        </w:rPr>
        <w:t>1.489</w:t>
      </w:r>
      <w:r w:rsidR="00AA56BA" w:rsidRPr="00015A39">
        <w:rPr>
          <w:color w:val="000000" w:themeColor="text1"/>
        </w:rPr>
        <w:t>; 95% Confidence Intervals [CI]: 1.</w:t>
      </w:r>
      <w:r w:rsidR="00B67BAF" w:rsidRPr="00015A39">
        <w:rPr>
          <w:color w:val="000000" w:themeColor="text1"/>
        </w:rPr>
        <w:t>191</w:t>
      </w:r>
      <w:r w:rsidR="00AA56BA" w:rsidRPr="00015A39">
        <w:rPr>
          <w:color w:val="000000" w:themeColor="text1"/>
        </w:rPr>
        <w:t>-</w:t>
      </w:r>
      <w:r w:rsidR="00B67BAF" w:rsidRPr="00015A39">
        <w:rPr>
          <w:color w:val="000000" w:themeColor="text1"/>
        </w:rPr>
        <w:t>1.860</w:t>
      </w:r>
      <w:r w:rsidR="00AA56BA" w:rsidRPr="00015A39">
        <w:rPr>
          <w:color w:val="000000" w:themeColor="text1"/>
        </w:rPr>
        <w:t>; adjusted p &lt; 0.001</w:t>
      </w:r>
      <w:r w:rsidR="00DF3446" w:rsidRPr="00015A39">
        <w:rPr>
          <w:color w:val="000000" w:themeColor="text1"/>
        </w:rPr>
        <w:t xml:space="preserve">) or </w:t>
      </w:r>
      <w:r w:rsidR="008430DF" w:rsidRPr="00015A39">
        <w:rPr>
          <w:color w:val="000000" w:themeColor="text1"/>
        </w:rPr>
        <w:t>low</w:t>
      </w:r>
      <w:r w:rsidR="007D5D66" w:rsidRPr="00015A39">
        <w:rPr>
          <w:color w:val="000000" w:themeColor="text1"/>
        </w:rPr>
        <w:t xml:space="preserve"> energy intake</w:t>
      </w:r>
      <w:r w:rsidR="00BF23C3" w:rsidRPr="00015A39">
        <w:rPr>
          <w:color w:val="000000" w:themeColor="text1"/>
        </w:rPr>
        <w:t xml:space="preserve"> (AOR: 1.399; 95% CI: 1.054-1.857; adjusted p &lt; 0.05). </w:t>
      </w:r>
      <w:r w:rsidR="00363E45" w:rsidRPr="00015A39">
        <w:rPr>
          <w:color w:val="000000" w:themeColor="text1"/>
        </w:rPr>
        <w:t xml:space="preserve">No synergistic effects were observed between dietary factors. </w:t>
      </w:r>
      <w:r w:rsidR="00295871" w:rsidRPr="00015A39">
        <w:rPr>
          <w:color w:val="000000" w:themeColor="text1"/>
        </w:rPr>
        <w:t xml:space="preserve">These findings highlight that frequent intake of high-fat foods is independently associated with AD, </w:t>
      </w:r>
      <w:r w:rsidR="007F2EE5" w:rsidRPr="00015A39">
        <w:rPr>
          <w:color w:val="000000" w:themeColor="text1"/>
        </w:rPr>
        <w:t>emphasizing</w:t>
      </w:r>
      <w:r w:rsidR="00C274E8" w:rsidRPr="00015A39">
        <w:rPr>
          <w:color w:val="000000" w:themeColor="text1"/>
        </w:rPr>
        <w:t xml:space="preserve"> the importance of dietary moderation in AD risk management.</w:t>
      </w:r>
    </w:p>
    <w:p w14:paraId="43BDEE34" w14:textId="77777777" w:rsidR="00CA2641" w:rsidRPr="00015A39" w:rsidRDefault="00CA2641" w:rsidP="0004258D">
      <w:pPr>
        <w:autoSpaceDE w:val="0"/>
        <w:autoSpaceDN w:val="0"/>
        <w:adjustRightInd w:val="0"/>
        <w:spacing w:line="360" w:lineRule="auto"/>
        <w:jc w:val="both"/>
        <w:rPr>
          <w:color w:val="000000" w:themeColor="text1"/>
        </w:rPr>
      </w:pPr>
    </w:p>
    <w:p w14:paraId="6FC724A0" w14:textId="31C296E6" w:rsidR="00C414A9" w:rsidRPr="00015A39" w:rsidRDefault="00CA2641" w:rsidP="0004258D">
      <w:pPr>
        <w:spacing w:line="360" w:lineRule="auto"/>
        <w:jc w:val="both"/>
        <w:rPr>
          <w:color w:val="000000" w:themeColor="text1"/>
        </w:rPr>
      </w:pPr>
      <w:r w:rsidRPr="00015A39">
        <w:rPr>
          <w:rStyle w:val="Hyperlink"/>
          <w:b/>
          <w:bCs/>
          <w:color w:val="000000" w:themeColor="text1"/>
          <w:u w:val="none"/>
        </w:rPr>
        <w:t>Keywords</w:t>
      </w:r>
      <w:r w:rsidRPr="00015A39">
        <w:rPr>
          <w:rStyle w:val="Hyperlink"/>
          <w:color w:val="000000" w:themeColor="text1"/>
          <w:u w:val="none"/>
        </w:rPr>
        <w:t>:</w:t>
      </w:r>
      <w:r w:rsidR="00E52222" w:rsidRPr="00015A39">
        <w:rPr>
          <w:rStyle w:val="Hyperlink"/>
          <w:color w:val="000000" w:themeColor="text1"/>
          <w:u w:val="none"/>
        </w:rPr>
        <w:t xml:space="preserve"> </w:t>
      </w:r>
      <w:r w:rsidRPr="00015A39">
        <w:rPr>
          <w:color w:val="000000" w:themeColor="text1"/>
        </w:rPr>
        <w:t xml:space="preserve">Atopic Dermatitis, Dietary Fats, Dietary </w:t>
      </w:r>
      <w:r w:rsidR="00582741" w:rsidRPr="00015A39">
        <w:rPr>
          <w:color w:val="000000" w:themeColor="text1"/>
        </w:rPr>
        <w:t>Habits</w:t>
      </w:r>
      <w:r w:rsidRPr="00015A39">
        <w:rPr>
          <w:color w:val="000000" w:themeColor="text1"/>
        </w:rPr>
        <w:t>, Epidemiology</w:t>
      </w:r>
      <w:r w:rsidR="00600D5D" w:rsidRPr="00015A39">
        <w:rPr>
          <w:color w:val="000000" w:themeColor="text1"/>
        </w:rPr>
        <w:t xml:space="preserve">, </w:t>
      </w:r>
      <w:r w:rsidR="00464E91" w:rsidRPr="00015A39">
        <w:rPr>
          <w:color w:val="000000" w:themeColor="text1"/>
        </w:rPr>
        <w:t>Intake Frequencies</w:t>
      </w:r>
    </w:p>
    <w:p w14:paraId="2635A22A" w14:textId="77777777" w:rsidR="008A57C3" w:rsidRDefault="008A57C3" w:rsidP="0004258D">
      <w:pPr>
        <w:spacing w:line="360" w:lineRule="auto"/>
        <w:jc w:val="both"/>
        <w:rPr>
          <w:color w:val="000000" w:themeColor="text1"/>
        </w:rPr>
      </w:pPr>
    </w:p>
    <w:p w14:paraId="15EFC247" w14:textId="77777777" w:rsidR="00854F9C" w:rsidRDefault="00854F9C" w:rsidP="0004258D">
      <w:pPr>
        <w:spacing w:line="360" w:lineRule="auto"/>
        <w:jc w:val="both"/>
        <w:rPr>
          <w:color w:val="000000" w:themeColor="text1"/>
        </w:rPr>
      </w:pPr>
    </w:p>
    <w:p w14:paraId="61A7A4BD" w14:textId="77777777" w:rsidR="00854F9C" w:rsidRPr="00015A39" w:rsidRDefault="00854F9C" w:rsidP="0004258D">
      <w:pPr>
        <w:spacing w:line="360" w:lineRule="auto"/>
        <w:jc w:val="both"/>
        <w:rPr>
          <w:color w:val="000000" w:themeColor="text1"/>
        </w:rPr>
      </w:pPr>
    </w:p>
    <w:p w14:paraId="3D924BCD" w14:textId="77777777" w:rsidR="00922211" w:rsidRPr="00015A39" w:rsidRDefault="00922211" w:rsidP="0004258D">
      <w:pPr>
        <w:pStyle w:val="Heading1"/>
        <w:rPr>
          <w:rStyle w:val="Hyperlink"/>
          <w:b w:val="0"/>
          <w:bCs w:val="0"/>
          <w:color w:val="000000" w:themeColor="text1"/>
          <w:sz w:val="24"/>
          <w:szCs w:val="24"/>
          <w:u w:val="none"/>
        </w:rPr>
      </w:pPr>
      <w:r w:rsidRPr="00015A39">
        <w:rPr>
          <w:color w:val="000000" w:themeColor="text1"/>
          <w:sz w:val="24"/>
          <w:szCs w:val="24"/>
        </w:rPr>
        <w:lastRenderedPageBreak/>
        <w:t>Introduction</w:t>
      </w:r>
    </w:p>
    <w:p w14:paraId="58D2BFC6" w14:textId="04813B78" w:rsidR="00C018D1" w:rsidRPr="00015A39" w:rsidRDefault="00922211" w:rsidP="0004258D">
      <w:pPr>
        <w:pStyle w:val="NormalWeb"/>
        <w:spacing w:line="360" w:lineRule="auto"/>
        <w:contextualSpacing w:val="0"/>
        <w:rPr>
          <w:color w:val="000000" w:themeColor="text1"/>
        </w:rPr>
      </w:pPr>
      <w:r w:rsidRPr="00015A39">
        <w:rPr>
          <w:color w:val="000000" w:themeColor="text1"/>
        </w:rPr>
        <w:t xml:space="preserve">Atopic dermatitis (AD) is a </w:t>
      </w:r>
      <w:r w:rsidR="00587069" w:rsidRPr="00015A39">
        <w:rPr>
          <w:color w:val="000000" w:themeColor="text1"/>
        </w:rPr>
        <w:t>prevalent</w:t>
      </w:r>
      <w:r w:rsidRPr="00015A39">
        <w:rPr>
          <w:color w:val="000000" w:themeColor="text1"/>
        </w:rPr>
        <w:t xml:space="preserve"> and complex inflammatory skin disease that </w:t>
      </w:r>
      <w:r w:rsidR="006D3FC2" w:rsidRPr="00015A39">
        <w:rPr>
          <w:color w:val="000000" w:themeColor="text1"/>
        </w:rPr>
        <w:t xml:space="preserve">can </w:t>
      </w:r>
      <w:r w:rsidRPr="00015A39">
        <w:rPr>
          <w:color w:val="000000" w:themeColor="text1"/>
        </w:rPr>
        <w:t>develop</w:t>
      </w:r>
      <w:r w:rsidR="00641A4D" w:rsidRPr="00015A39">
        <w:rPr>
          <w:color w:val="000000" w:themeColor="text1"/>
        </w:rPr>
        <w:t xml:space="preserve"> </w:t>
      </w:r>
      <w:r w:rsidRPr="00015A39">
        <w:rPr>
          <w:color w:val="000000" w:themeColor="text1"/>
        </w:rPr>
        <w:t>in predisposed individuals during adulthoo</w:t>
      </w:r>
      <w:r w:rsidR="00CE54C7" w:rsidRPr="00015A39">
        <w:rPr>
          <w:color w:val="000000" w:themeColor="text1"/>
        </w:rPr>
        <w:t>d</w:t>
      </w:r>
      <w:r w:rsidRPr="00015A39">
        <w:rPr>
          <w:color w:val="000000" w:themeColor="text1"/>
        </w:rPr>
        <w:t xml:space="preserve">. </w:t>
      </w:r>
      <w:r w:rsidR="009D0A02" w:rsidRPr="00015A39">
        <w:rPr>
          <w:color w:val="000000" w:themeColor="text1"/>
        </w:rPr>
        <w:t xml:space="preserve">AD </w:t>
      </w:r>
      <w:r w:rsidR="00393259" w:rsidRPr="00015A39">
        <w:rPr>
          <w:color w:val="000000" w:themeColor="text1"/>
        </w:rPr>
        <w:t>manifests in</w:t>
      </w:r>
      <w:r w:rsidR="009D0A02" w:rsidRPr="00015A39">
        <w:rPr>
          <w:color w:val="000000" w:themeColor="text1"/>
        </w:rPr>
        <w:t xml:space="preserve"> </w:t>
      </w:r>
      <w:r w:rsidR="00393259" w:rsidRPr="00015A39">
        <w:rPr>
          <w:color w:val="000000" w:themeColor="text1"/>
        </w:rPr>
        <w:t>diverse</w:t>
      </w:r>
      <w:r w:rsidR="009D0A02" w:rsidRPr="00015A39">
        <w:rPr>
          <w:color w:val="000000" w:themeColor="text1"/>
        </w:rPr>
        <w:t xml:space="preserve"> phenotypes, including disease presentation</w:t>
      </w:r>
      <w:r w:rsidR="005832E4" w:rsidRPr="00015A39">
        <w:rPr>
          <w:color w:val="000000" w:themeColor="text1"/>
        </w:rPr>
        <w:t xml:space="preserve"> (clinical manifestation)</w:t>
      </w:r>
      <w:r w:rsidR="009D0A02" w:rsidRPr="00015A39">
        <w:rPr>
          <w:color w:val="000000" w:themeColor="text1"/>
        </w:rPr>
        <w:t xml:space="preserve">, persistence (symptoms </w:t>
      </w:r>
      <w:r w:rsidR="00D6217E" w:rsidRPr="00015A39">
        <w:rPr>
          <w:color w:val="000000" w:themeColor="text1"/>
        </w:rPr>
        <w:t>duration</w:t>
      </w:r>
      <w:r w:rsidR="009D0A02" w:rsidRPr="00015A39">
        <w:rPr>
          <w:color w:val="000000" w:themeColor="text1"/>
        </w:rPr>
        <w:t xml:space="preserve">), chronicity (long-term </w:t>
      </w:r>
      <w:r w:rsidR="00C0759F" w:rsidRPr="00015A39">
        <w:rPr>
          <w:color w:val="000000" w:themeColor="text1"/>
        </w:rPr>
        <w:t>progression</w:t>
      </w:r>
      <w:r w:rsidR="009D0A02" w:rsidRPr="00015A39">
        <w:rPr>
          <w:color w:val="000000" w:themeColor="text1"/>
        </w:rPr>
        <w:t>), and its impact on sleep disturbances</w:t>
      </w:r>
      <w:r w:rsidR="006D3B6A" w:rsidRPr="00015A39">
        <w:rPr>
          <w:color w:val="000000" w:themeColor="text1"/>
        </w:rPr>
        <w:t xml:space="preserve"> (severity)</w:t>
      </w:r>
      <w:r w:rsidR="00D62F79" w:rsidRPr="00015A39">
        <w:rPr>
          <w:color w:val="000000" w:themeColor="text1"/>
        </w:rPr>
        <w:t xml:space="preserve"> [1</w:t>
      </w:r>
      <w:r w:rsidR="004D2BE5" w:rsidRPr="00015A39">
        <w:rPr>
          <w:color w:val="000000" w:themeColor="text1"/>
        </w:rPr>
        <w:t>-3</w:t>
      </w:r>
      <w:r w:rsidR="00D62F79" w:rsidRPr="00015A39">
        <w:rPr>
          <w:color w:val="000000" w:themeColor="text1"/>
        </w:rPr>
        <w:t>].</w:t>
      </w:r>
      <w:r w:rsidR="00A95EE6" w:rsidRPr="00015A39">
        <w:rPr>
          <w:color w:val="000000" w:themeColor="text1"/>
        </w:rPr>
        <w:t xml:space="preserve"> </w:t>
      </w:r>
      <w:r w:rsidR="00365B12" w:rsidRPr="00015A39">
        <w:rPr>
          <w:color w:val="000000" w:themeColor="text1"/>
        </w:rPr>
        <w:t>These phenotypes are critical for understanding the disease’s varied course, long-term effects, and functional impairment.</w:t>
      </w:r>
      <w:r w:rsidR="00026ABB" w:rsidRPr="00015A39">
        <w:rPr>
          <w:color w:val="000000" w:themeColor="text1"/>
        </w:rPr>
        <w:t xml:space="preserve"> </w:t>
      </w:r>
      <w:r w:rsidR="00F54F9C" w:rsidRPr="00015A39">
        <w:rPr>
          <w:color w:val="000000" w:themeColor="text1"/>
        </w:rPr>
        <w:t>While genetic factors play a key role in AD susceptibility, e</w:t>
      </w:r>
      <w:r w:rsidR="00B27FF9" w:rsidRPr="00015A39">
        <w:rPr>
          <w:color w:val="000000" w:themeColor="text1"/>
        </w:rPr>
        <w:t>nvironmental exposures, lifestyle choices (such as smoking and alcohol consumption), and dietary habit</w:t>
      </w:r>
      <w:r w:rsidR="0078254E" w:rsidRPr="00015A39">
        <w:rPr>
          <w:color w:val="000000" w:themeColor="text1"/>
        </w:rPr>
        <w:t>s</w:t>
      </w:r>
      <w:r w:rsidR="0000517D" w:rsidRPr="00015A39">
        <w:rPr>
          <w:color w:val="000000" w:themeColor="text1"/>
          <w:vertAlign w:val="superscript"/>
        </w:rPr>
        <w:t xml:space="preserve"> </w:t>
      </w:r>
      <w:r w:rsidR="00BD2980" w:rsidRPr="00015A39">
        <w:rPr>
          <w:color w:val="000000" w:themeColor="text1"/>
        </w:rPr>
        <w:t>also</w:t>
      </w:r>
      <w:r w:rsidR="00B27FF9" w:rsidRPr="00015A39">
        <w:rPr>
          <w:color w:val="000000" w:themeColor="text1"/>
        </w:rPr>
        <w:t xml:space="preserve"> </w:t>
      </w:r>
      <w:r w:rsidR="00A945E3" w:rsidRPr="00015A39">
        <w:rPr>
          <w:color w:val="000000" w:themeColor="text1"/>
        </w:rPr>
        <w:t xml:space="preserve">contribute to the disease’s onset and progression </w:t>
      </w:r>
      <w:r w:rsidR="009F05EA" w:rsidRPr="00015A39">
        <w:rPr>
          <w:color w:val="000000" w:themeColor="text1"/>
        </w:rPr>
        <w:t>[</w:t>
      </w:r>
      <w:r w:rsidR="00AE729E" w:rsidRPr="00015A39">
        <w:rPr>
          <w:color w:val="000000" w:themeColor="text1"/>
        </w:rPr>
        <w:t>3</w:t>
      </w:r>
      <w:r w:rsidR="00413DDE" w:rsidRPr="00015A39">
        <w:rPr>
          <w:color w:val="000000" w:themeColor="text1"/>
        </w:rPr>
        <w:t>-9</w:t>
      </w:r>
      <w:r w:rsidR="009F05EA" w:rsidRPr="00015A39">
        <w:rPr>
          <w:color w:val="000000" w:themeColor="text1"/>
        </w:rPr>
        <w:t>]</w:t>
      </w:r>
      <w:r w:rsidR="00B27FF9" w:rsidRPr="00015A39">
        <w:rPr>
          <w:color w:val="000000" w:themeColor="text1"/>
        </w:rPr>
        <w:t xml:space="preserve">. </w:t>
      </w:r>
      <w:r w:rsidRPr="00015A39">
        <w:rPr>
          <w:color w:val="000000" w:themeColor="text1"/>
        </w:rPr>
        <w:t>Particularly</w:t>
      </w:r>
      <w:r w:rsidR="0089525D" w:rsidRPr="00015A39">
        <w:rPr>
          <w:color w:val="000000" w:themeColor="text1"/>
        </w:rPr>
        <w:t>,</w:t>
      </w:r>
      <w:r w:rsidRPr="00015A39">
        <w:rPr>
          <w:color w:val="000000" w:themeColor="text1"/>
        </w:rPr>
        <w:t xml:space="preserve"> </w:t>
      </w:r>
      <w:r w:rsidR="0089525D" w:rsidRPr="00015A39">
        <w:rPr>
          <w:color w:val="000000" w:themeColor="text1"/>
        </w:rPr>
        <w:t>d</w:t>
      </w:r>
      <w:r w:rsidRPr="00015A39">
        <w:rPr>
          <w:color w:val="000000" w:themeColor="text1"/>
        </w:rPr>
        <w:t>iet diversification in Asia</w:t>
      </w:r>
      <w:r w:rsidR="00D00AC3" w:rsidRPr="00015A39">
        <w:rPr>
          <w:color w:val="000000" w:themeColor="text1"/>
        </w:rPr>
        <w:t>n</w:t>
      </w:r>
      <w:r w:rsidRPr="00015A39">
        <w:rPr>
          <w:color w:val="000000" w:themeColor="text1"/>
        </w:rPr>
        <w:t xml:space="preserve"> countries changed dietary habits and food preferences </w:t>
      </w:r>
      <w:r w:rsidR="00D00AC3" w:rsidRPr="00015A39">
        <w:rPr>
          <w:color w:val="000000" w:themeColor="text1"/>
        </w:rPr>
        <w:t>and</w:t>
      </w:r>
      <w:r w:rsidR="00002E1A" w:rsidRPr="00015A39">
        <w:rPr>
          <w:color w:val="000000" w:themeColor="text1"/>
        </w:rPr>
        <w:t xml:space="preserve"> </w:t>
      </w:r>
      <w:r w:rsidRPr="00015A39">
        <w:rPr>
          <w:color w:val="000000" w:themeColor="text1"/>
        </w:rPr>
        <w:t>favour</w:t>
      </w:r>
      <w:r w:rsidR="00D00AC3" w:rsidRPr="00015A39">
        <w:rPr>
          <w:color w:val="000000" w:themeColor="text1"/>
        </w:rPr>
        <w:t>ed</w:t>
      </w:r>
      <w:r w:rsidRPr="00015A39">
        <w:rPr>
          <w:color w:val="000000" w:themeColor="text1"/>
        </w:rPr>
        <w:t xml:space="preserve"> diets with higher fat content among Asian nation</w:t>
      </w:r>
      <w:r w:rsidR="00E26E74" w:rsidRPr="00015A39">
        <w:rPr>
          <w:color w:val="000000" w:themeColor="text1"/>
        </w:rPr>
        <w:t>s</w:t>
      </w:r>
      <w:r w:rsidR="003E3997" w:rsidRPr="00015A39">
        <w:rPr>
          <w:color w:val="000000" w:themeColor="text1"/>
          <w:vertAlign w:val="superscript"/>
        </w:rPr>
        <w:t xml:space="preserve"> </w:t>
      </w:r>
      <w:r w:rsidR="003E3997" w:rsidRPr="00015A39">
        <w:rPr>
          <w:color w:val="000000" w:themeColor="text1"/>
        </w:rPr>
        <w:t>[</w:t>
      </w:r>
      <w:r w:rsidR="00AF519A" w:rsidRPr="00015A39">
        <w:rPr>
          <w:color w:val="000000" w:themeColor="text1"/>
        </w:rPr>
        <w:t>10</w:t>
      </w:r>
      <w:r w:rsidR="00ED2F9E" w:rsidRPr="00015A39">
        <w:rPr>
          <w:color w:val="000000" w:themeColor="text1"/>
        </w:rPr>
        <w:t>,</w:t>
      </w:r>
      <w:r w:rsidR="00AF519A" w:rsidRPr="00015A39">
        <w:rPr>
          <w:color w:val="000000" w:themeColor="text1"/>
        </w:rPr>
        <w:t xml:space="preserve"> 11</w:t>
      </w:r>
      <w:r w:rsidR="003E3997" w:rsidRPr="00015A39">
        <w:rPr>
          <w:color w:val="000000" w:themeColor="text1"/>
        </w:rPr>
        <w:t>]</w:t>
      </w:r>
      <w:r w:rsidR="0078254E" w:rsidRPr="00015A39">
        <w:rPr>
          <w:color w:val="000000" w:themeColor="text1"/>
        </w:rPr>
        <w:t xml:space="preserve">. </w:t>
      </w:r>
      <w:r w:rsidR="00AC564D" w:rsidRPr="00015A39">
        <w:rPr>
          <w:color w:val="000000" w:themeColor="text1"/>
        </w:rPr>
        <w:t xml:space="preserve">While dietary fats are crucial for energy provision and nutrient absorption, excessive </w:t>
      </w:r>
      <w:r w:rsidR="00353F83" w:rsidRPr="00015A39">
        <w:rPr>
          <w:color w:val="000000" w:themeColor="text1"/>
        </w:rPr>
        <w:t xml:space="preserve">intake </w:t>
      </w:r>
      <w:r w:rsidR="00AC564D" w:rsidRPr="00015A39">
        <w:rPr>
          <w:color w:val="000000" w:themeColor="text1"/>
        </w:rPr>
        <w:t>may contribute to low-grade chronic inflammation</w:t>
      </w:r>
      <w:r w:rsidR="00460E9B" w:rsidRPr="00015A39">
        <w:rPr>
          <w:color w:val="000000" w:themeColor="text1"/>
        </w:rPr>
        <w:t xml:space="preserve">, potentially exacerbating </w:t>
      </w:r>
      <w:r w:rsidR="00AC564D" w:rsidRPr="00015A39">
        <w:rPr>
          <w:color w:val="000000" w:themeColor="text1"/>
        </w:rPr>
        <w:t>allergic diseases</w:t>
      </w:r>
      <w:r w:rsidR="00460E9B" w:rsidRPr="00015A39">
        <w:rPr>
          <w:color w:val="000000" w:themeColor="text1"/>
        </w:rPr>
        <w:t xml:space="preserve"> such as AD</w:t>
      </w:r>
      <w:r w:rsidR="0037746C" w:rsidRPr="00015A39">
        <w:rPr>
          <w:color w:val="000000" w:themeColor="text1"/>
        </w:rPr>
        <w:t xml:space="preserve">. </w:t>
      </w:r>
      <w:r w:rsidR="00423864" w:rsidRPr="00015A39">
        <w:rPr>
          <w:color w:val="000000" w:themeColor="text1"/>
        </w:rPr>
        <w:t>Most p</w:t>
      </w:r>
      <w:r w:rsidR="00AE06DD" w:rsidRPr="00015A39">
        <w:rPr>
          <w:color w:val="000000" w:themeColor="text1"/>
        </w:rPr>
        <w:t xml:space="preserve">revious </w:t>
      </w:r>
      <w:r w:rsidR="000B0292" w:rsidRPr="00015A39">
        <w:rPr>
          <w:color w:val="000000" w:themeColor="text1"/>
        </w:rPr>
        <w:t>research</w:t>
      </w:r>
      <w:r w:rsidR="00082AA7" w:rsidRPr="00015A39">
        <w:rPr>
          <w:color w:val="000000" w:themeColor="text1"/>
        </w:rPr>
        <w:t xml:space="preserve"> on dietary fats and AD</w:t>
      </w:r>
      <w:r w:rsidR="00AE06DD" w:rsidRPr="00015A39">
        <w:rPr>
          <w:color w:val="000000" w:themeColor="text1"/>
        </w:rPr>
        <w:t xml:space="preserve"> </w:t>
      </w:r>
      <w:r w:rsidR="000B0292" w:rsidRPr="00015A39">
        <w:rPr>
          <w:color w:val="000000" w:themeColor="text1"/>
        </w:rPr>
        <w:t>has</w:t>
      </w:r>
      <w:r w:rsidR="00AE06DD" w:rsidRPr="00015A39">
        <w:rPr>
          <w:color w:val="000000" w:themeColor="text1"/>
        </w:rPr>
        <w:t xml:space="preserve"> </w:t>
      </w:r>
      <w:r w:rsidR="00492EAF" w:rsidRPr="00015A39">
        <w:rPr>
          <w:color w:val="000000" w:themeColor="text1"/>
        </w:rPr>
        <w:t>mainly</w:t>
      </w:r>
      <w:r w:rsidR="00AE06DD" w:rsidRPr="00015A39">
        <w:rPr>
          <w:color w:val="000000" w:themeColor="text1"/>
        </w:rPr>
        <w:t xml:space="preserve"> focused on paediatric populations, </w:t>
      </w:r>
      <w:r w:rsidR="00913518" w:rsidRPr="00015A39">
        <w:rPr>
          <w:color w:val="000000" w:themeColor="text1"/>
        </w:rPr>
        <w:t>particularly examining</w:t>
      </w:r>
      <w:r w:rsidR="00AE06DD" w:rsidRPr="00015A39">
        <w:rPr>
          <w:color w:val="000000" w:themeColor="text1"/>
        </w:rPr>
        <w:t xml:space="preserve"> the </w:t>
      </w:r>
      <w:r w:rsidR="00B957A0" w:rsidRPr="00015A39">
        <w:rPr>
          <w:color w:val="000000" w:themeColor="text1"/>
        </w:rPr>
        <w:t>impact</w:t>
      </w:r>
      <w:r w:rsidR="00AE06DD" w:rsidRPr="00015A39">
        <w:rPr>
          <w:color w:val="000000" w:themeColor="text1"/>
        </w:rPr>
        <w:t xml:space="preserve"> of specific essential fatty acids</w:t>
      </w:r>
      <w:r w:rsidR="008C35C8" w:rsidRPr="00015A39">
        <w:rPr>
          <w:color w:val="000000" w:themeColor="text1"/>
        </w:rPr>
        <w:t xml:space="preserve"> like </w:t>
      </w:r>
      <w:r w:rsidR="00AE06DD" w:rsidRPr="00015A39">
        <w:rPr>
          <w:color w:val="000000" w:themeColor="text1"/>
        </w:rPr>
        <w:t>n-3 and n-6 long-chain polyunsaturated fatty acids</w:t>
      </w:r>
      <w:r w:rsidR="00132E4C" w:rsidRPr="00015A39">
        <w:rPr>
          <w:color w:val="000000" w:themeColor="text1"/>
        </w:rPr>
        <w:t xml:space="preserve"> on </w:t>
      </w:r>
      <w:r w:rsidR="005D1AC4" w:rsidRPr="00015A39">
        <w:rPr>
          <w:color w:val="000000" w:themeColor="text1"/>
        </w:rPr>
        <w:t>AD</w:t>
      </w:r>
      <w:r w:rsidR="00AE06DD" w:rsidRPr="00015A39">
        <w:rPr>
          <w:color w:val="000000" w:themeColor="text1"/>
        </w:rPr>
        <w:t xml:space="preserve"> risk and severity</w:t>
      </w:r>
      <w:r w:rsidR="0037746C" w:rsidRPr="00015A39">
        <w:rPr>
          <w:color w:val="000000" w:themeColor="text1"/>
        </w:rPr>
        <w:t>.</w:t>
      </w:r>
      <w:r w:rsidR="00AE06DD" w:rsidRPr="00015A39">
        <w:rPr>
          <w:color w:val="000000" w:themeColor="text1"/>
        </w:rPr>
        <w:t xml:space="preserve"> </w:t>
      </w:r>
      <w:r w:rsidR="00047CF6" w:rsidRPr="00015A39">
        <w:rPr>
          <w:color w:val="000000" w:themeColor="text1"/>
        </w:rPr>
        <w:t xml:space="preserve">These studies suggest that dietary fats </w:t>
      </w:r>
      <w:r w:rsidR="00B957A0" w:rsidRPr="00015A39">
        <w:rPr>
          <w:color w:val="000000" w:themeColor="text1"/>
        </w:rPr>
        <w:t>play a role</w:t>
      </w:r>
      <w:r w:rsidR="00047CF6" w:rsidRPr="00015A39">
        <w:rPr>
          <w:color w:val="000000" w:themeColor="text1"/>
        </w:rPr>
        <w:t xml:space="preserve"> </w:t>
      </w:r>
      <w:r w:rsidR="0079708A" w:rsidRPr="00015A39">
        <w:rPr>
          <w:color w:val="000000" w:themeColor="text1"/>
        </w:rPr>
        <w:t>in modulating the</w:t>
      </w:r>
      <w:r w:rsidR="00047CF6" w:rsidRPr="00015A39">
        <w:rPr>
          <w:color w:val="000000" w:themeColor="text1"/>
        </w:rPr>
        <w:t xml:space="preserve"> inflammatory processes </w:t>
      </w:r>
      <w:r w:rsidR="0079708A" w:rsidRPr="00015A39">
        <w:rPr>
          <w:color w:val="000000" w:themeColor="text1"/>
        </w:rPr>
        <w:t>underlying</w:t>
      </w:r>
      <w:r w:rsidR="00047CF6" w:rsidRPr="00015A39">
        <w:rPr>
          <w:color w:val="000000" w:themeColor="text1"/>
        </w:rPr>
        <w:t xml:space="preserve"> AD [1</w:t>
      </w:r>
      <w:r w:rsidR="008B69A0" w:rsidRPr="00015A39">
        <w:rPr>
          <w:color w:val="000000" w:themeColor="text1"/>
        </w:rPr>
        <w:t>2</w:t>
      </w:r>
      <w:r w:rsidR="00047CF6" w:rsidRPr="00015A39">
        <w:rPr>
          <w:color w:val="000000" w:themeColor="text1"/>
        </w:rPr>
        <w:t xml:space="preserve">]. </w:t>
      </w:r>
      <w:r w:rsidR="00042F16" w:rsidRPr="00015A39">
        <w:rPr>
          <w:color w:val="000000" w:themeColor="text1"/>
        </w:rPr>
        <w:t>However, the</w:t>
      </w:r>
      <w:r w:rsidR="007D6B29" w:rsidRPr="00015A39">
        <w:rPr>
          <w:color w:val="000000" w:themeColor="text1"/>
        </w:rPr>
        <w:t>se studies</w:t>
      </w:r>
      <w:r w:rsidR="00042F16" w:rsidRPr="00015A39">
        <w:rPr>
          <w:color w:val="000000" w:themeColor="text1"/>
        </w:rPr>
        <w:t xml:space="preserve"> have largely overlooked broader dietary patterns and the habitual consumption of high-fat foods, especially in transitional </w:t>
      </w:r>
      <w:r w:rsidR="0001762D" w:rsidRPr="00015A39">
        <w:rPr>
          <w:color w:val="000000" w:themeColor="text1"/>
        </w:rPr>
        <w:t xml:space="preserve">age groups like young adults. </w:t>
      </w:r>
      <w:r w:rsidR="005D0624" w:rsidRPr="00015A39">
        <w:rPr>
          <w:color w:val="000000" w:themeColor="text1"/>
        </w:rPr>
        <w:t>Young adulthood represents a critical period of dietary shifts and immune system changes</w:t>
      </w:r>
      <w:r w:rsidR="0074239A" w:rsidRPr="00015A39">
        <w:rPr>
          <w:color w:val="000000" w:themeColor="text1"/>
        </w:rPr>
        <w:t>. Yet,</w:t>
      </w:r>
      <w:r w:rsidR="005D0624" w:rsidRPr="00015A39">
        <w:rPr>
          <w:color w:val="000000" w:themeColor="text1"/>
        </w:rPr>
        <w:t xml:space="preserve"> robust research on the </w:t>
      </w:r>
      <w:r w:rsidR="008B0F57" w:rsidRPr="00015A39">
        <w:rPr>
          <w:color w:val="000000" w:themeColor="text1"/>
        </w:rPr>
        <w:t>effects of high-fat food consumption on AD in this age group remains limited.</w:t>
      </w:r>
      <w:r w:rsidR="007F1968" w:rsidRPr="00015A39">
        <w:rPr>
          <w:color w:val="000000" w:themeColor="text1"/>
        </w:rPr>
        <w:t xml:space="preserve"> </w:t>
      </w:r>
    </w:p>
    <w:p w14:paraId="6564EDCD" w14:textId="7720273D" w:rsidR="001468F1" w:rsidRPr="00015A39" w:rsidRDefault="00B642CE" w:rsidP="0004258D">
      <w:pPr>
        <w:pStyle w:val="NormalWeb"/>
        <w:spacing w:line="360" w:lineRule="auto"/>
        <w:contextualSpacing w:val="0"/>
        <w:rPr>
          <w:color w:val="000000" w:themeColor="text1"/>
        </w:rPr>
      </w:pPr>
      <w:r w:rsidRPr="00015A39">
        <w:rPr>
          <w:color w:val="000000" w:themeColor="text1"/>
        </w:rPr>
        <w:t>The</w:t>
      </w:r>
      <w:r w:rsidR="0096035E" w:rsidRPr="00015A39">
        <w:rPr>
          <w:color w:val="000000" w:themeColor="text1"/>
        </w:rPr>
        <w:t xml:space="preserve"> impact of frequent high-fat food intake, distinct from total fat consumption, on AD development is poorly understood. </w:t>
      </w:r>
      <w:r w:rsidR="003520E2" w:rsidRPr="00015A39">
        <w:rPr>
          <w:color w:val="000000" w:themeColor="text1"/>
        </w:rPr>
        <w:t xml:space="preserve">While total fat intake </w:t>
      </w:r>
      <w:r w:rsidR="00440B31" w:rsidRPr="00015A39">
        <w:rPr>
          <w:color w:val="000000" w:themeColor="text1"/>
        </w:rPr>
        <w:t>reflects</w:t>
      </w:r>
      <w:r w:rsidR="003520E2" w:rsidRPr="00015A39">
        <w:rPr>
          <w:color w:val="000000" w:themeColor="text1"/>
        </w:rPr>
        <w:t xml:space="preserve"> </w:t>
      </w:r>
      <w:r w:rsidR="00D81CEA" w:rsidRPr="00015A39">
        <w:rPr>
          <w:color w:val="000000" w:themeColor="text1"/>
        </w:rPr>
        <w:t xml:space="preserve">the </w:t>
      </w:r>
      <w:r w:rsidR="003520E2" w:rsidRPr="00015A39">
        <w:rPr>
          <w:color w:val="000000" w:themeColor="text1"/>
        </w:rPr>
        <w:t xml:space="preserve">overall </w:t>
      </w:r>
      <w:r w:rsidR="00B55EFF" w:rsidRPr="00015A39">
        <w:rPr>
          <w:color w:val="000000" w:themeColor="text1"/>
        </w:rPr>
        <w:t xml:space="preserve">amount of </w:t>
      </w:r>
      <w:r w:rsidR="003520E2" w:rsidRPr="00015A39">
        <w:rPr>
          <w:color w:val="000000" w:themeColor="text1"/>
        </w:rPr>
        <w:t xml:space="preserve">fat </w:t>
      </w:r>
      <w:r w:rsidR="00306FBD" w:rsidRPr="00015A39">
        <w:rPr>
          <w:color w:val="000000" w:themeColor="text1"/>
        </w:rPr>
        <w:t>consumed</w:t>
      </w:r>
      <w:r w:rsidR="003520E2" w:rsidRPr="00015A39">
        <w:rPr>
          <w:color w:val="000000" w:themeColor="text1"/>
        </w:rPr>
        <w:t xml:space="preserve">, frequent </w:t>
      </w:r>
      <w:r w:rsidR="00FD5DDA" w:rsidRPr="00015A39">
        <w:rPr>
          <w:color w:val="000000" w:themeColor="text1"/>
        </w:rPr>
        <w:t xml:space="preserve">high-fat food </w:t>
      </w:r>
      <w:r w:rsidR="003520E2" w:rsidRPr="00015A39">
        <w:rPr>
          <w:color w:val="000000" w:themeColor="text1"/>
        </w:rPr>
        <w:t xml:space="preserve">intake </w:t>
      </w:r>
      <w:r w:rsidR="00FD5DDA" w:rsidRPr="00015A39">
        <w:rPr>
          <w:color w:val="000000" w:themeColor="text1"/>
        </w:rPr>
        <w:t xml:space="preserve">emphasizes the regularity of consumption, </w:t>
      </w:r>
      <w:r w:rsidR="003520E2" w:rsidRPr="00015A39">
        <w:rPr>
          <w:color w:val="000000" w:themeColor="text1"/>
        </w:rPr>
        <w:t>which ma</w:t>
      </w:r>
      <w:r w:rsidR="00653B40" w:rsidRPr="00015A39">
        <w:rPr>
          <w:color w:val="000000" w:themeColor="text1"/>
        </w:rPr>
        <w:t>y influence</w:t>
      </w:r>
      <w:r w:rsidR="003520E2" w:rsidRPr="00015A39">
        <w:rPr>
          <w:color w:val="000000" w:themeColor="text1"/>
        </w:rPr>
        <w:t xml:space="preserve"> inflammation and immune function</w:t>
      </w:r>
      <w:r w:rsidR="00653B40" w:rsidRPr="00015A39">
        <w:rPr>
          <w:color w:val="000000" w:themeColor="text1"/>
        </w:rPr>
        <w:t xml:space="preserve"> differently</w:t>
      </w:r>
      <w:r w:rsidR="003520E2" w:rsidRPr="00015A39">
        <w:rPr>
          <w:color w:val="000000" w:themeColor="text1"/>
        </w:rPr>
        <w:t xml:space="preserve">. </w:t>
      </w:r>
      <w:r w:rsidR="001468F1" w:rsidRPr="00015A39">
        <w:rPr>
          <w:color w:val="000000" w:themeColor="text1"/>
        </w:rPr>
        <w:t>High-fat foods are typically defined based on the percentage of their total calorie content derived from fats. While the specific thresholds can vary, established guidelines often categorized foods as high-fat when they contain more than 17.5g of total fat per 100g</w:t>
      </w:r>
      <w:r w:rsidR="00616454" w:rsidRPr="00015A39">
        <w:rPr>
          <w:color w:val="000000" w:themeColor="text1"/>
          <w:vertAlign w:val="superscript"/>
        </w:rPr>
        <w:t xml:space="preserve"> </w:t>
      </w:r>
      <w:r w:rsidR="00616454" w:rsidRPr="00015A39">
        <w:rPr>
          <w:color w:val="000000" w:themeColor="text1"/>
        </w:rPr>
        <w:t>[</w:t>
      </w:r>
      <w:r w:rsidR="003520E2" w:rsidRPr="00015A39">
        <w:rPr>
          <w:color w:val="000000" w:themeColor="text1"/>
        </w:rPr>
        <w:t>1</w:t>
      </w:r>
      <w:r w:rsidR="00A83AC7" w:rsidRPr="00015A39">
        <w:rPr>
          <w:color w:val="000000" w:themeColor="text1"/>
        </w:rPr>
        <w:t>3</w:t>
      </w:r>
      <w:r w:rsidR="00616454" w:rsidRPr="00015A39">
        <w:rPr>
          <w:color w:val="000000" w:themeColor="text1"/>
        </w:rPr>
        <w:t>]</w:t>
      </w:r>
      <w:r w:rsidR="001468F1" w:rsidRPr="00015A39">
        <w:rPr>
          <w:color w:val="000000" w:themeColor="text1"/>
        </w:rPr>
        <w:t>. High-fat foods such as margarine, butter, and fast food have been associated with an increased risk of severe eczema in adolescents and children in a global study</w:t>
      </w:r>
      <w:r w:rsidR="00536D7D" w:rsidRPr="00015A39">
        <w:rPr>
          <w:color w:val="000000" w:themeColor="text1"/>
          <w:vertAlign w:val="superscript"/>
        </w:rPr>
        <w:t xml:space="preserve"> </w:t>
      </w:r>
      <w:r w:rsidR="00536D7D" w:rsidRPr="00015A39">
        <w:rPr>
          <w:color w:val="000000" w:themeColor="text1"/>
        </w:rPr>
        <w:t>[1</w:t>
      </w:r>
      <w:r w:rsidR="00A83AC7" w:rsidRPr="00015A39">
        <w:rPr>
          <w:color w:val="000000" w:themeColor="text1"/>
        </w:rPr>
        <w:t>4</w:t>
      </w:r>
      <w:r w:rsidR="00536D7D" w:rsidRPr="00015A39">
        <w:rPr>
          <w:color w:val="000000" w:themeColor="text1"/>
        </w:rPr>
        <w:t>]</w:t>
      </w:r>
      <w:r w:rsidR="001468F1" w:rsidRPr="00015A39">
        <w:rPr>
          <w:color w:val="000000" w:themeColor="text1"/>
        </w:rPr>
        <w:t>. However, th</w:t>
      </w:r>
      <w:r w:rsidR="008B021B" w:rsidRPr="00015A39">
        <w:rPr>
          <w:color w:val="000000" w:themeColor="text1"/>
        </w:rPr>
        <w:t>e</w:t>
      </w:r>
      <w:r w:rsidR="003520E2" w:rsidRPr="00015A39">
        <w:rPr>
          <w:color w:val="000000" w:themeColor="text1"/>
        </w:rPr>
        <w:t xml:space="preserve"> relationship between high-fat foods and AD is </w:t>
      </w:r>
      <w:r w:rsidR="00C060C3" w:rsidRPr="00015A39">
        <w:rPr>
          <w:color w:val="000000" w:themeColor="text1"/>
        </w:rPr>
        <w:t xml:space="preserve">multifaceted, </w:t>
      </w:r>
      <w:r w:rsidR="003520E2" w:rsidRPr="00015A39">
        <w:rPr>
          <w:color w:val="000000" w:themeColor="text1"/>
        </w:rPr>
        <w:t xml:space="preserve">influenced </w:t>
      </w:r>
      <w:r w:rsidR="008C4EF5" w:rsidRPr="00015A39">
        <w:rPr>
          <w:color w:val="000000" w:themeColor="text1"/>
        </w:rPr>
        <w:t xml:space="preserve">by </w:t>
      </w:r>
      <w:r w:rsidR="001468F1" w:rsidRPr="00015A39">
        <w:rPr>
          <w:color w:val="000000" w:themeColor="text1"/>
        </w:rPr>
        <w:t>factors</w:t>
      </w:r>
      <w:r w:rsidR="00BF2C2A" w:rsidRPr="00015A39">
        <w:rPr>
          <w:color w:val="000000" w:themeColor="text1"/>
        </w:rPr>
        <w:t xml:space="preserve"> such as </w:t>
      </w:r>
      <w:r w:rsidR="00C048E1" w:rsidRPr="00015A39">
        <w:rPr>
          <w:color w:val="000000" w:themeColor="text1"/>
        </w:rPr>
        <w:t>family histor</w:t>
      </w:r>
      <w:r w:rsidR="00C33718" w:rsidRPr="00015A39">
        <w:rPr>
          <w:color w:val="000000" w:themeColor="text1"/>
        </w:rPr>
        <w:t>y</w:t>
      </w:r>
      <w:r w:rsidR="001468F1" w:rsidRPr="00015A39">
        <w:rPr>
          <w:color w:val="000000" w:themeColor="text1"/>
        </w:rPr>
        <w:t>, lifestyle preferences, overall dietary patterns, and other dietary component</w:t>
      </w:r>
      <w:r w:rsidR="00484D4E" w:rsidRPr="00015A39">
        <w:rPr>
          <w:color w:val="000000" w:themeColor="text1"/>
        </w:rPr>
        <w:t>s</w:t>
      </w:r>
      <w:r w:rsidR="00AA4373" w:rsidRPr="00015A39">
        <w:rPr>
          <w:color w:val="000000" w:themeColor="text1"/>
          <w:vertAlign w:val="superscript"/>
        </w:rPr>
        <w:t xml:space="preserve"> </w:t>
      </w:r>
      <w:r w:rsidR="00AA4373" w:rsidRPr="00015A39">
        <w:rPr>
          <w:color w:val="000000" w:themeColor="text1"/>
        </w:rPr>
        <w:t>[</w:t>
      </w:r>
      <w:r w:rsidR="00A83AC7" w:rsidRPr="00015A39">
        <w:rPr>
          <w:color w:val="000000" w:themeColor="text1"/>
        </w:rPr>
        <w:t>7</w:t>
      </w:r>
      <w:r w:rsidR="00A229B9" w:rsidRPr="00015A39">
        <w:rPr>
          <w:color w:val="000000" w:themeColor="text1"/>
        </w:rPr>
        <w:t xml:space="preserve">, </w:t>
      </w:r>
      <w:r w:rsidR="00A13DD3" w:rsidRPr="00015A39">
        <w:rPr>
          <w:color w:val="000000" w:themeColor="text1"/>
        </w:rPr>
        <w:t>1</w:t>
      </w:r>
      <w:r w:rsidR="00A83AC7" w:rsidRPr="00015A39">
        <w:rPr>
          <w:color w:val="000000" w:themeColor="text1"/>
        </w:rPr>
        <w:t>2</w:t>
      </w:r>
      <w:r w:rsidR="00AA4373" w:rsidRPr="00015A39">
        <w:rPr>
          <w:color w:val="000000" w:themeColor="text1"/>
        </w:rPr>
        <w:t>]</w:t>
      </w:r>
      <w:r w:rsidR="001468F1" w:rsidRPr="00015A39">
        <w:rPr>
          <w:color w:val="000000" w:themeColor="text1"/>
        </w:rPr>
        <w:t xml:space="preserve">. </w:t>
      </w:r>
    </w:p>
    <w:p w14:paraId="2A24F137" w14:textId="496D26AD" w:rsidR="006E36D0" w:rsidRPr="00015A39" w:rsidRDefault="00AF776B" w:rsidP="0004258D">
      <w:pPr>
        <w:pStyle w:val="NormalWeb"/>
        <w:spacing w:line="360" w:lineRule="auto"/>
        <w:contextualSpacing w:val="0"/>
        <w:rPr>
          <w:color w:val="000000" w:themeColor="text1"/>
        </w:rPr>
      </w:pPr>
      <w:r w:rsidRPr="00015A39">
        <w:rPr>
          <w:color w:val="000000" w:themeColor="text1"/>
        </w:rPr>
        <w:lastRenderedPageBreak/>
        <w:t xml:space="preserve">Given the complexity </w:t>
      </w:r>
      <w:r w:rsidR="00107EF3" w:rsidRPr="00015A39">
        <w:rPr>
          <w:color w:val="000000" w:themeColor="text1"/>
        </w:rPr>
        <w:t xml:space="preserve">of dietary </w:t>
      </w:r>
      <w:r w:rsidR="00E43F03" w:rsidRPr="00015A39">
        <w:rPr>
          <w:color w:val="000000" w:themeColor="text1"/>
        </w:rPr>
        <w:t xml:space="preserve">fats </w:t>
      </w:r>
      <w:r w:rsidRPr="00015A39">
        <w:rPr>
          <w:color w:val="000000" w:themeColor="text1"/>
        </w:rPr>
        <w:t xml:space="preserve">and their role in </w:t>
      </w:r>
      <w:r w:rsidR="00107EF3" w:rsidRPr="00015A39">
        <w:rPr>
          <w:color w:val="000000" w:themeColor="text1"/>
        </w:rPr>
        <w:t>AD, t</w:t>
      </w:r>
      <w:r w:rsidR="001D1FC8" w:rsidRPr="00015A39">
        <w:rPr>
          <w:color w:val="000000" w:themeColor="text1"/>
        </w:rPr>
        <w:t>his</w:t>
      </w:r>
      <w:r w:rsidR="00922211" w:rsidRPr="00015A39">
        <w:rPr>
          <w:color w:val="000000" w:themeColor="text1"/>
        </w:rPr>
        <w:t xml:space="preserve"> study </w:t>
      </w:r>
      <w:r w:rsidR="00107EF3" w:rsidRPr="00015A39">
        <w:rPr>
          <w:color w:val="000000" w:themeColor="text1"/>
        </w:rPr>
        <w:t xml:space="preserve">aims </w:t>
      </w:r>
      <w:r w:rsidR="00922211" w:rsidRPr="00015A39">
        <w:rPr>
          <w:color w:val="000000" w:themeColor="text1"/>
        </w:rPr>
        <w:t xml:space="preserve">to </w:t>
      </w:r>
      <w:r w:rsidR="0078091D" w:rsidRPr="00015A39">
        <w:rPr>
          <w:color w:val="000000" w:themeColor="text1"/>
        </w:rPr>
        <w:t>address a</w:t>
      </w:r>
      <w:r w:rsidR="00107EF3" w:rsidRPr="00015A39">
        <w:rPr>
          <w:color w:val="000000" w:themeColor="text1"/>
        </w:rPr>
        <w:t xml:space="preserve"> specific </w:t>
      </w:r>
      <w:r w:rsidR="0078091D" w:rsidRPr="00015A39">
        <w:rPr>
          <w:color w:val="000000" w:themeColor="text1"/>
        </w:rPr>
        <w:t>gap by focusing on</w:t>
      </w:r>
      <w:r w:rsidR="0034380E" w:rsidRPr="00015A39">
        <w:rPr>
          <w:color w:val="000000" w:themeColor="text1"/>
        </w:rPr>
        <w:t xml:space="preserve"> </w:t>
      </w:r>
      <w:r w:rsidR="00107EF3" w:rsidRPr="00015A39">
        <w:rPr>
          <w:color w:val="000000" w:themeColor="text1"/>
        </w:rPr>
        <w:t xml:space="preserve">the </w:t>
      </w:r>
      <w:r w:rsidR="00AD7EAD" w:rsidRPr="00015A39">
        <w:rPr>
          <w:color w:val="000000" w:themeColor="text1"/>
        </w:rPr>
        <w:t xml:space="preserve">intake </w:t>
      </w:r>
      <w:r w:rsidR="00843CAC" w:rsidRPr="00015A39">
        <w:rPr>
          <w:color w:val="000000" w:themeColor="text1"/>
        </w:rPr>
        <w:t xml:space="preserve">frequency of </w:t>
      </w:r>
      <w:r w:rsidR="00922211" w:rsidRPr="00015A39">
        <w:rPr>
          <w:color w:val="000000" w:themeColor="text1"/>
        </w:rPr>
        <w:t>high-fat food</w:t>
      </w:r>
      <w:r w:rsidR="00843CAC" w:rsidRPr="00015A39">
        <w:rPr>
          <w:color w:val="000000" w:themeColor="text1"/>
        </w:rPr>
        <w:t xml:space="preserve"> </w:t>
      </w:r>
      <w:r w:rsidR="003E287B" w:rsidRPr="00015A39">
        <w:rPr>
          <w:color w:val="000000" w:themeColor="text1"/>
        </w:rPr>
        <w:t>in</w:t>
      </w:r>
      <w:r w:rsidR="00922211" w:rsidRPr="00015A39">
        <w:rPr>
          <w:color w:val="000000" w:themeColor="text1"/>
        </w:rPr>
        <w:t xml:space="preserve"> </w:t>
      </w:r>
      <w:r w:rsidR="002C1892" w:rsidRPr="00015A39">
        <w:rPr>
          <w:color w:val="000000" w:themeColor="text1"/>
        </w:rPr>
        <w:t xml:space="preserve">the </w:t>
      </w:r>
      <w:r w:rsidR="00922211" w:rsidRPr="00015A39">
        <w:rPr>
          <w:color w:val="000000" w:themeColor="text1"/>
        </w:rPr>
        <w:t xml:space="preserve">young </w:t>
      </w:r>
      <w:r w:rsidR="003C489B" w:rsidRPr="00015A39">
        <w:rPr>
          <w:color w:val="000000" w:themeColor="text1"/>
        </w:rPr>
        <w:t xml:space="preserve">Chinese </w:t>
      </w:r>
      <w:r w:rsidR="00922211" w:rsidRPr="00015A39">
        <w:rPr>
          <w:color w:val="000000" w:themeColor="text1"/>
        </w:rPr>
        <w:t>adult</w:t>
      </w:r>
      <w:r w:rsidR="003E287B" w:rsidRPr="00015A39">
        <w:rPr>
          <w:color w:val="000000" w:themeColor="text1"/>
        </w:rPr>
        <w:t xml:space="preserve"> population from Singapore and Malaysia</w:t>
      </w:r>
      <w:r w:rsidR="00922211" w:rsidRPr="00015A39">
        <w:rPr>
          <w:color w:val="000000" w:themeColor="text1"/>
        </w:rPr>
        <w:t xml:space="preserve">. </w:t>
      </w:r>
      <w:r w:rsidR="00FB078C" w:rsidRPr="00015A39">
        <w:rPr>
          <w:color w:val="000000" w:themeColor="text1"/>
        </w:rPr>
        <w:t>Using</w:t>
      </w:r>
      <w:r w:rsidR="00EF4716" w:rsidRPr="00015A39">
        <w:rPr>
          <w:color w:val="000000" w:themeColor="text1"/>
        </w:rPr>
        <w:t xml:space="preserve"> a</w:t>
      </w:r>
      <w:r w:rsidR="008527F5" w:rsidRPr="00015A39">
        <w:rPr>
          <w:color w:val="000000" w:themeColor="text1"/>
        </w:rPr>
        <w:t xml:space="preserve"> derived</w:t>
      </w:r>
      <w:r w:rsidR="00EF4716" w:rsidRPr="00015A39">
        <w:rPr>
          <w:color w:val="000000" w:themeColor="text1"/>
        </w:rPr>
        <w:t xml:space="preserve"> </w:t>
      </w:r>
      <w:r w:rsidR="00A90DAA" w:rsidRPr="00015A39">
        <w:rPr>
          <w:color w:val="000000" w:themeColor="text1"/>
        </w:rPr>
        <w:t>frequency</w:t>
      </w:r>
      <w:r w:rsidR="00710FA7" w:rsidRPr="00015A39">
        <w:rPr>
          <w:color w:val="000000" w:themeColor="text1"/>
        </w:rPr>
        <w:t xml:space="preserve">-based </w:t>
      </w:r>
      <w:r w:rsidR="00EF4716" w:rsidRPr="00015A39">
        <w:rPr>
          <w:color w:val="000000" w:themeColor="text1"/>
        </w:rPr>
        <w:t>dietary</w:t>
      </w:r>
      <w:r w:rsidR="00922211" w:rsidRPr="00015A39">
        <w:rPr>
          <w:color w:val="000000" w:themeColor="text1"/>
        </w:rPr>
        <w:t xml:space="preserve"> index, </w:t>
      </w:r>
      <w:r w:rsidR="00EF4716" w:rsidRPr="00015A39">
        <w:rPr>
          <w:color w:val="000000" w:themeColor="text1"/>
        </w:rPr>
        <w:t xml:space="preserve">we </w:t>
      </w:r>
      <w:r w:rsidR="005F6D96" w:rsidRPr="00015A39">
        <w:rPr>
          <w:color w:val="000000" w:themeColor="text1"/>
        </w:rPr>
        <w:t>explore</w:t>
      </w:r>
      <w:r w:rsidR="00B23DDE" w:rsidRPr="00015A39">
        <w:rPr>
          <w:color w:val="000000" w:themeColor="text1"/>
        </w:rPr>
        <w:t>d</w:t>
      </w:r>
      <w:r w:rsidR="00EF4716" w:rsidRPr="00015A39">
        <w:rPr>
          <w:color w:val="000000" w:themeColor="text1"/>
        </w:rPr>
        <w:t xml:space="preserve"> </w:t>
      </w:r>
      <w:r w:rsidR="005F6D96" w:rsidRPr="00015A39">
        <w:rPr>
          <w:color w:val="000000" w:themeColor="text1"/>
        </w:rPr>
        <w:t>the</w:t>
      </w:r>
      <w:r w:rsidR="00EF4716" w:rsidRPr="00015A39">
        <w:rPr>
          <w:color w:val="000000" w:themeColor="text1"/>
        </w:rPr>
        <w:t xml:space="preserve"> </w:t>
      </w:r>
      <w:r w:rsidR="00922211" w:rsidRPr="00015A39">
        <w:rPr>
          <w:color w:val="000000" w:themeColor="text1"/>
        </w:rPr>
        <w:t xml:space="preserve">association between </w:t>
      </w:r>
      <w:r w:rsidR="00476229" w:rsidRPr="00015A39">
        <w:rPr>
          <w:color w:val="000000" w:themeColor="text1"/>
        </w:rPr>
        <w:t xml:space="preserve">frequent </w:t>
      </w:r>
      <w:r w:rsidR="00B86F7A" w:rsidRPr="00015A39">
        <w:rPr>
          <w:color w:val="000000" w:themeColor="text1"/>
        </w:rPr>
        <w:t xml:space="preserve">consumption of </w:t>
      </w:r>
      <w:r w:rsidR="00922211" w:rsidRPr="00015A39">
        <w:rPr>
          <w:color w:val="000000" w:themeColor="text1"/>
        </w:rPr>
        <w:t>high-fat foods</w:t>
      </w:r>
      <w:r w:rsidR="00117970" w:rsidRPr="00015A39">
        <w:rPr>
          <w:color w:val="000000" w:themeColor="text1"/>
        </w:rPr>
        <w:t xml:space="preserve"> </w:t>
      </w:r>
      <w:r w:rsidR="00EB3D95" w:rsidRPr="00015A39">
        <w:rPr>
          <w:color w:val="000000" w:themeColor="text1"/>
        </w:rPr>
        <w:t xml:space="preserve">and various </w:t>
      </w:r>
      <w:r w:rsidR="00922211" w:rsidRPr="00015A39">
        <w:rPr>
          <w:color w:val="000000" w:themeColor="text1"/>
        </w:rPr>
        <w:t>AD</w:t>
      </w:r>
      <w:r w:rsidR="0015428D" w:rsidRPr="00015A39">
        <w:rPr>
          <w:color w:val="000000" w:themeColor="text1"/>
        </w:rPr>
        <w:t xml:space="preserve"> </w:t>
      </w:r>
      <w:r w:rsidR="00EB3D95" w:rsidRPr="00015A39">
        <w:rPr>
          <w:color w:val="000000" w:themeColor="text1"/>
        </w:rPr>
        <w:t>phenotypes</w:t>
      </w:r>
      <w:r w:rsidR="00117970" w:rsidRPr="00015A39">
        <w:rPr>
          <w:color w:val="000000" w:themeColor="text1"/>
        </w:rPr>
        <w:t>,</w:t>
      </w:r>
      <w:r w:rsidR="00922211" w:rsidRPr="00015A39">
        <w:rPr>
          <w:color w:val="000000" w:themeColor="text1"/>
        </w:rPr>
        <w:t xml:space="preserve"> </w:t>
      </w:r>
      <w:r w:rsidR="00117970" w:rsidRPr="00015A39">
        <w:rPr>
          <w:color w:val="000000" w:themeColor="text1"/>
        </w:rPr>
        <w:t>including</w:t>
      </w:r>
      <w:r w:rsidR="00EB3D95" w:rsidRPr="00015A39">
        <w:rPr>
          <w:color w:val="000000" w:themeColor="text1"/>
        </w:rPr>
        <w:t xml:space="preserve"> </w:t>
      </w:r>
      <w:r w:rsidR="00AD554F" w:rsidRPr="00015A39">
        <w:rPr>
          <w:color w:val="000000" w:themeColor="text1"/>
        </w:rPr>
        <w:t>symptom</w:t>
      </w:r>
      <w:r w:rsidR="00117970" w:rsidRPr="00015A39">
        <w:rPr>
          <w:color w:val="000000" w:themeColor="text1"/>
        </w:rPr>
        <w:t xml:space="preserve"> presentation, </w:t>
      </w:r>
      <w:r w:rsidR="00771636" w:rsidRPr="00015A39">
        <w:rPr>
          <w:color w:val="000000" w:themeColor="text1"/>
        </w:rPr>
        <w:t>persistenc</w:t>
      </w:r>
      <w:r w:rsidR="006E3593" w:rsidRPr="00015A39">
        <w:rPr>
          <w:color w:val="000000" w:themeColor="text1"/>
        </w:rPr>
        <w:t>y</w:t>
      </w:r>
      <w:r w:rsidR="00117970" w:rsidRPr="00015A39">
        <w:rPr>
          <w:color w:val="000000" w:themeColor="text1"/>
        </w:rPr>
        <w:t xml:space="preserve">, </w:t>
      </w:r>
      <w:r w:rsidR="00922211" w:rsidRPr="00015A39">
        <w:rPr>
          <w:color w:val="000000" w:themeColor="text1"/>
        </w:rPr>
        <w:t xml:space="preserve">chronicity, and impact on </w:t>
      </w:r>
      <w:r w:rsidR="00B34DB6" w:rsidRPr="00015A39">
        <w:rPr>
          <w:color w:val="000000" w:themeColor="text1"/>
        </w:rPr>
        <w:t>sleep disturbances</w:t>
      </w:r>
      <w:r w:rsidR="00922211" w:rsidRPr="00015A39">
        <w:rPr>
          <w:color w:val="000000" w:themeColor="text1"/>
        </w:rPr>
        <w:t xml:space="preserve">. </w:t>
      </w:r>
      <w:r w:rsidR="005060A5" w:rsidRPr="00015A39">
        <w:rPr>
          <w:color w:val="000000" w:themeColor="text1"/>
        </w:rPr>
        <w:t>T</w:t>
      </w:r>
      <w:r w:rsidR="00D1668D" w:rsidRPr="00015A39">
        <w:rPr>
          <w:color w:val="000000" w:themeColor="text1"/>
        </w:rPr>
        <w:t xml:space="preserve">his </w:t>
      </w:r>
      <w:r w:rsidR="00EC45B0" w:rsidRPr="00015A39">
        <w:rPr>
          <w:color w:val="000000" w:themeColor="text1"/>
        </w:rPr>
        <w:t xml:space="preserve">cross-sequential </w:t>
      </w:r>
      <w:r w:rsidR="00D1668D" w:rsidRPr="00015A39">
        <w:rPr>
          <w:color w:val="000000" w:themeColor="text1"/>
        </w:rPr>
        <w:t>study</w:t>
      </w:r>
      <w:r w:rsidR="005C23B8" w:rsidRPr="00015A39">
        <w:rPr>
          <w:color w:val="000000" w:themeColor="text1"/>
        </w:rPr>
        <w:t xml:space="preserve"> </w:t>
      </w:r>
      <w:r w:rsidR="00FF3DDE" w:rsidRPr="00015A39">
        <w:rPr>
          <w:color w:val="000000" w:themeColor="text1"/>
        </w:rPr>
        <w:t xml:space="preserve">also </w:t>
      </w:r>
      <w:r w:rsidR="005C23B8" w:rsidRPr="00015A39">
        <w:rPr>
          <w:color w:val="000000" w:themeColor="text1"/>
        </w:rPr>
        <w:t>examine</w:t>
      </w:r>
      <w:r w:rsidR="002B50B6" w:rsidRPr="00015A39">
        <w:rPr>
          <w:color w:val="000000" w:themeColor="text1"/>
        </w:rPr>
        <w:t>d</w:t>
      </w:r>
      <w:r w:rsidR="005C23B8" w:rsidRPr="00015A39">
        <w:rPr>
          <w:color w:val="000000" w:themeColor="text1"/>
        </w:rPr>
        <w:t xml:space="preserve"> </w:t>
      </w:r>
      <w:r w:rsidR="00D50FF4" w:rsidRPr="00015A39">
        <w:rPr>
          <w:color w:val="000000" w:themeColor="text1"/>
        </w:rPr>
        <w:t xml:space="preserve">the </w:t>
      </w:r>
      <w:r w:rsidR="00352DF5" w:rsidRPr="00015A39">
        <w:rPr>
          <w:color w:val="000000" w:themeColor="text1"/>
        </w:rPr>
        <w:t xml:space="preserve">specificity of the </w:t>
      </w:r>
      <w:r w:rsidR="00D50FF4" w:rsidRPr="00015A39">
        <w:rPr>
          <w:color w:val="000000" w:themeColor="text1"/>
        </w:rPr>
        <w:t xml:space="preserve">association by comparing it with other </w:t>
      </w:r>
      <w:r w:rsidR="00932766" w:rsidRPr="00015A39">
        <w:rPr>
          <w:color w:val="000000" w:themeColor="text1"/>
        </w:rPr>
        <w:t>secondary</w:t>
      </w:r>
      <w:r w:rsidR="00D50FF4" w:rsidRPr="00015A39">
        <w:rPr>
          <w:color w:val="000000" w:themeColor="text1"/>
        </w:rPr>
        <w:t xml:space="preserve"> outcomes</w:t>
      </w:r>
      <w:r w:rsidR="00C01C16" w:rsidRPr="00015A39">
        <w:rPr>
          <w:color w:val="000000" w:themeColor="text1"/>
        </w:rPr>
        <w:t>. Additionally, we assessed</w:t>
      </w:r>
      <w:r w:rsidR="00D50FF4" w:rsidRPr="00015A39">
        <w:rPr>
          <w:color w:val="000000" w:themeColor="text1"/>
        </w:rPr>
        <w:t xml:space="preserve"> </w:t>
      </w:r>
      <w:r w:rsidR="00FC7509" w:rsidRPr="00015A39">
        <w:rPr>
          <w:color w:val="000000" w:themeColor="text1"/>
        </w:rPr>
        <w:t>the potential</w:t>
      </w:r>
      <w:r w:rsidR="00D50FF4" w:rsidRPr="00015A39">
        <w:rPr>
          <w:color w:val="000000" w:themeColor="text1"/>
        </w:rPr>
        <w:t xml:space="preserve"> </w:t>
      </w:r>
      <w:r w:rsidR="00880CB9" w:rsidRPr="00015A39">
        <w:rPr>
          <w:color w:val="000000" w:themeColor="text1"/>
        </w:rPr>
        <w:t xml:space="preserve">differential </w:t>
      </w:r>
      <w:r w:rsidR="00D50FF4" w:rsidRPr="00015A39">
        <w:rPr>
          <w:color w:val="000000" w:themeColor="text1"/>
        </w:rPr>
        <w:t xml:space="preserve">impact of high-fat food intake versus total fat intake on </w:t>
      </w:r>
      <w:r w:rsidR="009A75E2" w:rsidRPr="00015A39">
        <w:rPr>
          <w:color w:val="000000" w:themeColor="text1"/>
        </w:rPr>
        <w:t>AD presentation</w:t>
      </w:r>
      <w:r w:rsidR="00D50FF4" w:rsidRPr="00015A39">
        <w:rPr>
          <w:color w:val="000000" w:themeColor="text1"/>
        </w:rPr>
        <w:t xml:space="preserve">. </w:t>
      </w:r>
    </w:p>
    <w:p w14:paraId="7D81D13A" w14:textId="77777777" w:rsidR="00922211" w:rsidRPr="00015A39" w:rsidRDefault="00922211" w:rsidP="0004258D">
      <w:pPr>
        <w:pStyle w:val="Heading1"/>
        <w:rPr>
          <w:color w:val="000000" w:themeColor="text1"/>
          <w:sz w:val="24"/>
          <w:szCs w:val="24"/>
        </w:rPr>
      </w:pPr>
      <w:r w:rsidRPr="00015A39">
        <w:rPr>
          <w:color w:val="000000" w:themeColor="text1"/>
          <w:sz w:val="24"/>
          <w:szCs w:val="24"/>
        </w:rPr>
        <w:t xml:space="preserve">Methods </w:t>
      </w:r>
    </w:p>
    <w:p w14:paraId="78448A90" w14:textId="2B5E8184" w:rsidR="00922211" w:rsidRPr="00015A39" w:rsidRDefault="00922211" w:rsidP="0004258D">
      <w:pPr>
        <w:pStyle w:val="Heading2"/>
        <w:rPr>
          <w:color w:val="000000" w:themeColor="text1"/>
          <w:sz w:val="24"/>
          <w:szCs w:val="24"/>
        </w:rPr>
      </w:pPr>
      <w:r w:rsidRPr="00015A39">
        <w:rPr>
          <w:color w:val="000000" w:themeColor="text1"/>
          <w:sz w:val="24"/>
          <w:szCs w:val="24"/>
        </w:rPr>
        <w:t xml:space="preserve">Study Population </w:t>
      </w:r>
    </w:p>
    <w:p w14:paraId="5CA7434A" w14:textId="6F34FB34" w:rsidR="00D37301" w:rsidRPr="00015A39" w:rsidRDefault="00086F87" w:rsidP="0004258D">
      <w:pPr>
        <w:spacing w:line="360" w:lineRule="auto"/>
        <w:jc w:val="both"/>
        <w:rPr>
          <w:color w:val="000000" w:themeColor="text1"/>
        </w:rPr>
      </w:pPr>
      <w:r w:rsidRPr="00015A39">
        <w:rPr>
          <w:color w:val="000000" w:themeColor="text1"/>
        </w:rPr>
        <w:t xml:space="preserve">Between 2005 and </w:t>
      </w:r>
      <w:r w:rsidR="0052445D" w:rsidRPr="00015A39">
        <w:rPr>
          <w:color w:val="000000" w:themeColor="text1"/>
        </w:rPr>
        <w:t>2022,</w:t>
      </w:r>
      <w:r w:rsidR="0078013E" w:rsidRPr="00015A39">
        <w:rPr>
          <w:color w:val="000000" w:themeColor="text1"/>
        </w:rPr>
        <w:t xml:space="preserve"> </w:t>
      </w:r>
      <w:r w:rsidR="0052445D" w:rsidRPr="00015A39">
        <w:rPr>
          <w:color w:val="000000" w:themeColor="text1"/>
        </w:rPr>
        <w:t>18,528 subjects</w:t>
      </w:r>
      <w:r w:rsidR="00197F00" w:rsidRPr="00015A39">
        <w:rPr>
          <w:color w:val="000000" w:themeColor="text1"/>
        </w:rPr>
        <w:t xml:space="preserve"> </w:t>
      </w:r>
      <w:r w:rsidRPr="00015A39">
        <w:rPr>
          <w:color w:val="000000" w:themeColor="text1"/>
        </w:rPr>
        <w:t xml:space="preserve">were </w:t>
      </w:r>
      <w:r w:rsidR="001F6FB4" w:rsidRPr="00015A39">
        <w:rPr>
          <w:color w:val="000000" w:themeColor="text1"/>
        </w:rPr>
        <w:t xml:space="preserve">recruited </w:t>
      </w:r>
      <w:r w:rsidR="002B3406" w:rsidRPr="00015A39">
        <w:rPr>
          <w:color w:val="000000" w:themeColor="text1"/>
        </w:rPr>
        <w:t>for</w:t>
      </w:r>
      <w:r w:rsidR="001F6FB4" w:rsidRPr="00015A39">
        <w:rPr>
          <w:color w:val="000000" w:themeColor="text1"/>
        </w:rPr>
        <w:t xml:space="preserve"> the</w:t>
      </w:r>
      <w:r w:rsidR="00FC2A6D" w:rsidRPr="00015A39">
        <w:rPr>
          <w:color w:val="000000" w:themeColor="text1"/>
        </w:rPr>
        <w:t xml:space="preserve"> Singapore/Malaysia Cross-sectional Genetics Epidemiology Study (SMCGES)</w:t>
      </w:r>
      <w:r w:rsidR="009057B1" w:rsidRPr="00015A39">
        <w:rPr>
          <w:color w:val="000000" w:themeColor="text1"/>
          <w:vertAlign w:val="superscript"/>
        </w:rPr>
        <w:t xml:space="preserve"> </w:t>
      </w:r>
      <w:r w:rsidR="009057B1" w:rsidRPr="00015A39">
        <w:rPr>
          <w:color w:val="000000" w:themeColor="text1"/>
        </w:rPr>
        <w:t>[</w:t>
      </w:r>
      <w:r w:rsidR="000358DB" w:rsidRPr="00015A39">
        <w:rPr>
          <w:color w:val="000000" w:themeColor="text1"/>
        </w:rPr>
        <w:t>3,</w:t>
      </w:r>
      <w:r w:rsidR="00FF4FF0" w:rsidRPr="00015A39">
        <w:rPr>
          <w:color w:val="000000" w:themeColor="text1"/>
        </w:rPr>
        <w:t xml:space="preserve"> 8, 9, 1</w:t>
      </w:r>
      <w:r w:rsidR="00E16761" w:rsidRPr="00015A39">
        <w:rPr>
          <w:color w:val="000000" w:themeColor="text1"/>
        </w:rPr>
        <w:t>5</w:t>
      </w:r>
      <w:r w:rsidR="008516D4" w:rsidRPr="00015A39">
        <w:rPr>
          <w:color w:val="000000" w:themeColor="text1"/>
        </w:rPr>
        <w:t>-</w:t>
      </w:r>
      <w:r w:rsidR="00FF4FF0" w:rsidRPr="00015A39">
        <w:rPr>
          <w:color w:val="000000" w:themeColor="text1"/>
        </w:rPr>
        <w:t>1</w:t>
      </w:r>
      <w:r w:rsidR="00C6300C" w:rsidRPr="00015A39">
        <w:rPr>
          <w:color w:val="000000" w:themeColor="text1"/>
        </w:rPr>
        <w:t>8</w:t>
      </w:r>
      <w:r w:rsidR="00FF4FF0" w:rsidRPr="00015A39">
        <w:rPr>
          <w:color w:val="000000" w:themeColor="text1"/>
        </w:rPr>
        <w:t xml:space="preserve">]. </w:t>
      </w:r>
      <w:r w:rsidR="0067170E" w:rsidRPr="00015A39">
        <w:rPr>
          <w:color w:val="000000" w:themeColor="text1"/>
        </w:rPr>
        <w:t>Recruitment was conducted consecutively from a diverse pool that included university students</w:t>
      </w:r>
      <w:r w:rsidR="005E614B" w:rsidRPr="00015A39">
        <w:rPr>
          <w:color w:val="000000" w:themeColor="text1"/>
        </w:rPr>
        <w:t>, university staff, and member</w:t>
      </w:r>
      <w:r w:rsidR="00F6092A" w:rsidRPr="00015A39">
        <w:rPr>
          <w:color w:val="000000" w:themeColor="text1"/>
        </w:rPr>
        <w:t>s</w:t>
      </w:r>
      <w:r w:rsidR="005E614B" w:rsidRPr="00015A39">
        <w:rPr>
          <w:color w:val="000000" w:themeColor="text1"/>
        </w:rPr>
        <w:t xml:space="preserve"> of the public in Singapore and Malaysia. </w:t>
      </w:r>
      <w:r w:rsidR="00725F60" w:rsidRPr="00015A39">
        <w:rPr>
          <w:color w:val="000000" w:themeColor="text1"/>
        </w:rPr>
        <w:t xml:space="preserve">Efforts were made to minimize selection bias by including all eligible individuals without preference for specific characteristics. </w:t>
      </w:r>
      <w:r w:rsidR="00D37301" w:rsidRPr="00015A39">
        <w:rPr>
          <w:color w:val="000000" w:themeColor="text1"/>
        </w:rPr>
        <w:t>Th</w:t>
      </w:r>
      <w:r w:rsidR="005E614B" w:rsidRPr="00015A39">
        <w:rPr>
          <w:color w:val="000000" w:themeColor="text1"/>
        </w:rPr>
        <w:t>is</w:t>
      </w:r>
      <w:r w:rsidR="00D37301" w:rsidRPr="00015A39">
        <w:rPr>
          <w:color w:val="000000" w:themeColor="text1"/>
        </w:rPr>
        <w:t xml:space="preserve"> study adheres to the ethical standards of the Declaration of Helsinki and Good Clinical Practices. Approval for the studies conducted </w:t>
      </w:r>
      <w:r w:rsidR="00F6092A" w:rsidRPr="00015A39">
        <w:rPr>
          <w:color w:val="000000" w:themeColor="text1"/>
        </w:rPr>
        <w:t xml:space="preserve">at </w:t>
      </w:r>
      <w:r w:rsidR="00D37301" w:rsidRPr="00015A39">
        <w:rPr>
          <w:color w:val="000000" w:themeColor="text1"/>
        </w:rPr>
        <w:t xml:space="preserve">the National University of Singapore (NUS) was granted by the Institutional Review Board (IRB) </w:t>
      </w:r>
      <w:r w:rsidR="00741AA2" w:rsidRPr="00015A39">
        <w:rPr>
          <w:color w:val="000000" w:themeColor="text1"/>
        </w:rPr>
        <w:t xml:space="preserve">under </w:t>
      </w:r>
      <w:r w:rsidR="00D37301" w:rsidRPr="00015A39">
        <w:rPr>
          <w:color w:val="000000" w:themeColor="text1"/>
        </w:rPr>
        <w:t xml:space="preserve">reference codes, NUS-07-023, NUS-09-256, NUS-10-445, NUS-13-075, NUS-14-150, and NUS-18-036. In Malaysia, studies </w:t>
      </w:r>
      <w:r w:rsidR="00963CAE" w:rsidRPr="00015A39">
        <w:rPr>
          <w:color w:val="000000" w:themeColor="text1"/>
        </w:rPr>
        <w:t xml:space="preserve">conducted at </w:t>
      </w:r>
      <w:proofErr w:type="spellStart"/>
      <w:r w:rsidR="00D37301" w:rsidRPr="00015A39">
        <w:rPr>
          <w:color w:val="000000" w:themeColor="text1"/>
        </w:rPr>
        <w:t>Universiti</w:t>
      </w:r>
      <w:proofErr w:type="spellEnd"/>
      <w:r w:rsidR="00D37301" w:rsidRPr="00015A39">
        <w:rPr>
          <w:color w:val="000000" w:themeColor="text1"/>
        </w:rPr>
        <w:t xml:space="preserve"> </w:t>
      </w:r>
      <w:proofErr w:type="spellStart"/>
      <w:r w:rsidR="00D37301" w:rsidRPr="00015A39">
        <w:rPr>
          <w:color w:val="000000" w:themeColor="text1"/>
        </w:rPr>
        <w:t>Tunku</w:t>
      </w:r>
      <w:proofErr w:type="spellEnd"/>
      <w:r w:rsidR="00D37301" w:rsidRPr="00015A39">
        <w:rPr>
          <w:color w:val="000000" w:themeColor="text1"/>
        </w:rPr>
        <w:t xml:space="preserve"> Abdul Rahman (UTAR) and Sunway University were approved by UTAR’s Scientific and Ethical Review Committee (Reference code: U/SERC/03/2016) and the Sunway University Research Ethics Committee (Reference code: SUREC 2019/029), respectively. </w:t>
      </w:r>
      <w:r w:rsidR="00E51007" w:rsidRPr="00015A39">
        <w:rPr>
          <w:color w:val="000000" w:themeColor="text1"/>
        </w:rPr>
        <w:t>Before</w:t>
      </w:r>
      <w:r w:rsidR="003B1668" w:rsidRPr="00015A39">
        <w:rPr>
          <w:color w:val="000000" w:themeColor="text1"/>
        </w:rPr>
        <w:t xml:space="preserve"> participation, all </w:t>
      </w:r>
      <w:r w:rsidR="0022412B" w:rsidRPr="00015A39">
        <w:rPr>
          <w:color w:val="000000" w:themeColor="text1"/>
        </w:rPr>
        <w:t xml:space="preserve">participants </w:t>
      </w:r>
      <w:r w:rsidR="003B1668" w:rsidRPr="00015A39">
        <w:rPr>
          <w:color w:val="000000" w:themeColor="text1"/>
        </w:rPr>
        <w:t>provided</w:t>
      </w:r>
      <w:r w:rsidR="00E803FA" w:rsidRPr="00015A39">
        <w:rPr>
          <w:color w:val="000000" w:themeColor="text1"/>
        </w:rPr>
        <w:t xml:space="preserve"> written informed consent. For </w:t>
      </w:r>
      <w:r w:rsidR="0022412B" w:rsidRPr="00015A39">
        <w:rPr>
          <w:color w:val="000000" w:themeColor="text1"/>
        </w:rPr>
        <w:t xml:space="preserve">participants </w:t>
      </w:r>
      <w:r w:rsidR="00E803FA" w:rsidRPr="00015A39">
        <w:rPr>
          <w:color w:val="000000" w:themeColor="text1"/>
        </w:rPr>
        <w:t xml:space="preserve">under 21 years, additional written consent </w:t>
      </w:r>
      <w:r w:rsidR="00D34216" w:rsidRPr="00015A39">
        <w:rPr>
          <w:color w:val="000000" w:themeColor="text1"/>
        </w:rPr>
        <w:t xml:space="preserve">was obtained </w:t>
      </w:r>
      <w:r w:rsidR="00E803FA" w:rsidRPr="00015A39">
        <w:rPr>
          <w:color w:val="000000" w:themeColor="text1"/>
        </w:rPr>
        <w:t xml:space="preserve">from a parent or guardian. </w:t>
      </w:r>
    </w:p>
    <w:p w14:paraId="21FFBECA" w14:textId="77777777" w:rsidR="00725F60" w:rsidRPr="00015A39" w:rsidRDefault="00725F60" w:rsidP="0004258D">
      <w:pPr>
        <w:spacing w:line="360" w:lineRule="auto"/>
        <w:jc w:val="both"/>
        <w:rPr>
          <w:color w:val="000000" w:themeColor="text1"/>
        </w:rPr>
      </w:pPr>
    </w:p>
    <w:p w14:paraId="5A4DD0D5" w14:textId="5998220E" w:rsidR="006E79B2" w:rsidRPr="00015A39" w:rsidRDefault="001E0B4B" w:rsidP="0004258D">
      <w:pPr>
        <w:spacing w:line="360" w:lineRule="auto"/>
        <w:jc w:val="both"/>
        <w:rPr>
          <w:color w:val="000000" w:themeColor="text1"/>
        </w:rPr>
      </w:pPr>
      <w:r w:rsidRPr="00015A39">
        <w:rPr>
          <w:color w:val="000000" w:themeColor="text1"/>
        </w:rPr>
        <w:t xml:space="preserve">Participants of all ethnicities (e.g., Chinese, Malay, Indian, and others) were recruited; however, for this study, we focused on participants of Chinese ethnicity. This decision was made to ensure a sufficiently large and statistically empowered sample size, given that Chinese individuals represent the predominant </w:t>
      </w:r>
      <w:r w:rsidR="003C701F" w:rsidRPr="00015A39">
        <w:rPr>
          <w:color w:val="000000" w:themeColor="text1"/>
        </w:rPr>
        <w:t>ethnic group in Singapore (75.</w:t>
      </w:r>
      <w:r w:rsidR="0092412D" w:rsidRPr="00015A39">
        <w:rPr>
          <w:color w:val="000000" w:themeColor="text1"/>
        </w:rPr>
        <w:t>2</w:t>
      </w:r>
      <w:r w:rsidR="003C701F" w:rsidRPr="00015A39">
        <w:rPr>
          <w:color w:val="000000" w:themeColor="text1"/>
        </w:rPr>
        <w:t>%)</w:t>
      </w:r>
      <w:r w:rsidR="00CF586E" w:rsidRPr="00015A39">
        <w:rPr>
          <w:color w:val="000000" w:themeColor="text1"/>
          <w:vertAlign w:val="superscript"/>
        </w:rPr>
        <w:t xml:space="preserve"> </w:t>
      </w:r>
      <w:r w:rsidR="00CF586E" w:rsidRPr="00015A39">
        <w:rPr>
          <w:color w:val="000000" w:themeColor="text1"/>
        </w:rPr>
        <w:t>[1</w:t>
      </w:r>
      <w:r w:rsidR="007276A2" w:rsidRPr="00015A39">
        <w:rPr>
          <w:color w:val="000000" w:themeColor="text1"/>
        </w:rPr>
        <w:t>9</w:t>
      </w:r>
      <w:r w:rsidR="00CF586E" w:rsidRPr="00015A39">
        <w:rPr>
          <w:color w:val="000000" w:themeColor="text1"/>
        </w:rPr>
        <w:t>]</w:t>
      </w:r>
      <w:r w:rsidRPr="00015A39">
        <w:rPr>
          <w:color w:val="000000" w:themeColor="text1"/>
        </w:rPr>
        <w:t xml:space="preserve">. The smaller sample sizes of </w:t>
      </w:r>
      <w:r w:rsidR="00E92A36" w:rsidRPr="00015A39">
        <w:rPr>
          <w:color w:val="000000" w:themeColor="text1"/>
        </w:rPr>
        <w:t>Malay</w:t>
      </w:r>
      <w:r w:rsidR="002E43B0" w:rsidRPr="00015A39">
        <w:rPr>
          <w:color w:val="000000" w:themeColor="text1"/>
        </w:rPr>
        <w:t xml:space="preserve"> </w:t>
      </w:r>
      <w:r w:rsidR="00E92A36" w:rsidRPr="00015A39">
        <w:rPr>
          <w:color w:val="000000" w:themeColor="text1"/>
        </w:rPr>
        <w:t>and Indian</w:t>
      </w:r>
      <w:r w:rsidR="002E43B0" w:rsidRPr="00015A39">
        <w:rPr>
          <w:color w:val="000000" w:themeColor="text1"/>
        </w:rPr>
        <w:t xml:space="preserve"> participants (</w:t>
      </w:r>
      <w:r w:rsidR="002E43B0" w:rsidRPr="00015A39">
        <w:rPr>
          <w:i/>
          <w:iCs/>
          <w:color w:val="000000" w:themeColor="text1"/>
        </w:rPr>
        <w:t>n</w:t>
      </w:r>
      <w:r w:rsidR="002E43B0" w:rsidRPr="00015A39">
        <w:rPr>
          <w:color w:val="000000" w:themeColor="text1"/>
        </w:rPr>
        <w:t xml:space="preserve"> &lt; 1000</w:t>
      </w:r>
      <w:r w:rsidR="00DC2AD0" w:rsidRPr="00015A39">
        <w:rPr>
          <w:color w:val="000000" w:themeColor="text1"/>
        </w:rPr>
        <w:t>) limited the ability to perform reliable subgroup analyses in these groups</w:t>
      </w:r>
      <w:r w:rsidR="004563EA" w:rsidRPr="00015A39">
        <w:rPr>
          <w:color w:val="000000" w:themeColor="text1"/>
        </w:rPr>
        <w:t xml:space="preserve">. </w:t>
      </w:r>
      <w:r w:rsidR="00DC2AD0" w:rsidRPr="00015A39">
        <w:rPr>
          <w:color w:val="000000" w:themeColor="text1"/>
        </w:rPr>
        <w:t xml:space="preserve">Thus, only </w:t>
      </w:r>
      <w:r w:rsidR="00172A34" w:rsidRPr="00015A39">
        <w:rPr>
          <w:color w:val="000000" w:themeColor="text1"/>
        </w:rPr>
        <w:t>the</w:t>
      </w:r>
      <w:r w:rsidR="00A23E51" w:rsidRPr="00015A39">
        <w:rPr>
          <w:color w:val="000000" w:themeColor="text1"/>
        </w:rPr>
        <w:t xml:space="preserve"> Chinese </w:t>
      </w:r>
      <w:r w:rsidR="00172A34" w:rsidRPr="00015A39">
        <w:rPr>
          <w:color w:val="000000" w:themeColor="text1"/>
        </w:rPr>
        <w:t>ethnic</w:t>
      </w:r>
      <w:r w:rsidR="001E4908" w:rsidRPr="00015A39">
        <w:rPr>
          <w:color w:val="000000" w:themeColor="text1"/>
        </w:rPr>
        <w:t>ity</w:t>
      </w:r>
      <w:r w:rsidR="00A23E51" w:rsidRPr="00015A39">
        <w:rPr>
          <w:color w:val="000000" w:themeColor="text1"/>
        </w:rPr>
        <w:t xml:space="preserve"> </w:t>
      </w:r>
      <w:r w:rsidR="00172A34" w:rsidRPr="00015A39">
        <w:rPr>
          <w:color w:val="000000" w:themeColor="text1"/>
        </w:rPr>
        <w:t xml:space="preserve">was selected </w:t>
      </w:r>
      <w:r w:rsidR="00A23E51" w:rsidRPr="00015A39">
        <w:rPr>
          <w:color w:val="000000" w:themeColor="text1"/>
        </w:rPr>
        <w:t>for our final analysis</w:t>
      </w:r>
      <w:r w:rsidR="0005047B" w:rsidRPr="00015A39">
        <w:rPr>
          <w:color w:val="000000" w:themeColor="text1"/>
        </w:rPr>
        <w:t xml:space="preserve"> in this study</w:t>
      </w:r>
      <w:r w:rsidR="00A23E51" w:rsidRPr="00015A39">
        <w:rPr>
          <w:color w:val="000000" w:themeColor="text1"/>
        </w:rPr>
        <w:t xml:space="preserve"> </w:t>
      </w:r>
      <w:r w:rsidR="007F5FF9" w:rsidRPr="00015A39">
        <w:rPr>
          <w:color w:val="000000" w:themeColor="text1"/>
        </w:rPr>
        <w:t>as a starting point</w:t>
      </w:r>
      <w:r w:rsidR="00A07086" w:rsidRPr="00015A39">
        <w:rPr>
          <w:color w:val="000000" w:themeColor="text1"/>
        </w:rPr>
        <w:t xml:space="preserve"> to investigate the association between </w:t>
      </w:r>
      <w:r w:rsidR="00980D2C" w:rsidRPr="00015A39">
        <w:rPr>
          <w:color w:val="000000" w:themeColor="text1"/>
        </w:rPr>
        <w:t xml:space="preserve">intake frequency </w:t>
      </w:r>
      <w:r w:rsidR="00980D2C" w:rsidRPr="00015A39">
        <w:rPr>
          <w:color w:val="000000" w:themeColor="text1"/>
        </w:rPr>
        <w:lastRenderedPageBreak/>
        <w:t>of high-fat foods</w:t>
      </w:r>
      <w:r w:rsidR="00A07086" w:rsidRPr="00015A39">
        <w:rPr>
          <w:color w:val="000000" w:themeColor="text1"/>
        </w:rPr>
        <w:t xml:space="preserve"> and AD</w:t>
      </w:r>
      <w:r w:rsidR="00A23E51" w:rsidRPr="00015A39">
        <w:rPr>
          <w:color w:val="000000" w:themeColor="text1"/>
        </w:rPr>
        <w:t>.</w:t>
      </w:r>
      <w:r w:rsidR="00033C1A" w:rsidRPr="00015A39">
        <w:rPr>
          <w:color w:val="000000" w:themeColor="text1"/>
        </w:rPr>
        <w:t xml:space="preserve"> </w:t>
      </w:r>
      <w:r w:rsidR="00BA685A" w:rsidRPr="00015A39">
        <w:rPr>
          <w:color w:val="000000" w:themeColor="text1"/>
        </w:rPr>
        <w:t>F</w:t>
      </w:r>
      <w:r w:rsidR="00A66240" w:rsidRPr="00015A39">
        <w:rPr>
          <w:color w:val="000000" w:themeColor="text1"/>
        </w:rPr>
        <w:t xml:space="preserve">uture </w:t>
      </w:r>
      <w:r w:rsidR="00B65ECE" w:rsidRPr="00015A39">
        <w:rPr>
          <w:color w:val="000000" w:themeColor="text1"/>
        </w:rPr>
        <w:t>studies</w:t>
      </w:r>
      <w:r w:rsidR="00A66240" w:rsidRPr="00015A39">
        <w:rPr>
          <w:color w:val="000000" w:themeColor="text1"/>
        </w:rPr>
        <w:t xml:space="preserve"> </w:t>
      </w:r>
      <w:r w:rsidR="00B65ECE" w:rsidRPr="00015A39">
        <w:rPr>
          <w:color w:val="000000" w:themeColor="text1"/>
        </w:rPr>
        <w:t xml:space="preserve">will include broader </w:t>
      </w:r>
      <w:r w:rsidR="00A66240" w:rsidRPr="00015A39">
        <w:rPr>
          <w:color w:val="000000" w:themeColor="text1"/>
        </w:rPr>
        <w:t xml:space="preserve">ethnic </w:t>
      </w:r>
      <w:r w:rsidR="00B65ECE" w:rsidRPr="00015A39">
        <w:rPr>
          <w:color w:val="000000" w:themeColor="text1"/>
        </w:rPr>
        <w:t>representation once sufficient sample sizes are available to empower such analyses</w:t>
      </w:r>
      <w:r w:rsidR="00A23800" w:rsidRPr="00015A39">
        <w:rPr>
          <w:color w:val="000000" w:themeColor="text1"/>
        </w:rPr>
        <w:t xml:space="preserve">. </w:t>
      </w:r>
    </w:p>
    <w:p w14:paraId="210E5D14" w14:textId="77777777" w:rsidR="006E79B2" w:rsidRPr="00015A39" w:rsidRDefault="006E79B2" w:rsidP="0004258D">
      <w:pPr>
        <w:spacing w:line="360" w:lineRule="auto"/>
        <w:jc w:val="both"/>
        <w:rPr>
          <w:color w:val="000000" w:themeColor="text1"/>
        </w:rPr>
      </w:pPr>
    </w:p>
    <w:p w14:paraId="40AFD120" w14:textId="1FE5A2BF" w:rsidR="0068489B" w:rsidRPr="00015A39" w:rsidRDefault="00876DC8" w:rsidP="0004258D">
      <w:pPr>
        <w:spacing w:line="360" w:lineRule="auto"/>
        <w:jc w:val="both"/>
        <w:rPr>
          <w:color w:val="000000" w:themeColor="text1"/>
        </w:rPr>
      </w:pPr>
      <w:r w:rsidRPr="00015A39">
        <w:rPr>
          <w:color w:val="000000" w:themeColor="text1"/>
        </w:rPr>
        <w:t>To ensure the robustness of our findings, a separate power calculation</w:t>
      </w:r>
      <w:r w:rsidR="004622C6" w:rsidRPr="00015A39">
        <w:rPr>
          <w:color w:val="000000" w:themeColor="text1"/>
        </w:rPr>
        <w:t xml:space="preserve"> was</w:t>
      </w:r>
      <w:r w:rsidR="00225AFC" w:rsidRPr="00015A39">
        <w:rPr>
          <w:color w:val="000000" w:themeColor="text1"/>
        </w:rPr>
        <w:t xml:space="preserve"> performed following </w:t>
      </w:r>
      <w:r w:rsidRPr="00015A39">
        <w:rPr>
          <w:color w:val="000000" w:themeColor="text1"/>
        </w:rPr>
        <w:t>Charan and Biswas [</w:t>
      </w:r>
      <w:r w:rsidR="007276A2" w:rsidRPr="00015A39">
        <w:rPr>
          <w:color w:val="000000" w:themeColor="text1"/>
        </w:rPr>
        <w:t>20</w:t>
      </w:r>
      <w:r w:rsidRPr="00015A39">
        <w:rPr>
          <w:color w:val="000000" w:themeColor="text1"/>
        </w:rPr>
        <w:t>] to estimate the appropriate sample size for our cross-</w:t>
      </w:r>
      <w:r w:rsidR="00E8263C" w:rsidRPr="00015A39">
        <w:rPr>
          <w:color w:val="000000" w:themeColor="text1"/>
        </w:rPr>
        <w:t>sequential</w:t>
      </w:r>
      <w:r w:rsidRPr="00015A39">
        <w:rPr>
          <w:color w:val="000000" w:themeColor="text1"/>
        </w:rPr>
        <w:t xml:space="preserve"> study</w:t>
      </w:r>
      <w:r w:rsidR="00F7340A" w:rsidRPr="00015A39">
        <w:rPr>
          <w:color w:val="000000" w:themeColor="text1"/>
        </w:rPr>
        <w:t>, with a primary focus on AD.</w:t>
      </w:r>
      <w:r w:rsidRPr="00015A39">
        <w:rPr>
          <w:color w:val="000000" w:themeColor="text1"/>
        </w:rPr>
        <w:t xml:space="preserve"> Assuming a significance level of 0.05 and an estimated diseased </w:t>
      </w:r>
      <w:r w:rsidR="00F7340A" w:rsidRPr="00015A39">
        <w:rPr>
          <w:color w:val="000000" w:themeColor="text1"/>
        </w:rPr>
        <w:t xml:space="preserve">prevalence </w:t>
      </w:r>
      <w:r w:rsidR="001C2C53" w:rsidRPr="00015A39">
        <w:rPr>
          <w:color w:val="000000" w:themeColor="text1"/>
        </w:rPr>
        <w:t xml:space="preserve">range </w:t>
      </w:r>
      <w:r w:rsidRPr="00015A39">
        <w:rPr>
          <w:color w:val="000000" w:themeColor="text1"/>
        </w:rPr>
        <w:t>between 5%</w:t>
      </w:r>
      <w:r w:rsidR="001F00CE" w:rsidRPr="00015A39">
        <w:rPr>
          <w:color w:val="000000" w:themeColor="text1"/>
        </w:rPr>
        <w:t xml:space="preserve"> and </w:t>
      </w:r>
      <w:r w:rsidRPr="00015A39">
        <w:rPr>
          <w:color w:val="000000" w:themeColor="text1"/>
        </w:rPr>
        <w:t xml:space="preserve">20%, </w:t>
      </w:r>
      <w:r w:rsidR="00843D48" w:rsidRPr="00015A39">
        <w:rPr>
          <w:color w:val="000000" w:themeColor="text1"/>
        </w:rPr>
        <w:t xml:space="preserve">the calculation covers the prevalence rates for other outcomes </w:t>
      </w:r>
      <w:r w:rsidR="002B5D03" w:rsidRPr="00015A39">
        <w:rPr>
          <w:color w:val="000000" w:themeColor="text1"/>
        </w:rPr>
        <w:t>like</w:t>
      </w:r>
      <w:r w:rsidR="00843D48" w:rsidRPr="00015A39">
        <w:rPr>
          <w:color w:val="000000" w:themeColor="text1"/>
        </w:rPr>
        <w:t xml:space="preserve"> asthma </w:t>
      </w:r>
      <w:r w:rsidR="00D243EE" w:rsidRPr="00015A39">
        <w:rPr>
          <w:color w:val="000000" w:themeColor="text1"/>
        </w:rPr>
        <w:t>and allergic rhinitis [</w:t>
      </w:r>
      <w:r w:rsidR="00742064" w:rsidRPr="00015A39">
        <w:rPr>
          <w:color w:val="000000" w:themeColor="text1"/>
        </w:rPr>
        <w:t>2</w:t>
      </w:r>
      <w:r w:rsidR="007276A2" w:rsidRPr="00015A39">
        <w:rPr>
          <w:color w:val="000000" w:themeColor="text1"/>
        </w:rPr>
        <w:t>1</w:t>
      </w:r>
      <w:r w:rsidR="00742064" w:rsidRPr="00015A39">
        <w:rPr>
          <w:color w:val="000000" w:themeColor="text1"/>
        </w:rPr>
        <w:t>-</w:t>
      </w:r>
      <w:r w:rsidR="00D95D55" w:rsidRPr="00015A39">
        <w:rPr>
          <w:color w:val="000000" w:themeColor="text1"/>
        </w:rPr>
        <w:t>2</w:t>
      </w:r>
      <w:r w:rsidR="007276A2" w:rsidRPr="00015A39">
        <w:rPr>
          <w:color w:val="000000" w:themeColor="text1"/>
        </w:rPr>
        <w:t>4</w:t>
      </w:r>
      <w:r w:rsidR="00D243EE" w:rsidRPr="00015A39">
        <w:rPr>
          <w:color w:val="000000" w:themeColor="text1"/>
        </w:rPr>
        <w:t>].</w:t>
      </w:r>
      <w:r w:rsidR="00D1705B" w:rsidRPr="00015A39">
        <w:rPr>
          <w:color w:val="000000" w:themeColor="text1"/>
        </w:rPr>
        <w:t xml:space="preserve"> Additionally, most of the secondary outcomes in this study, including acne, dry skin, and emotional discomfort, have a prevalence rate exceeding 20%, ensuring that the study is sufficiently powered for all outcomes assessed.</w:t>
      </w:r>
    </w:p>
    <w:p w14:paraId="1B2C1491" w14:textId="37DD4868" w:rsidR="00326B91" w:rsidRPr="00015A39" w:rsidRDefault="00326B91" w:rsidP="00795B90">
      <w:pPr>
        <w:pStyle w:val="Heading2"/>
        <w:rPr>
          <w:color w:val="000000" w:themeColor="text1"/>
          <w:sz w:val="24"/>
          <w:szCs w:val="24"/>
        </w:rPr>
      </w:pPr>
      <w:r w:rsidRPr="00015A39">
        <w:rPr>
          <w:color w:val="000000" w:themeColor="text1"/>
          <w:sz w:val="24"/>
          <w:szCs w:val="24"/>
        </w:rPr>
        <w:t>A</w:t>
      </w:r>
      <w:r w:rsidR="008D1C0C" w:rsidRPr="00015A39">
        <w:rPr>
          <w:color w:val="000000" w:themeColor="text1"/>
          <w:sz w:val="24"/>
          <w:szCs w:val="24"/>
        </w:rPr>
        <w:t>topic Dermatitis (AD)</w:t>
      </w:r>
      <w:r w:rsidRPr="00015A39">
        <w:rPr>
          <w:color w:val="000000" w:themeColor="text1"/>
          <w:sz w:val="24"/>
          <w:szCs w:val="24"/>
        </w:rPr>
        <w:t xml:space="preserve"> Phenotypes</w:t>
      </w:r>
    </w:p>
    <w:p w14:paraId="67190FC4" w14:textId="272AF458" w:rsidR="00BF2499" w:rsidRPr="00015A39" w:rsidRDefault="00A94B7C" w:rsidP="0004258D">
      <w:pPr>
        <w:spacing w:line="360" w:lineRule="auto"/>
        <w:jc w:val="both"/>
        <w:rPr>
          <w:color w:val="000000" w:themeColor="text1"/>
        </w:rPr>
      </w:pPr>
      <w:r w:rsidRPr="00015A39">
        <w:rPr>
          <w:color w:val="000000" w:themeColor="text1"/>
        </w:rPr>
        <w:t>Information on subjects’ sociodemographic, dietary habits, anthropometry, and familial/personal medical history was collected</w:t>
      </w:r>
      <w:r w:rsidR="00E76778" w:rsidRPr="00015A39">
        <w:rPr>
          <w:color w:val="000000" w:themeColor="text1"/>
        </w:rPr>
        <w:t xml:space="preserve"> using an investigator-administered questionnaire</w:t>
      </w:r>
      <w:r w:rsidR="00291806" w:rsidRPr="00015A39">
        <w:rPr>
          <w:color w:val="000000" w:themeColor="text1"/>
        </w:rPr>
        <w:t xml:space="preserve"> that followed the </w:t>
      </w:r>
      <w:r w:rsidR="00B2675B" w:rsidRPr="00015A39">
        <w:rPr>
          <w:color w:val="000000" w:themeColor="text1"/>
        </w:rPr>
        <w:t>standardized International Study of Asthma and Allergy in Childhood (ISAAC) protocol [2</w:t>
      </w:r>
      <w:r w:rsidR="00DE5C12" w:rsidRPr="00015A39">
        <w:rPr>
          <w:color w:val="000000" w:themeColor="text1"/>
        </w:rPr>
        <w:t>5</w:t>
      </w:r>
      <w:r w:rsidR="00B2675B" w:rsidRPr="00015A39">
        <w:rPr>
          <w:color w:val="000000" w:themeColor="text1"/>
        </w:rPr>
        <w:t>].</w:t>
      </w:r>
    </w:p>
    <w:p w14:paraId="2BE099FD" w14:textId="77777777" w:rsidR="00BF2499" w:rsidRPr="00015A39" w:rsidRDefault="00BF2499" w:rsidP="0004258D">
      <w:pPr>
        <w:spacing w:line="360" w:lineRule="auto"/>
        <w:jc w:val="both"/>
        <w:rPr>
          <w:color w:val="000000" w:themeColor="text1"/>
        </w:rPr>
      </w:pPr>
    </w:p>
    <w:p w14:paraId="12DC8076" w14:textId="40FDB145" w:rsidR="00C0226E" w:rsidRPr="00015A39" w:rsidRDefault="00304398" w:rsidP="0004258D">
      <w:pPr>
        <w:spacing w:line="360" w:lineRule="auto"/>
        <w:jc w:val="both"/>
        <w:rPr>
          <w:color w:val="000000" w:themeColor="text1"/>
        </w:rPr>
      </w:pPr>
      <w:r w:rsidRPr="00015A39">
        <w:rPr>
          <w:color w:val="000000" w:themeColor="text1"/>
        </w:rPr>
        <w:t>For this study,</w:t>
      </w:r>
      <w:r w:rsidR="00E477E4" w:rsidRPr="00015A39">
        <w:rPr>
          <w:color w:val="000000" w:themeColor="text1"/>
        </w:rPr>
        <w:t xml:space="preserve"> we followed established guidelines from the Hanifin and Rajka criteri</w:t>
      </w:r>
      <w:r w:rsidR="00E11320" w:rsidRPr="00015A39">
        <w:rPr>
          <w:color w:val="000000" w:themeColor="text1"/>
        </w:rPr>
        <w:t>a [</w:t>
      </w:r>
      <w:r w:rsidR="00FE5B2D" w:rsidRPr="00015A39">
        <w:rPr>
          <w:color w:val="000000" w:themeColor="text1"/>
        </w:rPr>
        <w:t>2</w:t>
      </w:r>
      <w:r w:rsidR="00B80F90" w:rsidRPr="00015A39">
        <w:rPr>
          <w:color w:val="000000" w:themeColor="text1"/>
        </w:rPr>
        <w:t>6</w:t>
      </w:r>
      <w:r w:rsidR="00E11320" w:rsidRPr="00015A39">
        <w:rPr>
          <w:color w:val="000000" w:themeColor="text1"/>
        </w:rPr>
        <w:t>]</w:t>
      </w:r>
      <w:r w:rsidR="00E477E4" w:rsidRPr="00015A39">
        <w:rPr>
          <w:color w:val="000000" w:themeColor="text1"/>
        </w:rPr>
        <w:t xml:space="preserve"> and the U</w:t>
      </w:r>
      <w:r w:rsidR="00403EA7" w:rsidRPr="00015A39">
        <w:rPr>
          <w:color w:val="000000" w:themeColor="text1"/>
        </w:rPr>
        <w:t>nited Kingdom</w:t>
      </w:r>
      <w:r w:rsidR="00E477E4" w:rsidRPr="00015A39">
        <w:rPr>
          <w:color w:val="000000" w:themeColor="text1"/>
        </w:rPr>
        <w:t xml:space="preserve"> Working Party’s Diagnostic criteri</w:t>
      </w:r>
      <w:r w:rsidR="00A25D59" w:rsidRPr="00015A39">
        <w:rPr>
          <w:color w:val="000000" w:themeColor="text1"/>
        </w:rPr>
        <w:t>a [</w:t>
      </w:r>
      <w:r w:rsidR="00FE5B2D" w:rsidRPr="00015A39">
        <w:rPr>
          <w:color w:val="000000" w:themeColor="text1"/>
        </w:rPr>
        <w:t>2</w:t>
      </w:r>
      <w:r w:rsidR="000D337D" w:rsidRPr="00015A39">
        <w:rPr>
          <w:color w:val="000000" w:themeColor="text1"/>
        </w:rPr>
        <w:t>7</w:t>
      </w:r>
      <w:r w:rsidR="00A25D59" w:rsidRPr="00015A39">
        <w:rPr>
          <w:color w:val="000000" w:themeColor="text1"/>
        </w:rPr>
        <w:t>]</w:t>
      </w:r>
      <w:r w:rsidR="00E477E4" w:rsidRPr="00015A39">
        <w:rPr>
          <w:color w:val="000000" w:themeColor="text1"/>
        </w:rPr>
        <w:t xml:space="preserve"> to classify</w:t>
      </w:r>
      <w:r w:rsidRPr="00015A39">
        <w:rPr>
          <w:color w:val="000000" w:themeColor="text1"/>
        </w:rPr>
        <w:t xml:space="preserve"> </w:t>
      </w:r>
      <w:r w:rsidR="00FC49A4" w:rsidRPr="00015A39">
        <w:rPr>
          <w:color w:val="000000" w:themeColor="text1"/>
        </w:rPr>
        <w:t xml:space="preserve">AD </w:t>
      </w:r>
      <w:r w:rsidRPr="00015A39">
        <w:rPr>
          <w:color w:val="000000" w:themeColor="text1"/>
        </w:rPr>
        <w:t>individuals</w:t>
      </w:r>
      <w:r w:rsidR="006370F1" w:rsidRPr="00015A39">
        <w:rPr>
          <w:color w:val="000000" w:themeColor="text1"/>
        </w:rPr>
        <w:t>.</w:t>
      </w:r>
      <w:r w:rsidR="00AE6F39" w:rsidRPr="00015A39">
        <w:rPr>
          <w:color w:val="000000" w:themeColor="text1"/>
        </w:rPr>
        <w:t xml:space="preserve"> An individual was considered a</w:t>
      </w:r>
      <w:r w:rsidR="0003019D" w:rsidRPr="00015A39">
        <w:rPr>
          <w:color w:val="000000" w:themeColor="text1"/>
        </w:rPr>
        <w:t>n</w:t>
      </w:r>
      <w:r w:rsidR="00935BB8" w:rsidRPr="00015A39">
        <w:rPr>
          <w:color w:val="000000" w:themeColor="text1"/>
        </w:rPr>
        <w:t xml:space="preserve"> ever</w:t>
      </w:r>
      <w:r w:rsidR="00AE6F39" w:rsidRPr="00015A39">
        <w:rPr>
          <w:color w:val="000000" w:themeColor="text1"/>
        </w:rPr>
        <w:t xml:space="preserve"> AD case</w:t>
      </w:r>
      <w:r w:rsidRPr="00015A39">
        <w:rPr>
          <w:color w:val="000000" w:themeColor="text1"/>
        </w:rPr>
        <w:t xml:space="preserve"> if they demonstrated a positive response in the </w:t>
      </w:r>
      <w:r w:rsidR="007B00B2" w:rsidRPr="00015A39">
        <w:rPr>
          <w:color w:val="000000" w:themeColor="text1"/>
        </w:rPr>
        <w:t>skin prick test (SPT)</w:t>
      </w:r>
      <w:r w:rsidRPr="00015A39">
        <w:rPr>
          <w:color w:val="000000" w:themeColor="text1"/>
        </w:rPr>
        <w:t xml:space="preserve"> </w:t>
      </w:r>
      <w:r w:rsidR="002C112D" w:rsidRPr="00015A39">
        <w:rPr>
          <w:color w:val="000000" w:themeColor="text1"/>
        </w:rPr>
        <w:t xml:space="preserve">to </w:t>
      </w:r>
      <w:r w:rsidR="005338B8" w:rsidRPr="00015A39">
        <w:rPr>
          <w:color w:val="000000" w:themeColor="text1"/>
        </w:rPr>
        <w:t>house dust mite allergens</w:t>
      </w:r>
      <w:r w:rsidR="00677E59" w:rsidRPr="00015A39">
        <w:rPr>
          <w:color w:val="000000" w:themeColor="text1"/>
        </w:rPr>
        <w:t xml:space="preserve"> (HDM)</w:t>
      </w:r>
      <w:r w:rsidR="005338B8" w:rsidRPr="00015A39">
        <w:rPr>
          <w:color w:val="000000" w:themeColor="text1"/>
        </w:rPr>
        <w:t xml:space="preserve"> (</w:t>
      </w:r>
      <w:proofErr w:type="spellStart"/>
      <w:r w:rsidR="002B4AB0" w:rsidRPr="00015A39">
        <w:rPr>
          <w:i/>
          <w:iCs/>
          <w:color w:val="000000" w:themeColor="text1"/>
        </w:rPr>
        <w:t>Blomia</w:t>
      </w:r>
      <w:proofErr w:type="spellEnd"/>
      <w:r w:rsidR="002B4AB0" w:rsidRPr="00015A39">
        <w:rPr>
          <w:i/>
          <w:iCs/>
          <w:color w:val="000000" w:themeColor="text1"/>
        </w:rPr>
        <w:t xml:space="preserve"> tropicalis</w:t>
      </w:r>
      <w:r w:rsidR="002B4AB0" w:rsidRPr="00015A39">
        <w:rPr>
          <w:color w:val="000000" w:themeColor="text1"/>
        </w:rPr>
        <w:t xml:space="preserve"> and</w:t>
      </w:r>
      <w:r w:rsidR="002B4AB0" w:rsidRPr="00015A39">
        <w:rPr>
          <w:i/>
          <w:iCs/>
          <w:color w:val="000000" w:themeColor="text1"/>
        </w:rPr>
        <w:t xml:space="preserve"> </w:t>
      </w:r>
      <w:proofErr w:type="spellStart"/>
      <w:r w:rsidR="002B4AB0" w:rsidRPr="00015A39">
        <w:rPr>
          <w:i/>
          <w:iCs/>
          <w:color w:val="000000" w:themeColor="text1"/>
        </w:rPr>
        <w:t>Dermatophagoides</w:t>
      </w:r>
      <w:proofErr w:type="spellEnd"/>
      <w:r w:rsidR="002B4AB0" w:rsidRPr="00015A39">
        <w:rPr>
          <w:i/>
          <w:iCs/>
          <w:color w:val="000000" w:themeColor="text1"/>
        </w:rPr>
        <w:t xml:space="preserve"> </w:t>
      </w:r>
      <w:proofErr w:type="spellStart"/>
      <w:r w:rsidR="002B4AB0" w:rsidRPr="00015A39">
        <w:rPr>
          <w:i/>
          <w:iCs/>
          <w:color w:val="000000" w:themeColor="text1"/>
        </w:rPr>
        <w:t>pteronyssinus</w:t>
      </w:r>
      <w:proofErr w:type="spellEnd"/>
      <w:r w:rsidR="002B4AB0" w:rsidRPr="00015A39">
        <w:rPr>
          <w:color w:val="000000" w:themeColor="text1"/>
        </w:rPr>
        <w:t>)</w:t>
      </w:r>
      <w:r w:rsidR="00B667A5" w:rsidRPr="00015A39">
        <w:rPr>
          <w:color w:val="000000" w:themeColor="text1"/>
        </w:rPr>
        <w:t xml:space="preserve"> </w:t>
      </w:r>
      <w:r w:rsidRPr="00015A39">
        <w:rPr>
          <w:color w:val="000000" w:themeColor="text1"/>
        </w:rPr>
        <w:t xml:space="preserve">and </w:t>
      </w:r>
      <w:r w:rsidR="00870F1B" w:rsidRPr="00015A39">
        <w:rPr>
          <w:color w:val="000000" w:themeColor="text1"/>
        </w:rPr>
        <w:t xml:space="preserve">had </w:t>
      </w:r>
      <w:r w:rsidRPr="00015A39">
        <w:rPr>
          <w:color w:val="000000" w:themeColor="text1"/>
        </w:rPr>
        <w:t>a recurrent</w:t>
      </w:r>
      <w:r w:rsidR="00B20689" w:rsidRPr="00015A39">
        <w:rPr>
          <w:color w:val="000000" w:themeColor="text1"/>
        </w:rPr>
        <w:t xml:space="preserve"> flexural</w:t>
      </w:r>
      <w:r w:rsidRPr="00015A39">
        <w:rPr>
          <w:color w:val="000000" w:themeColor="text1"/>
        </w:rPr>
        <w:t xml:space="preserve"> itchy rash for at least six months. </w:t>
      </w:r>
      <w:r w:rsidR="00AD5DF0" w:rsidRPr="00015A39">
        <w:rPr>
          <w:color w:val="000000" w:themeColor="text1"/>
        </w:rPr>
        <w:t>These</w:t>
      </w:r>
      <w:r w:rsidR="008125DC" w:rsidRPr="00015A39">
        <w:rPr>
          <w:color w:val="000000" w:themeColor="text1"/>
        </w:rPr>
        <w:t xml:space="preserve"> flexural areas include the folds of the elbows, behind the knees, in front of the ankles, under the buttocks, or around the neck, cheeks, ears or eyes</w:t>
      </w:r>
      <w:r w:rsidR="00AC1E46" w:rsidRPr="00015A39">
        <w:rPr>
          <w:color w:val="000000" w:themeColor="text1"/>
        </w:rPr>
        <w:t>.</w:t>
      </w:r>
      <w:r w:rsidR="00415B05" w:rsidRPr="00015A39">
        <w:rPr>
          <w:color w:val="000000" w:themeColor="text1"/>
        </w:rPr>
        <w:t xml:space="preserve"> </w:t>
      </w:r>
      <w:r w:rsidR="00482BA1" w:rsidRPr="00015A39">
        <w:rPr>
          <w:color w:val="000000" w:themeColor="text1"/>
        </w:rPr>
        <w:t xml:space="preserve">Allergic sensitization was determined by a positive SPT response to HDM allergens, which was used to indicate atopy—a key determinant of AD. </w:t>
      </w:r>
      <w:r w:rsidR="002B587E" w:rsidRPr="00015A39">
        <w:rPr>
          <w:color w:val="000000" w:themeColor="text1"/>
        </w:rPr>
        <w:t xml:space="preserve">Previous allergen studies </w:t>
      </w:r>
      <w:r w:rsidR="00DB0A23" w:rsidRPr="00015A39">
        <w:rPr>
          <w:color w:val="000000" w:themeColor="text1"/>
        </w:rPr>
        <w:t xml:space="preserve">have </w:t>
      </w:r>
      <w:r w:rsidR="002B587E" w:rsidRPr="00015A39">
        <w:rPr>
          <w:color w:val="000000" w:themeColor="text1"/>
        </w:rPr>
        <w:t>supported that immunoglobulin E (</w:t>
      </w:r>
      <w:proofErr w:type="spellStart"/>
      <w:r w:rsidR="002B587E" w:rsidRPr="00015A39">
        <w:rPr>
          <w:color w:val="000000" w:themeColor="text1"/>
        </w:rPr>
        <w:t>IgE</w:t>
      </w:r>
      <w:proofErr w:type="spellEnd"/>
      <w:r w:rsidR="002B587E" w:rsidRPr="00015A39">
        <w:rPr>
          <w:color w:val="000000" w:themeColor="text1"/>
        </w:rPr>
        <w:t xml:space="preserve">) sensitization </w:t>
      </w:r>
      <w:r w:rsidR="0067747F" w:rsidRPr="00015A39">
        <w:rPr>
          <w:color w:val="000000" w:themeColor="text1"/>
        </w:rPr>
        <w:t>is</w:t>
      </w:r>
      <w:r w:rsidR="002B587E" w:rsidRPr="00015A39">
        <w:rPr>
          <w:color w:val="000000" w:themeColor="text1"/>
        </w:rPr>
        <w:t xml:space="preserve"> highly associated with HDM allergens, with over 80% of individuals being HDM serum </w:t>
      </w:r>
      <w:proofErr w:type="spellStart"/>
      <w:r w:rsidR="002B587E" w:rsidRPr="00015A39">
        <w:rPr>
          <w:color w:val="000000" w:themeColor="text1"/>
        </w:rPr>
        <w:t>IgE</w:t>
      </w:r>
      <w:proofErr w:type="spellEnd"/>
      <w:r w:rsidR="002B587E" w:rsidRPr="00015A39">
        <w:rPr>
          <w:color w:val="000000" w:themeColor="text1"/>
        </w:rPr>
        <w:t xml:space="preserve"> positive [2</w:t>
      </w:r>
      <w:r w:rsidR="004229EC" w:rsidRPr="00015A39">
        <w:rPr>
          <w:color w:val="000000" w:themeColor="text1"/>
        </w:rPr>
        <w:t>8</w:t>
      </w:r>
      <w:r w:rsidR="00642C29" w:rsidRPr="00015A39">
        <w:rPr>
          <w:color w:val="000000" w:themeColor="text1"/>
        </w:rPr>
        <w:t>-</w:t>
      </w:r>
      <w:r w:rsidR="004229EC" w:rsidRPr="00015A39">
        <w:rPr>
          <w:color w:val="000000" w:themeColor="text1"/>
        </w:rPr>
        <w:t>30</w:t>
      </w:r>
      <w:r w:rsidR="002B587E" w:rsidRPr="00015A39">
        <w:rPr>
          <w:color w:val="000000" w:themeColor="text1"/>
        </w:rPr>
        <w:t>].</w:t>
      </w:r>
      <w:r w:rsidR="00C6723C" w:rsidRPr="00015A39">
        <w:rPr>
          <w:color w:val="000000" w:themeColor="text1"/>
        </w:rPr>
        <w:t xml:space="preserve"> The SPT protocol was consistent with previous descriptions [</w:t>
      </w:r>
      <w:r w:rsidR="00DB42E3" w:rsidRPr="00015A39">
        <w:rPr>
          <w:color w:val="000000" w:themeColor="text1"/>
        </w:rPr>
        <w:t>3, 8, 9, 15-1</w:t>
      </w:r>
      <w:r w:rsidR="00076830" w:rsidRPr="00015A39">
        <w:rPr>
          <w:color w:val="000000" w:themeColor="text1"/>
        </w:rPr>
        <w:t>8</w:t>
      </w:r>
      <w:r w:rsidR="00250AED" w:rsidRPr="00015A39">
        <w:rPr>
          <w:color w:val="000000" w:themeColor="text1"/>
        </w:rPr>
        <w:t>]</w:t>
      </w:r>
      <w:r w:rsidR="002511E7" w:rsidRPr="00015A39">
        <w:rPr>
          <w:color w:val="000000" w:themeColor="text1"/>
        </w:rPr>
        <w:t>.</w:t>
      </w:r>
      <w:r w:rsidR="00E37669" w:rsidRPr="00015A39">
        <w:rPr>
          <w:color w:val="000000" w:themeColor="text1"/>
        </w:rPr>
        <w:t xml:space="preserve"> </w:t>
      </w:r>
      <w:r w:rsidR="00557AAA" w:rsidRPr="00015A39">
        <w:rPr>
          <w:color w:val="000000" w:themeColor="text1"/>
        </w:rPr>
        <w:t xml:space="preserve">The 6-month period </w:t>
      </w:r>
      <w:r w:rsidR="0057588E" w:rsidRPr="00015A39">
        <w:rPr>
          <w:color w:val="000000" w:themeColor="text1"/>
        </w:rPr>
        <w:t>was</w:t>
      </w:r>
      <w:r w:rsidR="00557AAA" w:rsidRPr="00015A39">
        <w:rPr>
          <w:color w:val="000000" w:themeColor="text1"/>
        </w:rPr>
        <w:t xml:space="preserve"> chosen to differentiate between normal itchy rashes, such as those from insect bites or heat, and AD. </w:t>
      </w:r>
      <w:r w:rsidR="00967F7B" w:rsidRPr="00015A39">
        <w:rPr>
          <w:color w:val="000000" w:themeColor="text1"/>
        </w:rPr>
        <w:t>AD rashes tend to last longer and can be recurren</w:t>
      </w:r>
      <w:r w:rsidR="00BA4A81" w:rsidRPr="00015A39">
        <w:rPr>
          <w:color w:val="000000" w:themeColor="text1"/>
        </w:rPr>
        <w:t>t</w:t>
      </w:r>
      <w:r w:rsidR="00967F7B" w:rsidRPr="00015A39">
        <w:rPr>
          <w:color w:val="000000" w:themeColor="text1"/>
        </w:rPr>
        <w:t xml:space="preserve">, with fluctuating flare-ups. </w:t>
      </w:r>
      <w:r w:rsidR="00114615" w:rsidRPr="00015A39">
        <w:rPr>
          <w:color w:val="000000" w:themeColor="text1"/>
        </w:rPr>
        <w:t>This</w:t>
      </w:r>
      <w:r w:rsidR="0050355F" w:rsidRPr="00015A39">
        <w:rPr>
          <w:color w:val="000000" w:themeColor="text1"/>
        </w:rPr>
        <w:t xml:space="preserve"> specific combination of 6-month</w:t>
      </w:r>
      <w:r w:rsidR="00114615" w:rsidRPr="00015A39">
        <w:rPr>
          <w:color w:val="000000" w:themeColor="text1"/>
        </w:rPr>
        <w:t xml:space="preserve"> timeframe </w:t>
      </w:r>
      <w:r w:rsidR="0050355F" w:rsidRPr="00015A39">
        <w:rPr>
          <w:color w:val="000000" w:themeColor="text1"/>
        </w:rPr>
        <w:t xml:space="preserve">and </w:t>
      </w:r>
      <w:r w:rsidR="006755EB" w:rsidRPr="00015A39">
        <w:rPr>
          <w:color w:val="000000" w:themeColor="text1"/>
        </w:rPr>
        <w:t xml:space="preserve">flexural distributions </w:t>
      </w:r>
      <w:r w:rsidR="00114615" w:rsidRPr="00015A39">
        <w:rPr>
          <w:color w:val="000000" w:themeColor="text1"/>
        </w:rPr>
        <w:t>ensure</w:t>
      </w:r>
      <w:r w:rsidR="00C67094" w:rsidRPr="00015A39">
        <w:rPr>
          <w:color w:val="000000" w:themeColor="text1"/>
        </w:rPr>
        <w:t>d</w:t>
      </w:r>
      <w:r w:rsidR="00114615" w:rsidRPr="00015A39">
        <w:rPr>
          <w:color w:val="000000" w:themeColor="text1"/>
        </w:rPr>
        <w:t xml:space="preserve"> that the symptoms </w:t>
      </w:r>
      <w:r w:rsidR="00C67094" w:rsidRPr="00015A39">
        <w:rPr>
          <w:color w:val="000000" w:themeColor="text1"/>
        </w:rPr>
        <w:t>were</w:t>
      </w:r>
      <w:r w:rsidR="00945829" w:rsidRPr="00015A39">
        <w:rPr>
          <w:color w:val="000000" w:themeColor="text1"/>
        </w:rPr>
        <w:t xml:space="preserve"> consisten</w:t>
      </w:r>
      <w:r w:rsidR="00374FB3" w:rsidRPr="00015A39">
        <w:rPr>
          <w:color w:val="000000" w:themeColor="text1"/>
        </w:rPr>
        <w:t>t</w:t>
      </w:r>
      <w:r w:rsidR="00945829" w:rsidRPr="00015A39">
        <w:rPr>
          <w:color w:val="000000" w:themeColor="text1"/>
        </w:rPr>
        <w:t xml:space="preserve"> with AD rather than transient skin conditions</w:t>
      </w:r>
      <w:r w:rsidR="00EA6AF0" w:rsidRPr="00015A39">
        <w:rPr>
          <w:color w:val="000000" w:themeColor="text1"/>
        </w:rPr>
        <w:t xml:space="preserve"> [</w:t>
      </w:r>
      <w:r w:rsidR="00E54BBB" w:rsidRPr="00015A39">
        <w:rPr>
          <w:color w:val="000000" w:themeColor="text1"/>
        </w:rPr>
        <w:t>3</w:t>
      </w:r>
      <w:r w:rsidR="007B7E49" w:rsidRPr="00015A39">
        <w:rPr>
          <w:color w:val="000000" w:themeColor="text1"/>
        </w:rPr>
        <w:t>1</w:t>
      </w:r>
      <w:r w:rsidR="00345A49" w:rsidRPr="00015A39">
        <w:rPr>
          <w:color w:val="000000" w:themeColor="text1"/>
        </w:rPr>
        <w:t>, 32</w:t>
      </w:r>
      <w:r w:rsidR="00EA6AF0" w:rsidRPr="00015A39">
        <w:rPr>
          <w:color w:val="000000" w:themeColor="text1"/>
        </w:rPr>
        <w:t>]</w:t>
      </w:r>
      <w:r w:rsidR="00AC76B1" w:rsidRPr="00015A39">
        <w:rPr>
          <w:color w:val="000000" w:themeColor="text1"/>
        </w:rPr>
        <w:t xml:space="preserve">. </w:t>
      </w:r>
      <w:r w:rsidR="0082718F" w:rsidRPr="00015A39">
        <w:rPr>
          <w:color w:val="000000" w:themeColor="text1"/>
        </w:rPr>
        <w:t>Throughout the collection, our trained personnel concurrently evaluated the presence of a</w:t>
      </w:r>
      <w:r w:rsidR="007337F5" w:rsidRPr="00015A39">
        <w:rPr>
          <w:color w:val="000000" w:themeColor="text1"/>
        </w:rPr>
        <w:t xml:space="preserve"> </w:t>
      </w:r>
      <w:r w:rsidR="00110332" w:rsidRPr="00015A39">
        <w:rPr>
          <w:color w:val="000000" w:themeColor="text1"/>
        </w:rPr>
        <w:t xml:space="preserve">flexural </w:t>
      </w:r>
      <w:r w:rsidR="0082718F" w:rsidRPr="00015A39">
        <w:rPr>
          <w:color w:val="000000" w:themeColor="text1"/>
        </w:rPr>
        <w:t xml:space="preserve">rash on subjects. These evaluations were periodically cross-verified with a </w:t>
      </w:r>
      <w:r w:rsidR="0082718F" w:rsidRPr="00015A39">
        <w:rPr>
          <w:color w:val="000000" w:themeColor="text1"/>
        </w:rPr>
        <w:lastRenderedPageBreak/>
        <w:t>dermatologist and found to be concordant.</w:t>
      </w:r>
      <w:r w:rsidR="00E0170A" w:rsidRPr="00015A39">
        <w:rPr>
          <w:color w:val="000000" w:themeColor="text1"/>
        </w:rPr>
        <w:t xml:space="preserve"> </w:t>
      </w:r>
      <w:r w:rsidR="00826C42" w:rsidRPr="00015A39">
        <w:rPr>
          <w:color w:val="000000" w:themeColor="text1"/>
        </w:rPr>
        <w:t xml:space="preserve">AD presentation was compared between ever </w:t>
      </w:r>
      <w:r w:rsidR="00977FEC" w:rsidRPr="00015A39">
        <w:rPr>
          <w:color w:val="000000" w:themeColor="text1"/>
        </w:rPr>
        <w:t>AD cases (</w:t>
      </w:r>
      <w:r w:rsidR="00977FEC" w:rsidRPr="00015A39">
        <w:rPr>
          <w:i/>
          <w:iCs/>
          <w:color w:val="000000" w:themeColor="text1"/>
        </w:rPr>
        <w:t xml:space="preserve">n </w:t>
      </w:r>
      <w:r w:rsidR="00977FEC" w:rsidRPr="00015A39">
        <w:rPr>
          <w:color w:val="000000" w:themeColor="text1"/>
        </w:rPr>
        <w:t>= 2316) and non-allergic non-eczema controls (</w:t>
      </w:r>
      <w:r w:rsidR="00977FEC" w:rsidRPr="00015A39">
        <w:rPr>
          <w:i/>
          <w:iCs/>
          <w:color w:val="000000" w:themeColor="text1"/>
        </w:rPr>
        <w:t xml:space="preserve">n </w:t>
      </w:r>
      <w:r w:rsidR="00977FEC" w:rsidRPr="00015A39">
        <w:rPr>
          <w:color w:val="000000" w:themeColor="text1"/>
        </w:rPr>
        <w:t>= 3650).</w:t>
      </w:r>
    </w:p>
    <w:p w14:paraId="28AD9F00" w14:textId="77777777" w:rsidR="00FC29D7" w:rsidRPr="00015A39" w:rsidRDefault="00FC29D7" w:rsidP="0004258D">
      <w:pPr>
        <w:spacing w:line="360" w:lineRule="auto"/>
        <w:jc w:val="both"/>
        <w:rPr>
          <w:color w:val="000000" w:themeColor="text1"/>
        </w:rPr>
      </w:pPr>
    </w:p>
    <w:p w14:paraId="24CFCEC2" w14:textId="784C1643" w:rsidR="004532E2" w:rsidRPr="00015A39" w:rsidRDefault="005300E9" w:rsidP="0004258D">
      <w:pPr>
        <w:spacing w:line="360" w:lineRule="auto"/>
        <w:jc w:val="both"/>
        <w:rPr>
          <w:color w:val="000000" w:themeColor="text1"/>
        </w:rPr>
      </w:pPr>
      <w:r w:rsidRPr="00015A39">
        <w:rPr>
          <w:color w:val="000000" w:themeColor="text1"/>
        </w:rPr>
        <w:t xml:space="preserve">Among </w:t>
      </w:r>
      <w:r w:rsidR="00F12353" w:rsidRPr="00015A39">
        <w:rPr>
          <w:color w:val="000000" w:themeColor="text1"/>
        </w:rPr>
        <w:t>individuals</w:t>
      </w:r>
      <w:r w:rsidRPr="00015A39">
        <w:rPr>
          <w:color w:val="000000" w:themeColor="text1"/>
        </w:rPr>
        <w:t xml:space="preserve"> with AD</w:t>
      </w:r>
      <w:r w:rsidR="00E13E37" w:rsidRPr="00015A39">
        <w:rPr>
          <w:color w:val="000000" w:themeColor="text1"/>
        </w:rPr>
        <w:t xml:space="preserve"> presentation (ever AD)</w:t>
      </w:r>
      <w:r w:rsidRPr="00015A39">
        <w:rPr>
          <w:color w:val="000000" w:themeColor="text1"/>
        </w:rPr>
        <w:t xml:space="preserve">, we further </w:t>
      </w:r>
      <w:r w:rsidR="007B79ED" w:rsidRPr="00015A39">
        <w:rPr>
          <w:color w:val="000000" w:themeColor="text1"/>
        </w:rPr>
        <w:t>classified cases</w:t>
      </w:r>
      <w:r w:rsidRPr="00015A39">
        <w:rPr>
          <w:color w:val="000000" w:themeColor="text1"/>
        </w:rPr>
        <w:t xml:space="preserve"> </w:t>
      </w:r>
      <w:r w:rsidR="007B79ED" w:rsidRPr="00015A39">
        <w:rPr>
          <w:color w:val="000000" w:themeColor="text1"/>
        </w:rPr>
        <w:t>based on</w:t>
      </w:r>
      <w:r w:rsidRPr="00015A39">
        <w:rPr>
          <w:color w:val="000000" w:themeColor="text1"/>
        </w:rPr>
        <w:t xml:space="preserve"> persistency (recovered AD vs</w:t>
      </w:r>
      <w:r w:rsidR="001757E9" w:rsidRPr="00015A39">
        <w:rPr>
          <w:color w:val="000000" w:themeColor="text1"/>
        </w:rPr>
        <w:t>.</w:t>
      </w:r>
      <w:r w:rsidRPr="00015A39">
        <w:rPr>
          <w:color w:val="000000" w:themeColor="text1"/>
        </w:rPr>
        <w:t xml:space="preserve"> current AD), chronicity (acute AD </w:t>
      </w:r>
      <w:r w:rsidR="001757E9" w:rsidRPr="00015A39">
        <w:rPr>
          <w:color w:val="000000" w:themeColor="text1"/>
        </w:rPr>
        <w:t xml:space="preserve">vs. </w:t>
      </w:r>
      <w:r w:rsidRPr="00015A39">
        <w:rPr>
          <w:color w:val="000000" w:themeColor="text1"/>
        </w:rPr>
        <w:t xml:space="preserve">chronic AD), and severity (mild AD </w:t>
      </w:r>
      <w:r w:rsidR="001757E9" w:rsidRPr="00015A39">
        <w:rPr>
          <w:color w:val="000000" w:themeColor="text1"/>
        </w:rPr>
        <w:t xml:space="preserve">vs. </w:t>
      </w:r>
      <w:r w:rsidRPr="00015A39">
        <w:rPr>
          <w:color w:val="000000" w:themeColor="text1"/>
        </w:rPr>
        <w:t xml:space="preserve">moderate-severe AD). </w:t>
      </w:r>
      <w:r w:rsidR="00017D4A" w:rsidRPr="00015A39">
        <w:rPr>
          <w:color w:val="000000" w:themeColor="text1"/>
        </w:rPr>
        <w:t xml:space="preserve">Those experiencing continuous or intermittent itchy flexural rash </w:t>
      </w:r>
      <w:r w:rsidR="00F06922" w:rsidRPr="00015A39">
        <w:rPr>
          <w:color w:val="000000" w:themeColor="text1"/>
        </w:rPr>
        <w:t>throughout</w:t>
      </w:r>
      <w:r w:rsidR="007A6DF9" w:rsidRPr="00015A39">
        <w:rPr>
          <w:color w:val="000000" w:themeColor="text1"/>
        </w:rPr>
        <w:t xml:space="preserve"> the </w:t>
      </w:r>
      <w:r w:rsidR="0098739C" w:rsidRPr="00015A39">
        <w:rPr>
          <w:color w:val="000000" w:themeColor="text1"/>
        </w:rPr>
        <w:t>past</w:t>
      </w:r>
      <w:r w:rsidR="00883EC2" w:rsidRPr="00015A39">
        <w:rPr>
          <w:color w:val="000000" w:themeColor="text1"/>
        </w:rPr>
        <w:t xml:space="preserve"> 12</w:t>
      </w:r>
      <w:r w:rsidR="002D031C" w:rsidRPr="00015A39">
        <w:rPr>
          <w:color w:val="000000" w:themeColor="text1"/>
        </w:rPr>
        <w:t xml:space="preserve"> months </w:t>
      </w:r>
      <w:r w:rsidR="0037675F" w:rsidRPr="00015A39">
        <w:rPr>
          <w:color w:val="000000" w:themeColor="text1"/>
        </w:rPr>
        <w:t>were classified as current AD</w:t>
      </w:r>
      <w:r w:rsidR="00034934" w:rsidRPr="00015A39">
        <w:rPr>
          <w:color w:val="000000" w:themeColor="text1"/>
        </w:rPr>
        <w:t xml:space="preserve"> cases</w:t>
      </w:r>
      <w:r w:rsidR="00D9017E" w:rsidRPr="00015A39">
        <w:rPr>
          <w:color w:val="000000" w:themeColor="text1"/>
        </w:rPr>
        <w:t xml:space="preserve">. Individuals </w:t>
      </w:r>
      <w:r w:rsidR="00335B57" w:rsidRPr="00015A39">
        <w:rPr>
          <w:color w:val="000000" w:themeColor="text1"/>
        </w:rPr>
        <w:t>with</w:t>
      </w:r>
      <w:r w:rsidR="00D9017E" w:rsidRPr="00015A39">
        <w:rPr>
          <w:color w:val="000000" w:themeColor="text1"/>
        </w:rPr>
        <w:t xml:space="preserve"> a history of AD but did not experience any itchy flexural rash </w:t>
      </w:r>
      <w:r w:rsidR="00AB1FBE" w:rsidRPr="00015A39">
        <w:rPr>
          <w:color w:val="000000" w:themeColor="text1"/>
        </w:rPr>
        <w:t>at any point in</w:t>
      </w:r>
      <w:r w:rsidR="00D9017E" w:rsidRPr="00015A39">
        <w:rPr>
          <w:color w:val="000000" w:themeColor="text1"/>
        </w:rPr>
        <w:t xml:space="preserve"> the past 12 months were classified as recovered AD. </w:t>
      </w:r>
      <w:r w:rsidR="003A0329" w:rsidRPr="00015A39">
        <w:rPr>
          <w:color w:val="000000" w:themeColor="text1"/>
        </w:rPr>
        <w:t>Identifying current AD cases</w:t>
      </w:r>
      <w:r w:rsidR="00FE7BF3" w:rsidRPr="00015A39">
        <w:rPr>
          <w:color w:val="000000" w:themeColor="text1"/>
        </w:rPr>
        <w:t xml:space="preserve"> </w:t>
      </w:r>
      <w:r w:rsidR="003315B6" w:rsidRPr="00015A39">
        <w:rPr>
          <w:color w:val="000000" w:themeColor="text1"/>
        </w:rPr>
        <w:t xml:space="preserve">helps predict ongoing challenges by capturing </w:t>
      </w:r>
      <w:r w:rsidR="00FD5740" w:rsidRPr="00015A39">
        <w:rPr>
          <w:color w:val="000000" w:themeColor="text1"/>
        </w:rPr>
        <w:t>those with</w:t>
      </w:r>
      <w:r w:rsidR="003315B6" w:rsidRPr="00015A39">
        <w:rPr>
          <w:color w:val="000000" w:themeColor="text1"/>
        </w:rPr>
        <w:t xml:space="preserve"> recent symptoms and </w:t>
      </w:r>
      <w:r w:rsidR="00AA6749" w:rsidRPr="00015A39">
        <w:rPr>
          <w:color w:val="000000" w:themeColor="text1"/>
        </w:rPr>
        <w:t xml:space="preserve">providing insight into </w:t>
      </w:r>
      <w:r w:rsidR="003315B6" w:rsidRPr="00015A39">
        <w:rPr>
          <w:color w:val="000000" w:themeColor="text1"/>
        </w:rPr>
        <w:t>the immediate disease burden.</w:t>
      </w:r>
      <w:r w:rsidR="00D751EE" w:rsidRPr="00015A39">
        <w:rPr>
          <w:color w:val="000000" w:themeColor="text1"/>
        </w:rPr>
        <w:t xml:space="preserve"> </w:t>
      </w:r>
      <w:r w:rsidR="00331E2C" w:rsidRPr="00015A39">
        <w:rPr>
          <w:color w:val="000000" w:themeColor="text1"/>
        </w:rPr>
        <w:t xml:space="preserve">For chronicity among ever AD cases, </w:t>
      </w:r>
      <w:r w:rsidR="00754440" w:rsidRPr="00015A39">
        <w:rPr>
          <w:color w:val="000000" w:themeColor="text1"/>
        </w:rPr>
        <w:t xml:space="preserve">individuals </w:t>
      </w:r>
      <w:r w:rsidR="007411BC" w:rsidRPr="00015A39">
        <w:rPr>
          <w:color w:val="000000" w:themeColor="text1"/>
        </w:rPr>
        <w:t xml:space="preserve">who </w:t>
      </w:r>
      <w:r w:rsidR="00754440" w:rsidRPr="00015A39">
        <w:rPr>
          <w:color w:val="000000" w:themeColor="text1"/>
        </w:rPr>
        <w:t>never</w:t>
      </w:r>
      <w:r w:rsidR="007411BC" w:rsidRPr="00015A39">
        <w:rPr>
          <w:color w:val="000000" w:themeColor="text1"/>
        </w:rPr>
        <w:t xml:space="preserve"> achieve complete </w:t>
      </w:r>
      <w:r w:rsidR="00643383" w:rsidRPr="00015A39">
        <w:rPr>
          <w:color w:val="000000" w:themeColor="text1"/>
        </w:rPr>
        <w:t>resolution of their itchy flexural rash within the last 12-month timeframe</w:t>
      </w:r>
      <w:r w:rsidR="005D4796" w:rsidRPr="00015A39">
        <w:rPr>
          <w:color w:val="000000" w:themeColor="text1"/>
        </w:rPr>
        <w:t xml:space="preserve"> were classified as chronic AD. </w:t>
      </w:r>
      <w:r w:rsidR="00235726" w:rsidRPr="00015A39">
        <w:rPr>
          <w:color w:val="000000" w:themeColor="text1"/>
        </w:rPr>
        <w:t>Individuals who had</w:t>
      </w:r>
      <w:r w:rsidR="00E34167" w:rsidRPr="00015A39">
        <w:rPr>
          <w:color w:val="000000" w:themeColor="text1"/>
        </w:rPr>
        <w:t xml:space="preserve"> AD but achieved full </w:t>
      </w:r>
      <w:r w:rsidR="00397D18" w:rsidRPr="00015A39">
        <w:rPr>
          <w:color w:val="000000" w:themeColor="text1"/>
        </w:rPr>
        <w:t xml:space="preserve">symptom </w:t>
      </w:r>
      <w:r w:rsidR="00E34167" w:rsidRPr="00015A39">
        <w:rPr>
          <w:color w:val="000000" w:themeColor="text1"/>
        </w:rPr>
        <w:t xml:space="preserve">resolution within the past 12 months </w:t>
      </w:r>
      <w:r w:rsidR="000A68D8" w:rsidRPr="00015A39">
        <w:rPr>
          <w:color w:val="000000" w:themeColor="text1"/>
        </w:rPr>
        <w:t>were identified as acute AD case</w:t>
      </w:r>
      <w:r w:rsidR="002B74F1" w:rsidRPr="00015A39">
        <w:rPr>
          <w:color w:val="000000" w:themeColor="text1"/>
        </w:rPr>
        <w:t>s</w:t>
      </w:r>
      <w:r w:rsidR="00065474" w:rsidRPr="00015A39">
        <w:rPr>
          <w:color w:val="000000" w:themeColor="text1"/>
        </w:rPr>
        <w:t xml:space="preserve">. </w:t>
      </w:r>
      <w:r w:rsidR="00BA2177" w:rsidRPr="00015A39">
        <w:rPr>
          <w:color w:val="000000" w:themeColor="text1"/>
        </w:rPr>
        <w:t>R</w:t>
      </w:r>
      <w:r w:rsidR="006535BC" w:rsidRPr="00015A39">
        <w:rPr>
          <w:color w:val="000000" w:themeColor="text1"/>
        </w:rPr>
        <w:t>ecognizing chronic AD cases provides insights into the long-term nature of the inflammatory skin condition</w:t>
      </w:r>
      <w:r w:rsidR="00E44490" w:rsidRPr="00015A39">
        <w:rPr>
          <w:color w:val="000000" w:themeColor="text1"/>
        </w:rPr>
        <w:t xml:space="preserve"> in affected individuals. </w:t>
      </w:r>
      <w:r w:rsidR="00DD4904" w:rsidRPr="00015A39">
        <w:rPr>
          <w:color w:val="000000" w:themeColor="text1"/>
        </w:rPr>
        <w:t xml:space="preserve">Finally, </w:t>
      </w:r>
      <w:r w:rsidR="00FE238F" w:rsidRPr="00015A39">
        <w:rPr>
          <w:color w:val="000000" w:themeColor="text1"/>
        </w:rPr>
        <w:t xml:space="preserve">various </w:t>
      </w:r>
      <w:r w:rsidR="00CA3A94" w:rsidRPr="00015A39">
        <w:rPr>
          <w:color w:val="000000" w:themeColor="text1"/>
        </w:rPr>
        <w:t xml:space="preserve">levels of </w:t>
      </w:r>
      <w:r w:rsidR="00FE238F" w:rsidRPr="00015A39">
        <w:rPr>
          <w:color w:val="000000" w:themeColor="text1"/>
        </w:rPr>
        <w:t>AD severity</w:t>
      </w:r>
      <w:r w:rsidR="00E209A9" w:rsidRPr="00015A39">
        <w:rPr>
          <w:color w:val="000000" w:themeColor="text1"/>
        </w:rPr>
        <w:t xml:space="preserve"> </w:t>
      </w:r>
      <w:r w:rsidR="001F134F" w:rsidRPr="00015A39">
        <w:rPr>
          <w:color w:val="000000" w:themeColor="text1"/>
        </w:rPr>
        <w:t xml:space="preserve">were </w:t>
      </w:r>
      <w:r w:rsidR="00E209A9" w:rsidRPr="00015A39">
        <w:rPr>
          <w:color w:val="000000" w:themeColor="text1"/>
        </w:rPr>
        <w:t>determined</w:t>
      </w:r>
      <w:r w:rsidR="00DD4904" w:rsidRPr="00015A39">
        <w:rPr>
          <w:color w:val="000000" w:themeColor="text1"/>
        </w:rPr>
        <w:t xml:space="preserve"> based on a consistent pattern of experiencing sleep disturbances at night in the last 12 months. </w:t>
      </w:r>
      <w:r w:rsidR="0076549A" w:rsidRPr="00015A39">
        <w:rPr>
          <w:color w:val="000000" w:themeColor="text1"/>
        </w:rPr>
        <w:t>Sleep disturbance is a significant indicator of AD severity due</w:t>
      </w:r>
      <w:r w:rsidR="001F134F" w:rsidRPr="00015A39">
        <w:rPr>
          <w:color w:val="000000" w:themeColor="text1"/>
        </w:rPr>
        <w:t xml:space="preserve"> to</w:t>
      </w:r>
      <w:r w:rsidR="0076549A" w:rsidRPr="00015A39">
        <w:rPr>
          <w:color w:val="000000" w:themeColor="text1"/>
        </w:rPr>
        <w:t xml:space="preserve"> its profound impact on the quality of life [</w:t>
      </w:r>
      <w:r w:rsidR="00FE5B2D" w:rsidRPr="00015A39">
        <w:rPr>
          <w:color w:val="000000" w:themeColor="text1"/>
        </w:rPr>
        <w:t>3</w:t>
      </w:r>
      <w:r w:rsidR="0021512E" w:rsidRPr="00015A39">
        <w:rPr>
          <w:color w:val="000000" w:themeColor="text1"/>
        </w:rPr>
        <w:t>3</w:t>
      </w:r>
      <w:r w:rsidR="0076549A" w:rsidRPr="00015A39">
        <w:rPr>
          <w:color w:val="000000" w:themeColor="text1"/>
        </w:rPr>
        <w:t xml:space="preserve">]. </w:t>
      </w:r>
      <w:r w:rsidR="00691D76" w:rsidRPr="00015A39">
        <w:rPr>
          <w:color w:val="000000" w:themeColor="text1"/>
        </w:rPr>
        <w:t xml:space="preserve">The assessment of AD chronicity and </w:t>
      </w:r>
      <w:r w:rsidR="00E110EE" w:rsidRPr="00015A39">
        <w:rPr>
          <w:color w:val="000000" w:themeColor="text1"/>
        </w:rPr>
        <w:t xml:space="preserve">AD </w:t>
      </w:r>
      <w:r w:rsidR="00691D76" w:rsidRPr="00015A39">
        <w:rPr>
          <w:color w:val="000000" w:themeColor="text1"/>
        </w:rPr>
        <w:t>severity has been extensively validated by ISAAC [</w:t>
      </w:r>
      <w:r w:rsidR="007C0C1F" w:rsidRPr="00015A39">
        <w:rPr>
          <w:color w:val="000000" w:themeColor="text1"/>
        </w:rPr>
        <w:t>2</w:t>
      </w:r>
      <w:r w:rsidR="00F90210" w:rsidRPr="00015A39">
        <w:rPr>
          <w:color w:val="000000" w:themeColor="text1"/>
        </w:rPr>
        <w:t>5</w:t>
      </w:r>
      <w:r w:rsidR="00270C7A" w:rsidRPr="00015A39">
        <w:rPr>
          <w:color w:val="000000" w:themeColor="text1"/>
        </w:rPr>
        <w:t xml:space="preserve">]. </w:t>
      </w:r>
    </w:p>
    <w:p w14:paraId="3BB32758" w14:textId="685722D8" w:rsidR="00326B91" w:rsidRPr="00015A39" w:rsidRDefault="00955469" w:rsidP="00DF59C1">
      <w:pPr>
        <w:pStyle w:val="Heading2"/>
        <w:rPr>
          <w:color w:val="000000" w:themeColor="text1"/>
          <w:sz w:val="24"/>
          <w:szCs w:val="24"/>
        </w:rPr>
      </w:pPr>
      <w:r w:rsidRPr="00015A39">
        <w:rPr>
          <w:color w:val="000000" w:themeColor="text1"/>
          <w:sz w:val="24"/>
          <w:szCs w:val="24"/>
        </w:rPr>
        <w:t xml:space="preserve">Secondary </w:t>
      </w:r>
      <w:r w:rsidR="00032791" w:rsidRPr="00015A39">
        <w:rPr>
          <w:color w:val="000000" w:themeColor="text1"/>
          <w:sz w:val="24"/>
          <w:szCs w:val="24"/>
        </w:rPr>
        <w:t>Outcomes</w:t>
      </w:r>
    </w:p>
    <w:p w14:paraId="73180AFD" w14:textId="2C80478E" w:rsidR="00B56406" w:rsidRPr="00015A39" w:rsidRDefault="001F446F" w:rsidP="0004258D">
      <w:pPr>
        <w:spacing w:line="360" w:lineRule="auto"/>
        <w:jc w:val="both"/>
        <w:rPr>
          <w:color w:val="000000" w:themeColor="text1"/>
        </w:rPr>
      </w:pPr>
      <w:r w:rsidRPr="00015A39">
        <w:rPr>
          <w:color w:val="000000" w:themeColor="text1"/>
        </w:rPr>
        <w:t>I</w:t>
      </w:r>
      <w:r w:rsidR="000805F7" w:rsidRPr="00015A39">
        <w:rPr>
          <w:color w:val="000000" w:themeColor="text1"/>
        </w:rPr>
        <w:t xml:space="preserve">n addition to </w:t>
      </w:r>
      <w:r w:rsidR="004C1A17" w:rsidRPr="00015A39">
        <w:rPr>
          <w:color w:val="000000" w:themeColor="text1"/>
        </w:rPr>
        <w:t>investigating</w:t>
      </w:r>
      <w:r w:rsidR="000805F7" w:rsidRPr="00015A39">
        <w:rPr>
          <w:color w:val="000000" w:themeColor="text1"/>
        </w:rPr>
        <w:t xml:space="preserve"> the </w:t>
      </w:r>
      <w:r w:rsidR="00774101" w:rsidRPr="00015A39">
        <w:rPr>
          <w:color w:val="000000" w:themeColor="text1"/>
        </w:rPr>
        <w:t>relationship</w:t>
      </w:r>
      <w:r w:rsidR="000805F7" w:rsidRPr="00015A39">
        <w:rPr>
          <w:color w:val="000000" w:themeColor="text1"/>
        </w:rPr>
        <w:t xml:space="preserve"> between the frequency of high-fat diets and AD </w:t>
      </w:r>
      <w:r w:rsidR="008228F6" w:rsidRPr="00015A39">
        <w:rPr>
          <w:color w:val="000000" w:themeColor="text1"/>
        </w:rPr>
        <w:t>phenotypes</w:t>
      </w:r>
      <w:r w:rsidR="000805F7" w:rsidRPr="00015A39">
        <w:rPr>
          <w:color w:val="000000" w:themeColor="text1"/>
        </w:rPr>
        <w:t xml:space="preserve">, </w:t>
      </w:r>
      <w:r w:rsidR="00471BF9" w:rsidRPr="00015A39">
        <w:rPr>
          <w:color w:val="000000" w:themeColor="text1"/>
        </w:rPr>
        <w:t>we conducted a multivariable logistic regression analysis</w:t>
      </w:r>
      <w:r w:rsidR="005139CE" w:rsidRPr="00015A39">
        <w:rPr>
          <w:color w:val="000000" w:themeColor="text1"/>
        </w:rPr>
        <w:t xml:space="preserve"> to</w:t>
      </w:r>
      <w:r w:rsidR="000805F7" w:rsidRPr="00015A39">
        <w:rPr>
          <w:color w:val="000000" w:themeColor="text1"/>
        </w:rPr>
        <w:t xml:space="preserve"> </w:t>
      </w:r>
      <w:r w:rsidR="007872C1" w:rsidRPr="00015A39">
        <w:rPr>
          <w:color w:val="000000" w:themeColor="text1"/>
        </w:rPr>
        <w:t>assess</w:t>
      </w:r>
      <w:r w:rsidR="000805F7" w:rsidRPr="00015A39">
        <w:rPr>
          <w:color w:val="000000" w:themeColor="text1"/>
        </w:rPr>
        <w:t xml:space="preserve"> various </w:t>
      </w:r>
      <w:r w:rsidR="00CD3FDC" w:rsidRPr="00015A39">
        <w:rPr>
          <w:color w:val="000000" w:themeColor="text1"/>
        </w:rPr>
        <w:t xml:space="preserve">secondary </w:t>
      </w:r>
      <w:r w:rsidR="000805F7" w:rsidRPr="00015A39">
        <w:rPr>
          <w:color w:val="000000" w:themeColor="text1"/>
        </w:rPr>
        <w:t>outcomes</w:t>
      </w:r>
      <w:r w:rsidR="003814FA" w:rsidRPr="00015A39">
        <w:rPr>
          <w:color w:val="000000" w:themeColor="text1"/>
        </w:rPr>
        <w:t xml:space="preserve">. </w:t>
      </w:r>
      <w:r w:rsidR="00637B35" w:rsidRPr="00015A39">
        <w:rPr>
          <w:color w:val="000000" w:themeColor="text1"/>
        </w:rPr>
        <w:t xml:space="preserve">These </w:t>
      </w:r>
      <w:r w:rsidR="00EC0D65" w:rsidRPr="00015A39">
        <w:rPr>
          <w:color w:val="000000" w:themeColor="text1"/>
        </w:rPr>
        <w:t>secondary</w:t>
      </w:r>
      <w:r w:rsidR="00637B35" w:rsidRPr="00015A39">
        <w:rPr>
          <w:color w:val="000000" w:themeColor="text1"/>
        </w:rPr>
        <w:t xml:space="preserve"> outcomes were selected to ascertain the</w:t>
      </w:r>
      <w:r w:rsidR="001E6D85" w:rsidRPr="00015A39">
        <w:rPr>
          <w:color w:val="000000" w:themeColor="text1"/>
        </w:rPr>
        <w:t xml:space="preserve"> specificity of the observed association between </w:t>
      </w:r>
      <w:r w:rsidR="006057A7" w:rsidRPr="00015A39">
        <w:rPr>
          <w:color w:val="000000" w:themeColor="text1"/>
        </w:rPr>
        <w:t xml:space="preserve">the </w:t>
      </w:r>
      <w:r w:rsidR="001E6D85" w:rsidRPr="00015A39">
        <w:rPr>
          <w:color w:val="000000" w:themeColor="text1"/>
        </w:rPr>
        <w:t>frequency of high-fat diets and AD</w:t>
      </w:r>
      <w:r w:rsidR="00342307" w:rsidRPr="00015A39">
        <w:rPr>
          <w:color w:val="000000" w:themeColor="text1"/>
        </w:rPr>
        <w:t xml:space="preserve">. </w:t>
      </w:r>
      <w:r w:rsidR="00A06660" w:rsidRPr="00015A39">
        <w:rPr>
          <w:color w:val="000000" w:themeColor="text1"/>
        </w:rPr>
        <w:t xml:space="preserve">The included </w:t>
      </w:r>
      <w:r w:rsidR="00072FC0" w:rsidRPr="00015A39">
        <w:rPr>
          <w:color w:val="000000" w:themeColor="text1"/>
        </w:rPr>
        <w:t>secondary</w:t>
      </w:r>
      <w:r w:rsidR="00A06660" w:rsidRPr="00015A39">
        <w:rPr>
          <w:color w:val="000000" w:themeColor="text1"/>
        </w:rPr>
        <w:t xml:space="preserve"> outcomes encompassed other allergic </w:t>
      </w:r>
      <w:r w:rsidR="00836C22" w:rsidRPr="00015A39">
        <w:rPr>
          <w:color w:val="000000" w:themeColor="text1"/>
        </w:rPr>
        <w:t>conditions</w:t>
      </w:r>
      <w:r w:rsidR="00A06660" w:rsidRPr="00015A39">
        <w:rPr>
          <w:color w:val="000000" w:themeColor="text1"/>
        </w:rPr>
        <w:t xml:space="preserve"> such as </w:t>
      </w:r>
      <w:r w:rsidR="00CC3C7C" w:rsidRPr="00015A39">
        <w:rPr>
          <w:color w:val="000000" w:themeColor="text1"/>
        </w:rPr>
        <w:t>HDM allergy</w:t>
      </w:r>
      <w:r w:rsidR="00D54E96" w:rsidRPr="00015A39">
        <w:rPr>
          <w:color w:val="000000" w:themeColor="text1"/>
        </w:rPr>
        <w:t xml:space="preserve"> (SPT negative individuals vs SPT positive individuals)</w:t>
      </w:r>
      <w:r w:rsidR="00CC3C7C" w:rsidRPr="00015A39">
        <w:rPr>
          <w:color w:val="000000" w:themeColor="text1"/>
        </w:rPr>
        <w:t xml:space="preserve">, </w:t>
      </w:r>
      <w:r w:rsidR="00A06660" w:rsidRPr="00015A39">
        <w:rPr>
          <w:color w:val="000000" w:themeColor="text1"/>
        </w:rPr>
        <w:t>allergic rhinitis (AR</w:t>
      </w:r>
      <w:r w:rsidR="00195885" w:rsidRPr="00015A39">
        <w:rPr>
          <w:color w:val="000000" w:themeColor="text1"/>
        </w:rPr>
        <w:t>)</w:t>
      </w:r>
      <w:r w:rsidR="00EC4790" w:rsidRPr="00015A39">
        <w:rPr>
          <w:color w:val="000000" w:themeColor="text1"/>
        </w:rPr>
        <w:t xml:space="preserve"> (non-allergic non-rhinitis vs ever </w:t>
      </w:r>
      <w:r w:rsidR="001D513B" w:rsidRPr="00015A39">
        <w:rPr>
          <w:color w:val="000000" w:themeColor="text1"/>
        </w:rPr>
        <w:t>AR</w:t>
      </w:r>
      <w:r w:rsidR="00EC4790" w:rsidRPr="00015A39">
        <w:rPr>
          <w:color w:val="000000" w:themeColor="text1"/>
        </w:rPr>
        <w:t xml:space="preserve"> cases)</w:t>
      </w:r>
      <w:r w:rsidR="00195885" w:rsidRPr="00015A39">
        <w:rPr>
          <w:color w:val="000000" w:themeColor="text1"/>
        </w:rPr>
        <w:t xml:space="preserve"> [</w:t>
      </w:r>
      <w:r w:rsidR="003E06DD" w:rsidRPr="00015A39">
        <w:rPr>
          <w:color w:val="000000" w:themeColor="text1"/>
        </w:rPr>
        <w:t>2</w:t>
      </w:r>
      <w:r w:rsidR="00111C84" w:rsidRPr="00015A39">
        <w:rPr>
          <w:color w:val="000000" w:themeColor="text1"/>
        </w:rPr>
        <w:t>3</w:t>
      </w:r>
      <w:r w:rsidR="00195885" w:rsidRPr="00015A39">
        <w:rPr>
          <w:color w:val="000000" w:themeColor="text1"/>
        </w:rPr>
        <w:t xml:space="preserve">] </w:t>
      </w:r>
      <w:r w:rsidR="00610823" w:rsidRPr="00015A39">
        <w:rPr>
          <w:color w:val="000000" w:themeColor="text1"/>
          <w:vertAlign w:val="superscript"/>
        </w:rPr>
        <w:t xml:space="preserve"> </w:t>
      </w:r>
      <w:r w:rsidR="00A06660" w:rsidRPr="00015A39">
        <w:rPr>
          <w:color w:val="000000" w:themeColor="text1"/>
        </w:rPr>
        <w:t>and allergic asthma (AS)</w:t>
      </w:r>
      <w:r w:rsidR="001D513B" w:rsidRPr="00015A39">
        <w:rPr>
          <w:color w:val="000000" w:themeColor="text1"/>
        </w:rPr>
        <w:t xml:space="preserve"> (non-allergic non-asthma vs ever AS cases)</w:t>
      </w:r>
      <w:r w:rsidR="00057611" w:rsidRPr="00015A39">
        <w:rPr>
          <w:color w:val="000000" w:themeColor="text1"/>
          <w:vertAlign w:val="superscript"/>
        </w:rPr>
        <w:t xml:space="preserve"> </w:t>
      </w:r>
      <w:r w:rsidR="00057611" w:rsidRPr="00015A39">
        <w:rPr>
          <w:color w:val="000000" w:themeColor="text1"/>
        </w:rPr>
        <w:t>[</w:t>
      </w:r>
      <w:r w:rsidR="003E06DD" w:rsidRPr="00015A39">
        <w:rPr>
          <w:color w:val="000000" w:themeColor="text1"/>
        </w:rPr>
        <w:t>2</w:t>
      </w:r>
      <w:r w:rsidR="00111C84" w:rsidRPr="00015A39">
        <w:rPr>
          <w:color w:val="000000" w:themeColor="text1"/>
        </w:rPr>
        <w:t>4</w:t>
      </w:r>
      <w:r w:rsidR="00057611" w:rsidRPr="00015A39">
        <w:rPr>
          <w:color w:val="000000" w:themeColor="text1"/>
        </w:rPr>
        <w:t>]</w:t>
      </w:r>
      <w:r w:rsidR="00A06660" w:rsidRPr="00015A39">
        <w:rPr>
          <w:color w:val="000000" w:themeColor="text1"/>
        </w:rPr>
        <w:t xml:space="preserve">, </w:t>
      </w:r>
      <w:r w:rsidR="004A7D2E" w:rsidRPr="00015A39">
        <w:rPr>
          <w:color w:val="000000" w:themeColor="text1"/>
        </w:rPr>
        <w:t xml:space="preserve">as well as </w:t>
      </w:r>
      <w:r w:rsidR="00E43DAB" w:rsidRPr="00015A39">
        <w:rPr>
          <w:color w:val="000000" w:themeColor="text1"/>
        </w:rPr>
        <w:t>acne vulgar</w:t>
      </w:r>
      <w:r w:rsidR="00D55372" w:rsidRPr="00015A39">
        <w:rPr>
          <w:color w:val="000000" w:themeColor="text1"/>
        </w:rPr>
        <w:t>is</w:t>
      </w:r>
      <w:r w:rsidR="00083E8F" w:rsidRPr="00015A39">
        <w:rPr>
          <w:color w:val="000000" w:themeColor="text1"/>
        </w:rPr>
        <w:t xml:space="preserve"> (</w:t>
      </w:r>
      <w:r w:rsidR="00F0652C" w:rsidRPr="00015A39">
        <w:rPr>
          <w:color w:val="000000" w:themeColor="text1"/>
        </w:rPr>
        <w:t>non-acne vs acne cases)</w:t>
      </w:r>
      <w:r w:rsidR="00D55372" w:rsidRPr="00015A39">
        <w:rPr>
          <w:color w:val="000000" w:themeColor="text1"/>
        </w:rPr>
        <w:t xml:space="preserve"> [</w:t>
      </w:r>
      <w:r w:rsidR="00D859A1" w:rsidRPr="00015A39">
        <w:rPr>
          <w:color w:val="000000" w:themeColor="text1"/>
        </w:rPr>
        <w:t>3</w:t>
      </w:r>
      <w:r w:rsidR="00111C84" w:rsidRPr="00015A39">
        <w:rPr>
          <w:color w:val="000000" w:themeColor="text1"/>
        </w:rPr>
        <w:t>4</w:t>
      </w:r>
      <w:r w:rsidR="00D55372" w:rsidRPr="00015A39">
        <w:rPr>
          <w:color w:val="000000" w:themeColor="text1"/>
        </w:rPr>
        <w:t>]</w:t>
      </w:r>
      <w:r w:rsidR="001C5329" w:rsidRPr="00015A39">
        <w:rPr>
          <w:color w:val="000000" w:themeColor="text1"/>
        </w:rPr>
        <w:t>, dry skin</w:t>
      </w:r>
      <w:r w:rsidR="00570226" w:rsidRPr="00015A39">
        <w:rPr>
          <w:color w:val="000000" w:themeColor="text1"/>
        </w:rPr>
        <w:t xml:space="preserve"> (</w:t>
      </w:r>
      <w:r w:rsidR="00636627" w:rsidRPr="00015A39">
        <w:rPr>
          <w:color w:val="000000" w:themeColor="text1"/>
        </w:rPr>
        <w:t>non-</w:t>
      </w:r>
      <w:r w:rsidR="00ED270A" w:rsidRPr="00015A39">
        <w:rPr>
          <w:color w:val="000000" w:themeColor="text1"/>
        </w:rPr>
        <w:t>dry skin vs dry skin cases)</w:t>
      </w:r>
      <w:r w:rsidR="001C5329" w:rsidRPr="00015A39">
        <w:rPr>
          <w:color w:val="000000" w:themeColor="text1"/>
        </w:rPr>
        <w:t>, chronic rhinosinusitis</w:t>
      </w:r>
      <w:r w:rsidR="007B72E9" w:rsidRPr="00015A39">
        <w:rPr>
          <w:color w:val="000000" w:themeColor="text1"/>
        </w:rPr>
        <w:t xml:space="preserve"> (non-chronic rhinosinusitis vs chronic rhinosinusitis cases</w:t>
      </w:r>
      <w:r w:rsidR="00C62278" w:rsidRPr="00015A39">
        <w:rPr>
          <w:color w:val="000000" w:themeColor="text1"/>
        </w:rPr>
        <w:t>)</w:t>
      </w:r>
      <w:r w:rsidR="001C5329" w:rsidRPr="00015A39">
        <w:rPr>
          <w:color w:val="000000" w:themeColor="text1"/>
        </w:rPr>
        <w:t>, tooth decay</w:t>
      </w:r>
      <w:r w:rsidR="00B7560C" w:rsidRPr="00015A39">
        <w:rPr>
          <w:color w:val="000000" w:themeColor="text1"/>
        </w:rPr>
        <w:t xml:space="preserve"> (not having tooth decays vs tooth decays cases)</w:t>
      </w:r>
      <w:r w:rsidR="001C5329" w:rsidRPr="00015A39">
        <w:rPr>
          <w:color w:val="000000" w:themeColor="text1"/>
        </w:rPr>
        <w:t>, hepatitis A virus (HAV) infection</w:t>
      </w:r>
      <w:r w:rsidR="00CB13E5" w:rsidRPr="00015A39">
        <w:rPr>
          <w:color w:val="000000" w:themeColor="text1"/>
        </w:rPr>
        <w:t xml:space="preserve"> (non-infected vs infected cases)</w:t>
      </w:r>
      <w:r w:rsidR="001C5329" w:rsidRPr="00015A39">
        <w:rPr>
          <w:color w:val="000000" w:themeColor="text1"/>
        </w:rPr>
        <w:t>, emotional discomfort, drug and pain medication allergy</w:t>
      </w:r>
      <w:r w:rsidR="00AF379C" w:rsidRPr="00015A39">
        <w:rPr>
          <w:color w:val="000000" w:themeColor="text1"/>
        </w:rPr>
        <w:t xml:space="preserve"> (</w:t>
      </w:r>
      <w:r w:rsidR="006D41C3" w:rsidRPr="00015A39">
        <w:rPr>
          <w:color w:val="000000" w:themeColor="text1"/>
        </w:rPr>
        <w:t>no drug allergy controls</w:t>
      </w:r>
      <w:r w:rsidR="00AF379C" w:rsidRPr="00015A39">
        <w:rPr>
          <w:color w:val="000000" w:themeColor="text1"/>
        </w:rPr>
        <w:t xml:space="preserve"> vs </w:t>
      </w:r>
      <w:r w:rsidR="0019006D" w:rsidRPr="00015A39">
        <w:rPr>
          <w:color w:val="000000" w:themeColor="text1"/>
        </w:rPr>
        <w:t xml:space="preserve">drug allergic </w:t>
      </w:r>
      <w:r w:rsidR="00AF379C" w:rsidRPr="00015A39">
        <w:rPr>
          <w:color w:val="000000" w:themeColor="text1"/>
        </w:rPr>
        <w:t>cases)</w:t>
      </w:r>
      <w:r w:rsidR="001C5329" w:rsidRPr="00015A39">
        <w:rPr>
          <w:color w:val="000000" w:themeColor="text1"/>
        </w:rPr>
        <w:t xml:space="preserve">. </w:t>
      </w:r>
      <w:r w:rsidR="003935A1" w:rsidRPr="00015A39">
        <w:rPr>
          <w:color w:val="000000" w:themeColor="text1"/>
        </w:rPr>
        <w:t>The distribution of control</w:t>
      </w:r>
      <w:r w:rsidR="005D18BE" w:rsidRPr="00015A39">
        <w:rPr>
          <w:color w:val="000000" w:themeColor="text1"/>
        </w:rPr>
        <w:t>s</w:t>
      </w:r>
      <w:r w:rsidR="003935A1" w:rsidRPr="00015A39">
        <w:rPr>
          <w:color w:val="000000" w:themeColor="text1"/>
        </w:rPr>
        <w:t xml:space="preserve"> and cases for each outcome </w:t>
      </w:r>
      <w:r w:rsidR="00442B93" w:rsidRPr="00015A39">
        <w:rPr>
          <w:color w:val="000000" w:themeColor="text1"/>
        </w:rPr>
        <w:t>was</w:t>
      </w:r>
      <w:r w:rsidR="003935A1" w:rsidRPr="00015A39">
        <w:rPr>
          <w:color w:val="000000" w:themeColor="text1"/>
        </w:rPr>
        <w:t xml:space="preserve"> described in </w:t>
      </w:r>
      <w:r w:rsidR="003935A1" w:rsidRPr="00015A39">
        <w:rPr>
          <w:b/>
          <w:bCs/>
          <w:color w:val="000000" w:themeColor="text1"/>
        </w:rPr>
        <w:t>Supplemental Table 1.</w:t>
      </w:r>
      <w:r w:rsidR="003935A1" w:rsidRPr="00015A39">
        <w:rPr>
          <w:color w:val="000000" w:themeColor="text1"/>
        </w:rPr>
        <w:t xml:space="preserve"> </w:t>
      </w:r>
    </w:p>
    <w:p w14:paraId="32B4A5F5" w14:textId="1733197A" w:rsidR="00922211" w:rsidRPr="00015A39" w:rsidRDefault="00922211" w:rsidP="0004258D">
      <w:pPr>
        <w:pStyle w:val="Heading2"/>
        <w:rPr>
          <w:color w:val="000000" w:themeColor="text1"/>
          <w:sz w:val="24"/>
          <w:szCs w:val="24"/>
        </w:rPr>
      </w:pPr>
      <w:r w:rsidRPr="00015A39">
        <w:rPr>
          <w:color w:val="000000" w:themeColor="text1"/>
          <w:sz w:val="24"/>
          <w:szCs w:val="24"/>
        </w:rPr>
        <w:lastRenderedPageBreak/>
        <w:t xml:space="preserve">Assessment of Dietary Habits </w:t>
      </w:r>
    </w:p>
    <w:p w14:paraId="35319BB5" w14:textId="26DCFD68" w:rsidR="00B8344F" w:rsidRPr="00015A39" w:rsidRDefault="00FD1719" w:rsidP="0004258D">
      <w:pPr>
        <w:pStyle w:val="NormalWeb"/>
        <w:spacing w:line="360" w:lineRule="auto"/>
        <w:rPr>
          <w:color w:val="000000" w:themeColor="text1"/>
        </w:rPr>
      </w:pPr>
      <w:r w:rsidRPr="00015A39">
        <w:rPr>
          <w:color w:val="000000" w:themeColor="text1"/>
        </w:rPr>
        <w:t>A</w:t>
      </w:r>
      <w:r w:rsidR="00D82B14" w:rsidRPr="00015A39">
        <w:rPr>
          <w:color w:val="000000" w:themeColor="text1"/>
        </w:rPr>
        <w:t xml:space="preserve"> validated semi-quantitative food frequency questionnaire (FFQ) from the ISAAC Phase III study </w:t>
      </w:r>
      <w:r w:rsidR="00D32C60" w:rsidRPr="00015A39">
        <w:rPr>
          <w:color w:val="000000" w:themeColor="text1"/>
        </w:rPr>
        <w:t xml:space="preserve">was used </w:t>
      </w:r>
      <w:r w:rsidR="00D82B14" w:rsidRPr="00015A39">
        <w:rPr>
          <w:color w:val="000000" w:themeColor="text1"/>
        </w:rPr>
        <w:t xml:space="preserve">to </w:t>
      </w:r>
      <w:r w:rsidR="00BF18EA" w:rsidRPr="00015A39">
        <w:rPr>
          <w:color w:val="000000" w:themeColor="text1"/>
        </w:rPr>
        <w:t>examine</w:t>
      </w:r>
      <w:r w:rsidR="00D82B14" w:rsidRPr="00015A39">
        <w:rPr>
          <w:color w:val="000000" w:themeColor="text1"/>
        </w:rPr>
        <w:t xml:space="preserve"> the dietary habits of various food groups among the subjects</w:t>
      </w:r>
      <w:r w:rsidR="006213A0" w:rsidRPr="00015A39">
        <w:rPr>
          <w:color w:val="000000" w:themeColor="text1"/>
          <w:vertAlign w:val="superscript"/>
        </w:rPr>
        <w:t xml:space="preserve"> </w:t>
      </w:r>
      <w:r w:rsidR="006213A0" w:rsidRPr="00015A39">
        <w:rPr>
          <w:color w:val="000000" w:themeColor="text1"/>
        </w:rPr>
        <w:t>[</w:t>
      </w:r>
      <w:r w:rsidR="000F5287" w:rsidRPr="00015A39">
        <w:rPr>
          <w:color w:val="000000" w:themeColor="text1"/>
        </w:rPr>
        <w:t>3</w:t>
      </w:r>
      <w:r w:rsidR="00111C84" w:rsidRPr="00015A39">
        <w:rPr>
          <w:color w:val="000000" w:themeColor="text1"/>
        </w:rPr>
        <w:t>5</w:t>
      </w:r>
      <w:r w:rsidR="006213A0" w:rsidRPr="00015A39">
        <w:rPr>
          <w:color w:val="000000" w:themeColor="text1"/>
        </w:rPr>
        <w:t>]</w:t>
      </w:r>
      <w:r w:rsidR="00D82B14" w:rsidRPr="00015A39">
        <w:rPr>
          <w:color w:val="000000" w:themeColor="text1"/>
        </w:rPr>
        <w:t>.</w:t>
      </w:r>
      <w:r w:rsidR="00DA7B66" w:rsidRPr="00015A39">
        <w:rPr>
          <w:color w:val="000000" w:themeColor="text1"/>
        </w:rPr>
        <w:t xml:space="preserve"> </w:t>
      </w:r>
      <w:r w:rsidR="00DB5D8E" w:rsidRPr="00015A39">
        <w:rPr>
          <w:color w:val="000000" w:themeColor="text1"/>
        </w:rPr>
        <w:t>The</w:t>
      </w:r>
      <w:r w:rsidR="000E31E6" w:rsidRPr="00015A39">
        <w:rPr>
          <w:color w:val="000000" w:themeColor="text1"/>
        </w:rPr>
        <w:t>re</w:t>
      </w:r>
      <w:r w:rsidR="00DB5D8E" w:rsidRPr="00015A39">
        <w:rPr>
          <w:color w:val="000000" w:themeColor="text1"/>
        </w:rPr>
        <w:t xml:space="preserve"> were three available responses: “never or only occasionally”, “once or twice per week”, and “most or all days”.</w:t>
      </w:r>
      <w:r w:rsidR="00882767" w:rsidRPr="00015A39">
        <w:rPr>
          <w:color w:val="000000" w:themeColor="text1"/>
        </w:rPr>
        <w:t xml:space="preserve"> </w:t>
      </w:r>
      <w:r w:rsidR="00DA7B66" w:rsidRPr="00015A39">
        <w:rPr>
          <w:color w:val="000000" w:themeColor="text1"/>
        </w:rPr>
        <w:t xml:space="preserve">As we are interested in studying the dietary habits of high-fat foods, we stratified the food groups into three fat categories (high-fat, low-fat, and </w:t>
      </w:r>
      <w:r w:rsidR="00287CD2" w:rsidRPr="00015A39">
        <w:rPr>
          <w:color w:val="000000" w:themeColor="text1"/>
        </w:rPr>
        <w:t>negligible</w:t>
      </w:r>
      <w:r w:rsidR="00DA7B66" w:rsidRPr="00015A39">
        <w:rPr>
          <w:color w:val="000000" w:themeColor="text1"/>
        </w:rPr>
        <w:t xml:space="preserve"> dietary fats) based on the information on the average estimated total fat amount (100g per edible portion) retrieved from the Singapore Health Promotion Board (HPB) nutritional databas</w:t>
      </w:r>
      <w:r w:rsidR="00A97394" w:rsidRPr="00015A39">
        <w:rPr>
          <w:color w:val="000000" w:themeColor="text1"/>
        </w:rPr>
        <w:t>e [</w:t>
      </w:r>
      <w:r w:rsidR="000F5287" w:rsidRPr="00015A39">
        <w:rPr>
          <w:color w:val="000000" w:themeColor="text1"/>
        </w:rPr>
        <w:t>3</w:t>
      </w:r>
      <w:r w:rsidR="00111C84" w:rsidRPr="00015A39">
        <w:rPr>
          <w:color w:val="000000" w:themeColor="text1"/>
        </w:rPr>
        <w:t>6</w:t>
      </w:r>
      <w:r w:rsidR="00A97394" w:rsidRPr="00015A39">
        <w:rPr>
          <w:color w:val="000000" w:themeColor="text1"/>
        </w:rPr>
        <w:t>]</w:t>
      </w:r>
      <w:r w:rsidR="00EA6153" w:rsidRPr="00015A39">
        <w:rPr>
          <w:color w:val="000000" w:themeColor="text1"/>
        </w:rPr>
        <w:t xml:space="preserve">. </w:t>
      </w:r>
      <w:r w:rsidR="00DA7B66" w:rsidRPr="00015A39">
        <w:rPr>
          <w:color w:val="000000" w:themeColor="text1"/>
        </w:rPr>
        <w:t xml:space="preserve">To ensure that the categorization is accurate and representative in reflecting the fat amount in a specified food group, we selected a diverse list of </w:t>
      </w:r>
      <w:r w:rsidR="0015249F" w:rsidRPr="00015A39">
        <w:rPr>
          <w:color w:val="000000" w:themeColor="text1"/>
        </w:rPr>
        <w:t xml:space="preserve">common </w:t>
      </w:r>
      <w:r w:rsidR="00DA7B66" w:rsidRPr="00015A39">
        <w:rPr>
          <w:color w:val="000000" w:themeColor="text1"/>
        </w:rPr>
        <w:t xml:space="preserve">food items </w:t>
      </w:r>
      <w:r w:rsidR="00DC5743" w:rsidRPr="00015A39">
        <w:rPr>
          <w:color w:val="000000" w:themeColor="text1"/>
        </w:rPr>
        <w:t xml:space="preserve">consumed by locals </w:t>
      </w:r>
      <w:r w:rsidR="00DA7B66" w:rsidRPr="00015A39">
        <w:rPr>
          <w:color w:val="000000" w:themeColor="text1"/>
        </w:rPr>
        <w:t>and calculated the average of their estimated fat content (</w:t>
      </w:r>
      <w:r w:rsidR="00DA7B66" w:rsidRPr="00015A39">
        <w:rPr>
          <w:b/>
          <w:bCs/>
          <w:color w:val="000000" w:themeColor="text1"/>
        </w:rPr>
        <w:t xml:space="preserve">Supplemental Table </w:t>
      </w:r>
      <w:r w:rsidR="000E2B2E" w:rsidRPr="00015A39">
        <w:rPr>
          <w:b/>
          <w:bCs/>
          <w:color w:val="000000" w:themeColor="text1"/>
        </w:rPr>
        <w:t>2</w:t>
      </w:r>
      <w:r w:rsidR="00DA7B66" w:rsidRPr="00015A39">
        <w:rPr>
          <w:color w:val="000000" w:themeColor="text1"/>
        </w:rPr>
        <w:t xml:space="preserve">). </w:t>
      </w:r>
      <w:r w:rsidR="00F95FE9" w:rsidRPr="00015A39">
        <w:rPr>
          <w:color w:val="000000" w:themeColor="text1"/>
        </w:rPr>
        <w:t xml:space="preserve">This study has lowered </w:t>
      </w:r>
      <w:r w:rsidR="006A349E" w:rsidRPr="00015A39">
        <w:rPr>
          <w:color w:val="000000" w:themeColor="text1"/>
        </w:rPr>
        <w:t>the threshold to ≥10.0g of total fat/100g to</w:t>
      </w:r>
      <w:r w:rsidR="00C54C27" w:rsidRPr="00015A39">
        <w:rPr>
          <w:color w:val="000000" w:themeColor="text1"/>
        </w:rPr>
        <w:t xml:space="preserve"> </w:t>
      </w:r>
      <w:r w:rsidR="00BB223C" w:rsidRPr="00015A39">
        <w:rPr>
          <w:color w:val="000000" w:themeColor="text1"/>
        </w:rPr>
        <w:t xml:space="preserve">capture a broader range of </w:t>
      </w:r>
      <w:r w:rsidR="007C4CD0" w:rsidRPr="00015A39">
        <w:rPr>
          <w:color w:val="000000" w:themeColor="text1"/>
        </w:rPr>
        <w:t xml:space="preserve">commonly consumed </w:t>
      </w:r>
      <w:r w:rsidR="00BB223C" w:rsidRPr="00015A39">
        <w:rPr>
          <w:color w:val="000000" w:themeColor="text1"/>
        </w:rPr>
        <w:t xml:space="preserve">foods that </w:t>
      </w:r>
      <w:r w:rsidR="002B588E" w:rsidRPr="00015A39">
        <w:rPr>
          <w:color w:val="000000" w:themeColor="text1"/>
        </w:rPr>
        <w:t>might not be included under the stricter &gt;17.5g threshold</w:t>
      </w:r>
      <w:r w:rsidR="00C54C27" w:rsidRPr="00015A39">
        <w:rPr>
          <w:color w:val="000000" w:themeColor="text1"/>
        </w:rPr>
        <w:t xml:space="preserve">. </w:t>
      </w:r>
      <w:r w:rsidR="00E511C9" w:rsidRPr="00015A39">
        <w:rPr>
          <w:color w:val="000000" w:themeColor="text1"/>
        </w:rPr>
        <w:t xml:space="preserve">We also included seafood and milk as high-fat foods despite having an estimated 3-4g of total fat/100g. </w:t>
      </w:r>
      <w:r w:rsidR="00DA7B66" w:rsidRPr="00015A39">
        <w:rPr>
          <w:color w:val="000000" w:themeColor="text1"/>
        </w:rPr>
        <w:t>Food groups with high dietary fats were meat, seafood, eggs, milk, margarine, butter, and burgers/fast foods, while those with low dietary fats (&lt;</w:t>
      </w:r>
      <w:r w:rsidR="005B56D7" w:rsidRPr="00015A39">
        <w:rPr>
          <w:color w:val="000000" w:themeColor="text1"/>
        </w:rPr>
        <w:t>3</w:t>
      </w:r>
      <w:r w:rsidR="00DA7B66" w:rsidRPr="00015A39">
        <w:rPr>
          <w:color w:val="000000" w:themeColor="text1"/>
        </w:rPr>
        <w:t>.0g of total fat/100g) were fruit, vegetables, pulses, cereals, rice, and potatoes.</w:t>
      </w:r>
      <w:r w:rsidR="005B56D7" w:rsidRPr="00015A39">
        <w:rPr>
          <w:color w:val="000000" w:themeColor="text1"/>
        </w:rPr>
        <w:t xml:space="preserve"> </w:t>
      </w:r>
      <w:r w:rsidR="00395101" w:rsidRPr="00015A39">
        <w:rPr>
          <w:color w:val="000000" w:themeColor="text1"/>
        </w:rPr>
        <w:t>A separate s</w:t>
      </w:r>
      <w:r w:rsidR="005B56D7" w:rsidRPr="00015A39">
        <w:rPr>
          <w:color w:val="000000" w:themeColor="text1"/>
        </w:rPr>
        <w:t>ensitivity analys</w:t>
      </w:r>
      <w:r w:rsidR="00AB5B4F" w:rsidRPr="00015A39">
        <w:rPr>
          <w:color w:val="000000" w:themeColor="text1"/>
        </w:rPr>
        <w:t>is</w:t>
      </w:r>
      <w:r w:rsidR="005B56D7" w:rsidRPr="00015A39">
        <w:rPr>
          <w:color w:val="000000" w:themeColor="text1"/>
        </w:rPr>
        <w:t>, including those excluding seafood and milk or using different thresholds, demonstrated consistent associations, confirming the robustness of our findings</w:t>
      </w:r>
      <w:r w:rsidR="00AB5B4F" w:rsidRPr="00015A39">
        <w:rPr>
          <w:color w:val="000000" w:themeColor="text1"/>
        </w:rPr>
        <w:t>.</w:t>
      </w:r>
    </w:p>
    <w:p w14:paraId="5C63AF84" w14:textId="77777777" w:rsidR="00F900BD" w:rsidRPr="00015A39" w:rsidRDefault="00F900BD" w:rsidP="0004258D">
      <w:pPr>
        <w:pStyle w:val="NormalWeb"/>
        <w:spacing w:line="360" w:lineRule="auto"/>
        <w:rPr>
          <w:color w:val="000000" w:themeColor="text1"/>
        </w:rPr>
      </w:pPr>
    </w:p>
    <w:p w14:paraId="0EFE32BC" w14:textId="154B8EB0" w:rsidR="004B3AAB" w:rsidRPr="00015A39" w:rsidRDefault="009A3E14" w:rsidP="0004258D">
      <w:pPr>
        <w:pStyle w:val="NormalWeb"/>
        <w:spacing w:line="360" w:lineRule="auto"/>
        <w:rPr>
          <w:color w:val="000000" w:themeColor="text1"/>
        </w:rPr>
      </w:pPr>
      <w:r w:rsidRPr="00015A39">
        <w:rPr>
          <w:color w:val="000000" w:themeColor="text1"/>
        </w:rPr>
        <w:t>To derive Diet Quality based on Dietary Fat Score (DQDFS)</w:t>
      </w:r>
      <w:r w:rsidR="000605A0" w:rsidRPr="00015A39">
        <w:rPr>
          <w:color w:val="000000" w:themeColor="text1"/>
        </w:rPr>
        <w:t xml:space="preserve"> index, </w:t>
      </w:r>
      <w:r w:rsidR="00F14F60" w:rsidRPr="00015A39">
        <w:rPr>
          <w:color w:val="000000" w:themeColor="text1"/>
        </w:rPr>
        <w:t>a</w:t>
      </w:r>
      <w:r w:rsidR="00E4382A" w:rsidRPr="00015A39">
        <w:rPr>
          <w:color w:val="000000" w:themeColor="text1"/>
        </w:rPr>
        <w:t xml:space="preserve"> specific score was assigned to the corresponding intake frequencies with 0 for never or only occasionally, 2 for once or twice per week, and 7 for most or all days. This is consistent with the rubrics establishe</w:t>
      </w:r>
      <w:r w:rsidR="00BF2FB9" w:rsidRPr="00015A39">
        <w:rPr>
          <w:color w:val="000000" w:themeColor="text1"/>
        </w:rPr>
        <w:t>d [</w:t>
      </w:r>
      <w:r w:rsidR="000F5287" w:rsidRPr="00015A39">
        <w:rPr>
          <w:color w:val="000000" w:themeColor="text1"/>
        </w:rPr>
        <w:t>3</w:t>
      </w:r>
      <w:r w:rsidR="00822951" w:rsidRPr="00015A39">
        <w:rPr>
          <w:color w:val="000000" w:themeColor="text1"/>
        </w:rPr>
        <w:t>7</w:t>
      </w:r>
      <w:r w:rsidR="00BF2FB9" w:rsidRPr="00015A39">
        <w:rPr>
          <w:color w:val="000000" w:themeColor="text1"/>
        </w:rPr>
        <w:t>]</w:t>
      </w:r>
      <w:r w:rsidR="004C0664" w:rsidRPr="00015A39">
        <w:rPr>
          <w:color w:val="000000" w:themeColor="text1"/>
        </w:rPr>
        <w:t xml:space="preserve">. </w:t>
      </w:r>
      <w:r w:rsidR="00E4382A" w:rsidRPr="00015A39">
        <w:rPr>
          <w:color w:val="000000" w:themeColor="text1"/>
        </w:rPr>
        <w:t>A positive score was prepended to high-fat food groups while a negative score was prepended to low-fat food groups. The summation of these assigned dietary fat scores (DFS) for all 13 food groups resulted in DQDFS</w:t>
      </w:r>
      <w:r w:rsidR="005458E7" w:rsidRPr="00015A39">
        <w:rPr>
          <w:color w:val="000000" w:themeColor="text1"/>
        </w:rPr>
        <w:t xml:space="preserve"> (</w:t>
      </w:r>
      <w:r w:rsidR="005458E7" w:rsidRPr="00015A39">
        <w:rPr>
          <w:b/>
          <w:bCs/>
          <w:color w:val="000000" w:themeColor="text1"/>
        </w:rPr>
        <w:t>Supplemental Figure 1</w:t>
      </w:r>
      <w:r w:rsidR="005458E7" w:rsidRPr="00015A39">
        <w:rPr>
          <w:color w:val="000000" w:themeColor="text1"/>
        </w:rPr>
        <w:t>)</w:t>
      </w:r>
      <w:r w:rsidR="00E4382A" w:rsidRPr="00015A39">
        <w:rPr>
          <w:color w:val="000000" w:themeColor="text1"/>
        </w:rPr>
        <w:t xml:space="preserve">. </w:t>
      </w:r>
      <w:r w:rsidR="007C0D7E" w:rsidRPr="00015A39">
        <w:rPr>
          <w:color w:val="000000" w:themeColor="text1"/>
        </w:rPr>
        <w:t>In this study, cut-offs for DQDFS were set at the 33</w:t>
      </w:r>
      <w:r w:rsidR="007C0D7E" w:rsidRPr="00015A39">
        <w:rPr>
          <w:color w:val="000000" w:themeColor="text1"/>
          <w:vertAlign w:val="superscript"/>
        </w:rPr>
        <w:t>rd</w:t>
      </w:r>
      <w:r w:rsidR="007C0D7E" w:rsidRPr="00015A39">
        <w:rPr>
          <w:color w:val="000000" w:themeColor="text1"/>
        </w:rPr>
        <w:t xml:space="preserve"> and 66</w:t>
      </w:r>
      <w:r w:rsidR="007C0D7E" w:rsidRPr="00015A39">
        <w:rPr>
          <w:color w:val="000000" w:themeColor="text1"/>
          <w:vertAlign w:val="superscript"/>
        </w:rPr>
        <w:t>th</w:t>
      </w:r>
      <w:r w:rsidR="007C0D7E" w:rsidRPr="00015A39">
        <w:rPr>
          <w:color w:val="000000" w:themeColor="text1"/>
        </w:rPr>
        <w:t xml:space="preserve"> percentiles based on a preliminary analysis of the SMCGES cohort (</w:t>
      </w:r>
      <w:r w:rsidR="007C0D7E" w:rsidRPr="00015A39">
        <w:rPr>
          <w:i/>
          <w:iCs/>
          <w:color w:val="000000" w:themeColor="text1"/>
        </w:rPr>
        <w:t>n</w:t>
      </w:r>
      <w:r w:rsidR="007C0D7E" w:rsidRPr="00015A39">
        <w:rPr>
          <w:color w:val="000000" w:themeColor="text1"/>
        </w:rPr>
        <w:t xml:space="preserve"> = 13,561)</w:t>
      </w:r>
      <w:r w:rsidR="008E6F32" w:rsidRPr="00015A39">
        <w:rPr>
          <w:color w:val="000000" w:themeColor="text1"/>
        </w:rPr>
        <w:t xml:space="preserve"> (</w:t>
      </w:r>
      <w:r w:rsidR="008E6F32" w:rsidRPr="00015A39">
        <w:rPr>
          <w:b/>
          <w:bCs/>
          <w:color w:val="000000" w:themeColor="text1"/>
        </w:rPr>
        <w:t>Supplemental Figure 2</w:t>
      </w:r>
      <w:r w:rsidR="008E6F32" w:rsidRPr="00015A39">
        <w:rPr>
          <w:color w:val="000000" w:themeColor="text1"/>
        </w:rPr>
        <w:t>)</w:t>
      </w:r>
      <w:r w:rsidR="00320807" w:rsidRPr="00015A39">
        <w:rPr>
          <w:color w:val="000000" w:themeColor="text1"/>
        </w:rPr>
        <w:t xml:space="preserve">. This ensured balanced and representative categorization into low (DFS </w:t>
      </w:r>
      <w:r w:rsidR="0025526D" w:rsidRPr="00015A39">
        <w:rPr>
          <w:color w:val="000000" w:themeColor="text1"/>
        </w:rPr>
        <w:t xml:space="preserve">≤ </w:t>
      </w:r>
      <w:r w:rsidR="00AD5DC1" w:rsidRPr="00015A39">
        <w:rPr>
          <w:color w:val="000000" w:themeColor="text1"/>
        </w:rPr>
        <w:t xml:space="preserve">-8), moderate (DFS between </w:t>
      </w:r>
      <w:r w:rsidR="004A1733" w:rsidRPr="00015A39">
        <w:rPr>
          <w:color w:val="000000" w:themeColor="text1"/>
        </w:rPr>
        <w:t xml:space="preserve">-7 and -1), and high (DFS </w:t>
      </w:r>
      <w:r w:rsidR="0025526D" w:rsidRPr="00015A39">
        <w:rPr>
          <w:color w:val="000000" w:themeColor="text1"/>
        </w:rPr>
        <w:t>≥</w:t>
      </w:r>
      <w:r w:rsidR="004A1733" w:rsidRPr="00015A39">
        <w:rPr>
          <w:color w:val="000000" w:themeColor="text1"/>
        </w:rPr>
        <w:t xml:space="preserve"> 0)</w:t>
      </w:r>
      <w:r w:rsidR="00E60B28" w:rsidRPr="00015A39">
        <w:rPr>
          <w:color w:val="000000" w:themeColor="text1"/>
        </w:rPr>
        <w:t xml:space="preserve"> while maintaining sufficient statistical power. Sensitivity analyses using alternative thresholds (e.g., </w:t>
      </w:r>
      <w:r w:rsidR="00007583" w:rsidRPr="00015A39">
        <w:rPr>
          <w:color w:val="000000" w:themeColor="text1"/>
        </w:rPr>
        <w:t>median split and 25</w:t>
      </w:r>
      <w:r w:rsidR="00007583" w:rsidRPr="00015A39">
        <w:rPr>
          <w:color w:val="000000" w:themeColor="text1"/>
          <w:vertAlign w:val="superscript"/>
        </w:rPr>
        <w:t>th</w:t>
      </w:r>
      <w:r w:rsidR="00007583" w:rsidRPr="00015A39">
        <w:rPr>
          <w:color w:val="000000" w:themeColor="text1"/>
        </w:rPr>
        <w:t>/75</w:t>
      </w:r>
      <w:r w:rsidR="00007583" w:rsidRPr="00015A39">
        <w:rPr>
          <w:color w:val="000000" w:themeColor="text1"/>
          <w:vertAlign w:val="superscript"/>
        </w:rPr>
        <w:t>th</w:t>
      </w:r>
      <w:r w:rsidR="00007583" w:rsidRPr="00015A39">
        <w:rPr>
          <w:color w:val="000000" w:themeColor="text1"/>
        </w:rPr>
        <w:t xml:space="preserve"> percentiles) confirmed the robustness of these cut-offs, as the strength and direction of the association between DQDFS and AD remained consistent across all categorizations</w:t>
      </w:r>
      <w:r w:rsidR="008E6F32" w:rsidRPr="00015A39">
        <w:rPr>
          <w:color w:val="000000" w:themeColor="text1"/>
        </w:rPr>
        <w:t xml:space="preserve"> (</w:t>
      </w:r>
      <w:r w:rsidR="008E6F32" w:rsidRPr="00015A39">
        <w:rPr>
          <w:b/>
          <w:bCs/>
          <w:color w:val="000000" w:themeColor="text1"/>
        </w:rPr>
        <w:t>Supplemental Table 3</w:t>
      </w:r>
      <w:r w:rsidR="008E6F32" w:rsidRPr="00015A39">
        <w:rPr>
          <w:color w:val="000000" w:themeColor="text1"/>
        </w:rPr>
        <w:t>)</w:t>
      </w:r>
      <w:r w:rsidR="00FC3802" w:rsidRPr="00015A39">
        <w:rPr>
          <w:color w:val="000000" w:themeColor="text1"/>
        </w:rPr>
        <w:t>.</w:t>
      </w:r>
      <w:r w:rsidR="006C21F8" w:rsidRPr="00015A39">
        <w:rPr>
          <w:color w:val="000000" w:themeColor="text1"/>
        </w:rPr>
        <w:t xml:space="preserve"> </w:t>
      </w:r>
      <w:r w:rsidR="00E4382A" w:rsidRPr="00015A39">
        <w:rPr>
          <w:color w:val="000000" w:themeColor="text1"/>
        </w:rPr>
        <w:t xml:space="preserve">In a previous study, we </w:t>
      </w:r>
      <w:r w:rsidR="00D85734" w:rsidRPr="00015A39">
        <w:rPr>
          <w:color w:val="000000" w:themeColor="text1"/>
        </w:rPr>
        <w:lastRenderedPageBreak/>
        <w:t>developed</w:t>
      </w:r>
      <w:r w:rsidR="00E4382A" w:rsidRPr="00015A39">
        <w:rPr>
          <w:color w:val="000000" w:themeColor="text1"/>
        </w:rPr>
        <w:t xml:space="preserve"> </w:t>
      </w:r>
      <w:r w:rsidR="00906122" w:rsidRPr="00015A39">
        <w:rPr>
          <w:color w:val="000000" w:themeColor="text1"/>
        </w:rPr>
        <w:t xml:space="preserve">an amount-based dietary index, </w:t>
      </w:r>
      <w:r w:rsidR="00B2183D" w:rsidRPr="00015A39">
        <w:rPr>
          <w:color w:val="000000" w:themeColor="text1"/>
        </w:rPr>
        <w:t>D</w:t>
      </w:r>
      <w:r w:rsidR="00E4382A" w:rsidRPr="00015A39">
        <w:rPr>
          <w:color w:val="000000" w:themeColor="text1"/>
        </w:rPr>
        <w:t xml:space="preserve">iet </w:t>
      </w:r>
      <w:r w:rsidR="00B2183D" w:rsidRPr="00015A39">
        <w:rPr>
          <w:color w:val="000000" w:themeColor="text1"/>
        </w:rPr>
        <w:t>Q</w:t>
      </w:r>
      <w:r w:rsidR="00E4382A" w:rsidRPr="00015A39">
        <w:rPr>
          <w:color w:val="000000" w:themeColor="text1"/>
        </w:rPr>
        <w:t xml:space="preserve">uality based on </w:t>
      </w:r>
      <w:r w:rsidR="00B2183D" w:rsidRPr="00015A39">
        <w:rPr>
          <w:color w:val="000000" w:themeColor="text1"/>
        </w:rPr>
        <w:t>Total</w:t>
      </w:r>
      <w:r w:rsidR="00E4382A" w:rsidRPr="00015A39">
        <w:rPr>
          <w:color w:val="000000" w:themeColor="text1"/>
        </w:rPr>
        <w:t xml:space="preserve"> </w:t>
      </w:r>
      <w:r w:rsidR="00B2183D" w:rsidRPr="00015A39">
        <w:rPr>
          <w:color w:val="000000" w:themeColor="text1"/>
        </w:rPr>
        <w:t>Fat Amount</w:t>
      </w:r>
      <w:r w:rsidR="00E4382A" w:rsidRPr="00015A39">
        <w:rPr>
          <w:color w:val="000000" w:themeColor="text1"/>
        </w:rPr>
        <w:t xml:space="preserve"> (</w:t>
      </w:r>
      <w:r w:rsidR="00B2183D" w:rsidRPr="00015A39">
        <w:rPr>
          <w:color w:val="000000" w:themeColor="text1"/>
        </w:rPr>
        <w:t>DQTFA</w:t>
      </w:r>
      <w:r w:rsidR="00E4382A" w:rsidRPr="00015A39">
        <w:rPr>
          <w:color w:val="000000" w:themeColor="text1"/>
        </w:rPr>
        <w:t>)</w:t>
      </w:r>
      <w:r w:rsidR="007A0AA3" w:rsidRPr="00015A39">
        <w:rPr>
          <w:color w:val="000000" w:themeColor="text1"/>
        </w:rPr>
        <w:t xml:space="preserve">, </w:t>
      </w:r>
      <w:r w:rsidR="00E4382A" w:rsidRPr="00015A39">
        <w:rPr>
          <w:color w:val="000000" w:themeColor="text1"/>
        </w:rPr>
        <w:t xml:space="preserve">to </w:t>
      </w:r>
      <w:r w:rsidR="00317A76" w:rsidRPr="00015A39">
        <w:rPr>
          <w:color w:val="000000" w:themeColor="text1"/>
        </w:rPr>
        <w:t>evaluate</w:t>
      </w:r>
      <w:r w:rsidR="00E4382A" w:rsidRPr="00015A39">
        <w:rPr>
          <w:color w:val="000000" w:themeColor="text1"/>
        </w:rPr>
        <w:t xml:space="preserve"> </w:t>
      </w:r>
      <w:r w:rsidR="001D6135" w:rsidRPr="00015A39">
        <w:rPr>
          <w:color w:val="000000" w:themeColor="text1"/>
        </w:rPr>
        <w:t>subjects’</w:t>
      </w:r>
      <w:r w:rsidR="00E4382A" w:rsidRPr="00015A39">
        <w:rPr>
          <w:color w:val="000000" w:themeColor="text1"/>
        </w:rPr>
        <w:t xml:space="preserve"> </w:t>
      </w:r>
      <w:r w:rsidR="00E81702" w:rsidRPr="00015A39">
        <w:rPr>
          <w:color w:val="000000" w:themeColor="text1"/>
        </w:rPr>
        <w:t xml:space="preserve">dietary </w:t>
      </w:r>
      <w:r w:rsidR="001D6135" w:rsidRPr="00015A39">
        <w:rPr>
          <w:color w:val="000000" w:themeColor="text1"/>
        </w:rPr>
        <w:t>fat intak</w:t>
      </w:r>
      <w:r w:rsidR="008266E3" w:rsidRPr="00015A39">
        <w:rPr>
          <w:color w:val="000000" w:themeColor="text1"/>
        </w:rPr>
        <w:t>e [</w:t>
      </w:r>
      <w:r w:rsidR="00E06072" w:rsidRPr="00015A39">
        <w:rPr>
          <w:color w:val="000000" w:themeColor="text1"/>
        </w:rPr>
        <w:t>3</w:t>
      </w:r>
      <w:r w:rsidR="00822951" w:rsidRPr="00015A39">
        <w:rPr>
          <w:color w:val="000000" w:themeColor="text1"/>
        </w:rPr>
        <w:t>8</w:t>
      </w:r>
      <w:r w:rsidR="008266E3" w:rsidRPr="00015A39">
        <w:rPr>
          <w:color w:val="000000" w:themeColor="text1"/>
        </w:rPr>
        <w:t>]</w:t>
      </w:r>
      <w:r w:rsidR="00557204" w:rsidRPr="00015A39">
        <w:rPr>
          <w:color w:val="000000" w:themeColor="text1"/>
        </w:rPr>
        <w:t xml:space="preserve">. </w:t>
      </w:r>
      <w:r w:rsidR="00064AE2" w:rsidRPr="00015A39">
        <w:rPr>
          <w:color w:val="000000" w:themeColor="text1"/>
        </w:rPr>
        <w:t xml:space="preserve">Combining </w:t>
      </w:r>
      <w:r w:rsidR="00BF5800" w:rsidRPr="00015A39">
        <w:rPr>
          <w:color w:val="000000" w:themeColor="text1"/>
        </w:rPr>
        <w:t xml:space="preserve">DQTFA </w:t>
      </w:r>
      <w:r w:rsidR="00551D50" w:rsidRPr="00015A39">
        <w:rPr>
          <w:color w:val="000000" w:themeColor="text1"/>
        </w:rPr>
        <w:t>and</w:t>
      </w:r>
      <w:r w:rsidR="00BF5800" w:rsidRPr="00015A39">
        <w:rPr>
          <w:color w:val="000000" w:themeColor="text1"/>
        </w:rPr>
        <w:t xml:space="preserve"> DQDFS </w:t>
      </w:r>
      <w:r w:rsidR="00F77072" w:rsidRPr="00015A39">
        <w:rPr>
          <w:color w:val="000000" w:themeColor="text1"/>
        </w:rPr>
        <w:t>enables</w:t>
      </w:r>
      <w:r w:rsidR="00311916" w:rsidRPr="00015A39">
        <w:rPr>
          <w:color w:val="000000" w:themeColor="text1"/>
        </w:rPr>
        <w:t xml:space="preserve"> a more </w:t>
      </w:r>
      <w:r w:rsidR="00F77072" w:rsidRPr="00015A39">
        <w:rPr>
          <w:color w:val="000000" w:themeColor="text1"/>
        </w:rPr>
        <w:t>thorough</w:t>
      </w:r>
      <w:r w:rsidR="00311916" w:rsidRPr="00015A39">
        <w:rPr>
          <w:color w:val="000000" w:themeColor="text1"/>
        </w:rPr>
        <w:t xml:space="preserve"> assessment of </w:t>
      </w:r>
      <w:r w:rsidR="000A5DA0" w:rsidRPr="00015A39">
        <w:rPr>
          <w:color w:val="000000" w:themeColor="text1"/>
        </w:rPr>
        <w:t>individuals’</w:t>
      </w:r>
      <w:r w:rsidR="00311916" w:rsidRPr="00015A39">
        <w:rPr>
          <w:color w:val="000000" w:themeColor="text1"/>
        </w:rPr>
        <w:t xml:space="preserve"> dietary habits </w:t>
      </w:r>
      <w:r w:rsidR="006D6336" w:rsidRPr="00015A39">
        <w:rPr>
          <w:color w:val="000000" w:themeColor="text1"/>
        </w:rPr>
        <w:t>related to</w:t>
      </w:r>
      <w:r w:rsidR="00311916" w:rsidRPr="00015A39">
        <w:rPr>
          <w:color w:val="000000" w:themeColor="text1"/>
        </w:rPr>
        <w:t xml:space="preserve"> high-fat foods, </w:t>
      </w:r>
      <w:r w:rsidR="00AF69FF" w:rsidRPr="00015A39">
        <w:rPr>
          <w:color w:val="000000" w:themeColor="text1"/>
        </w:rPr>
        <w:t>e</w:t>
      </w:r>
      <w:r w:rsidR="00523F3A" w:rsidRPr="00015A39">
        <w:rPr>
          <w:color w:val="000000" w:themeColor="text1"/>
        </w:rPr>
        <w:t>n</w:t>
      </w:r>
      <w:r w:rsidR="00AF69FF" w:rsidRPr="00015A39">
        <w:rPr>
          <w:color w:val="000000" w:themeColor="text1"/>
        </w:rPr>
        <w:t>compassing</w:t>
      </w:r>
      <w:r w:rsidR="00311916" w:rsidRPr="00015A39">
        <w:rPr>
          <w:color w:val="000000" w:themeColor="text1"/>
        </w:rPr>
        <w:t xml:space="preserve"> both the frequency and quantity of consumption. </w:t>
      </w:r>
    </w:p>
    <w:p w14:paraId="363ED3CE" w14:textId="0421E756" w:rsidR="008A5521" w:rsidRPr="00015A39" w:rsidRDefault="008A5521" w:rsidP="008A5521">
      <w:pPr>
        <w:pStyle w:val="Heading2"/>
        <w:rPr>
          <w:color w:val="000000" w:themeColor="text1"/>
          <w:sz w:val="24"/>
          <w:szCs w:val="24"/>
        </w:rPr>
      </w:pPr>
      <w:r w:rsidRPr="00015A39">
        <w:rPr>
          <w:color w:val="000000" w:themeColor="text1"/>
          <w:sz w:val="24"/>
          <w:szCs w:val="24"/>
        </w:rPr>
        <w:t>Covariates</w:t>
      </w:r>
    </w:p>
    <w:p w14:paraId="421B993A" w14:textId="1C556EAD" w:rsidR="008A5521" w:rsidRPr="00015A39" w:rsidRDefault="003259A4" w:rsidP="0004258D">
      <w:pPr>
        <w:pStyle w:val="NormalWeb"/>
        <w:spacing w:line="360" w:lineRule="auto"/>
        <w:rPr>
          <w:color w:val="000000" w:themeColor="text1"/>
        </w:rPr>
      </w:pPr>
      <w:r w:rsidRPr="00015A39">
        <w:rPr>
          <w:color w:val="000000" w:themeColor="text1"/>
        </w:rPr>
        <w:t>N</w:t>
      </w:r>
      <w:r w:rsidR="004764D1" w:rsidRPr="00015A39">
        <w:rPr>
          <w:color w:val="000000" w:themeColor="text1"/>
        </w:rPr>
        <w:t xml:space="preserve">umerical variables like </w:t>
      </w:r>
      <w:r w:rsidR="00313425" w:rsidRPr="00015A39">
        <w:rPr>
          <w:color w:val="000000" w:themeColor="text1"/>
        </w:rPr>
        <w:t xml:space="preserve">the </w:t>
      </w:r>
      <w:r w:rsidR="00EA2FC0" w:rsidRPr="00015A39">
        <w:rPr>
          <w:color w:val="000000" w:themeColor="text1"/>
        </w:rPr>
        <w:t xml:space="preserve">Asian class </w:t>
      </w:r>
      <w:r w:rsidR="003910B3" w:rsidRPr="00015A39">
        <w:rPr>
          <w:color w:val="000000" w:themeColor="text1"/>
        </w:rPr>
        <w:t>body mass index (BMI)</w:t>
      </w:r>
      <w:r w:rsidR="00012062" w:rsidRPr="00015A39">
        <w:rPr>
          <w:color w:val="000000" w:themeColor="text1"/>
        </w:rPr>
        <w:t>,</w:t>
      </w:r>
      <w:r w:rsidR="003910B3" w:rsidRPr="00015A39">
        <w:rPr>
          <w:color w:val="000000" w:themeColor="text1"/>
        </w:rPr>
        <w:t xml:space="preserve"> age</w:t>
      </w:r>
      <w:r w:rsidR="004764D1" w:rsidRPr="00015A39">
        <w:rPr>
          <w:color w:val="000000" w:themeColor="text1"/>
        </w:rPr>
        <w:t xml:space="preserve"> and categorical variables like</w:t>
      </w:r>
      <w:r w:rsidR="00012062" w:rsidRPr="00015A39">
        <w:rPr>
          <w:color w:val="000000" w:themeColor="text1"/>
        </w:rPr>
        <w:t xml:space="preserve"> </w:t>
      </w:r>
      <w:r w:rsidR="003870AA" w:rsidRPr="00015A39">
        <w:rPr>
          <w:color w:val="000000" w:themeColor="text1"/>
        </w:rPr>
        <w:t xml:space="preserve">sex, </w:t>
      </w:r>
      <w:r w:rsidR="004704B6" w:rsidRPr="00015A39">
        <w:rPr>
          <w:color w:val="000000" w:themeColor="text1"/>
        </w:rPr>
        <w:t>parental eczema</w:t>
      </w:r>
      <w:r w:rsidR="00012062" w:rsidRPr="00015A39">
        <w:rPr>
          <w:color w:val="000000" w:themeColor="text1"/>
        </w:rPr>
        <w:t xml:space="preserve">, </w:t>
      </w:r>
      <w:r w:rsidR="005C69F2" w:rsidRPr="00015A39">
        <w:rPr>
          <w:color w:val="000000" w:themeColor="text1"/>
        </w:rPr>
        <w:t>alcohol intake, and smoking status</w:t>
      </w:r>
      <w:r w:rsidR="009E7E5F" w:rsidRPr="00015A39">
        <w:rPr>
          <w:color w:val="000000" w:themeColor="text1"/>
        </w:rPr>
        <w:t xml:space="preserve"> were </w:t>
      </w:r>
      <w:r w:rsidR="00012062" w:rsidRPr="00015A39">
        <w:rPr>
          <w:color w:val="000000" w:themeColor="text1"/>
        </w:rPr>
        <w:t>identified as potential confounders and rigorously adjusted for in multivariable analyses</w:t>
      </w:r>
      <w:r w:rsidR="00645E3C" w:rsidRPr="00015A39">
        <w:rPr>
          <w:color w:val="000000" w:themeColor="text1"/>
        </w:rPr>
        <w:t xml:space="preserve"> [</w:t>
      </w:r>
      <w:r w:rsidR="00AE729E" w:rsidRPr="00015A39">
        <w:rPr>
          <w:color w:val="000000" w:themeColor="text1"/>
        </w:rPr>
        <w:t>3-</w:t>
      </w:r>
      <w:r w:rsidR="00806EBF" w:rsidRPr="00015A39">
        <w:rPr>
          <w:color w:val="000000" w:themeColor="text1"/>
        </w:rPr>
        <w:t>9]</w:t>
      </w:r>
      <w:r w:rsidR="005B60E0" w:rsidRPr="00015A39">
        <w:rPr>
          <w:color w:val="000000" w:themeColor="text1"/>
        </w:rPr>
        <w:t xml:space="preserve">. </w:t>
      </w:r>
      <w:r w:rsidR="00255314" w:rsidRPr="00015A39">
        <w:rPr>
          <w:color w:val="000000" w:themeColor="text1"/>
        </w:rPr>
        <w:t xml:space="preserve">Energy intake was </w:t>
      </w:r>
      <w:r w:rsidR="00DB39D4" w:rsidRPr="00015A39">
        <w:rPr>
          <w:color w:val="000000" w:themeColor="text1"/>
        </w:rPr>
        <w:t>analysed</w:t>
      </w:r>
      <w:r w:rsidR="00255314" w:rsidRPr="00015A39">
        <w:rPr>
          <w:color w:val="000000" w:themeColor="text1"/>
        </w:rPr>
        <w:t xml:space="preserve"> in stratified models as a positive covariate, while fruit and vegetable intake was included as a negative covariate</w:t>
      </w:r>
      <w:r w:rsidR="00F436E8" w:rsidRPr="00015A39">
        <w:rPr>
          <w:color w:val="000000" w:themeColor="text1"/>
        </w:rPr>
        <w:t xml:space="preserve"> [</w:t>
      </w:r>
      <w:r w:rsidR="001E122A" w:rsidRPr="00015A39">
        <w:rPr>
          <w:color w:val="000000" w:themeColor="text1"/>
        </w:rPr>
        <w:t>39</w:t>
      </w:r>
      <w:r w:rsidR="00F436E8" w:rsidRPr="00015A39">
        <w:rPr>
          <w:color w:val="000000" w:themeColor="text1"/>
        </w:rPr>
        <w:t>]</w:t>
      </w:r>
      <w:r w:rsidR="00255314" w:rsidRPr="00015A39">
        <w:rPr>
          <w:color w:val="000000" w:themeColor="text1"/>
        </w:rPr>
        <w:t>. Total energy intake (kcal</w:t>
      </w:r>
      <w:r w:rsidR="00CD71C5" w:rsidRPr="00015A39">
        <w:rPr>
          <w:color w:val="000000" w:themeColor="text1"/>
        </w:rPr>
        <w:t>/serving/week</w:t>
      </w:r>
      <w:r w:rsidR="00255314" w:rsidRPr="00015A39">
        <w:rPr>
          <w:color w:val="000000" w:themeColor="text1"/>
        </w:rPr>
        <w:t>) was categorized into low, moderate, or high intake using the 33</w:t>
      </w:r>
      <w:r w:rsidR="00255314" w:rsidRPr="00015A39">
        <w:rPr>
          <w:color w:val="000000" w:themeColor="text1"/>
          <w:vertAlign w:val="superscript"/>
        </w:rPr>
        <w:t>rd</w:t>
      </w:r>
      <w:r w:rsidR="00A5659B" w:rsidRPr="00015A39">
        <w:rPr>
          <w:color w:val="000000" w:themeColor="text1"/>
        </w:rPr>
        <w:t xml:space="preserve"> (6943 kcal/serving/week)</w:t>
      </w:r>
      <w:r w:rsidR="00255314" w:rsidRPr="00015A39">
        <w:rPr>
          <w:color w:val="000000" w:themeColor="text1"/>
        </w:rPr>
        <w:t xml:space="preserve"> and 66</w:t>
      </w:r>
      <w:r w:rsidR="00255314" w:rsidRPr="00015A39">
        <w:rPr>
          <w:color w:val="000000" w:themeColor="text1"/>
          <w:vertAlign w:val="superscript"/>
        </w:rPr>
        <w:t>th</w:t>
      </w:r>
      <w:r w:rsidR="00A5659B" w:rsidRPr="00015A39">
        <w:rPr>
          <w:color w:val="000000" w:themeColor="text1"/>
        </w:rPr>
        <w:t xml:space="preserve"> (10,312 kcal/serving/week)</w:t>
      </w:r>
      <w:r w:rsidR="00255314" w:rsidRPr="00015A39">
        <w:rPr>
          <w:color w:val="000000" w:themeColor="text1"/>
        </w:rPr>
        <w:t xml:space="preserve"> percentiles and derived from the</w:t>
      </w:r>
      <w:r w:rsidR="00125D39" w:rsidRPr="00015A39">
        <w:rPr>
          <w:color w:val="000000" w:themeColor="text1"/>
        </w:rPr>
        <w:t xml:space="preserve"> same</w:t>
      </w:r>
      <w:r w:rsidR="00255314" w:rsidRPr="00015A39">
        <w:rPr>
          <w:color w:val="000000" w:themeColor="text1"/>
        </w:rPr>
        <w:t xml:space="preserve"> </w:t>
      </w:r>
      <w:r w:rsidR="00D55F18" w:rsidRPr="00015A39">
        <w:rPr>
          <w:color w:val="000000" w:themeColor="text1"/>
        </w:rPr>
        <w:t>HPB</w:t>
      </w:r>
      <w:r w:rsidR="00255314" w:rsidRPr="00015A39">
        <w:rPr>
          <w:color w:val="000000" w:themeColor="text1"/>
        </w:rPr>
        <w:t xml:space="preserve"> nutritional database. This approach ensured robust adjustment to isolate the independent effect of dietary fat intake on AD.</w:t>
      </w:r>
    </w:p>
    <w:p w14:paraId="6B828E8D" w14:textId="77777777" w:rsidR="00922211" w:rsidRPr="00015A39" w:rsidRDefault="00922211" w:rsidP="0004258D">
      <w:pPr>
        <w:pStyle w:val="Heading2"/>
        <w:rPr>
          <w:color w:val="000000" w:themeColor="text1"/>
          <w:sz w:val="24"/>
          <w:szCs w:val="24"/>
        </w:rPr>
      </w:pPr>
      <w:r w:rsidRPr="00015A39">
        <w:rPr>
          <w:color w:val="000000" w:themeColor="text1"/>
          <w:sz w:val="24"/>
          <w:szCs w:val="24"/>
        </w:rPr>
        <w:t>Statistical Analysis</w:t>
      </w:r>
    </w:p>
    <w:p w14:paraId="6A53FAB9" w14:textId="15DCBCF4" w:rsidR="00151E91" w:rsidRDefault="00922211" w:rsidP="0004258D">
      <w:pPr>
        <w:spacing w:line="360" w:lineRule="auto"/>
        <w:jc w:val="both"/>
        <w:rPr>
          <w:color w:val="000000" w:themeColor="text1"/>
        </w:rPr>
      </w:pPr>
      <w:r w:rsidRPr="00015A39">
        <w:rPr>
          <w:color w:val="000000" w:themeColor="text1"/>
        </w:rPr>
        <w:t xml:space="preserve">All data used in the analysis were processed using Microsoft Excel (http://office.microsoft.com/en-us/excel/) with statistical analysis conducted in R statistical language (RStudio Team Version 2021.09.0.351, 2021). </w:t>
      </w:r>
      <w:r w:rsidR="00BD7597" w:rsidRPr="00015A39">
        <w:rPr>
          <w:color w:val="000000" w:themeColor="text1"/>
        </w:rPr>
        <w:t>L</w:t>
      </w:r>
      <w:r w:rsidR="004F4D92" w:rsidRPr="00015A39">
        <w:rPr>
          <w:color w:val="000000" w:themeColor="text1"/>
        </w:rPr>
        <w:t>ogistic regression analysis was used to determine the associations between various AD phenotypes and dietary indices.</w:t>
      </w:r>
      <w:r w:rsidR="004D422B" w:rsidRPr="00015A39">
        <w:rPr>
          <w:color w:val="000000" w:themeColor="text1"/>
        </w:rPr>
        <w:t xml:space="preserve"> </w:t>
      </w:r>
      <w:r w:rsidR="004F4D92" w:rsidRPr="00015A39">
        <w:rPr>
          <w:color w:val="000000" w:themeColor="text1"/>
        </w:rPr>
        <w:t xml:space="preserve">The results were presented in adjusted odds ratio (AOR), 95% confidence intervals (CI), and p-value. A chi-square analysis was used to determine the presence of a significant difference in the subject distribution for a given categorical variable between the </w:t>
      </w:r>
      <w:r w:rsidR="00AD5DC1" w:rsidRPr="00015A39">
        <w:rPr>
          <w:color w:val="000000" w:themeColor="text1"/>
        </w:rPr>
        <w:t>DFS</w:t>
      </w:r>
      <w:r w:rsidR="003C26CC" w:rsidRPr="00015A39">
        <w:rPr>
          <w:color w:val="000000" w:themeColor="text1"/>
        </w:rPr>
        <w:t xml:space="preserve"> </w:t>
      </w:r>
      <w:r w:rsidR="004F4D92" w:rsidRPr="00015A39">
        <w:rPr>
          <w:color w:val="000000" w:themeColor="text1"/>
        </w:rPr>
        <w:t xml:space="preserve">categories. A synergy factor (SF) analysis was </w:t>
      </w:r>
      <w:r w:rsidR="005C3347" w:rsidRPr="00015A39">
        <w:rPr>
          <w:color w:val="000000" w:themeColor="text1"/>
        </w:rPr>
        <w:t xml:space="preserve">conducted </w:t>
      </w:r>
      <w:r w:rsidR="00D33D3C" w:rsidRPr="00015A39">
        <w:rPr>
          <w:color w:val="000000" w:themeColor="text1"/>
        </w:rPr>
        <w:t xml:space="preserve">following </w:t>
      </w:r>
      <w:r w:rsidR="004F4D92" w:rsidRPr="00015A39">
        <w:rPr>
          <w:color w:val="000000" w:themeColor="text1"/>
        </w:rPr>
        <w:t xml:space="preserve">the approach </w:t>
      </w:r>
      <w:r w:rsidR="007B19F5" w:rsidRPr="00015A39">
        <w:rPr>
          <w:color w:val="000000" w:themeColor="text1"/>
        </w:rPr>
        <w:t xml:space="preserve">described </w:t>
      </w:r>
      <w:r w:rsidR="004F4D92" w:rsidRPr="00015A39">
        <w:rPr>
          <w:color w:val="000000" w:themeColor="text1"/>
        </w:rPr>
        <w:t xml:space="preserve">by Cortina-Borja </w:t>
      </w:r>
      <w:r w:rsidR="004F4D92" w:rsidRPr="00015A39">
        <w:rPr>
          <w:i/>
          <w:iCs/>
          <w:color w:val="000000" w:themeColor="text1"/>
        </w:rPr>
        <w:t>et al</w:t>
      </w:r>
      <w:r w:rsidR="004F4D92" w:rsidRPr="00015A39">
        <w:rPr>
          <w:color w:val="000000" w:themeColor="text1"/>
        </w:rPr>
        <w:t xml:space="preserve">. </w:t>
      </w:r>
      <w:r w:rsidR="001A7BC0" w:rsidRPr="00015A39">
        <w:rPr>
          <w:color w:val="000000" w:themeColor="text1"/>
        </w:rPr>
        <w:t xml:space="preserve">[40] </w:t>
      </w:r>
      <w:r w:rsidR="004F4D92" w:rsidRPr="00015A39">
        <w:rPr>
          <w:color w:val="000000" w:themeColor="text1"/>
        </w:rPr>
        <w:t xml:space="preserve">to </w:t>
      </w:r>
      <w:r w:rsidR="00854B4D" w:rsidRPr="00015A39">
        <w:rPr>
          <w:color w:val="000000" w:themeColor="text1"/>
        </w:rPr>
        <w:t xml:space="preserve">assess potential </w:t>
      </w:r>
      <w:r w:rsidR="008615AF" w:rsidRPr="00015A39">
        <w:rPr>
          <w:color w:val="000000" w:themeColor="text1"/>
        </w:rPr>
        <w:t>synergistic</w:t>
      </w:r>
      <w:r w:rsidR="004F4D92" w:rsidRPr="00015A39">
        <w:rPr>
          <w:color w:val="000000" w:themeColor="text1"/>
        </w:rPr>
        <w:t xml:space="preserve"> </w:t>
      </w:r>
      <w:r w:rsidR="00587093" w:rsidRPr="00015A39">
        <w:rPr>
          <w:color w:val="000000" w:themeColor="text1"/>
        </w:rPr>
        <w:t xml:space="preserve">interactions </w:t>
      </w:r>
      <w:r w:rsidR="004F4D92" w:rsidRPr="00015A39">
        <w:rPr>
          <w:color w:val="000000" w:themeColor="text1"/>
        </w:rPr>
        <w:t xml:space="preserve">between </w:t>
      </w:r>
      <w:r w:rsidR="00C32860" w:rsidRPr="00015A39">
        <w:rPr>
          <w:color w:val="000000" w:themeColor="text1"/>
        </w:rPr>
        <w:t>various dietary factors</w:t>
      </w:r>
      <w:r w:rsidR="000E2798" w:rsidRPr="00015A39">
        <w:rPr>
          <w:color w:val="000000" w:themeColor="text1"/>
        </w:rPr>
        <w:t xml:space="preserve">, </w:t>
      </w:r>
      <w:r w:rsidR="00DB5374" w:rsidRPr="00015A39">
        <w:rPr>
          <w:color w:val="000000" w:themeColor="text1"/>
        </w:rPr>
        <w:t>specifically</w:t>
      </w:r>
      <w:r w:rsidR="000E2798" w:rsidRPr="00015A39">
        <w:rPr>
          <w:color w:val="000000" w:themeColor="text1"/>
        </w:rPr>
        <w:t xml:space="preserve"> the frequency of high-fat food intake, fruit and vegetable intake, </w:t>
      </w:r>
      <w:r w:rsidR="008615AF" w:rsidRPr="00015A39">
        <w:rPr>
          <w:color w:val="000000" w:themeColor="text1"/>
        </w:rPr>
        <w:t xml:space="preserve">and </w:t>
      </w:r>
      <w:r w:rsidR="000E2798" w:rsidRPr="00015A39">
        <w:rPr>
          <w:color w:val="000000" w:themeColor="text1"/>
        </w:rPr>
        <w:t>total energy intake</w:t>
      </w:r>
      <w:r w:rsidR="00F40BF9" w:rsidRPr="00015A39">
        <w:rPr>
          <w:color w:val="000000" w:themeColor="text1"/>
        </w:rPr>
        <w:t>, in</w:t>
      </w:r>
      <w:r w:rsidR="004F4D92" w:rsidRPr="00015A39">
        <w:rPr>
          <w:color w:val="000000" w:themeColor="text1"/>
        </w:rPr>
        <w:t xml:space="preserve"> </w:t>
      </w:r>
      <w:r w:rsidR="00F40BF9" w:rsidRPr="00015A39">
        <w:rPr>
          <w:color w:val="000000" w:themeColor="text1"/>
        </w:rPr>
        <w:t>influencing</w:t>
      </w:r>
      <w:r w:rsidR="004F4D92" w:rsidRPr="00015A39">
        <w:rPr>
          <w:color w:val="000000" w:themeColor="text1"/>
        </w:rPr>
        <w:t xml:space="preserve"> </w:t>
      </w:r>
      <w:r w:rsidR="002409FA" w:rsidRPr="00015A39">
        <w:rPr>
          <w:color w:val="000000" w:themeColor="text1"/>
        </w:rPr>
        <w:t>AD</w:t>
      </w:r>
      <w:r w:rsidR="00F40BF9" w:rsidRPr="00015A39">
        <w:rPr>
          <w:color w:val="000000" w:themeColor="text1"/>
        </w:rPr>
        <w:t xml:space="preserve"> susceptibility</w:t>
      </w:r>
      <w:r w:rsidR="00A52C29" w:rsidRPr="00015A39">
        <w:rPr>
          <w:color w:val="000000" w:themeColor="text1"/>
        </w:rPr>
        <w:t>.</w:t>
      </w:r>
      <w:r w:rsidR="004F4D92" w:rsidRPr="00015A39">
        <w:rPr>
          <w:color w:val="000000" w:themeColor="text1"/>
        </w:rPr>
        <w:t xml:space="preserve"> </w:t>
      </w:r>
      <w:r w:rsidR="0063174E" w:rsidRPr="00015A39">
        <w:rPr>
          <w:color w:val="000000" w:themeColor="text1"/>
        </w:rPr>
        <w:t xml:space="preserve">SF analysis is useful </w:t>
      </w:r>
      <w:r w:rsidR="008274A6" w:rsidRPr="00015A39">
        <w:rPr>
          <w:color w:val="000000" w:themeColor="text1"/>
        </w:rPr>
        <w:t>for identifying interactions</w:t>
      </w:r>
      <w:r w:rsidR="0063174E" w:rsidRPr="00015A39">
        <w:rPr>
          <w:color w:val="000000" w:themeColor="text1"/>
        </w:rPr>
        <w:t xml:space="preserve"> that may not be evident when </w:t>
      </w:r>
      <w:r w:rsidR="008274A6" w:rsidRPr="00015A39">
        <w:rPr>
          <w:color w:val="000000" w:themeColor="text1"/>
        </w:rPr>
        <w:t xml:space="preserve">dietary components are </w:t>
      </w:r>
      <w:r w:rsidR="0063174E" w:rsidRPr="00015A39">
        <w:rPr>
          <w:color w:val="000000" w:themeColor="text1"/>
        </w:rPr>
        <w:t>stu</w:t>
      </w:r>
      <w:r w:rsidR="008274A6" w:rsidRPr="00015A39">
        <w:rPr>
          <w:color w:val="000000" w:themeColor="text1"/>
        </w:rPr>
        <w:t>died</w:t>
      </w:r>
      <w:r w:rsidR="0063174E" w:rsidRPr="00015A39">
        <w:rPr>
          <w:color w:val="000000" w:themeColor="text1"/>
        </w:rPr>
        <w:t xml:space="preserve"> individua</w:t>
      </w:r>
      <w:r w:rsidR="008274A6" w:rsidRPr="00015A39">
        <w:rPr>
          <w:color w:val="000000" w:themeColor="text1"/>
        </w:rPr>
        <w:t>l</w:t>
      </w:r>
      <w:r w:rsidR="0063174E" w:rsidRPr="00015A39">
        <w:rPr>
          <w:color w:val="000000" w:themeColor="text1"/>
        </w:rPr>
        <w:t>l</w:t>
      </w:r>
      <w:r w:rsidR="008274A6" w:rsidRPr="00015A39">
        <w:rPr>
          <w:color w:val="000000" w:themeColor="text1"/>
        </w:rPr>
        <w:t>y</w:t>
      </w:r>
      <w:r w:rsidR="008963B4" w:rsidRPr="00015A39">
        <w:rPr>
          <w:color w:val="000000" w:themeColor="text1"/>
        </w:rPr>
        <w:t xml:space="preserve">. </w:t>
      </w:r>
      <w:r w:rsidR="00C20EAC" w:rsidRPr="00015A39">
        <w:rPr>
          <w:color w:val="000000" w:themeColor="text1"/>
        </w:rPr>
        <w:t>A synergistic effect occurs when the combined effect of two dietary factors is greater than the sum of their individual effects, while an antagonistic effect arises when the combined effect is less than the sum of individual effects. The SF value quantifies these interactions, with values greater than 1 indicating synergism, and values less</w:t>
      </w:r>
      <w:r w:rsidR="00F959A2" w:rsidRPr="00015A39">
        <w:rPr>
          <w:color w:val="000000" w:themeColor="text1"/>
        </w:rPr>
        <w:t>er</w:t>
      </w:r>
      <w:r w:rsidR="00C20EAC" w:rsidRPr="00015A39">
        <w:rPr>
          <w:color w:val="000000" w:themeColor="text1"/>
        </w:rPr>
        <w:t xml:space="preserve"> than 1 indicating antagonism. </w:t>
      </w:r>
      <w:r w:rsidR="000D7EEC" w:rsidRPr="00015A39">
        <w:rPr>
          <w:color w:val="000000" w:themeColor="text1"/>
        </w:rPr>
        <w:t xml:space="preserve">To account for multiple comparisons and minimize </w:t>
      </w:r>
      <w:r w:rsidR="000D7EEC" w:rsidRPr="00015A39">
        <w:rPr>
          <w:color w:val="000000" w:themeColor="text1"/>
        </w:rPr>
        <w:lastRenderedPageBreak/>
        <w:t>the risk of type I errors, p</w:t>
      </w:r>
      <w:r w:rsidR="004F4D92" w:rsidRPr="00015A39">
        <w:rPr>
          <w:color w:val="000000" w:themeColor="text1"/>
        </w:rPr>
        <w:t xml:space="preserve">-values obtained from all analyses were adjusted </w:t>
      </w:r>
      <w:r w:rsidR="000D7EEC" w:rsidRPr="00015A39">
        <w:rPr>
          <w:color w:val="000000" w:themeColor="text1"/>
        </w:rPr>
        <w:t xml:space="preserve">using the </w:t>
      </w:r>
      <w:r w:rsidR="000E6D6D" w:rsidRPr="00015A39">
        <w:rPr>
          <w:color w:val="000000" w:themeColor="text1"/>
        </w:rPr>
        <w:t>False</w:t>
      </w:r>
      <w:r w:rsidR="004F4D92" w:rsidRPr="00015A39">
        <w:rPr>
          <w:color w:val="000000" w:themeColor="text1"/>
        </w:rPr>
        <w:t xml:space="preserve"> </w:t>
      </w:r>
      <w:r w:rsidR="000E6D6D" w:rsidRPr="00015A39">
        <w:rPr>
          <w:color w:val="000000" w:themeColor="text1"/>
        </w:rPr>
        <w:t>Discovery Rate (FDR)</w:t>
      </w:r>
      <w:r w:rsidR="004F4D92" w:rsidRPr="00015A39">
        <w:rPr>
          <w:color w:val="000000" w:themeColor="text1"/>
        </w:rPr>
        <w:t xml:space="preserve"> </w:t>
      </w:r>
      <w:r w:rsidR="000D7EEC" w:rsidRPr="00015A39">
        <w:rPr>
          <w:color w:val="000000" w:themeColor="text1"/>
        </w:rPr>
        <w:t>method</w:t>
      </w:r>
      <w:r w:rsidR="00CF7A80" w:rsidRPr="00015A39">
        <w:rPr>
          <w:color w:val="000000" w:themeColor="text1"/>
        </w:rPr>
        <w:t xml:space="preserve"> [41]</w:t>
      </w:r>
      <w:r w:rsidR="000D7EEC" w:rsidRPr="00015A39">
        <w:rPr>
          <w:color w:val="000000" w:themeColor="text1"/>
        </w:rPr>
        <w:t>. This adjustment</w:t>
      </w:r>
      <w:r w:rsidR="008C0ED0" w:rsidRPr="00015A39">
        <w:rPr>
          <w:color w:val="000000" w:themeColor="text1"/>
        </w:rPr>
        <w:t xml:space="preserve"> ensure</w:t>
      </w:r>
      <w:r w:rsidR="000D7EEC" w:rsidRPr="00015A39">
        <w:rPr>
          <w:color w:val="000000" w:themeColor="text1"/>
        </w:rPr>
        <w:t>s</w:t>
      </w:r>
      <w:r w:rsidR="008C0ED0" w:rsidRPr="00015A39">
        <w:rPr>
          <w:color w:val="000000" w:themeColor="text1"/>
        </w:rPr>
        <w:t xml:space="preserve"> </w:t>
      </w:r>
      <w:r w:rsidR="000D7EEC" w:rsidRPr="00015A39">
        <w:rPr>
          <w:color w:val="000000" w:themeColor="text1"/>
        </w:rPr>
        <w:t>the statistical reliability of our findings while maintaining control over the proportion of false positives in exploratory analyses</w:t>
      </w:r>
      <w:r w:rsidR="008C0ED0" w:rsidRPr="00015A39">
        <w:rPr>
          <w:color w:val="000000" w:themeColor="text1"/>
        </w:rPr>
        <w:t xml:space="preserve">. </w:t>
      </w:r>
    </w:p>
    <w:p w14:paraId="3D544A48" w14:textId="77777777" w:rsidR="008B3160" w:rsidRPr="00015A39" w:rsidRDefault="008B3160" w:rsidP="0004258D">
      <w:pPr>
        <w:spacing w:line="360" w:lineRule="auto"/>
        <w:jc w:val="both"/>
        <w:rPr>
          <w:color w:val="000000" w:themeColor="text1"/>
        </w:rPr>
      </w:pPr>
    </w:p>
    <w:p w14:paraId="414E558F" w14:textId="77777777" w:rsidR="00922211" w:rsidRPr="00015A39" w:rsidRDefault="00922211" w:rsidP="0004258D">
      <w:pPr>
        <w:pStyle w:val="Heading1"/>
        <w:rPr>
          <w:color w:val="000000" w:themeColor="text1"/>
          <w:sz w:val="24"/>
          <w:szCs w:val="24"/>
        </w:rPr>
      </w:pPr>
      <w:r w:rsidRPr="00015A39">
        <w:rPr>
          <w:color w:val="000000" w:themeColor="text1"/>
          <w:sz w:val="24"/>
          <w:szCs w:val="24"/>
        </w:rPr>
        <w:t xml:space="preserve">Results </w:t>
      </w:r>
    </w:p>
    <w:p w14:paraId="75351D9F" w14:textId="4D0F275C" w:rsidR="00922211" w:rsidRPr="00015A39" w:rsidRDefault="005E3BC4" w:rsidP="0004258D">
      <w:pPr>
        <w:pStyle w:val="Heading2"/>
        <w:rPr>
          <w:color w:val="000000" w:themeColor="text1"/>
          <w:sz w:val="24"/>
          <w:szCs w:val="24"/>
        </w:rPr>
      </w:pPr>
      <w:r w:rsidRPr="00015A39">
        <w:rPr>
          <w:color w:val="000000" w:themeColor="text1"/>
          <w:sz w:val="24"/>
          <w:szCs w:val="24"/>
        </w:rPr>
        <w:t>Dietary Fat Scores</w:t>
      </w:r>
      <w:r w:rsidR="00922211" w:rsidRPr="00015A39">
        <w:rPr>
          <w:color w:val="000000" w:themeColor="text1"/>
          <w:sz w:val="24"/>
          <w:szCs w:val="24"/>
        </w:rPr>
        <w:t xml:space="preserve"> Among Singapore</w:t>
      </w:r>
      <w:r w:rsidR="00CC2791" w:rsidRPr="00015A39">
        <w:rPr>
          <w:color w:val="000000" w:themeColor="text1"/>
          <w:sz w:val="24"/>
          <w:szCs w:val="24"/>
        </w:rPr>
        <w:t xml:space="preserve"> and </w:t>
      </w:r>
      <w:r w:rsidR="00922211" w:rsidRPr="00015A39">
        <w:rPr>
          <w:color w:val="000000" w:themeColor="text1"/>
          <w:sz w:val="24"/>
          <w:szCs w:val="24"/>
        </w:rPr>
        <w:t xml:space="preserve">Malaysia </w:t>
      </w:r>
      <w:r w:rsidR="00997E48" w:rsidRPr="00015A39">
        <w:rPr>
          <w:color w:val="000000" w:themeColor="text1"/>
          <w:sz w:val="24"/>
          <w:szCs w:val="24"/>
        </w:rPr>
        <w:t xml:space="preserve">Chinese </w:t>
      </w:r>
      <w:r w:rsidR="00922211" w:rsidRPr="00015A39">
        <w:rPr>
          <w:color w:val="000000" w:themeColor="text1"/>
          <w:sz w:val="24"/>
          <w:szCs w:val="24"/>
        </w:rPr>
        <w:t>Population</w:t>
      </w:r>
    </w:p>
    <w:p w14:paraId="29DA8393" w14:textId="6CE4B264" w:rsidR="0038666E" w:rsidRPr="00015A39" w:rsidRDefault="00B46C9F" w:rsidP="0004258D">
      <w:pPr>
        <w:spacing w:line="360" w:lineRule="auto"/>
        <w:jc w:val="both"/>
        <w:rPr>
          <w:color w:val="000000" w:themeColor="text1"/>
        </w:rPr>
      </w:pPr>
      <w:r w:rsidRPr="00015A39">
        <w:rPr>
          <w:color w:val="000000" w:themeColor="text1"/>
        </w:rPr>
        <w:t>A</w:t>
      </w:r>
      <w:r w:rsidR="00104AA5" w:rsidRPr="00015A39">
        <w:rPr>
          <w:color w:val="000000" w:themeColor="text1"/>
        </w:rPr>
        <w:t>pproximately one-third</w:t>
      </w:r>
      <w:r w:rsidR="0087305A" w:rsidRPr="00015A39">
        <w:rPr>
          <w:color w:val="000000" w:themeColor="text1"/>
        </w:rPr>
        <w:t xml:space="preserve"> of the 13,561 subjects in the SMCGES cohort </w:t>
      </w:r>
      <w:r w:rsidR="00104AA5" w:rsidRPr="00015A39">
        <w:rPr>
          <w:color w:val="000000" w:themeColor="text1"/>
        </w:rPr>
        <w:t xml:space="preserve">fell into each DFS category. The majority of subjects had a </w:t>
      </w:r>
      <w:r w:rsidR="00CB649D" w:rsidRPr="00015A39">
        <w:rPr>
          <w:color w:val="000000" w:themeColor="text1"/>
        </w:rPr>
        <w:t xml:space="preserve">high </w:t>
      </w:r>
      <w:r w:rsidR="00104AA5" w:rsidRPr="00015A39">
        <w:rPr>
          <w:color w:val="000000" w:themeColor="text1"/>
        </w:rPr>
        <w:t>DFS (</w:t>
      </w:r>
      <w:r w:rsidR="00196C6A" w:rsidRPr="00015A39">
        <w:rPr>
          <w:color w:val="000000" w:themeColor="text1"/>
        </w:rPr>
        <w:t>3</w:t>
      </w:r>
      <w:r w:rsidR="00CB649D" w:rsidRPr="00015A39">
        <w:rPr>
          <w:color w:val="000000" w:themeColor="text1"/>
        </w:rPr>
        <w:t>4</w:t>
      </w:r>
      <w:r w:rsidR="00196C6A" w:rsidRPr="00015A39">
        <w:rPr>
          <w:color w:val="000000" w:themeColor="text1"/>
        </w:rPr>
        <w:t>.</w:t>
      </w:r>
      <w:r w:rsidR="00CB649D" w:rsidRPr="00015A39">
        <w:rPr>
          <w:color w:val="000000" w:themeColor="text1"/>
        </w:rPr>
        <w:t>3</w:t>
      </w:r>
      <w:r w:rsidR="00104AA5" w:rsidRPr="00015A39">
        <w:rPr>
          <w:color w:val="000000" w:themeColor="text1"/>
        </w:rPr>
        <w:t xml:space="preserve">%), followed by those with a </w:t>
      </w:r>
      <w:r w:rsidR="00CB649D" w:rsidRPr="00015A39">
        <w:rPr>
          <w:color w:val="000000" w:themeColor="text1"/>
        </w:rPr>
        <w:t xml:space="preserve">low </w:t>
      </w:r>
      <w:r w:rsidR="00104AA5" w:rsidRPr="00015A39">
        <w:rPr>
          <w:color w:val="000000" w:themeColor="text1"/>
        </w:rPr>
        <w:t>DFS (</w:t>
      </w:r>
      <w:r w:rsidR="00CB649D" w:rsidRPr="00015A39">
        <w:rPr>
          <w:color w:val="000000" w:themeColor="text1"/>
        </w:rPr>
        <w:t xml:space="preserve">32.0 </w:t>
      </w:r>
      <w:r w:rsidR="00104AA5" w:rsidRPr="00015A39">
        <w:rPr>
          <w:color w:val="000000" w:themeColor="text1"/>
        </w:rPr>
        <w:t xml:space="preserve">%) and a </w:t>
      </w:r>
      <w:r w:rsidR="009A210C" w:rsidRPr="00015A39">
        <w:rPr>
          <w:color w:val="000000" w:themeColor="text1"/>
        </w:rPr>
        <w:t>moderate</w:t>
      </w:r>
      <w:r w:rsidR="00104AA5" w:rsidRPr="00015A39">
        <w:rPr>
          <w:color w:val="000000" w:themeColor="text1"/>
        </w:rPr>
        <w:t xml:space="preserve"> DFS</w:t>
      </w:r>
      <w:r w:rsidR="00176DDE" w:rsidRPr="00015A39">
        <w:rPr>
          <w:color w:val="000000" w:themeColor="text1"/>
        </w:rPr>
        <w:t xml:space="preserve"> </w:t>
      </w:r>
      <w:r w:rsidR="00104AA5" w:rsidRPr="00015A39">
        <w:rPr>
          <w:color w:val="000000" w:themeColor="text1"/>
        </w:rPr>
        <w:t>(</w:t>
      </w:r>
      <w:r w:rsidR="00CB649D" w:rsidRPr="00015A39">
        <w:rPr>
          <w:color w:val="000000" w:themeColor="text1"/>
        </w:rPr>
        <w:t>29.4</w:t>
      </w:r>
      <w:r w:rsidR="00104AA5" w:rsidRPr="00015A39">
        <w:rPr>
          <w:color w:val="000000" w:themeColor="text1"/>
        </w:rPr>
        <w:t xml:space="preserve">%) as detailed in </w:t>
      </w:r>
      <w:r w:rsidR="00104AA5" w:rsidRPr="00015A39">
        <w:rPr>
          <w:b/>
          <w:bCs/>
          <w:color w:val="000000" w:themeColor="text1"/>
        </w:rPr>
        <w:t>Table 1</w:t>
      </w:r>
      <w:r w:rsidR="00104AA5" w:rsidRPr="00015A39">
        <w:rPr>
          <w:color w:val="000000" w:themeColor="text1"/>
        </w:rPr>
        <w:t xml:space="preserve">. Due to some invalid or missing responses regarding dietary habits for certain food groups, </w:t>
      </w:r>
      <w:r w:rsidR="00C50DB9" w:rsidRPr="00015A39">
        <w:rPr>
          <w:color w:val="000000" w:themeColor="text1"/>
        </w:rPr>
        <w:t xml:space="preserve">576 </w:t>
      </w:r>
      <w:r w:rsidR="00104AA5" w:rsidRPr="00015A39">
        <w:rPr>
          <w:color w:val="000000" w:themeColor="text1"/>
        </w:rPr>
        <w:t xml:space="preserve">subjects </w:t>
      </w:r>
      <w:r w:rsidR="00EA6072" w:rsidRPr="00015A39">
        <w:rPr>
          <w:color w:val="000000" w:themeColor="text1"/>
        </w:rPr>
        <w:t>(4.</w:t>
      </w:r>
      <w:r w:rsidR="00C50DB9" w:rsidRPr="00015A39">
        <w:rPr>
          <w:color w:val="000000" w:themeColor="text1"/>
        </w:rPr>
        <w:t>25</w:t>
      </w:r>
      <w:r w:rsidR="00EA6072" w:rsidRPr="00015A39">
        <w:rPr>
          <w:color w:val="000000" w:themeColor="text1"/>
        </w:rPr>
        <w:t xml:space="preserve">%) </w:t>
      </w:r>
      <w:r w:rsidR="00104AA5" w:rsidRPr="00015A39">
        <w:rPr>
          <w:color w:val="000000" w:themeColor="text1"/>
        </w:rPr>
        <w:t xml:space="preserve">could </w:t>
      </w:r>
      <w:r w:rsidR="00F63544" w:rsidRPr="00015A39">
        <w:rPr>
          <w:color w:val="000000" w:themeColor="text1"/>
        </w:rPr>
        <w:t xml:space="preserve">not </w:t>
      </w:r>
      <w:r w:rsidR="00104AA5" w:rsidRPr="00015A39">
        <w:rPr>
          <w:color w:val="000000" w:themeColor="text1"/>
        </w:rPr>
        <w:t xml:space="preserve">be accurately categorized into any of the DFS categories and </w:t>
      </w:r>
      <w:r w:rsidR="00090154" w:rsidRPr="00015A39">
        <w:rPr>
          <w:color w:val="000000" w:themeColor="text1"/>
        </w:rPr>
        <w:t xml:space="preserve">were </w:t>
      </w:r>
      <w:r w:rsidR="00104AA5" w:rsidRPr="00015A39">
        <w:rPr>
          <w:color w:val="000000" w:themeColor="text1"/>
        </w:rPr>
        <w:t xml:space="preserve">thus excluded in the subsequent analysis. </w:t>
      </w:r>
    </w:p>
    <w:p w14:paraId="2BB68060" w14:textId="5B5BE334" w:rsidR="00104AA5" w:rsidRPr="00015A39" w:rsidRDefault="008C33AF" w:rsidP="0004258D">
      <w:pPr>
        <w:spacing w:line="360" w:lineRule="auto"/>
        <w:jc w:val="both"/>
        <w:rPr>
          <w:color w:val="000000" w:themeColor="text1"/>
        </w:rPr>
      </w:pPr>
      <w:r w:rsidRPr="00015A39">
        <w:rPr>
          <w:color w:val="000000" w:themeColor="text1"/>
        </w:rPr>
        <w:t xml:space="preserve">Our population has a mean age of 22.51 (SD ± 5.90). </w:t>
      </w:r>
      <w:r w:rsidR="00104AA5" w:rsidRPr="00015A39">
        <w:rPr>
          <w:color w:val="000000" w:themeColor="text1"/>
        </w:rPr>
        <w:t>Over half of the subjects were females, with the largest proportion of females (male: female ratio; 1:1.</w:t>
      </w:r>
      <w:r w:rsidR="00E00DB9" w:rsidRPr="00015A39">
        <w:rPr>
          <w:color w:val="000000" w:themeColor="text1"/>
        </w:rPr>
        <w:t>87</w:t>
      </w:r>
      <w:r w:rsidR="00104AA5" w:rsidRPr="00015A39">
        <w:rPr>
          <w:color w:val="000000" w:themeColor="text1"/>
        </w:rPr>
        <w:t xml:space="preserve">) having a low DFS. </w:t>
      </w:r>
      <w:r w:rsidR="00CA6919" w:rsidRPr="00015A39">
        <w:rPr>
          <w:color w:val="000000" w:themeColor="text1"/>
        </w:rPr>
        <w:t>The d</w:t>
      </w:r>
      <w:r w:rsidR="00104AA5" w:rsidRPr="00015A39">
        <w:rPr>
          <w:color w:val="000000" w:themeColor="text1"/>
        </w:rPr>
        <w:t xml:space="preserve">ifference in sex proportion across DFS categories </w:t>
      </w:r>
      <w:r w:rsidR="007A3544" w:rsidRPr="00015A39">
        <w:rPr>
          <w:color w:val="000000" w:themeColor="text1"/>
        </w:rPr>
        <w:t>wa</w:t>
      </w:r>
      <w:r w:rsidR="00104AA5" w:rsidRPr="00015A39">
        <w:rPr>
          <w:color w:val="000000" w:themeColor="text1"/>
        </w:rPr>
        <w:t xml:space="preserve">s significant. More than half of the </w:t>
      </w:r>
      <w:r w:rsidR="00D45DCB" w:rsidRPr="00015A39">
        <w:rPr>
          <w:color w:val="000000" w:themeColor="text1"/>
        </w:rPr>
        <w:t xml:space="preserve">individuals </w:t>
      </w:r>
      <w:r w:rsidR="00104AA5" w:rsidRPr="00015A39">
        <w:rPr>
          <w:color w:val="000000" w:themeColor="text1"/>
        </w:rPr>
        <w:t xml:space="preserve">have a healthy BMI range across the DFS categories. There was a pronounced difference between the proportion of overweight </w:t>
      </w:r>
      <w:r w:rsidR="00D45DCB" w:rsidRPr="00015A39">
        <w:rPr>
          <w:color w:val="000000" w:themeColor="text1"/>
        </w:rPr>
        <w:t xml:space="preserve">individuals </w:t>
      </w:r>
      <w:r w:rsidR="00104AA5" w:rsidRPr="00015A39">
        <w:rPr>
          <w:color w:val="000000" w:themeColor="text1"/>
        </w:rPr>
        <w:t>in the low DFS (</w:t>
      </w:r>
      <w:r w:rsidR="007256CE" w:rsidRPr="00015A39">
        <w:rPr>
          <w:color w:val="000000" w:themeColor="text1"/>
        </w:rPr>
        <w:t>1</w:t>
      </w:r>
      <w:r w:rsidR="0054325D" w:rsidRPr="00015A39">
        <w:rPr>
          <w:color w:val="000000" w:themeColor="text1"/>
        </w:rPr>
        <w:t>4</w:t>
      </w:r>
      <w:r w:rsidR="007256CE" w:rsidRPr="00015A39">
        <w:rPr>
          <w:color w:val="000000" w:themeColor="text1"/>
        </w:rPr>
        <w:t>.2</w:t>
      </w:r>
      <w:r w:rsidR="00104AA5" w:rsidRPr="00015A39">
        <w:rPr>
          <w:color w:val="000000" w:themeColor="text1"/>
        </w:rPr>
        <w:t>%) and high DFS (1</w:t>
      </w:r>
      <w:r w:rsidR="007256CE" w:rsidRPr="00015A39">
        <w:rPr>
          <w:color w:val="000000" w:themeColor="text1"/>
        </w:rPr>
        <w:t>6</w:t>
      </w:r>
      <w:r w:rsidR="00104AA5" w:rsidRPr="00015A39">
        <w:rPr>
          <w:color w:val="000000" w:themeColor="text1"/>
        </w:rPr>
        <w:t>.</w:t>
      </w:r>
      <w:r w:rsidR="0054325D" w:rsidRPr="00015A39">
        <w:rPr>
          <w:color w:val="000000" w:themeColor="text1"/>
        </w:rPr>
        <w:t>8</w:t>
      </w:r>
      <w:r w:rsidR="00104AA5" w:rsidRPr="00015A39">
        <w:rPr>
          <w:color w:val="000000" w:themeColor="text1"/>
        </w:rPr>
        <w:t xml:space="preserve">%) categories, suggesting that more </w:t>
      </w:r>
      <w:r w:rsidR="00D45DCB" w:rsidRPr="00015A39">
        <w:rPr>
          <w:color w:val="000000" w:themeColor="text1"/>
        </w:rPr>
        <w:t xml:space="preserve">individuals </w:t>
      </w:r>
      <w:r w:rsidR="00104AA5" w:rsidRPr="00015A39">
        <w:rPr>
          <w:color w:val="000000" w:themeColor="text1"/>
        </w:rPr>
        <w:t>with an overweight BMI frequently adhere</w:t>
      </w:r>
      <w:r w:rsidR="00CE143E" w:rsidRPr="00015A39">
        <w:rPr>
          <w:color w:val="000000" w:themeColor="text1"/>
        </w:rPr>
        <w:t>d</w:t>
      </w:r>
      <w:r w:rsidR="00104AA5" w:rsidRPr="00015A39">
        <w:rPr>
          <w:color w:val="000000" w:themeColor="text1"/>
        </w:rPr>
        <w:t xml:space="preserve"> to a diet consisting of more high-fat foods.</w:t>
      </w:r>
      <w:r w:rsidR="008D76F0" w:rsidRPr="00015A39">
        <w:rPr>
          <w:color w:val="000000" w:themeColor="text1"/>
        </w:rPr>
        <w:t xml:space="preserve"> In contrast, the proportion of underweight </w:t>
      </w:r>
      <w:r w:rsidR="00D45DCB" w:rsidRPr="00015A39">
        <w:rPr>
          <w:color w:val="000000" w:themeColor="text1"/>
        </w:rPr>
        <w:t xml:space="preserve">individuals </w:t>
      </w:r>
      <w:r w:rsidR="008D76F0" w:rsidRPr="00015A39">
        <w:rPr>
          <w:color w:val="000000" w:themeColor="text1"/>
        </w:rPr>
        <w:t xml:space="preserve">decreased with increasing DFS. </w:t>
      </w:r>
      <w:r w:rsidR="00104AA5" w:rsidRPr="00015A39">
        <w:rPr>
          <w:color w:val="000000" w:themeColor="text1"/>
        </w:rPr>
        <w:t xml:space="preserve">The observation was not coincidental </w:t>
      </w:r>
      <w:r w:rsidR="003A3602" w:rsidRPr="00015A39">
        <w:rPr>
          <w:color w:val="000000" w:themeColor="text1"/>
        </w:rPr>
        <w:t>with</w:t>
      </w:r>
      <w:r w:rsidR="00104AA5" w:rsidRPr="00015A39">
        <w:rPr>
          <w:color w:val="000000" w:themeColor="text1"/>
        </w:rPr>
        <w:t xml:space="preserve"> a previous study reported that </w:t>
      </w:r>
      <w:r w:rsidR="0055473F" w:rsidRPr="00015A39">
        <w:rPr>
          <w:color w:val="000000" w:themeColor="text1"/>
        </w:rPr>
        <w:t xml:space="preserve">individuals </w:t>
      </w:r>
      <w:r w:rsidR="00104AA5" w:rsidRPr="00015A39">
        <w:rPr>
          <w:color w:val="000000" w:themeColor="text1"/>
        </w:rPr>
        <w:t>with higher BMI have a greater tendency to seek higher energy-dense foods</w:t>
      </w:r>
      <w:r w:rsidR="00CF2DB3" w:rsidRPr="00015A39">
        <w:rPr>
          <w:color w:val="000000" w:themeColor="text1"/>
          <w:vertAlign w:val="superscript"/>
        </w:rPr>
        <w:t xml:space="preserve"> </w:t>
      </w:r>
      <w:r w:rsidR="00CF2DB3" w:rsidRPr="00015A39">
        <w:rPr>
          <w:color w:val="000000" w:themeColor="text1"/>
        </w:rPr>
        <w:t>[</w:t>
      </w:r>
      <w:r w:rsidR="007A46A5" w:rsidRPr="00015A39">
        <w:rPr>
          <w:color w:val="000000" w:themeColor="text1"/>
        </w:rPr>
        <w:t>42</w:t>
      </w:r>
      <w:r w:rsidR="00CF2DB3" w:rsidRPr="00015A39">
        <w:rPr>
          <w:color w:val="000000" w:themeColor="text1"/>
        </w:rPr>
        <w:t>]</w:t>
      </w:r>
      <w:r w:rsidR="00104AA5" w:rsidRPr="00015A39">
        <w:rPr>
          <w:color w:val="000000" w:themeColor="text1"/>
        </w:rPr>
        <w:t xml:space="preserve">. </w:t>
      </w:r>
      <w:r w:rsidR="00D45DCB" w:rsidRPr="00015A39">
        <w:rPr>
          <w:color w:val="000000" w:themeColor="text1"/>
        </w:rPr>
        <w:t xml:space="preserve">The distribution </w:t>
      </w:r>
      <w:r w:rsidR="009A5054" w:rsidRPr="00015A39">
        <w:rPr>
          <w:color w:val="000000" w:themeColor="text1"/>
        </w:rPr>
        <w:t>between</w:t>
      </w:r>
      <w:r w:rsidR="00D45DCB" w:rsidRPr="00015A39">
        <w:rPr>
          <w:color w:val="000000" w:themeColor="text1"/>
        </w:rPr>
        <w:t xml:space="preserve"> individuals </w:t>
      </w:r>
      <w:r w:rsidR="003B4847" w:rsidRPr="00015A39">
        <w:rPr>
          <w:color w:val="000000" w:themeColor="text1"/>
        </w:rPr>
        <w:t>across</w:t>
      </w:r>
      <w:r w:rsidR="009A5054" w:rsidRPr="00015A39">
        <w:rPr>
          <w:color w:val="000000" w:themeColor="text1"/>
        </w:rPr>
        <w:t xml:space="preserve"> DFS </w:t>
      </w:r>
      <w:r w:rsidR="00CE48AD" w:rsidRPr="00015A39">
        <w:rPr>
          <w:color w:val="000000" w:themeColor="text1"/>
        </w:rPr>
        <w:t>showed some significant differences in tobacco smoking</w:t>
      </w:r>
      <w:r w:rsidR="00612070" w:rsidRPr="00015A39">
        <w:rPr>
          <w:color w:val="000000" w:themeColor="text1"/>
        </w:rPr>
        <w:t xml:space="preserve"> and a</w:t>
      </w:r>
      <w:r w:rsidR="00187E9B" w:rsidRPr="00015A39">
        <w:rPr>
          <w:color w:val="000000" w:themeColor="text1"/>
        </w:rPr>
        <w:t>lcohol consumption</w:t>
      </w:r>
      <w:r w:rsidR="003B4847" w:rsidRPr="00015A39">
        <w:rPr>
          <w:color w:val="000000" w:themeColor="text1"/>
        </w:rPr>
        <w:t xml:space="preserve"> while there are significant differences between those with low DFS and moderate DFS.</w:t>
      </w:r>
      <w:r w:rsidR="00104AA5" w:rsidRPr="00015A39">
        <w:rPr>
          <w:color w:val="000000" w:themeColor="text1"/>
        </w:rPr>
        <w:t xml:space="preserve"> </w:t>
      </w:r>
    </w:p>
    <w:p w14:paraId="7364C6AD" w14:textId="0D676D66" w:rsidR="006861F9" w:rsidRPr="00015A39" w:rsidRDefault="00374796" w:rsidP="0004258D">
      <w:pPr>
        <w:pStyle w:val="Heading2"/>
        <w:rPr>
          <w:color w:val="000000" w:themeColor="text1"/>
          <w:sz w:val="24"/>
          <w:szCs w:val="24"/>
        </w:rPr>
      </w:pPr>
      <w:r w:rsidRPr="00015A39">
        <w:rPr>
          <w:color w:val="000000" w:themeColor="text1"/>
          <w:sz w:val="24"/>
          <w:szCs w:val="24"/>
        </w:rPr>
        <w:t xml:space="preserve">Frequent </w:t>
      </w:r>
      <w:r w:rsidR="006861F9" w:rsidRPr="00015A39">
        <w:rPr>
          <w:color w:val="000000" w:themeColor="text1"/>
          <w:sz w:val="24"/>
          <w:szCs w:val="24"/>
        </w:rPr>
        <w:t>High-</w:t>
      </w:r>
      <w:r w:rsidR="00F97394" w:rsidRPr="00015A39">
        <w:rPr>
          <w:color w:val="000000" w:themeColor="text1"/>
          <w:sz w:val="24"/>
          <w:szCs w:val="24"/>
        </w:rPr>
        <w:t>F</w:t>
      </w:r>
      <w:r w:rsidR="006861F9" w:rsidRPr="00015A39">
        <w:rPr>
          <w:color w:val="000000" w:themeColor="text1"/>
          <w:sz w:val="24"/>
          <w:szCs w:val="24"/>
        </w:rPr>
        <w:t>at Diet</w:t>
      </w:r>
      <w:r w:rsidR="00633748" w:rsidRPr="00015A39">
        <w:rPr>
          <w:color w:val="000000" w:themeColor="text1"/>
          <w:sz w:val="24"/>
          <w:szCs w:val="24"/>
        </w:rPr>
        <w:t xml:space="preserve"> Intake</w:t>
      </w:r>
      <w:r w:rsidR="006861F9" w:rsidRPr="00015A39">
        <w:rPr>
          <w:color w:val="000000" w:themeColor="text1"/>
          <w:sz w:val="24"/>
          <w:szCs w:val="24"/>
        </w:rPr>
        <w:t xml:space="preserve"> </w:t>
      </w:r>
      <w:r w:rsidR="00EF0A2D" w:rsidRPr="00015A39">
        <w:rPr>
          <w:color w:val="000000" w:themeColor="text1"/>
          <w:sz w:val="24"/>
          <w:szCs w:val="24"/>
        </w:rPr>
        <w:t xml:space="preserve">and </w:t>
      </w:r>
      <w:r w:rsidR="0023124E" w:rsidRPr="00015A39">
        <w:rPr>
          <w:color w:val="000000" w:themeColor="text1"/>
          <w:sz w:val="24"/>
          <w:szCs w:val="24"/>
        </w:rPr>
        <w:t xml:space="preserve">Its </w:t>
      </w:r>
      <w:r w:rsidR="00712150" w:rsidRPr="00015A39">
        <w:rPr>
          <w:color w:val="000000" w:themeColor="text1"/>
          <w:sz w:val="24"/>
          <w:szCs w:val="24"/>
        </w:rPr>
        <w:t xml:space="preserve">Association with </w:t>
      </w:r>
      <w:r w:rsidR="0041395D" w:rsidRPr="00015A39">
        <w:rPr>
          <w:color w:val="000000" w:themeColor="text1"/>
          <w:sz w:val="24"/>
          <w:szCs w:val="24"/>
        </w:rPr>
        <w:t>Various</w:t>
      </w:r>
      <w:r w:rsidR="00EF0A2D" w:rsidRPr="00015A39">
        <w:rPr>
          <w:color w:val="000000" w:themeColor="text1"/>
          <w:sz w:val="24"/>
          <w:szCs w:val="24"/>
        </w:rPr>
        <w:t xml:space="preserve"> Outcomes</w:t>
      </w:r>
      <w:r w:rsidR="006861F9" w:rsidRPr="00015A39">
        <w:rPr>
          <w:color w:val="000000" w:themeColor="text1"/>
          <w:sz w:val="24"/>
          <w:szCs w:val="24"/>
        </w:rPr>
        <w:t xml:space="preserve"> </w:t>
      </w:r>
    </w:p>
    <w:p w14:paraId="3DCB3CEF" w14:textId="475F4808" w:rsidR="005B3150" w:rsidRPr="00015A39" w:rsidRDefault="00A35613" w:rsidP="0004258D">
      <w:pPr>
        <w:spacing w:line="360" w:lineRule="auto"/>
        <w:jc w:val="both"/>
        <w:rPr>
          <w:color w:val="000000" w:themeColor="text1"/>
        </w:rPr>
      </w:pPr>
      <w:r w:rsidRPr="00015A39">
        <w:rPr>
          <w:color w:val="000000" w:themeColor="text1"/>
        </w:rPr>
        <w:t>There were significant differences in the distribution of cases and controls across DFS categories for AD, AR, AS, and HDM allergy</w:t>
      </w:r>
      <w:r w:rsidR="006002E2" w:rsidRPr="00015A39">
        <w:rPr>
          <w:color w:val="000000" w:themeColor="text1"/>
        </w:rPr>
        <w:t xml:space="preserve">, with </w:t>
      </w:r>
      <w:r w:rsidR="002F7766" w:rsidRPr="00015A39">
        <w:rPr>
          <w:color w:val="000000" w:themeColor="text1"/>
        </w:rPr>
        <w:t>a</w:t>
      </w:r>
      <w:r w:rsidR="00EA212F" w:rsidRPr="00015A39">
        <w:rPr>
          <w:color w:val="000000" w:themeColor="text1"/>
        </w:rPr>
        <w:t xml:space="preserve"> gradual</w:t>
      </w:r>
      <w:r w:rsidR="0098457F" w:rsidRPr="00015A39">
        <w:rPr>
          <w:color w:val="000000" w:themeColor="text1"/>
        </w:rPr>
        <w:t>ly</w:t>
      </w:r>
      <w:r w:rsidR="002F7766" w:rsidRPr="00015A39">
        <w:rPr>
          <w:color w:val="000000" w:themeColor="text1"/>
        </w:rPr>
        <w:t xml:space="preserve"> increasing proportion of</w:t>
      </w:r>
      <w:r w:rsidR="006002E2" w:rsidRPr="00015A39">
        <w:rPr>
          <w:color w:val="000000" w:themeColor="text1"/>
        </w:rPr>
        <w:t xml:space="preserve"> </w:t>
      </w:r>
      <w:r w:rsidR="002F7766" w:rsidRPr="00015A39">
        <w:rPr>
          <w:color w:val="000000" w:themeColor="text1"/>
        </w:rPr>
        <w:t xml:space="preserve">diseased individuals </w:t>
      </w:r>
      <w:r w:rsidR="00952DD0" w:rsidRPr="00015A39">
        <w:rPr>
          <w:color w:val="000000" w:themeColor="text1"/>
        </w:rPr>
        <w:t xml:space="preserve">observed </w:t>
      </w:r>
      <w:r w:rsidR="00B037CC" w:rsidRPr="00015A39">
        <w:rPr>
          <w:color w:val="000000" w:themeColor="text1"/>
        </w:rPr>
        <w:t>in</w:t>
      </w:r>
      <w:r w:rsidR="00D42A15" w:rsidRPr="00015A39">
        <w:rPr>
          <w:color w:val="000000" w:themeColor="text1"/>
        </w:rPr>
        <w:t xml:space="preserve"> </w:t>
      </w:r>
      <w:r w:rsidR="00614106" w:rsidRPr="00015A39">
        <w:rPr>
          <w:color w:val="000000" w:themeColor="text1"/>
        </w:rPr>
        <w:t>higher</w:t>
      </w:r>
      <w:r w:rsidR="00D42A15" w:rsidRPr="00015A39">
        <w:rPr>
          <w:color w:val="000000" w:themeColor="text1"/>
        </w:rPr>
        <w:t xml:space="preserve"> DFS</w:t>
      </w:r>
      <w:r w:rsidR="00614106" w:rsidRPr="00015A39">
        <w:rPr>
          <w:color w:val="000000" w:themeColor="text1"/>
        </w:rPr>
        <w:t xml:space="preserve"> categories (</w:t>
      </w:r>
      <w:r w:rsidR="00614106" w:rsidRPr="00015A39">
        <w:rPr>
          <w:b/>
          <w:bCs/>
          <w:color w:val="000000" w:themeColor="text1"/>
        </w:rPr>
        <w:t xml:space="preserve">Supplemental Table </w:t>
      </w:r>
      <w:r w:rsidR="00AC066D" w:rsidRPr="00015A39">
        <w:rPr>
          <w:b/>
          <w:bCs/>
          <w:color w:val="000000" w:themeColor="text1"/>
        </w:rPr>
        <w:t>4</w:t>
      </w:r>
      <w:r w:rsidR="00614106" w:rsidRPr="00015A39">
        <w:rPr>
          <w:color w:val="000000" w:themeColor="text1"/>
        </w:rPr>
        <w:t xml:space="preserve">). </w:t>
      </w:r>
      <w:r w:rsidR="00BB208A" w:rsidRPr="00015A39">
        <w:rPr>
          <w:color w:val="000000" w:themeColor="text1"/>
        </w:rPr>
        <w:t>A</w:t>
      </w:r>
      <w:r w:rsidR="00400D8D" w:rsidRPr="00015A39">
        <w:rPr>
          <w:color w:val="000000" w:themeColor="text1"/>
        </w:rPr>
        <w:t xml:space="preserve"> high DFS was associated with higher </w:t>
      </w:r>
      <w:r w:rsidR="00D5669E" w:rsidRPr="00015A39">
        <w:rPr>
          <w:color w:val="000000" w:themeColor="text1"/>
        </w:rPr>
        <w:t>odd</w:t>
      </w:r>
      <w:r w:rsidR="006213C2" w:rsidRPr="00015A39">
        <w:rPr>
          <w:color w:val="000000" w:themeColor="text1"/>
        </w:rPr>
        <w:t>s</w:t>
      </w:r>
      <w:r w:rsidR="00400D8D" w:rsidRPr="00015A39">
        <w:rPr>
          <w:color w:val="000000" w:themeColor="text1"/>
        </w:rPr>
        <w:t xml:space="preserve"> for </w:t>
      </w:r>
      <w:r w:rsidR="005A1C70" w:rsidRPr="00015A39">
        <w:rPr>
          <w:color w:val="000000" w:themeColor="text1"/>
        </w:rPr>
        <w:t xml:space="preserve">certain </w:t>
      </w:r>
      <w:r w:rsidR="00400D8D" w:rsidRPr="00015A39">
        <w:rPr>
          <w:color w:val="000000" w:themeColor="text1"/>
        </w:rPr>
        <w:t>allergic and inflammatory conditions such as AD, AR, AS, HDM allergy, and dry skin (p &lt; 0.05)</w:t>
      </w:r>
      <w:r w:rsidR="00471DCA" w:rsidRPr="00015A39">
        <w:rPr>
          <w:color w:val="000000" w:themeColor="text1"/>
        </w:rPr>
        <w:t xml:space="preserve">, suggesting </w:t>
      </w:r>
      <w:r w:rsidR="00631F5D" w:rsidRPr="00015A39">
        <w:rPr>
          <w:color w:val="000000" w:themeColor="text1"/>
        </w:rPr>
        <w:t xml:space="preserve">a potential common shared </w:t>
      </w:r>
      <w:r w:rsidR="00EE4912" w:rsidRPr="00015A39">
        <w:rPr>
          <w:color w:val="000000" w:themeColor="text1"/>
        </w:rPr>
        <w:t>pathogenesis</w:t>
      </w:r>
      <w:r w:rsidR="00631F5D" w:rsidRPr="00015A39">
        <w:rPr>
          <w:color w:val="000000" w:themeColor="text1"/>
        </w:rPr>
        <w:t xml:space="preserve"> involving inflammation and immune dysregulation with increased intake of high-fat foods in diets. </w:t>
      </w:r>
      <w:r w:rsidR="004B7C90" w:rsidRPr="00015A39">
        <w:rPr>
          <w:color w:val="000000" w:themeColor="text1"/>
        </w:rPr>
        <w:t xml:space="preserve">However, </w:t>
      </w:r>
      <w:r w:rsidR="00725383" w:rsidRPr="00015A39">
        <w:rPr>
          <w:color w:val="000000" w:themeColor="text1"/>
        </w:rPr>
        <w:t>after correction for multiple comparisons,</w:t>
      </w:r>
      <w:r w:rsidR="00DB4783" w:rsidRPr="00015A39">
        <w:rPr>
          <w:color w:val="000000" w:themeColor="text1"/>
        </w:rPr>
        <w:t xml:space="preserve"> </w:t>
      </w:r>
      <w:r w:rsidR="004B7C90" w:rsidRPr="00015A39">
        <w:rPr>
          <w:color w:val="000000" w:themeColor="text1"/>
        </w:rPr>
        <w:t xml:space="preserve">only </w:t>
      </w:r>
      <w:r w:rsidR="00D420D9" w:rsidRPr="00015A39">
        <w:rPr>
          <w:color w:val="000000" w:themeColor="text1"/>
        </w:rPr>
        <w:t xml:space="preserve">the association with </w:t>
      </w:r>
      <w:r w:rsidR="00D420D9" w:rsidRPr="00015A39">
        <w:rPr>
          <w:color w:val="000000" w:themeColor="text1"/>
        </w:rPr>
        <w:lastRenderedPageBreak/>
        <w:t xml:space="preserve">AD </w:t>
      </w:r>
      <w:r w:rsidR="006926D2" w:rsidRPr="00015A39">
        <w:rPr>
          <w:color w:val="000000" w:themeColor="text1"/>
        </w:rPr>
        <w:t>(AOR: 1.</w:t>
      </w:r>
      <w:r w:rsidR="00A57B84" w:rsidRPr="00015A39">
        <w:rPr>
          <w:color w:val="000000" w:themeColor="text1"/>
        </w:rPr>
        <w:t>554</w:t>
      </w:r>
      <w:r w:rsidR="006926D2" w:rsidRPr="00015A39">
        <w:rPr>
          <w:color w:val="000000" w:themeColor="text1"/>
        </w:rPr>
        <w:t>; 95% CI: 1.</w:t>
      </w:r>
      <w:r w:rsidR="00A57B84" w:rsidRPr="00015A39">
        <w:rPr>
          <w:color w:val="000000" w:themeColor="text1"/>
        </w:rPr>
        <w:t>340</w:t>
      </w:r>
      <w:r w:rsidR="006926D2" w:rsidRPr="00015A39">
        <w:rPr>
          <w:color w:val="000000" w:themeColor="text1"/>
        </w:rPr>
        <w:t>-1.</w:t>
      </w:r>
      <w:r w:rsidR="00A57B84" w:rsidRPr="00015A39">
        <w:rPr>
          <w:color w:val="000000" w:themeColor="text1"/>
        </w:rPr>
        <w:t>80</w:t>
      </w:r>
      <w:r w:rsidR="00717E96" w:rsidRPr="00015A39">
        <w:rPr>
          <w:color w:val="000000" w:themeColor="text1"/>
        </w:rPr>
        <w:t>2</w:t>
      </w:r>
      <w:r w:rsidR="006926D2" w:rsidRPr="00015A39">
        <w:rPr>
          <w:color w:val="000000" w:themeColor="text1"/>
        </w:rPr>
        <w:t>; adjusted p &lt; 0.001</w:t>
      </w:r>
      <w:r w:rsidR="006930C6" w:rsidRPr="00015A39">
        <w:rPr>
          <w:color w:val="000000" w:themeColor="text1"/>
        </w:rPr>
        <w:t>)</w:t>
      </w:r>
      <w:r w:rsidR="00522463" w:rsidRPr="00015A39">
        <w:rPr>
          <w:color w:val="000000" w:themeColor="text1"/>
        </w:rPr>
        <w:t xml:space="preserve">, AR (AOR: 1.255; 95% CI: 1.092-1.442; adjusted p &lt; 0.01), AS (AOR: 1.279; 95% CI: 1.089-1.503; adjusted p &lt; 0.05), and </w:t>
      </w:r>
      <w:r w:rsidR="00D420D9" w:rsidRPr="00015A39">
        <w:rPr>
          <w:color w:val="000000" w:themeColor="text1"/>
        </w:rPr>
        <w:t xml:space="preserve">HDM allergy </w:t>
      </w:r>
      <w:r w:rsidR="00887E12" w:rsidRPr="00015A39">
        <w:rPr>
          <w:color w:val="000000" w:themeColor="text1"/>
        </w:rPr>
        <w:t>(AOR: 1.</w:t>
      </w:r>
      <w:r w:rsidR="00874321" w:rsidRPr="00015A39">
        <w:rPr>
          <w:color w:val="000000" w:themeColor="text1"/>
        </w:rPr>
        <w:t>376</w:t>
      </w:r>
      <w:r w:rsidR="00887E12" w:rsidRPr="00015A39">
        <w:rPr>
          <w:color w:val="000000" w:themeColor="text1"/>
        </w:rPr>
        <w:t>; 95% CI: 1.</w:t>
      </w:r>
      <w:r w:rsidR="00874321" w:rsidRPr="00015A39">
        <w:rPr>
          <w:color w:val="000000" w:themeColor="text1"/>
        </w:rPr>
        <w:t>246</w:t>
      </w:r>
      <w:r w:rsidR="00887E12" w:rsidRPr="00015A39">
        <w:rPr>
          <w:color w:val="000000" w:themeColor="text1"/>
        </w:rPr>
        <w:t>-1.</w:t>
      </w:r>
      <w:r w:rsidR="00874321" w:rsidRPr="00015A39">
        <w:rPr>
          <w:color w:val="000000" w:themeColor="text1"/>
        </w:rPr>
        <w:t>519</w:t>
      </w:r>
      <w:r w:rsidR="00887E12" w:rsidRPr="00015A39">
        <w:rPr>
          <w:color w:val="000000" w:themeColor="text1"/>
        </w:rPr>
        <w:t>; adjusted p &lt; 0.001</w:t>
      </w:r>
      <w:r w:rsidR="00522463" w:rsidRPr="00015A39">
        <w:rPr>
          <w:color w:val="000000" w:themeColor="text1"/>
        </w:rPr>
        <w:t>)</w:t>
      </w:r>
      <w:r w:rsidR="009660AE" w:rsidRPr="00015A39">
        <w:rPr>
          <w:color w:val="000000" w:themeColor="text1"/>
        </w:rPr>
        <w:t xml:space="preserve"> </w:t>
      </w:r>
      <w:r w:rsidR="00D420D9" w:rsidRPr="00015A39">
        <w:rPr>
          <w:color w:val="000000" w:themeColor="text1"/>
        </w:rPr>
        <w:t>remained significant</w:t>
      </w:r>
      <w:r w:rsidR="00F25F7D" w:rsidRPr="00015A39">
        <w:rPr>
          <w:color w:val="000000" w:themeColor="text1"/>
        </w:rPr>
        <w:t xml:space="preserve">. </w:t>
      </w:r>
      <w:r w:rsidR="00DD4426" w:rsidRPr="00015A39">
        <w:rPr>
          <w:color w:val="000000" w:themeColor="text1"/>
        </w:rPr>
        <w:t xml:space="preserve">A dose-response relationship was observed with increased intake of high-fat foods across all allergic diseases (AD, AR, AS), with the association being most pronounced for AD. </w:t>
      </w:r>
      <w:r w:rsidR="00422DC6" w:rsidRPr="00015A39">
        <w:rPr>
          <w:color w:val="000000" w:themeColor="text1"/>
        </w:rPr>
        <w:t xml:space="preserve">No significant associations were found for other </w:t>
      </w:r>
      <w:r w:rsidR="004A6249" w:rsidRPr="00015A39">
        <w:rPr>
          <w:color w:val="000000" w:themeColor="text1"/>
        </w:rPr>
        <w:t>secondary</w:t>
      </w:r>
      <w:r w:rsidR="00422DC6" w:rsidRPr="00015A39">
        <w:rPr>
          <w:color w:val="000000" w:themeColor="text1"/>
        </w:rPr>
        <w:t xml:space="preserve"> outcomes included in the analysis (</w:t>
      </w:r>
      <w:r w:rsidR="00422DC6" w:rsidRPr="00015A39">
        <w:rPr>
          <w:b/>
          <w:bCs/>
          <w:color w:val="000000" w:themeColor="text1"/>
        </w:rPr>
        <w:t>Table 2</w:t>
      </w:r>
      <w:r w:rsidR="00422DC6" w:rsidRPr="00015A39">
        <w:rPr>
          <w:color w:val="000000" w:themeColor="text1"/>
        </w:rPr>
        <w:t xml:space="preserve">). </w:t>
      </w:r>
    </w:p>
    <w:p w14:paraId="04920AFE" w14:textId="284E62D8" w:rsidR="00EE5393" w:rsidRPr="00015A39" w:rsidRDefault="00EE5393" w:rsidP="0004258D">
      <w:pPr>
        <w:pStyle w:val="Heading2"/>
        <w:rPr>
          <w:color w:val="000000" w:themeColor="text1"/>
          <w:sz w:val="24"/>
          <w:szCs w:val="24"/>
        </w:rPr>
      </w:pPr>
      <w:r w:rsidRPr="00015A39">
        <w:rPr>
          <w:color w:val="000000" w:themeColor="text1"/>
          <w:sz w:val="24"/>
          <w:szCs w:val="24"/>
        </w:rPr>
        <w:t xml:space="preserve">Association Between </w:t>
      </w:r>
      <w:r w:rsidR="00FC463C" w:rsidRPr="00015A39">
        <w:rPr>
          <w:color w:val="000000" w:themeColor="text1"/>
          <w:sz w:val="24"/>
          <w:szCs w:val="24"/>
        </w:rPr>
        <w:t xml:space="preserve">Frequent </w:t>
      </w:r>
      <w:r w:rsidR="00D8160C" w:rsidRPr="00015A39">
        <w:rPr>
          <w:color w:val="000000" w:themeColor="text1"/>
          <w:sz w:val="24"/>
          <w:szCs w:val="24"/>
        </w:rPr>
        <w:t>High-Fat</w:t>
      </w:r>
      <w:r w:rsidRPr="00015A39">
        <w:rPr>
          <w:color w:val="000000" w:themeColor="text1"/>
          <w:sz w:val="24"/>
          <w:szCs w:val="24"/>
        </w:rPr>
        <w:t xml:space="preserve"> Diet</w:t>
      </w:r>
      <w:r w:rsidR="00D8160C" w:rsidRPr="00015A39">
        <w:rPr>
          <w:color w:val="000000" w:themeColor="text1"/>
          <w:sz w:val="24"/>
          <w:szCs w:val="24"/>
        </w:rPr>
        <w:t xml:space="preserve"> Intake</w:t>
      </w:r>
      <w:r w:rsidRPr="00015A39">
        <w:rPr>
          <w:color w:val="000000" w:themeColor="text1"/>
          <w:sz w:val="24"/>
          <w:szCs w:val="24"/>
        </w:rPr>
        <w:t xml:space="preserve"> and</w:t>
      </w:r>
      <w:r w:rsidR="007571B8" w:rsidRPr="00015A39">
        <w:rPr>
          <w:color w:val="000000" w:themeColor="text1"/>
          <w:sz w:val="24"/>
          <w:szCs w:val="24"/>
        </w:rPr>
        <w:t xml:space="preserve"> AD</w:t>
      </w:r>
      <w:r w:rsidR="00F51882" w:rsidRPr="00015A39">
        <w:rPr>
          <w:color w:val="000000" w:themeColor="text1"/>
          <w:sz w:val="24"/>
          <w:szCs w:val="24"/>
        </w:rPr>
        <w:t xml:space="preserve"> </w:t>
      </w:r>
      <w:r w:rsidRPr="00015A39">
        <w:rPr>
          <w:color w:val="000000" w:themeColor="text1"/>
          <w:sz w:val="24"/>
          <w:szCs w:val="24"/>
        </w:rPr>
        <w:t xml:space="preserve"> </w:t>
      </w:r>
    </w:p>
    <w:p w14:paraId="474E9168" w14:textId="25300639" w:rsidR="0069096E" w:rsidRPr="00015A39" w:rsidRDefault="000468A5" w:rsidP="0004258D">
      <w:pPr>
        <w:spacing w:line="360" w:lineRule="auto"/>
        <w:jc w:val="both"/>
        <w:rPr>
          <w:color w:val="000000" w:themeColor="text1"/>
        </w:rPr>
      </w:pPr>
      <w:r w:rsidRPr="00015A39">
        <w:rPr>
          <w:color w:val="000000" w:themeColor="text1"/>
        </w:rPr>
        <w:t xml:space="preserve">Among </w:t>
      </w:r>
      <w:r w:rsidR="00C940B0" w:rsidRPr="00015A39">
        <w:rPr>
          <w:color w:val="000000" w:themeColor="text1"/>
        </w:rPr>
        <w:t>the various AD phenotypes</w:t>
      </w:r>
      <w:r w:rsidRPr="00015A39">
        <w:rPr>
          <w:color w:val="000000" w:themeColor="text1"/>
        </w:rPr>
        <w:t xml:space="preserve">, </w:t>
      </w:r>
      <w:r w:rsidR="002B5FD5" w:rsidRPr="00015A39">
        <w:rPr>
          <w:color w:val="000000" w:themeColor="text1"/>
        </w:rPr>
        <w:t xml:space="preserve">a high DFS was significantly associated with higher </w:t>
      </w:r>
      <w:r w:rsidR="00E34524" w:rsidRPr="00015A39">
        <w:rPr>
          <w:color w:val="000000" w:themeColor="text1"/>
        </w:rPr>
        <w:t xml:space="preserve">odds </w:t>
      </w:r>
      <w:r w:rsidR="002B5FD5" w:rsidRPr="00015A39">
        <w:rPr>
          <w:color w:val="000000" w:themeColor="text1"/>
        </w:rPr>
        <w:t xml:space="preserve">for </w:t>
      </w:r>
      <w:r w:rsidR="00343336" w:rsidRPr="00015A39">
        <w:rPr>
          <w:color w:val="000000" w:themeColor="text1"/>
        </w:rPr>
        <w:t>AD presentation</w:t>
      </w:r>
      <w:r w:rsidR="002B5FD5" w:rsidRPr="00015A39">
        <w:rPr>
          <w:color w:val="000000" w:themeColor="text1"/>
        </w:rPr>
        <w:t xml:space="preserve"> </w:t>
      </w:r>
      <w:r w:rsidR="00343336" w:rsidRPr="00015A39">
        <w:rPr>
          <w:color w:val="000000" w:themeColor="text1"/>
        </w:rPr>
        <w:t xml:space="preserve">and </w:t>
      </w:r>
      <w:r w:rsidR="00FB0965" w:rsidRPr="00015A39">
        <w:rPr>
          <w:color w:val="000000" w:themeColor="text1"/>
        </w:rPr>
        <w:t xml:space="preserve">AD </w:t>
      </w:r>
      <w:r w:rsidR="00343336" w:rsidRPr="00015A39">
        <w:rPr>
          <w:color w:val="000000" w:themeColor="text1"/>
        </w:rPr>
        <w:t xml:space="preserve">chronicity </w:t>
      </w:r>
      <w:r w:rsidR="00C41DB1" w:rsidRPr="00015A39">
        <w:rPr>
          <w:color w:val="000000" w:themeColor="text1"/>
        </w:rPr>
        <w:t>(</w:t>
      </w:r>
      <w:r w:rsidR="00302EBC" w:rsidRPr="00015A39">
        <w:rPr>
          <w:color w:val="000000" w:themeColor="text1"/>
        </w:rPr>
        <w:t>AOR: 1.</w:t>
      </w:r>
      <w:r w:rsidR="007F38CF" w:rsidRPr="00015A39">
        <w:rPr>
          <w:color w:val="000000" w:themeColor="text1"/>
        </w:rPr>
        <w:t>356</w:t>
      </w:r>
      <w:r w:rsidR="00302EBC" w:rsidRPr="00015A39">
        <w:rPr>
          <w:color w:val="000000" w:themeColor="text1"/>
        </w:rPr>
        <w:t>; 95% CI: 1.</w:t>
      </w:r>
      <w:r w:rsidR="007F38CF" w:rsidRPr="00015A39">
        <w:rPr>
          <w:color w:val="000000" w:themeColor="text1"/>
        </w:rPr>
        <w:t>065</w:t>
      </w:r>
      <w:r w:rsidR="00302EBC" w:rsidRPr="00015A39">
        <w:rPr>
          <w:color w:val="000000" w:themeColor="text1"/>
        </w:rPr>
        <w:t>-</w:t>
      </w:r>
      <w:r w:rsidR="007F38CF" w:rsidRPr="00015A39">
        <w:rPr>
          <w:color w:val="000000" w:themeColor="text1"/>
        </w:rPr>
        <w:t>1</w:t>
      </w:r>
      <w:r w:rsidR="00302EBC" w:rsidRPr="00015A39">
        <w:rPr>
          <w:color w:val="000000" w:themeColor="text1"/>
        </w:rPr>
        <w:t>.</w:t>
      </w:r>
      <w:r w:rsidR="007F38CF" w:rsidRPr="00015A39">
        <w:rPr>
          <w:color w:val="000000" w:themeColor="text1"/>
        </w:rPr>
        <w:t>730</w:t>
      </w:r>
      <w:r w:rsidR="00302EBC" w:rsidRPr="00015A39">
        <w:rPr>
          <w:color w:val="000000" w:themeColor="text1"/>
        </w:rPr>
        <w:t xml:space="preserve">; </w:t>
      </w:r>
      <w:r w:rsidR="00DD0829" w:rsidRPr="00015A39">
        <w:rPr>
          <w:color w:val="000000" w:themeColor="text1"/>
        </w:rPr>
        <w:t xml:space="preserve">adjusted </w:t>
      </w:r>
      <w:r w:rsidR="00302EBC" w:rsidRPr="00015A39">
        <w:rPr>
          <w:color w:val="000000" w:themeColor="text1"/>
        </w:rPr>
        <w:t>p &lt; 0.0</w:t>
      </w:r>
      <w:r w:rsidR="007F38CF" w:rsidRPr="00015A39">
        <w:rPr>
          <w:color w:val="000000" w:themeColor="text1"/>
        </w:rPr>
        <w:t>5</w:t>
      </w:r>
      <w:r w:rsidR="00302EBC" w:rsidRPr="00015A39">
        <w:rPr>
          <w:color w:val="000000" w:themeColor="text1"/>
        </w:rPr>
        <w:t>)</w:t>
      </w:r>
      <w:r w:rsidR="00343336" w:rsidRPr="00015A39">
        <w:rPr>
          <w:color w:val="000000" w:themeColor="text1"/>
        </w:rPr>
        <w:t>.</w:t>
      </w:r>
      <w:r w:rsidR="009E4D59" w:rsidRPr="00015A39">
        <w:rPr>
          <w:color w:val="000000" w:themeColor="text1"/>
        </w:rPr>
        <w:t xml:space="preserve"> </w:t>
      </w:r>
      <w:r w:rsidR="009C7EDF" w:rsidRPr="00015A39">
        <w:rPr>
          <w:color w:val="000000" w:themeColor="text1"/>
        </w:rPr>
        <w:t>In both associations</w:t>
      </w:r>
      <w:r w:rsidR="009E4D59" w:rsidRPr="00015A39">
        <w:rPr>
          <w:color w:val="000000" w:themeColor="text1"/>
        </w:rPr>
        <w:t>, t</w:t>
      </w:r>
      <w:r w:rsidR="00007BD6" w:rsidRPr="00015A39">
        <w:rPr>
          <w:color w:val="000000" w:themeColor="text1"/>
        </w:rPr>
        <w:t xml:space="preserve">here was a dose-dependent increase in the AOR from </w:t>
      </w:r>
      <w:r w:rsidR="009E4D59" w:rsidRPr="00015A39">
        <w:rPr>
          <w:color w:val="000000" w:themeColor="text1"/>
        </w:rPr>
        <w:t>moderate</w:t>
      </w:r>
      <w:r w:rsidR="00007BD6" w:rsidRPr="00015A39">
        <w:rPr>
          <w:color w:val="000000" w:themeColor="text1"/>
        </w:rPr>
        <w:t xml:space="preserve"> DFS to high DFS</w:t>
      </w:r>
      <w:r w:rsidR="004B43A3" w:rsidRPr="00015A39">
        <w:rPr>
          <w:color w:val="000000" w:themeColor="text1"/>
        </w:rPr>
        <w:t xml:space="preserve">, indicating higher associated </w:t>
      </w:r>
      <w:r w:rsidR="00E34524" w:rsidRPr="00015A39">
        <w:rPr>
          <w:color w:val="000000" w:themeColor="text1"/>
        </w:rPr>
        <w:t xml:space="preserve">odds </w:t>
      </w:r>
      <w:r w:rsidR="004B43A3" w:rsidRPr="00015A39">
        <w:rPr>
          <w:color w:val="000000" w:themeColor="text1"/>
        </w:rPr>
        <w:t>with frequent intake of high-fat foods in diets</w:t>
      </w:r>
      <w:r w:rsidR="000B463D" w:rsidRPr="00015A39">
        <w:rPr>
          <w:color w:val="000000" w:themeColor="text1"/>
        </w:rPr>
        <w:t xml:space="preserve"> (</w:t>
      </w:r>
      <w:r w:rsidR="000B463D" w:rsidRPr="00015A39">
        <w:rPr>
          <w:b/>
          <w:bCs/>
          <w:color w:val="000000" w:themeColor="text1"/>
        </w:rPr>
        <w:t>Figur</w:t>
      </w:r>
      <w:r w:rsidR="00E8015B" w:rsidRPr="00015A39">
        <w:rPr>
          <w:b/>
          <w:bCs/>
          <w:color w:val="000000" w:themeColor="text1"/>
        </w:rPr>
        <w:t>e 1</w:t>
      </w:r>
      <w:r w:rsidR="000B463D" w:rsidRPr="00015A39">
        <w:rPr>
          <w:color w:val="000000" w:themeColor="text1"/>
        </w:rPr>
        <w:t>).</w:t>
      </w:r>
      <w:r w:rsidR="00464D97" w:rsidRPr="00015A39">
        <w:rPr>
          <w:color w:val="000000" w:themeColor="text1"/>
        </w:rPr>
        <w:t xml:space="preserve"> </w:t>
      </w:r>
      <w:r w:rsidR="00514135" w:rsidRPr="00015A39">
        <w:rPr>
          <w:color w:val="000000" w:themeColor="text1"/>
        </w:rPr>
        <w:t xml:space="preserve">However, AD persistency and severity were not significantly associated with DFS. This suggests that while </w:t>
      </w:r>
      <w:r w:rsidR="00D03F2B" w:rsidRPr="00015A39">
        <w:rPr>
          <w:color w:val="000000" w:themeColor="text1"/>
        </w:rPr>
        <w:t>consuming</w:t>
      </w:r>
      <w:r w:rsidR="00514135" w:rsidRPr="00015A39">
        <w:rPr>
          <w:color w:val="000000" w:themeColor="text1"/>
        </w:rPr>
        <w:t xml:space="preserve"> high-fat foods </w:t>
      </w:r>
      <w:r w:rsidR="00523905" w:rsidRPr="00015A39">
        <w:rPr>
          <w:color w:val="000000" w:themeColor="text1"/>
        </w:rPr>
        <w:t xml:space="preserve">more </w:t>
      </w:r>
      <w:r w:rsidR="00D03F2B" w:rsidRPr="00015A39">
        <w:rPr>
          <w:color w:val="000000" w:themeColor="text1"/>
        </w:rPr>
        <w:t xml:space="preserve">frequently </w:t>
      </w:r>
      <w:r w:rsidR="000E7C23" w:rsidRPr="00015A39">
        <w:rPr>
          <w:color w:val="000000" w:themeColor="text1"/>
        </w:rPr>
        <w:t>has</w:t>
      </w:r>
      <w:r w:rsidR="00701848" w:rsidRPr="00015A39">
        <w:rPr>
          <w:color w:val="000000" w:themeColor="text1"/>
        </w:rPr>
        <w:t xml:space="preserve"> a more pronounced associated </w:t>
      </w:r>
      <w:r w:rsidR="00E34524" w:rsidRPr="00015A39">
        <w:rPr>
          <w:color w:val="000000" w:themeColor="text1"/>
        </w:rPr>
        <w:t xml:space="preserve">odds </w:t>
      </w:r>
      <w:r w:rsidR="00701848" w:rsidRPr="00015A39">
        <w:rPr>
          <w:color w:val="000000" w:themeColor="text1"/>
        </w:rPr>
        <w:t>with the</w:t>
      </w:r>
      <w:r w:rsidR="00514135" w:rsidRPr="00015A39">
        <w:rPr>
          <w:color w:val="000000" w:themeColor="text1"/>
        </w:rPr>
        <w:t xml:space="preserve"> development of AD and its chronicity</w:t>
      </w:r>
      <w:r w:rsidR="00F15979" w:rsidRPr="00015A39">
        <w:rPr>
          <w:color w:val="000000" w:themeColor="text1"/>
        </w:rPr>
        <w:t xml:space="preserve">, </w:t>
      </w:r>
      <w:r w:rsidR="00085829" w:rsidRPr="00015A39">
        <w:rPr>
          <w:color w:val="000000" w:themeColor="text1"/>
        </w:rPr>
        <w:t>it may not differentiate between individuals with present or severity of symptoms.</w:t>
      </w:r>
      <w:r w:rsidR="0069096E" w:rsidRPr="00015A39">
        <w:rPr>
          <w:color w:val="000000" w:themeColor="text1"/>
        </w:rPr>
        <w:t xml:space="preserve"> </w:t>
      </w:r>
    </w:p>
    <w:p w14:paraId="015A26FB" w14:textId="77777777" w:rsidR="0069096E" w:rsidRPr="00015A39" w:rsidRDefault="0069096E" w:rsidP="0004258D">
      <w:pPr>
        <w:spacing w:line="360" w:lineRule="auto"/>
        <w:jc w:val="both"/>
        <w:rPr>
          <w:color w:val="000000" w:themeColor="text1"/>
        </w:rPr>
      </w:pPr>
    </w:p>
    <w:p w14:paraId="6AC32B6B" w14:textId="321D1628" w:rsidR="00EE5393" w:rsidRPr="00015A39" w:rsidRDefault="0069096E" w:rsidP="0004258D">
      <w:pPr>
        <w:spacing w:line="360" w:lineRule="auto"/>
        <w:jc w:val="both"/>
        <w:rPr>
          <w:color w:val="000000" w:themeColor="text1"/>
        </w:rPr>
      </w:pPr>
      <w:r w:rsidRPr="00015A39">
        <w:rPr>
          <w:color w:val="000000" w:themeColor="text1"/>
        </w:rPr>
        <w:t xml:space="preserve">Subsequently, </w:t>
      </w:r>
      <w:r w:rsidR="00305DB7" w:rsidRPr="00015A39">
        <w:rPr>
          <w:color w:val="000000" w:themeColor="text1"/>
        </w:rPr>
        <w:t xml:space="preserve">we </w:t>
      </w:r>
      <w:r w:rsidR="005D6547" w:rsidRPr="00015A39">
        <w:rPr>
          <w:color w:val="000000" w:themeColor="text1"/>
        </w:rPr>
        <w:t>conducted a re-analysis to investigate</w:t>
      </w:r>
      <w:r w:rsidR="00305DB7" w:rsidRPr="00015A39">
        <w:rPr>
          <w:color w:val="000000" w:themeColor="text1"/>
        </w:rPr>
        <w:t xml:space="preserve"> the association between AD presentation and </w:t>
      </w:r>
      <w:r w:rsidR="00A217C0" w:rsidRPr="00015A39">
        <w:rPr>
          <w:color w:val="000000" w:themeColor="text1"/>
        </w:rPr>
        <w:t xml:space="preserve">AD </w:t>
      </w:r>
      <w:r w:rsidR="00305DB7" w:rsidRPr="00015A39">
        <w:rPr>
          <w:color w:val="000000" w:themeColor="text1"/>
        </w:rPr>
        <w:t>chronicity with high-fat diet intake</w:t>
      </w:r>
      <w:r w:rsidR="003A06F1" w:rsidRPr="00015A39">
        <w:rPr>
          <w:color w:val="000000" w:themeColor="text1"/>
        </w:rPr>
        <w:t xml:space="preserve"> by stratifying according to fruit and vegetable intake (as a negative covariate) and energy intake (as a positive covariate) separately.</w:t>
      </w:r>
      <w:r w:rsidR="007A2197" w:rsidRPr="00015A39">
        <w:rPr>
          <w:color w:val="000000" w:themeColor="text1"/>
        </w:rPr>
        <w:t xml:space="preserve"> </w:t>
      </w:r>
      <w:r w:rsidR="0046744B" w:rsidRPr="00015A39">
        <w:rPr>
          <w:color w:val="000000" w:themeColor="text1"/>
        </w:rPr>
        <w:t xml:space="preserve">This approach further assesses the independence of the observed association from </w:t>
      </w:r>
      <w:r w:rsidR="00770445" w:rsidRPr="00015A39">
        <w:rPr>
          <w:color w:val="000000" w:themeColor="text1"/>
        </w:rPr>
        <w:t>other dietary factors</w:t>
      </w:r>
      <w:r w:rsidR="008F7AA5" w:rsidRPr="00015A39">
        <w:rPr>
          <w:color w:val="000000" w:themeColor="text1"/>
        </w:rPr>
        <w:t>, elucidating potential confounding effects and identifying effect modifiers</w:t>
      </w:r>
      <w:r w:rsidR="00770445" w:rsidRPr="00015A39">
        <w:rPr>
          <w:color w:val="000000" w:themeColor="text1"/>
        </w:rPr>
        <w:t xml:space="preserve">. </w:t>
      </w:r>
      <w:r w:rsidR="000468B0" w:rsidRPr="00015A39">
        <w:rPr>
          <w:color w:val="000000" w:themeColor="text1"/>
        </w:rPr>
        <w:t xml:space="preserve">The effect of high DFS on AD </w:t>
      </w:r>
      <w:r w:rsidR="00483CD9" w:rsidRPr="00015A39">
        <w:rPr>
          <w:color w:val="000000" w:themeColor="text1"/>
        </w:rPr>
        <w:t>presentation</w:t>
      </w:r>
      <w:r w:rsidR="00E34524" w:rsidRPr="00015A39">
        <w:rPr>
          <w:color w:val="000000" w:themeColor="text1"/>
        </w:rPr>
        <w:t xml:space="preserve"> </w:t>
      </w:r>
      <w:r w:rsidR="000468B0" w:rsidRPr="00015A39">
        <w:rPr>
          <w:color w:val="000000" w:themeColor="text1"/>
        </w:rPr>
        <w:t xml:space="preserve">was </w:t>
      </w:r>
      <w:r w:rsidR="005427ED" w:rsidRPr="00015A39">
        <w:rPr>
          <w:color w:val="000000" w:themeColor="text1"/>
        </w:rPr>
        <w:t xml:space="preserve">not confounded </w:t>
      </w:r>
      <w:r w:rsidR="006704D5" w:rsidRPr="00015A39">
        <w:rPr>
          <w:color w:val="000000" w:themeColor="text1"/>
        </w:rPr>
        <w:t xml:space="preserve">by </w:t>
      </w:r>
      <w:r w:rsidR="000468B0" w:rsidRPr="00015A39">
        <w:rPr>
          <w:color w:val="000000" w:themeColor="text1"/>
        </w:rPr>
        <w:t>high fruit and vegetable intake (AOR: 1.4</w:t>
      </w:r>
      <w:r w:rsidR="00FF20B2" w:rsidRPr="00015A39">
        <w:rPr>
          <w:color w:val="000000" w:themeColor="text1"/>
        </w:rPr>
        <w:t>57</w:t>
      </w:r>
      <w:r w:rsidR="000468B0" w:rsidRPr="00015A39">
        <w:rPr>
          <w:color w:val="000000" w:themeColor="text1"/>
        </w:rPr>
        <w:t>; 95% CI: 1.1</w:t>
      </w:r>
      <w:r w:rsidR="00FF20B2" w:rsidRPr="00015A39">
        <w:rPr>
          <w:color w:val="000000" w:themeColor="text1"/>
        </w:rPr>
        <w:t>75</w:t>
      </w:r>
      <w:r w:rsidR="000468B0" w:rsidRPr="00015A39">
        <w:rPr>
          <w:color w:val="000000" w:themeColor="text1"/>
        </w:rPr>
        <w:t>-1.8</w:t>
      </w:r>
      <w:r w:rsidR="00FF20B2" w:rsidRPr="00015A39">
        <w:rPr>
          <w:color w:val="000000" w:themeColor="text1"/>
        </w:rPr>
        <w:t>06</w:t>
      </w:r>
      <w:r w:rsidR="000468B0" w:rsidRPr="00015A39">
        <w:rPr>
          <w:color w:val="000000" w:themeColor="text1"/>
        </w:rPr>
        <w:t>; adjusted p &lt; 0.001</w:t>
      </w:r>
      <w:r w:rsidR="007101B3" w:rsidRPr="00015A39">
        <w:rPr>
          <w:color w:val="000000" w:themeColor="text1"/>
        </w:rPr>
        <w:t>) (</w:t>
      </w:r>
      <w:r w:rsidR="007101B3" w:rsidRPr="00015A39">
        <w:rPr>
          <w:b/>
          <w:bCs/>
          <w:color w:val="000000" w:themeColor="text1"/>
        </w:rPr>
        <w:t>Figure 2a</w:t>
      </w:r>
      <w:r w:rsidR="007101B3" w:rsidRPr="00015A39">
        <w:rPr>
          <w:color w:val="000000" w:themeColor="text1"/>
        </w:rPr>
        <w:t>)</w:t>
      </w:r>
      <w:r w:rsidR="00F8524C" w:rsidRPr="00015A39">
        <w:rPr>
          <w:color w:val="000000" w:themeColor="text1"/>
        </w:rPr>
        <w:t xml:space="preserve"> and energy intake (AOR: 1.</w:t>
      </w:r>
      <w:r w:rsidR="00FF20B2" w:rsidRPr="00015A39">
        <w:rPr>
          <w:color w:val="000000" w:themeColor="text1"/>
        </w:rPr>
        <w:t>475</w:t>
      </w:r>
      <w:r w:rsidR="00F8524C" w:rsidRPr="00015A39">
        <w:rPr>
          <w:color w:val="000000" w:themeColor="text1"/>
        </w:rPr>
        <w:t>; 95% CI: 1.</w:t>
      </w:r>
      <w:r w:rsidR="00FF20B2" w:rsidRPr="00015A39">
        <w:rPr>
          <w:color w:val="000000" w:themeColor="text1"/>
        </w:rPr>
        <w:t>116</w:t>
      </w:r>
      <w:r w:rsidR="00F8524C" w:rsidRPr="00015A39">
        <w:rPr>
          <w:color w:val="000000" w:themeColor="text1"/>
        </w:rPr>
        <w:t>-1.</w:t>
      </w:r>
      <w:r w:rsidR="00FF20B2" w:rsidRPr="00015A39">
        <w:rPr>
          <w:color w:val="000000" w:themeColor="text1"/>
        </w:rPr>
        <w:t>947</w:t>
      </w:r>
      <w:r w:rsidR="00F8524C" w:rsidRPr="00015A39">
        <w:rPr>
          <w:color w:val="000000" w:themeColor="text1"/>
        </w:rPr>
        <w:t>; adjusted p &lt; 0.0</w:t>
      </w:r>
      <w:r w:rsidR="00FF20B2" w:rsidRPr="00015A39">
        <w:rPr>
          <w:color w:val="000000" w:themeColor="text1"/>
        </w:rPr>
        <w:t>1</w:t>
      </w:r>
      <w:r w:rsidR="00F8524C" w:rsidRPr="00015A39">
        <w:rPr>
          <w:color w:val="000000" w:themeColor="text1"/>
        </w:rPr>
        <w:t>) (</w:t>
      </w:r>
      <w:r w:rsidR="00F8524C" w:rsidRPr="00015A39">
        <w:rPr>
          <w:b/>
          <w:bCs/>
          <w:color w:val="000000" w:themeColor="text1"/>
        </w:rPr>
        <w:t>Figure 2c</w:t>
      </w:r>
      <w:r w:rsidR="00F8524C" w:rsidRPr="00015A39">
        <w:rPr>
          <w:color w:val="000000" w:themeColor="text1"/>
        </w:rPr>
        <w:t xml:space="preserve">). </w:t>
      </w:r>
      <w:r w:rsidR="00FF13D6" w:rsidRPr="00015A39">
        <w:rPr>
          <w:color w:val="000000" w:themeColor="text1"/>
        </w:rPr>
        <w:t>Additionally, there was a dose-dependent increment in AOR</w:t>
      </w:r>
      <w:r w:rsidR="00A844E2" w:rsidRPr="00015A39">
        <w:rPr>
          <w:color w:val="000000" w:themeColor="text1"/>
        </w:rPr>
        <w:t>s</w:t>
      </w:r>
      <w:r w:rsidR="00FF13D6" w:rsidRPr="00015A39">
        <w:rPr>
          <w:color w:val="000000" w:themeColor="text1"/>
        </w:rPr>
        <w:t xml:space="preserve"> </w:t>
      </w:r>
      <w:r w:rsidR="00A065F1" w:rsidRPr="00015A39">
        <w:rPr>
          <w:color w:val="000000" w:themeColor="text1"/>
        </w:rPr>
        <w:t xml:space="preserve">associated with high DFS as </w:t>
      </w:r>
      <w:r w:rsidR="00FF13D6" w:rsidRPr="00015A39">
        <w:rPr>
          <w:color w:val="000000" w:themeColor="text1"/>
        </w:rPr>
        <w:t xml:space="preserve">fruit and vegetable intake </w:t>
      </w:r>
      <w:r w:rsidR="00A065F1" w:rsidRPr="00015A39">
        <w:rPr>
          <w:color w:val="000000" w:themeColor="text1"/>
        </w:rPr>
        <w:t xml:space="preserve">decreased </w:t>
      </w:r>
      <w:r w:rsidR="00FF13D6" w:rsidRPr="00015A39">
        <w:rPr>
          <w:color w:val="000000" w:themeColor="text1"/>
        </w:rPr>
        <w:t>and energy intake</w:t>
      </w:r>
      <w:r w:rsidR="00091B47" w:rsidRPr="00015A39">
        <w:rPr>
          <w:color w:val="000000" w:themeColor="text1"/>
        </w:rPr>
        <w:t xml:space="preserve"> increased. </w:t>
      </w:r>
      <w:r w:rsidR="008162B4" w:rsidRPr="00015A39">
        <w:rPr>
          <w:color w:val="000000" w:themeColor="text1"/>
        </w:rPr>
        <w:t>Although SF analysis indicated the absence of a synergistic interaction</w:t>
      </w:r>
      <w:r w:rsidR="007F2E36" w:rsidRPr="00015A39">
        <w:rPr>
          <w:color w:val="000000" w:themeColor="text1"/>
        </w:rPr>
        <w:t xml:space="preserve"> between the dietary factors examined (</w:t>
      </w:r>
      <w:r w:rsidR="007F2E36" w:rsidRPr="00015A39">
        <w:rPr>
          <w:b/>
          <w:bCs/>
          <w:color w:val="000000" w:themeColor="text1"/>
        </w:rPr>
        <w:t xml:space="preserve">Supplemental Table </w:t>
      </w:r>
      <w:r w:rsidR="00AC066D" w:rsidRPr="00015A39">
        <w:rPr>
          <w:b/>
          <w:bCs/>
          <w:color w:val="000000" w:themeColor="text1"/>
        </w:rPr>
        <w:t>5</w:t>
      </w:r>
      <w:r w:rsidR="00EB1760" w:rsidRPr="00015A39">
        <w:rPr>
          <w:b/>
          <w:bCs/>
          <w:color w:val="000000" w:themeColor="text1"/>
        </w:rPr>
        <w:t xml:space="preserve"> [I] and [II]</w:t>
      </w:r>
      <w:r w:rsidR="00EB1760" w:rsidRPr="00015A39">
        <w:rPr>
          <w:color w:val="000000" w:themeColor="text1"/>
        </w:rPr>
        <w:t>)</w:t>
      </w:r>
      <w:r w:rsidR="00A0126A" w:rsidRPr="00015A39">
        <w:rPr>
          <w:color w:val="000000" w:themeColor="text1"/>
        </w:rPr>
        <w:t>, they may act independently to influence AD</w:t>
      </w:r>
      <w:r w:rsidR="009440B6" w:rsidRPr="00015A39">
        <w:rPr>
          <w:color w:val="000000" w:themeColor="text1"/>
        </w:rPr>
        <w:t xml:space="preserve"> presentation</w:t>
      </w:r>
      <w:r w:rsidR="00A0126A" w:rsidRPr="00015A39">
        <w:rPr>
          <w:color w:val="000000" w:themeColor="text1"/>
        </w:rPr>
        <w:t xml:space="preserve">. </w:t>
      </w:r>
      <w:r w:rsidR="0024261B" w:rsidRPr="00015A39">
        <w:rPr>
          <w:color w:val="000000" w:themeColor="text1"/>
        </w:rPr>
        <w:t>In contrast</w:t>
      </w:r>
      <w:r w:rsidR="00CC5B6A" w:rsidRPr="00015A39">
        <w:rPr>
          <w:color w:val="000000" w:themeColor="text1"/>
        </w:rPr>
        <w:t xml:space="preserve">, </w:t>
      </w:r>
      <w:r w:rsidR="00F45F72" w:rsidRPr="00015A39">
        <w:rPr>
          <w:color w:val="000000" w:themeColor="text1"/>
        </w:rPr>
        <w:t xml:space="preserve">the association between DFS and AD chronicity was not statistically </w:t>
      </w:r>
      <w:r w:rsidR="00805057" w:rsidRPr="00015A39">
        <w:rPr>
          <w:color w:val="000000" w:themeColor="text1"/>
        </w:rPr>
        <w:t>significant</w:t>
      </w:r>
      <w:r w:rsidR="00F45F72" w:rsidRPr="00015A39">
        <w:rPr>
          <w:color w:val="000000" w:themeColor="text1"/>
        </w:rPr>
        <w:t xml:space="preserve"> </w:t>
      </w:r>
      <w:r w:rsidR="00B1677E" w:rsidRPr="00015A39">
        <w:rPr>
          <w:color w:val="000000" w:themeColor="text1"/>
        </w:rPr>
        <w:t>in high</w:t>
      </w:r>
      <w:r w:rsidR="00F45F72" w:rsidRPr="00015A39">
        <w:rPr>
          <w:color w:val="000000" w:themeColor="text1"/>
        </w:rPr>
        <w:t xml:space="preserve"> fruit and vegetable intake </w:t>
      </w:r>
      <w:r w:rsidR="00EC489E" w:rsidRPr="00015A39">
        <w:rPr>
          <w:color w:val="000000" w:themeColor="text1"/>
        </w:rPr>
        <w:t>(</w:t>
      </w:r>
      <w:r w:rsidR="00EC489E" w:rsidRPr="00015A39">
        <w:rPr>
          <w:b/>
          <w:bCs/>
          <w:color w:val="000000" w:themeColor="text1"/>
        </w:rPr>
        <w:t>Figure 2b</w:t>
      </w:r>
      <w:r w:rsidR="00EC489E" w:rsidRPr="00015A39">
        <w:rPr>
          <w:color w:val="000000" w:themeColor="text1"/>
        </w:rPr>
        <w:t>)</w:t>
      </w:r>
      <w:r w:rsidR="00191C17" w:rsidRPr="00015A39">
        <w:rPr>
          <w:color w:val="000000" w:themeColor="text1"/>
        </w:rPr>
        <w:t xml:space="preserve"> or </w:t>
      </w:r>
      <w:r w:rsidR="00C940FB" w:rsidRPr="00015A39">
        <w:rPr>
          <w:color w:val="000000" w:themeColor="text1"/>
        </w:rPr>
        <w:t xml:space="preserve">low </w:t>
      </w:r>
      <w:r w:rsidR="00191C17" w:rsidRPr="00015A39">
        <w:rPr>
          <w:color w:val="000000" w:themeColor="text1"/>
        </w:rPr>
        <w:t>energy intake (</w:t>
      </w:r>
      <w:r w:rsidR="00191C17" w:rsidRPr="00015A39">
        <w:rPr>
          <w:b/>
          <w:bCs/>
          <w:color w:val="000000" w:themeColor="text1"/>
        </w:rPr>
        <w:t>Figure 2d</w:t>
      </w:r>
      <w:r w:rsidR="00191C17" w:rsidRPr="00015A39">
        <w:rPr>
          <w:color w:val="000000" w:themeColor="text1"/>
        </w:rPr>
        <w:t>).</w:t>
      </w:r>
      <w:r w:rsidR="00F45F72" w:rsidRPr="00015A39">
        <w:rPr>
          <w:color w:val="000000" w:themeColor="text1"/>
        </w:rPr>
        <w:t xml:space="preserve"> </w:t>
      </w:r>
      <w:r w:rsidR="001F4768" w:rsidRPr="00015A39">
        <w:rPr>
          <w:color w:val="000000" w:themeColor="text1"/>
        </w:rPr>
        <w:t xml:space="preserve">This suggests </w:t>
      </w:r>
      <w:r w:rsidR="00B862FD" w:rsidRPr="00015A39">
        <w:rPr>
          <w:color w:val="000000" w:themeColor="text1"/>
        </w:rPr>
        <w:t>the</w:t>
      </w:r>
      <w:r w:rsidR="001F4768" w:rsidRPr="00015A39">
        <w:rPr>
          <w:color w:val="000000" w:themeColor="text1"/>
        </w:rPr>
        <w:t xml:space="preserve"> potential </w:t>
      </w:r>
      <w:r w:rsidR="007C5521" w:rsidRPr="00015A39">
        <w:rPr>
          <w:color w:val="000000" w:themeColor="text1"/>
        </w:rPr>
        <w:t>importance of dietary modification, particularly</w:t>
      </w:r>
      <w:r w:rsidR="0080769E" w:rsidRPr="00015A39">
        <w:rPr>
          <w:color w:val="000000" w:themeColor="text1"/>
        </w:rPr>
        <w:t xml:space="preserve"> </w:t>
      </w:r>
      <w:r w:rsidR="007C5521" w:rsidRPr="00015A39">
        <w:rPr>
          <w:color w:val="000000" w:themeColor="text1"/>
        </w:rPr>
        <w:t>increasing</w:t>
      </w:r>
      <w:r w:rsidR="0080769E" w:rsidRPr="00015A39">
        <w:rPr>
          <w:color w:val="000000" w:themeColor="text1"/>
        </w:rPr>
        <w:t xml:space="preserve"> fruit and vegetable intake </w:t>
      </w:r>
      <w:r w:rsidR="00F22F3B" w:rsidRPr="00015A39">
        <w:rPr>
          <w:color w:val="000000" w:themeColor="text1"/>
        </w:rPr>
        <w:t xml:space="preserve">or </w:t>
      </w:r>
      <w:r w:rsidR="005173E8" w:rsidRPr="00015A39">
        <w:rPr>
          <w:color w:val="000000" w:themeColor="text1"/>
        </w:rPr>
        <w:t>reducing</w:t>
      </w:r>
      <w:r w:rsidR="00F22F3B" w:rsidRPr="00015A39">
        <w:rPr>
          <w:color w:val="000000" w:themeColor="text1"/>
        </w:rPr>
        <w:t xml:space="preserve"> energy intake</w:t>
      </w:r>
      <w:r w:rsidR="00AE7C10" w:rsidRPr="00015A39">
        <w:rPr>
          <w:color w:val="000000" w:themeColor="text1"/>
        </w:rPr>
        <w:t>,</w:t>
      </w:r>
      <w:r w:rsidR="00F22F3B" w:rsidRPr="00015A39">
        <w:rPr>
          <w:color w:val="000000" w:themeColor="text1"/>
        </w:rPr>
        <w:t xml:space="preserve"> in</w:t>
      </w:r>
      <w:r w:rsidR="00AE7C10" w:rsidRPr="00015A39">
        <w:rPr>
          <w:color w:val="000000" w:themeColor="text1"/>
        </w:rPr>
        <w:t xml:space="preserve"> lowering the </w:t>
      </w:r>
      <w:r w:rsidR="00E34524" w:rsidRPr="00015A39">
        <w:rPr>
          <w:color w:val="000000" w:themeColor="text1"/>
        </w:rPr>
        <w:t xml:space="preserve">odds </w:t>
      </w:r>
      <w:r w:rsidR="00AE7C10" w:rsidRPr="00015A39">
        <w:rPr>
          <w:color w:val="000000" w:themeColor="text1"/>
        </w:rPr>
        <w:t xml:space="preserve">of AD </w:t>
      </w:r>
      <w:r w:rsidR="005B772F" w:rsidRPr="00015A39">
        <w:rPr>
          <w:color w:val="000000" w:themeColor="text1"/>
        </w:rPr>
        <w:t xml:space="preserve">chronicity </w:t>
      </w:r>
      <w:r w:rsidR="00AE7C10" w:rsidRPr="00015A39">
        <w:rPr>
          <w:color w:val="000000" w:themeColor="text1"/>
        </w:rPr>
        <w:t>associated with</w:t>
      </w:r>
      <w:r w:rsidR="00262736" w:rsidRPr="00015A39">
        <w:rPr>
          <w:color w:val="000000" w:themeColor="text1"/>
        </w:rPr>
        <w:t xml:space="preserve"> </w:t>
      </w:r>
      <w:r w:rsidR="00AE7C10" w:rsidRPr="00015A39">
        <w:rPr>
          <w:color w:val="000000" w:themeColor="text1"/>
        </w:rPr>
        <w:t xml:space="preserve">frequent high-fat food intake. </w:t>
      </w:r>
      <w:r w:rsidR="0080769E" w:rsidRPr="00015A39">
        <w:rPr>
          <w:color w:val="000000" w:themeColor="text1"/>
        </w:rPr>
        <w:t xml:space="preserve"> </w:t>
      </w:r>
    </w:p>
    <w:p w14:paraId="7020DBBD" w14:textId="04A5007A" w:rsidR="00922211" w:rsidRPr="00015A39" w:rsidRDefault="007D0A55" w:rsidP="0004258D">
      <w:pPr>
        <w:pStyle w:val="Heading2"/>
        <w:rPr>
          <w:color w:val="000000" w:themeColor="text1"/>
          <w:sz w:val="24"/>
          <w:szCs w:val="24"/>
        </w:rPr>
      </w:pPr>
      <w:r w:rsidRPr="00015A39">
        <w:rPr>
          <w:color w:val="000000" w:themeColor="text1"/>
          <w:sz w:val="24"/>
          <w:szCs w:val="24"/>
        </w:rPr>
        <w:lastRenderedPageBreak/>
        <w:t xml:space="preserve">Association Between Frequency and </w:t>
      </w:r>
      <w:r w:rsidR="00386F54" w:rsidRPr="00015A39">
        <w:rPr>
          <w:color w:val="000000" w:themeColor="text1"/>
          <w:sz w:val="24"/>
          <w:szCs w:val="24"/>
        </w:rPr>
        <w:t xml:space="preserve">Dietary Fat </w:t>
      </w:r>
      <w:r w:rsidRPr="00015A39">
        <w:rPr>
          <w:color w:val="000000" w:themeColor="text1"/>
          <w:sz w:val="24"/>
          <w:szCs w:val="24"/>
        </w:rPr>
        <w:t xml:space="preserve">Intake </w:t>
      </w:r>
      <w:r w:rsidR="00FA665B" w:rsidRPr="00015A39">
        <w:rPr>
          <w:color w:val="000000" w:themeColor="text1"/>
          <w:sz w:val="24"/>
          <w:szCs w:val="24"/>
        </w:rPr>
        <w:t>with</w:t>
      </w:r>
      <w:r w:rsidRPr="00015A39">
        <w:rPr>
          <w:color w:val="000000" w:themeColor="text1"/>
          <w:sz w:val="24"/>
          <w:szCs w:val="24"/>
        </w:rPr>
        <w:t xml:space="preserve"> AD</w:t>
      </w:r>
    </w:p>
    <w:p w14:paraId="7E09872A" w14:textId="4C639E14" w:rsidR="00DD3460" w:rsidRDefault="0023635D" w:rsidP="0004258D">
      <w:pPr>
        <w:spacing w:line="360" w:lineRule="auto"/>
        <w:jc w:val="both"/>
        <w:rPr>
          <w:color w:val="000000" w:themeColor="text1"/>
        </w:rPr>
      </w:pPr>
      <w:r w:rsidRPr="00015A39">
        <w:rPr>
          <w:color w:val="000000" w:themeColor="text1"/>
        </w:rPr>
        <w:t xml:space="preserve">Finally, </w:t>
      </w:r>
      <w:r w:rsidR="00E0466E" w:rsidRPr="00015A39">
        <w:rPr>
          <w:color w:val="000000" w:themeColor="text1"/>
        </w:rPr>
        <w:t xml:space="preserve">we </w:t>
      </w:r>
      <w:r w:rsidR="003E7C76" w:rsidRPr="00015A39">
        <w:rPr>
          <w:color w:val="000000" w:themeColor="text1"/>
        </w:rPr>
        <w:t>studied</w:t>
      </w:r>
      <w:r w:rsidR="00E0466E" w:rsidRPr="00015A39">
        <w:rPr>
          <w:color w:val="000000" w:themeColor="text1"/>
        </w:rPr>
        <w:t xml:space="preserve"> the association between dietary habits characterized by frequent intake of high-fat food diets and high total dietary fat intake with the presentation of AD. </w:t>
      </w:r>
      <w:r w:rsidR="00E23BD2" w:rsidRPr="00015A39">
        <w:rPr>
          <w:color w:val="000000" w:themeColor="text1"/>
        </w:rPr>
        <w:t xml:space="preserve">Understanding this distinction is crucial as it provides insights into how different aspects of dietary fat consumption may impact the manifestation of AD. </w:t>
      </w:r>
      <w:r w:rsidR="00307BC9" w:rsidRPr="00015A39">
        <w:rPr>
          <w:color w:val="000000" w:themeColor="text1"/>
        </w:rPr>
        <w:t>C</w:t>
      </w:r>
      <w:r w:rsidR="00C4535C" w:rsidRPr="00015A39">
        <w:rPr>
          <w:color w:val="000000" w:themeColor="text1"/>
        </w:rPr>
        <w:t>ompared to individual</w:t>
      </w:r>
      <w:r w:rsidR="00B12A17" w:rsidRPr="00015A39">
        <w:rPr>
          <w:color w:val="000000" w:themeColor="text1"/>
        </w:rPr>
        <w:t>s</w:t>
      </w:r>
      <w:r w:rsidR="00C4535C" w:rsidRPr="00015A39">
        <w:rPr>
          <w:color w:val="000000" w:themeColor="text1"/>
        </w:rPr>
        <w:t xml:space="preserve"> who </w:t>
      </w:r>
      <w:r w:rsidR="00B12A17" w:rsidRPr="00015A39">
        <w:rPr>
          <w:color w:val="000000" w:themeColor="text1"/>
        </w:rPr>
        <w:t>in</w:t>
      </w:r>
      <w:r w:rsidR="00C4535C" w:rsidRPr="00015A39">
        <w:rPr>
          <w:color w:val="000000" w:themeColor="text1"/>
        </w:rPr>
        <w:t>frequently consume</w:t>
      </w:r>
      <w:r w:rsidR="005C7B13" w:rsidRPr="00015A39">
        <w:rPr>
          <w:color w:val="000000" w:themeColor="text1"/>
        </w:rPr>
        <w:t>d</w:t>
      </w:r>
      <w:r w:rsidR="00C4535C" w:rsidRPr="00015A39">
        <w:rPr>
          <w:color w:val="000000" w:themeColor="text1"/>
        </w:rPr>
        <w:t xml:space="preserve"> high-fat foods </w:t>
      </w:r>
      <w:r w:rsidR="00BF19AE" w:rsidRPr="00015A39">
        <w:rPr>
          <w:color w:val="000000" w:themeColor="text1"/>
        </w:rPr>
        <w:t>while</w:t>
      </w:r>
      <w:r w:rsidR="00C4535C" w:rsidRPr="00015A39">
        <w:rPr>
          <w:color w:val="000000" w:themeColor="text1"/>
        </w:rPr>
        <w:t xml:space="preserve"> maintaining a low dietary fat intake,</w:t>
      </w:r>
      <w:r w:rsidR="00EA4C9F" w:rsidRPr="00015A39">
        <w:rPr>
          <w:color w:val="000000" w:themeColor="text1"/>
        </w:rPr>
        <w:t xml:space="preserve"> those with</w:t>
      </w:r>
      <w:r w:rsidR="00C4535C" w:rsidRPr="00015A39">
        <w:rPr>
          <w:color w:val="000000" w:themeColor="text1"/>
        </w:rPr>
        <w:t xml:space="preserve"> increased frequency of high-fat food intake </w:t>
      </w:r>
      <w:r w:rsidR="000C77F1" w:rsidRPr="00015A39">
        <w:rPr>
          <w:color w:val="000000" w:themeColor="text1"/>
        </w:rPr>
        <w:t>exhibited higher</w:t>
      </w:r>
      <w:r w:rsidR="00307BC9" w:rsidRPr="00015A39">
        <w:rPr>
          <w:color w:val="000000" w:themeColor="text1"/>
        </w:rPr>
        <w:t xml:space="preserve"> associated </w:t>
      </w:r>
      <w:r w:rsidR="009414C9" w:rsidRPr="00015A39">
        <w:rPr>
          <w:color w:val="000000" w:themeColor="text1"/>
        </w:rPr>
        <w:t xml:space="preserve">odds </w:t>
      </w:r>
      <w:r w:rsidR="00307BC9" w:rsidRPr="00015A39">
        <w:rPr>
          <w:color w:val="000000" w:themeColor="text1"/>
        </w:rPr>
        <w:t>for A</w:t>
      </w:r>
      <w:r w:rsidR="00F24BE4" w:rsidRPr="00015A39">
        <w:rPr>
          <w:color w:val="000000" w:themeColor="text1"/>
        </w:rPr>
        <w:t>D</w:t>
      </w:r>
      <w:r w:rsidR="007E58B8" w:rsidRPr="00015A39">
        <w:rPr>
          <w:color w:val="000000" w:themeColor="text1"/>
        </w:rPr>
        <w:t xml:space="preserve"> presentation</w:t>
      </w:r>
      <w:r w:rsidR="00F24BE4" w:rsidRPr="00015A39">
        <w:rPr>
          <w:color w:val="000000" w:themeColor="text1"/>
        </w:rPr>
        <w:t xml:space="preserve"> (AOR: 1.</w:t>
      </w:r>
      <w:r w:rsidR="00BF3FC9" w:rsidRPr="00015A39">
        <w:rPr>
          <w:color w:val="000000" w:themeColor="text1"/>
        </w:rPr>
        <w:t>513</w:t>
      </w:r>
      <w:r w:rsidR="00F24BE4" w:rsidRPr="00015A39">
        <w:rPr>
          <w:color w:val="000000" w:themeColor="text1"/>
        </w:rPr>
        <w:t xml:space="preserve">; 95% CI: </w:t>
      </w:r>
      <w:r w:rsidR="00391386" w:rsidRPr="00015A39">
        <w:rPr>
          <w:color w:val="000000" w:themeColor="text1"/>
        </w:rPr>
        <w:t>1.</w:t>
      </w:r>
      <w:r w:rsidR="00BF3FC9" w:rsidRPr="00015A39">
        <w:rPr>
          <w:color w:val="000000" w:themeColor="text1"/>
        </w:rPr>
        <w:t>219</w:t>
      </w:r>
      <w:r w:rsidR="00391386" w:rsidRPr="00015A39">
        <w:rPr>
          <w:color w:val="000000" w:themeColor="text1"/>
        </w:rPr>
        <w:t>-1.8</w:t>
      </w:r>
      <w:r w:rsidR="00BF3FC9" w:rsidRPr="00015A39">
        <w:rPr>
          <w:color w:val="000000" w:themeColor="text1"/>
        </w:rPr>
        <w:t>82</w:t>
      </w:r>
      <w:r w:rsidR="00391386" w:rsidRPr="00015A39">
        <w:rPr>
          <w:color w:val="000000" w:themeColor="text1"/>
        </w:rPr>
        <w:t>; adjusted p &lt; 0.001)</w:t>
      </w:r>
      <w:r w:rsidR="007E6374" w:rsidRPr="00015A39">
        <w:rPr>
          <w:color w:val="000000" w:themeColor="text1"/>
        </w:rPr>
        <w:t xml:space="preserve">. </w:t>
      </w:r>
      <w:r w:rsidR="00210835" w:rsidRPr="00015A39">
        <w:rPr>
          <w:color w:val="000000" w:themeColor="text1"/>
        </w:rPr>
        <w:t>Similarly</w:t>
      </w:r>
      <w:r w:rsidR="00715CA5" w:rsidRPr="00015A39">
        <w:rPr>
          <w:color w:val="000000" w:themeColor="text1"/>
        </w:rPr>
        <w:t xml:space="preserve">, </w:t>
      </w:r>
      <w:r w:rsidR="0028383E" w:rsidRPr="00015A39">
        <w:rPr>
          <w:color w:val="000000" w:themeColor="text1"/>
        </w:rPr>
        <w:t xml:space="preserve">the associated </w:t>
      </w:r>
      <w:r w:rsidR="009414C9" w:rsidRPr="00015A39">
        <w:rPr>
          <w:color w:val="000000" w:themeColor="text1"/>
        </w:rPr>
        <w:t xml:space="preserve">odds </w:t>
      </w:r>
      <w:r w:rsidR="0028383E" w:rsidRPr="00015A39">
        <w:rPr>
          <w:color w:val="000000" w:themeColor="text1"/>
        </w:rPr>
        <w:t>for AD</w:t>
      </w:r>
      <w:r w:rsidR="002A74E4" w:rsidRPr="00015A39">
        <w:rPr>
          <w:color w:val="000000" w:themeColor="text1"/>
        </w:rPr>
        <w:t xml:space="preserve"> presentation</w:t>
      </w:r>
      <w:r w:rsidR="0028383E" w:rsidRPr="00015A39">
        <w:rPr>
          <w:color w:val="000000" w:themeColor="text1"/>
        </w:rPr>
        <w:t xml:space="preserve"> increased </w:t>
      </w:r>
      <w:r w:rsidR="00E97E70" w:rsidRPr="00015A39">
        <w:rPr>
          <w:color w:val="000000" w:themeColor="text1"/>
        </w:rPr>
        <w:t xml:space="preserve">further </w:t>
      </w:r>
      <w:r w:rsidR="0028383E" w:rsidRPr="00015A39">
        <w:rPr>
          <w:color w:val="000000" w:themeColor="text1"/>
        </w:rPr>
        <w:t>with</w:t>
      </w:r>
      <w:r w:rsidR="0050521B" w:rsidRPr="00015A39">
        <w:rPr>
          <w:color w:val="000000" w:themeColor="text1"/>
        </w:rPr>
        <w:t xml:space="preserve"> </w:t>
      </w:r>
      <w:r w:rsidR="0052583A" w:rsidRPr="00015A39">
        <w:rPr>
          <w:color w:val="000000" w:themeColor="text1"/>
        </w:rPr>
        <w:t>higher</w:t>
      </w:r>
      <w:r w:rsidR="007A47DE" w:rsidRPr="00015A39">
        <w:rPr>
          <w:color w:val="000000" w:themeColor="text1"/>
        </w:rPr>
        <w:t xml:space="preserve"> dietary fat intake</w:t>
      </w:r>
      <w:r w:rsidR="00113C43" w:rsidRPr="00015A39">
        <w:rPr>
          <w:color w:val="000000" w:themeColor="text1"/>
        </w:rPr>
        <w:t xml:space="preserve"> </w:t>
      </w:r>
      <w:r w:rsidR="007A47DE" w:rsidRPr="00015A39">
        <w:rPr>
          <w:color w:val="000000" w:themeColor="text1"/>
        </w:rPr>
        <w:t xml:space="preserve">(AOR: </w:t>
      </w:r>
      <w:r w:rsidR="00715CA5" w:rsidRPr="00015A39">
        <w:rPr>
          <w:color w:val="000000" w:themeColor="text1"/>
        </w:rPr>
        <w:t>1.8</w:t>
      </w:r>
      <w:r w:rsidR="00A121AD" w:rsidRPr="00015A39">
        <w:rPr>
          <w:color w:val="000000" w:themeColor="text1"/>
        </w:rPr>
        <w:t>87</w:t>
      </w:r>
      <w:r w:rsidR="00715CA5" w:rsidRPr="00015A39">
        <w:rPr>
          <w:color w:val="000000" w:themeColor="text1"/>
        </w:rPr>
        <w:t>; 95% CI: 1.</w:t>
      </w:r>
      <w:r w:rsidR="00A121AD" w:rsidRPr="00015A39">
        <w:rPr>
          <w:color w:val="000000" w:themeColor="text1"/>
        </w:rPr>
        <w:t>520</w:t>
      </w:r>
      <w:r w:rsidR="00715CA5" w:rsidRPr="00015A39">
        <w:rPr>
          <w:color w:val="000000" w:themeColor="text1"/>
        </w:rPr>
        <w:t>-2.3</w:t>
      </w:r>
      <w:r w:rsidR="00A121AD" w:rsidRPr="00015A39">
        <w:rPr>
          <w:color w:val="000000" w:themeColor="text1"/>
        </w:rPr>
        <w:t>48</w:t>
      </w:r>
      <w:r w:rsidR="00715CA5" w:rsidRPr="00015A39">
        <w:rPr>
          <w:color w:val="000000" w:themeColor="text1"/>
        </w:rPr>
        <w:t>; adjusted p &lt; 0.001)</w:t>
      </w:r>
      <w:r w:rsidR="005F3E90" w:rsidRPr="00015A39">
        <w:rPr>
          <w:color w:val="000000" w:themeColor="text1"/>
        </w:rPr>
        <w:t xml:space="preserve"> (</w:t>
      </w:r>
      <w:r w:rsidR="005F3E90" w:rsidRPr="00015A39">
        <w:rPr>
          <w:b/>
          <w:bCs/>
          <w:color w:val="000000" w:themeColor="text1"/>
        </w:rPr>
        <w:t>Figure 3</w:t>
      </w:r>
      <w:r w:rsidR="005F3E90" w:rsidRPr="00015A39">
        <w:rPr>
          <w:color w:val="000000" w:themeColor="text1"/>
        </w:rPr>
        <w:t>)</w:t>
      </w:r>
      <w:r w:rsidR="00715CA5" w:rsidRPr="00015A39">
        <w:rPr>
          <w:color w:val="000000" w:themeColor="text1"/>
        </w:rPr>
        <w:t xml:space="preserve">. </w:t>
      </w:r>
      <w:r w:rsidR="00EB40BD" w:rsidRPr="00015A39">
        <w:rPr>
          <w:color w:val="000000" w:themeColor="text1"/>
        </w:rPr>
        <w:t xml:space="preserve">Notably, the influence of high-fat food intake frequency on AD </w:t>
      </w:r>
      <w:r w:rsidR="009414C9" w:rsidRPr="00015A39">
        <w:rPr>
          <w:color w:val="000000" w:themeColor="text1"/>
        </w:rPr>
        <w:t xml:space="preserve">odds </w:t>
      </w:r>
      <w:r w:rsidR="00C82EB9" w:rsidRPr="00015A39">
        <w:rPr>
          <w:color w:val="000000" w:themeColor="text1"/>
        </w:rPr>
        <w:t>was</w:t>
      </w:r>
      <w:r w:rsidR="00EB40BD" w:rsidRPr="00015A39">
        <w:rPr>
          <w:color w:val="000000" w:themeColor="text1"/>
        </w:rPr>
        <w:t xml:space="preserve"> independent of the overall intake amount</w:t>
      </w:r>
      <w:r w:rsidR="00C82EB9" w:rsidRPr="00015A39">
        <w:rPr>
          <w:color w:val="000000" w:themeColor="text1"/>
        </w:rPr>
        <w:t xml:space="preserve"> (</w:t>
      </w:r>
      <w:r w:rsidR="00C82EB9" w:rsidRPr="00015A39">
        <w:rPr>
          <w:b/>
          <w:bCs/>
          <w:color w:val="000000" w:themeColor="text1"/>
        </w:rPr>
        <w:t xml:space="preserve">Supplemental Table </w:t>
      </w:r>
      <w:r w:rsidR="006965A1" w:rsidRPr="00015A39">
        <w:rPr>
          <w:b/>
          <w:bCs/>
          <w:color w:val="000000" w:themeColor="text1"/>
        </w:rPr>
        <w:t>5</w:t>
      </w:r>
      <w:r w:rsidR="00C82EB9" w:rsidRPr="00015A39">
        <w:rPr>
          <w:b/>
          <w:bCs/>
          <w:color w:val="000000" w:themeColor="text1"/>
        </w:rPr>
        <w:t xml:space="preserve"> [III]</w:t>
      </w:r>
      <w:r w:rsidR="00C82EB9" w:rsidRPr="00015A39">
        <w:rPr>
          <w:color w:val="000000" w:themeColor="text1"/>
        </w:rPr>
        <w:t xml:space="preserve">). </w:t>
      </w:r>
      <w:r w:rsidRPr="00015A39">
        <w:rPr>
          <w:color w:val="000000" w:themeColor="text1"/>
        </w:rPr>
        <w:t xml:space="preserve">Taken together, the key findings emphasized </w:t>
      </w:r>
      <w:r w:rsidR="0093372D" w:rsidRPr="00015A39">
        <w:rPr>
          <w:color w:val="000000" w:themeColor="text1"/>
        </w:rPr>
        <w:t>the importance of</w:t>
      </w:r>
      <w:r w:rsidRPr="00015A39">
        <w:rPr>
          <w:color w:val="000000" w:themeColor="text1"/>
        </w:rPr>
        <w:t xml:space="preserve"> </w:t>
      </w:r>
      <w:r w:rsidR="005001D7" w:rsidRPr="00015A39">
        <w:rPr>
          <w:color w:val="000000" w:themeColor="text1"/>
        </w:rPr>
        <w:t>moderating the intake frequency of high-fat foods</w:t>
      </w:r>
      <w:r w:rsidR="00CF0D31" w:rsidRPr="00015A39">
        <w:rPr>
          <w:color w:val="000000" w:themeColor="text1"/>
        </w:rPr>
        <w:t xml:space="preserve"> </w:t>
      </w:r>
      <w:r w:rsidR="00E01ABE" w:rsidRPr="00015A39">
        <w:rPr>
          <w:color w:val="000000" w:themeColor="text1"/>
        </w:rPr>
        <w:t>as potentially</w:t>
      </w:r>
      <w:r w:rsidR="00CF0D31" w:rsidRPr="00015A39">
        <w:rPr>
          <w:color w:val="000000" w:themeColor="text1"/>
        </w:rPr>
        <w:t xml:space="preserve"> more crucial</w:t>
      </w:r>
      <w:r w:rsidR="00726F1F" w:rsidRPr="00015A39">
        <w:rPr>
          <w:color w:val="000000" w:themeColor="text1"/>
        </w:rPr>
        <w:t xml:space="preserve"> </w:t>
      </w:r>
      <w:r w:rsidR="00B31C71" w:rsidRPr="00015A39">
        <w:rPr>
          <w:color w:val="000000" w:themeColor="text1"/>
        </w:rPr>
        <w:t>for</w:t>
      </w:r>
      <w:r w:rsidR="00726F1F" w:rsidRPr="00015A39">
        <w:rPr>
          <w:color w:val="000000" w:themeColor="text1"/>
        </w:rPr>
        <w:t xml:space="preserve"> lower</w:t>
      </w:r>
      <w:r w:rsidR="00B31C71" w:rsidRPr="00015A39">
        <w:rPr>
          <w:color w:val="000000" w:themeColor="text1"/>
        </w:rPr>
        <w:t>ing the</w:t>
      </w:r>
      <w:r w:rsidR="00726F1F" w:rsidRPr="00015A39">
        <w:rPr>
          <w:color w:val="000000" w:themeColor="text1"/>
        </w:rPr>
        <w:t xml:space="preserve"> </w:t>
      </w:r>
      <w:r w:rsidR="009414C9" w:rsidRPr="00015A39">
        <w:rPr>
          <w:color w:val="000000" w:themeColor="text1"/>
        </w:rPr>
        <w:t xml:space="preserve">odds </w:t>
      </w:r>
      <w:r w:rsidR="00094E17" w:rsidRPr="00015A39">
        <w:rPr>
          <w:color w:val="000000" w:themeColor="text1"/>
        </w:rPr>
        <w:t xml:space="preserve">associated with AD </w:t>
      </w:r>
      <w:r w:rsidR="00C00A31" w:rsidRPr="00015A39">
        <w:rPr>
          <w:color w:val="000000" w:themeColor="text1"/>
        </w:rPr>
        <w:t xml:space="preserve">presentation </w:t>
      </w:r>
      <w:r w:rsidR="00CF0D31" w:rsidRPr="00015A39">
        <w:rPr>
          <w:color w:val="000000" w:themeColor="text1"/>
        </w:rPr>
        <w:t xml:space="preserve">than solely </w:t>
      </w:r>
      <w:r w:rsidR="007420DC" w:rsidRPr="00015A39">
        <w:rPr>
          <w:color w:val="000000" w:themeColor="text1"/>
        </w:rPr>
        <w:t>focusing</w:t>
      </w:r>
      <w:r w:rsidR="00CF0D31" w:rsidRPr="00015A39">
        <w:rPr>
          <w:color w:val="000000" w:themeColor="text1"/>
        </w:rPr>
        <w:t xml:space="preserve"> on reducing overall dietary fat intake. </w:t>
      </w:r>
    </w:p>
    <w:p w14:paraId="2186A2C5" w14:textId="77777777" w:rsidR="00C2582B" w:rsidRPr="00015A39" w:rsidRDefault="00C2582B" w:rsidP="0004258D">
      <w:pPr>
        <w:spacing w:line="360" w:lineRule="auto"/>
        <w:jc w:val="both"/>
        <w:rPr>
          <w:color w:val="000000" w:themeColor="text1"/>
        </w:rPr>
      </w:pPr>
    </w:p>
    <w:p w14:paraId="3F33A25E" w14:textId="77777777" w:rsidR="00922211" w:rsidRPr="00015A39" w:rsidRDefault="00922211" w:rsidP="0004258D">
      <w:pPr>
        <w:pStyle w:val="Heading1"/>
        <w:rPr>
          <w:color w:val="000000" w:themeColor="text1"/>
          <w:sz w:val="24"/>
          <w:szCs w:val="24"/>
        </w:rPr>
      </w:pPr>
      <w:r w:rsidRPr="00015A39">
        <w:rPr>
          <w:color w:val="000000" w:themeColor="text1"/>
          <w:sz w:val="24"/>
          <w:szCs w:val="24"/>
        </w:rPr>
        <w:t>Discussion</w:t>
      </w:r>
    </w:p>
    <w:p w14:paraId="42D96E7C" w14:textId="4E27B492" w:rsidR="00DD68BD" w:rsidRPr="00015A39" w:rsidRDefault="001138EE" w:rsidP="0004258D">
      <w:pPr>
        <w:spacing w:after="160" w:line="360" w:lineRule="auto"/>
        <w:contextualSpacing/>
        <w:jc w:val="both"/>
        <w:rPr>
          <w:color w:val="000000" w:themeColor="text1"/>
        </w:rPr>
      </w:pPr>
      <w:r w:rsidRPr="00015A39">
        <w:rPr>
          <w:color w:val="000000" w:themeColor="text1"/>
        </w:rPr>
        <w:t xml:space="preserve">Our </w:t>
      </w:r>
      <w:r w:rsidR="00424157" w:rsidRPr="00015A39">
        <w:rPr>
          <w:color w:val="000000" w:themeColor="text1"/>
        </w:rPr>
        <w:t xml:space="preserve">cross-sequential </w:t>
      </w:r>
      <w:r w:rsidRPr="00015A39">
        <w:rPr>
          <w:color w:val="000000" w:themeColor="text1"/>
        </w:rPr>
        <w:t xml:space="preserve">study </w:t>
      </w:r>
      <w:r w:rsidR="008C57C6" w:rsidRPr="00015A39">
        <w:rPr>
          <w:color w:val="000000" w:themeColor="text1"/>
        </w:rPr>
        <w:t xml:space="preserve">found </w:t>
      </w:r>
      <w:r w:rsidRPr="00015A39">
        <w:rPr>
          <w:color w:val="000000" w:themeColor="text1"/>
        </w:rPr>
        <w:t xml:space="preserve">a </w:t>
      </w:r>
      <w:r w:rsidR="007D3279" w:rsidRPr="00015A39">
        <w:rPr>
          <w:color w:val="000000" w:themeColor="text1"/>
        </w:rPr>
        <w:t xml:space="preserve">significant </w:t>
      </w:r>
      <w:r w:rsidR="008C57C6" w:rsidRPr="00015A39">
        <w:rPr>
          <w:color w:val="000000" w:themeColor="text1"/>
        </w:rPr>
        <w:t xml:space="preserve">dose-dependent </w:t>
      </w:r>
      <w:r w:rsidRPr="00015A39">
        <w:rPr>
          <w:color w:val="000000" w:themeColor="text1"/>
        </w:rPr>
        <w:t xml:space="preserve">association between </w:t>
      </w:r>
      <w:r w:rsidR="001858F1" w:rsidRPr="00015A39">
        <w:rPr>
          <w:color w:val="000000" w:themeColor="text1"/>
        </w:rPr>
        <w:t xml:space="preserve">frequent </w:t>
      </w:r>
      <w:r w:rsidR="00C62A40" w:rsidRPr="00015A39">
        <w:rPr>
          <w:color w:val="000000" w:themeColor="text1"/>
        </w:rPr>
        <w:t>high-fat food</w:t>
      </w:r>
      <w:r w:rsidR="00C24322" w:rsidRPr="00015A39">
        <w:rPr>
          <w:color w:val="000000" w:themeColor="text1"/>
        </w:rPr>
        <w:t xml:space="preserve"> intake </w:t>
      </w:r>
      <w:r w:rsidRPr="00015A39">
        <w:rPr>
          <w:color w:val="000000" w:themeColor="text1"/>
        </w:rPr>
        <w:t xml:space="preserve">and </w:t>
      </w:r>
      <w:r w:rsidR="00C62A40" w:rsidRPr="00015A39">
        <w:rPr>
          <w:color w:val="000000" w:themeColor="text1"/>
        </w:rPr>
        <w:t xml:space="preserve">the </w:t>
      </w:r>
      <w:r w:rsidR="00EB736E" w:rsidRPr="00015A39">
        <w:rPr>
          <w:color w:val="000000" w:themeColor="text1"/>
        </w:rPr>
        <w:t>presentation and chronicity of</w:t>
      </w:r>
      <w:r w:rsidR="003B1E2C" w:rsidRPr="00015A39">
        <w:rPr>
          <w:color w:val="000000" w:themeColor="text1"/>
        </w:rPr>
        <w:t xml:space="preserve"> </w:t>
      </w:r>
      <w:r w:rsidR="002B72F7" w:rsidRPr="00015A39">
        <w:rPr>
          <w:color w:val="000000" w:themeColor="text1"/>
        </w:rPr>
        <w:t>AD</w:t>
      </w:r>
      <w:r w:rsidR="0099422E" w:rsidRPr="00015A39">
        <w:rPr>
          <w:color w:val="000000" w:themeColor="text1"/>
        </w:rPr>
        <w:t xml:space="preserve">, but not its severity or persistency. </w:t>
      </w:r>
      <w:r w:rsidR="008E78C3" w:rsidRPr="00015A39">
        <w:rPr>
          <w:color w:val="000000" w:themeColor="text1"/>
        </w:rPr>
        <w:t xml:space="preserve">The association was specific to AD and </w:t>
      </w:r>
      <w:r w:rsidR="006D4AFA" w:rsidRPr="00015A39">
        <w:rPr>
          <w:color w:val="000000" w:themeColor="text1"/>
        </w:rPr>
        <w:t>did not extend</w:t>
      </w:r>
      <w:r w:rsidR="008E78C3" w:rsidRPr="00015A39">
        <w:rPr>
          <w:color w:val="000000" w:themeColor="text1"/>
        </w:rPr>
        <w:t xml:space="preserve"> </w:t>
      </w:r>
      <w:r w:rsidR="006D4AFA" w:rsidRPr="00015A39">
        <w:rPr>
          <w:color w:val="000000" w:themeColor="text1"/>
        </w:rPr>
        <w:t>to</w:t>
      </w:r>
      <w:r w:rsidR="008E78C3" w:rsidRPr="00015A39">
        <w:rPr>
          <w:color w:val="000000" w:themeColor="text1"/>
        </w:rPr>
        <w:t xml:space="preserve"> other </w:t>
      </w:r>
      <w:r w:rsidR="005A36E7" w:rsidRPr="00015A39">
        <w:rPr>
          <w:color w:val="000000" w:themeColor="text1"/>
        </w:rPr>
        <w:t xml:space="preserve">non-allergic related secondary </w:t>
      </w:r>
      <w:r w:rsidR="008E78C3" w:rsidRPr="00015A39">
        <w:rPr>
          <w:color w:val="000000" w:themeColor="text1"/>
        </w:rPr>
        <w:t xml:space="preserve">outcomes, such as acne, drug allergies, tooth decay, </w:t>
      </w:r>
      <w:r w:rsidR="000616CD" w:rsidRPr="00015A39">
        <w:rPr>
          <w:color w:val="000000" w:themeColor="text1"/>
        </w:rPr>
        <w:t xml:space="preserve">dry skin, HAV infection, </w:t>
      </w:r>
      <w:r w:rsidR="008E78C3" w:rsidRPr="00015A39">
        <w:rPr>
          <w:color w:val="000000" w:themeColor="text1"/>
        </w:rPr>
        <w:t>or emotional discomfort.</w:t>
      </w:r>
      <w:r w:rsidR="00486E9B" w:rsidRPr="00015A39">
        <w:rPr>
          <w:color w:val="000000" w:themeColor="text1"/>
        </w:rPr>
        <w:t xml:space="preserve"> </w:t>
      </w:r>
      <w:r w:rsidR="00D30775" w:rsidRPr="00015A39">
        <w:rPr>
          <w:color w:val="000000" w:themeColor="text1"/>
        </w:rPr>
        <w:t>Additionally</w:t>
      </w:r>
      <w:r w:rsidR="00486E9B" w:rsidRPr="00015A39">
        <w:rPr>
          <w:color w:val="000000" w:themeColor="text1"/>
        </w:rPr>
        <w:t>,</w:t>
      </w:r>
      <w:r w:rsidR="00D30775" w:rsidRPr="00015A39">
        <w:rPr>
          <w:color w:val="000000" w:themeColor="text1"/>
        </w:rPr>
        <w:t xml:space="preserve"> there was a similar</w:t>
      </w:r>
      <w:r w:rsidR="00486E9B" w:rsidRPr="00015A39">
        <w:rPr>
          <w:color w:val="000000" w:themeColor="text1"/>
        </w:rPr>
        <w:t xml:space="preserve"> dose-dependent relationship between high-fat food intake and </w:t>
      </w:r>
      <w:r w:rsidR="00230133" w:rsidRPr="00015A39">
        <w:rPr>
          <w:color w:val="000000" w:themeColor="text1"/>
        </w:rPr>
        <w:t xml:space="preserve">other allergic conditions, including </w:t>
      </w:r>
      <w:r w:rsidR="00486E9B" w:rsidRPr="00015A39">
        <w:rPr>
          <w:color w:val="000000" w:themeColor="text1"/>
        </w:rPr>
        <w:t xml:space="preserve">HDM </w:t>
      </w:r>
      <w:r w:rsidR="00E479A4" w:rsidRPr="00015A39">
        <w:rPr>
          <w:color w:val="000000" w:themeColor="text1"/>
        </w:rPr>
        <w:t>allergy</w:t>
      </w:r>
      <w:r w:rsidR="00486E9B" w:rsidRPr="00015A39">
        <w:rPr>
          <w:color w:val="000000" w:themeColor="text1"/>
        </w:rPr>
        <w:t>, AS, and AR</w:t>
      </w:r>
      <w:r w:rsidR="006D4AFA" w:rsidRPr="00015A39">
        <w:rPr>
          <w:color w:val="000000" w:themeColor="text1"/>
        </w:rPr>
        <w:t xml:space="preserve">. </w:t>
      </w:r>
      <w:r w:rsidR="00F34B44" w:rsidRPr="00015A39">
        <w:rPr>
          <w:color w:val="000000" w:themeColor="text1"/>
        </w:rPr>
        <w:t xml:space="preserve">Interestingly, </w:t>
      </w:r>
      <w:r w:rsidR="00866C03" w:rsidRPr="00015A39">
        <w:rPr>
          <w:color w:val="000000" w:themeColor="text1"/>
        </w:rPr>
        <w:t>more frequent</w:t>
      </w:r>
      <w:r w:rsidR="00BF09DC" w:rsidRPr="00015A39">
        <w:rPr>
          <w:color w:val="000000" w:themeColor="text1"/>
        </w:rPr>
        <w:t xml:space="preserve"> consumption of high-fat foods, even in </w:t>
      </w:r>
      <w:r w:rsidR="00A106CB" w:rsidRPr="00015A39">
        <w:rPr>
          <w:color w:val="000000" w:themeColor="text1"/>
        </w:rPr>
        <w:t>lower</w:t>
      </w:r>
      <w:r w:rsidR="00BF09DC" w:rsidRPr="00015A39">
        <w:rPr>
          <w:color w:val="000000" w:themeColor="text1"/>
        </w:rPr>
        <w:t xml:space="preserve"> amounts, was associated with </w:t>
      </w:r>
      <w:r w:rsidR="0064792F" w:rsidRPr="00015A39">
        <w:rPr>
          <w:color w:val="000000" w:themeColor="text1"/>
        </w:rPr>
        <w:t>higher</w:t>
      </w:r>
      <w:r w:rsidR="00BF09DC" w:rsidRPr="00015A39">
        <w:rPr>
          <w:color w:val="000000" w:themeColor="text1"/>
        </w:rPr>
        <w:t xml:space="preserve"> odds of AD</w:t>
      </w:r>
      <w:r w:rsidR="0064792F" w:rsidRPr="00015A39">
        <w:rPr>
          <w:color w:val="000000" w:themeColor="text1"/>
        </w:rPr>
        <w:t xml:space="preserve"> presentation</w:t>
      </w:r>
      <w:r w:rsidR="00BF09DC" w:rsidRPr="00015A39">
        <w:rPr>
          <w:color w:val="000000" w:themeColor="text1"/>
        </w:rPr>
        <w:t xml:space="preserve">. </w:t>
      </w:r>
      <w:r w:rsidR="005D136D" w:rsidRPr="00015A39">
        <w:rPr>
          <w:color w:val="000000" w:themeColor="text1"/>
        </w:rPr>
        <w:t>These</w:t>
      </w:r>
      <w:r w:rsidR="0024463B" w:rsidRPr="00015A39">
        <w:rPr>
          <w:color w:val="000000" w:themeColor="text1"/>
        </w:rPr>
        <w:t xml:space="preserve"> findings</w:t>
      </w:r>
      <w:r w:rsidR="009C62B7" w:rsidRPr="00015A39">
        <w:rPr>
          <w:color w:val="000000" w:themeColor="text1"/>
        </w:rPr>
        <w:t xml:space="preserve"> suggest that</w:t>
      </w:r>
      <w:r w:rsidR="00BF09DC" w:rsidRPr="00015A39">
        <w:rPr>
          <w:color w:val="000000" w:themeColor="text1"/>
        </w:rPr>
        <w:t xml:space="preserve"> </w:t>
      </w:r>
      <w:r w:rsidR="009C62B7" w:rsidRPr="00015A39">
        <w:rPr>
          <w:color w:val="000000" w:themeColor="text1"/>
        </w:rPr>
        <w:t>the</w:t>
      </w:r>
      <w:r w:rsidR="00BF09DC" w:rsidRPr="00015A39">
        <w:rPr>
          <w:color w:val="000000" w:themeColor="text1"/>
        </w:rPr>
        <w:t xml:space="preserve"> frequency </w:t>
      </w:r>
      <w:r w:rsidR="00C17507" w:rsidRPr="00015A39">
        <w:rPr>
          <w:color w:val="000000" w:themeColor="text1"/>
        </w:rPr>
        <w:t>of high-fat food consumption</w:t>
      </w:r>
      <w:r w:rsidR="00BF09DC" w:rsidRPr="00015A39">
        <w:rPr>
          <w:color w:val="000000" w:themeColor="text1"/>
        </w:rPr>
        <w:t>, rather than solely the overall amount of dietary fat, plays a critical role in AD susceptibility</w:t>
      </w:r>
      <w:r w:rsidR="00DD68BD" w:rsidRPr="00015A39">
        <w:rPr>
          <w:color w:val="000000" w:themeColor="text1"/>
        </w:rPr>
        <w:t xml:space="preserve">, offering a potential target for dietary </w:t>
      </w:r>
      <w:r w:rsidR="00924738" w:rsidRPr="00015A39">
        <w:rPr>
          <w:color w:val="000000" w:themeColor="text1"/>
        </w:rPr>
        <w:t>interventions</w:t>
      </w:r>
      <w:r w:rsidR="00DD68BD" w:rsidRPr="00015A39">
        <w:rPr>
          <w:color w:val="000000" w:themeColor="text1"/>
        </w:rPr>
        <w:t xml:space="preserve"> aimed at reducing the occurrence of AD.</w:t>
      </w:r>
    </w:p>
    <w:p w14:paraId="3328E5CB" w14:textId="77777777" w:rsidR="002D5027" w:rsidRPr="00015A39" w:rsidRDefault="002D5027" w:rsidP="0004258D">
      <w:pPr>
        <w:spacing w:after="160" w:line="360" w:lineRule="auto"/>
        <w:contextualSpacing/>
        <w:jc w:val="both"/>
        <w:rPr>
          <w:color w:val="000000" w:themeColor="text1"/>
        </w:rPr>
      </w:pPr>
    </w:p>
    <w:p w14:paraId="1F3C456D" w14:textId="22BFECC9" w:rsidR="00C8610D" w:rsidRPr="00015A39" w:rsidRDefault="00354F95" w:rsidP="0004258D">
      <w:pPr>
        <w:spacing w:after="160" w:line="360" w:lineRule="auto"/>
        <w:contextualSpacing/>
        <w:jc w:val="both"/>
        <w:rPr>
          <w:color w:val="000000" w:themeColor="text1"/>
        </w:rPr>
      </w:pPr>
      <w:r w:rsidRPr="00015A39">
        <w:rPr>
          <w:color w:val="000000" w:themeColor="text1"/>
        </w:rPr>
        <w:t>H</w:t>
      </w:r>
      <w:r w:rsidR="00CD66EF" w:rsidRPr="00015A39">
        <w:rPr>
          <w:color w:val="000000" w:themeColor="text1"/>
        </w:rPr>
        <w:t xml:space="preserve">igh-fat diets </w:t>
      </w:r>
      <w:r w:rsidR="00714A88" w:rsidRPr="00015A39">
        <w:rPr>
          <w:color w:val="000000" w:themeColor="text1"/>
        </w:rPr>
        <w:t xml:space="preserve">are implicated in </w:t>
      </w:r>
      <w:r w:rsidR="00CD66EF" w:rsidRPr="00015A39">
        <w:rPr>
          <w:color w:val="000000" w:themeColor="text1"/>
        </w:rPr>
        <w:t>promot</w:t>
      </w:r>
      <w:r w:rsidR="00714A88" w:rsidRPr="00015A39">
        <w:rPr>
          <w:color w:val="000000" w:themeColor="text1"/>
        </w:rPr>
        <w:t>ing</w:t>
      </w:r>
      <w:r w:rsidR="00CD66EF" w:rsidRPr="00015A39">
        <w:rPr>
          <w:color w:val="000000" w:themeColor="text1"/>
        </w:rPr>
        <w:t xml:space="preserve"> </w:t>
      </w:r>
      <w:r w:rsidR="001279B1" w:rsidRPr="00015A39">
        <w:rPr>
          <w:color w:val="000000" w:themeColor="text1"/>
        </w:rPr>
        <w:t xml:space="preserve">AD and </w:t>
      </w:r>
      <w:r w:rsidR="00CD66EF" w:rsidRPr="00015A39">
        <w:rPr>
          <w:color w:val="000000" w:themeColor="text1"/>
        </w:rPr>
        <w:t xml:space="preserve">allergic </w:t>
      </w:r>
      <w:r w:rsidR="006C523D" w:rsidRPr="00015A39">
        <w:rPr>
          <w:color w:val="000000" w:themeColor="text1"/>
        </w:rPr>
        <w:t xml:space="preserve">diseases through several common underlying mechanisms. First, </w:t>
      </w:r>
      <w:r w:rsidR="004C1C9D" w:rsidRPr="00015A39">
        <w:rPr>
          <w:color w:val="000000" w:themeColor="text1"/>
        </w:rPr>
        <w:t>excessive</w:t>
      </w:r>
      <w:r w:rsidR="000C3480" w:rsidRPr="00015A39">
        <w:rPr>
          <w:color w:val="000000" w:themeColor="text1"/>
        </w:rPr>
        <w:t xml:space="preserve"> </w:t>
      </w:r>
      <w:r w:rsidR="00433784" w:rsidRPr="00015A39">
        <w:rPr>
          <w:color w:val="000000" w:themeColor="text1"/>
        </w:rPr>
        <w:t>dietary fat</w:t>
      </w:r>
      <w:r w:rsidR="006C523D" w:rsidRPr="00015A39">
        <w:rPr>
          <w:color w:val="000000" w:themeColor="text1"/>
        </w:rPr>
        <w:t xml:space="preserve"> can dysregulate macrophage function</w:t>
      </w:r>
      <w:r w:rsidR="0053033C" w:rsidRPr="00015A39">
        <w:rPr>
          <w:color w:val="000000" w:themeColor="text1"/>
        </w:rPr>
        <w:t xml:space="preserve">, </w:t>
      </w:r>
      <w:r w:rsidR="00E2717A" w:rsidRPr="00015A39">
        <w:rPr>
          <w:color w:val="000000" w:themeColor="text1"/>
        </w:rPr>
        <w:t>increasing</w:t>
      </w:r>
      <w:r w:rsidR="0053033C" w:rsidRPr="00015A39">
        <w:rPr>
          <w:color w:val="000000" w:themeColor="text1"/>
        </w:rPr>
        <w:t xml:space="preserve"> inflammation [</w:t>
      </w:r>
      <w:r w:rsidR="00C00348" w:rsidRPr="00015A39">
        <w:rPr>
          <w:color w:val="000000" w:themeColor="text1"/>
        </w:rPr>
        <w:t>4</w:t>
      </w:r>
      <w:r w:rsidR="00813D54" w:rsidRPr="00015A39">
        <w:rPr>
          <w:color w:val="000000" w:themeColor="text1"/>
        </w:rPr>
        <w:t>3</w:t>
      </w:r>
      <w:r w:rsidR="0053033C" w:rsidRPr="00015A39">
        <w:rPr>
          <w:color w:val="000000" w:themeColor="text1"/>
        </w:rPr>
        <w:t xml:space="preserve">]. </w:t>
      </w:r>
      <w:r w:rsidR="00B16D35" w:rsidRPr="00015A39">
        <w:rPr>
          <w:color w:val="000000" w:themeColor="text1"/>
        </w:rPr>
        <w:t xml:space="preserve">Second, </w:t>
      </w:r>
      <w:r w:rsidR="00C8610D" w:rsidRPr="00015A39">
        <w:rPr>
          <w:color w:val="000000" w:themeColor="text1"/>
        </w:rPr>
        <w:t>lipid mediators, particularly</w:t>
      </w:r>
      <w:r w:rsidR="0053033C" w:rsidRPr="00015A39">
        <w:rPr>
          <w:color w:val="000000" w:themeColor="text1"/>
        </w:rPr>
        <w:t xml:space="preserve"> </w:t>
      </w:r>
      <w:r w:rsidR="00150EB6" w:rsidRPr="00015A39">
        <w:rPr>
          <w:color w:val="000000" w:themeColor="text1"/>
        </w:rPr>
        <w:t>saturated fatty acids</w:t>
      </w:r>
      <w:r w:rsidR="00C8610D" w:rsidRPr="00015A39">
        <w:rPr>
          <w:color w:val="000000" w:themeColor="text1"/>
        </w:rPr>
        <w:t xml:space="preserve"> like </w:t>
      </w:r>
      <w:r w:rsidR="00444D7A" w:rsidRPr="00015A39">
        <w:rPr>
          <w:color w:val="000000" w:themeColor="text1"/>
        </w:rPr>
        <w:t>palmitic acid</w:t>
      </w:r>
      <w:r w:rsidR="006724FE" w:rsidRPr="00015A39">
        <w:rPr>
          <w:color w:val="000000" w:themeColor="text1"/>
        </w:rPr>
        <w:t>,</w:t>
      </w:r>
      <w:r w:rsidR="00444D7A" w:rsidRPr="00015A39">
        <w:rPr>
          <w:color w:val="000000" w:themeColor="text1"/>
        </w:rPr>
        <w:t xml:space="preserve"> </w:t>
      </w:r>
      <w:r w:rsidR="005C7257" w:rsidRPr="00015A39">
        <w:rPr>
          <w:color w:val="000000" w:themeColor="text1"/>
        </w:rPr>
        <w:t>activate immune cells via toll-like receptor (TLR) 2 and TLR4, triggering</w:t>
      </w:r>
      <w:r w:rsidR="00097002" w:rsidRPr="00015A39">
        <w:rPr>
          <w:color w:val="000000" w:themeColor="text1"/>
        </w:rPr>
        <w:t xml:space="preserve"> </w:t>
      </w:r>
      <w:r w:rsidR="00A46DD8" w:rsidRPr="00015A39">
        <w:rPr>
          <w:color w:val="000000" w:themeColor="text1"/>
        </w:rPr>
        <w:t>inflammatory responses</w:t>
      </w:r>
      <w:r w:rsidR="005C7257" w:rsidRPr="00015A39">
        <w:rPr>
          <w:color w:val="000000" w:themeColor="text1"/>
        </w:rPr>
        <w:t xml:space="preserve"> [</w:t>
      </w:r>
      <w:r w:rsidR="00997E57" w:rsidRPr="00015A39">
        <w:rPr>
          <w:color w:val="000000" w:themeColor="text1"/>
        </w:rPr>
        <w:t>4</w:t>
      </w:r>
      <w:r w:rsidR="00DC548C" w:rsidRPr="00015A39">
        <w:rPr>
          <w:color w:val="000000" w:themeColor="text1"/>
        </w:rPr>
        <w:t>4</w:t>
      </w:r>
      <w:r w:rsidR="00997E57" w:rsidRPr="00015A39">
        <w:rPr>
          <w:color w:val="000000" w:themeColor="text1"/>
        </w:rPr>
        <w:t>-4</w:t>
      </w:r>
      <w:r w:rsidR="00DC548C" w:rsidRPr="00015A39">
        <w:rPr>
          <w:color w:val="000000" w:themeColor="text1"/>
        </w:rPr>
        <w:t>6</w:t>
      </w:r>
      <w:r w:rsidR="005C7257" w:rsidRPr="00015A39">
        <w:rPr>
          <w:color w:val="000000" w:themeColor="text1"/>
        </w:rPr>
        <w:t xml:space="preserve">]. </w:t>
      </w:r>
      <w:r w:rsidR="003027AB" w:rsidRPr="00015A39">
        <w:rPr>
          <w:color w:val="000000" w:themeColor="text1"/>
        </w:rPr>
        <w:t xml:space="preserve">Third, </w:t>
      </w:r>
      <w:r w:rsidR="004710E1" w:rsidRPr="00015A39">
        <w:rPr>
          <w:color w:val="000000" w:themeColor="text1"/>
        </w:rPr>
        <w:t>high-fat intake</w:t>
      </w:r>
      <w:r w:rsidR="003027AB" w:rsidRPr="00015A39">
        <w:rPr>
          <w:color w:val="000000" w:themeColor="text1"/>
        </w:rPr>
        <w:t xml:space="preserve"> can </w:t>
      </w:r>
      <w:r w:rsidR="001D712E" w:rsidRPr="00015A39">
        <w:rPr>
          <w:color w:val="000000" w:themeColor="text1"/>
        </w:rPr>
        <w:t>disrupt</w:t>
      </w:r>
      <w:r w:rsidR="003027AB" w:rsidRPr="00015A39">
        <w:rPr>
          <w:color w:val="000000" w:themeColor="text1"/>
        </w:rPr>
        <w:t xml:space="preserve"> gut microbiota, </w:t>
      </w:r>
      <w:r w:rsidR="003027AB" w:rsidRPr="00015A39">
        <w:rPr>
          <w:color w:val="000000" w:themeColor="text1"/>
        </w:rPr>
        <w:lastRenderedPageBreak/>
        <w:t>compromising gut integrity and increasing inflammatory cell infiltration [</w:t>
      </w:r>
      <w:r w:rsidR="005055F3" w:rsidRPr="00015A39">
        <w:rPr>
          <w:color w:val="000000" w:themeColor="text1"/>
        </w:rPr>
        <w:t>4</w:t>
      </w:r>
      <w:r w:rsidR="007776F8" w:rsidRPr="00015A39">
        <w:rPr>
          <w:color w:val="000000" w:themeColor="text1"/>
        </w:rPr>
        <w:t>7</w:t>
      </w:r>
      <w:r w:rsidR="003027AB" w:rsidRPr="00015A39">
        <w:rPr>
          <w:color w:val="000000" w:themeColor="text1"/>
        </w:rPr>
        <w:t xml:space="preserve">]. </w:t>
      </w:r>
      <w:r w:rsidR="00567119" w:rsidRPr="00015A39">
        <w:rPr>
          <w:color w:val="000000" w:themeColor="text1"/>
        </w:rPr>
        <w:t>Our findings</w:t>
      </w:r>
      <w:r w:rsidR="00F31782" w:rsidRPr="00015A39">
        <w:rPr>
          <w:color w:val="000000" w:themeColor="text1"/>
        </w:rPr>
        <w:t xml:space="preserve"> </w:t>
      </w:r>
      <w:r w:rsidR="00DD7577" w:rsidRPr="00015A39">
        <w:rPr>
          <w:color w:val="000000" w:themeColor="text1"/>
        </w:rPr>
        <w:t>support an association between high-fat food intake and AD, particularly in symptom presentation and chronicity</w:t>
      </w:r>
      <w:r w:rsidR="00262115" w:rsidRPr="00015A39">
        <w:rPr>
          <w:color w:val="000000" w:themeColor="text1"/>
        </w:rPr>
        <w:t xml:space="preserve">. However, the </w:t>
      </w:r>
      <w:r w:rsidR="00593982" w:rsidRPr="00015A39">
        <w:rPr>
          <w:color w:val="000000" w:themeColor="text1"/>
        </w:rPr>
        <w:t>absence of</w:t>
      </w:r>
      <w:r w:rsidR="00EF0402" w:rsidRPr="00015A39">
        <w:rPr>
          <w:color w:val="000000" w:themeColor="text1"/>
        </w:rPr>
        <w:t xml:space="preserve"> </w:t>
      </w:r>
      <w:r w:rsidR="00262115" w:rsidRPr="00015A39">
        <w:rPr>
          <w:color w:val="000000" w:themeColor="text1"/>
        </w:rPr>
        <w:t xml:space="preserve">significant associations with AD severity and persistency </w:t>
      </w:r>
      <w:r w:rsidR="00352CC2" w:rsidRPr="00015A39">
        <w:rPr>
          <w:color w:val="000000" w:themeColor="text1"/>
        </w:rPr>
        <w:t>suggests</w:t>
      </w:r>
      <w:r w:rsidR="00262115" w:rsidRPr="00015A39">
        <w:rPr>
          <w:color w:val="000000" w:themeColor="text1"/>
        </w:rPr>
        <w:t xml:space="preserve"> </w:t>
      </w:r>
      <w:r w:rsidR="00352CC2" w:rsidRPr="00015A39">
        <w:rPr>
          <w:color w:val="000000" w:themeColor="text1"/>
        </w:rPr>
        <w:t>distinct underlying mechanisms</w:t>
      </w:r>
      <w:r w:rsidR="00262115" w:rsidRPr="00015A39">
        <w:rPr>
          <w:color w:val="000000" w:themeColor="text1"/>
        </w:rPr>
        <w:t>.</w:t>
      </w:r>
      <w:r w:rsidR="001649C5" w:rsidRPr="00015A39">
        <w:rPr>
          <w:color w:val="000000" w:themeColor="text1"/>
        </w:rPr>
        <w:t xml:space="preserve"> </w:t>
      </w:r>
      <w:r w:rsidR="001E1DF1" w:rsidRPr="00015A39">
        <w:rPr>
          <w:color w:val="000000" w:themeColor="text1"/>
        </w:rPr>
        <w:t>AD severity</w:t>
      </w:r>
      <w:r w:rsidR="00B732F1" w:rsidRPr="00015A39">
        <w:rPr>
          <w:color w:val="000000" w:themeColor="text1"/>
        </w:rPr>
        <w:t xml:space="preserve"> was</w:t>
      </w:r>
      <w:r w:rsidR="001E1DF1" w:rsidRPr="00015A39">
        <w:rPr>
          <w:color w:val="000000" w:themeColor="text1"/>
        </w:rPr>
        <w:t xml:space="preserve"> </w:t>
      </w:r>
      <w:r w:rsidR="00B855AF" w:rsidRPr="00015A39">
        <w:rPr>
          <w:color w:val="000000" w:themeColor="text1"/>
        </w:rPr>
        <w:t xml:space="preserve">defined in our study by </w:t>
      </w:r>
      <w:r w:rsidR="001E1DF1" w:rsidRPr="00015A39">
        <w:rPr>
          <w:color w:val="000000" w:themeColor="text1"/>
        </w:rPr>
        <w:t xml:space="preserve">late-night sleep disturbances </w:t>
      </w:r>
      <w:r w:rsidR="0047055A" w:rsidRPr="00015A39">
        <w:rPr>
          <w:color w:val="000000" w:themeColor="text1"/>
        </w:rPr>
        <w:t>due</w:t>
      </w:r>
      <w:r w:rsidR="001E1DF1" w:rsidRPr="00015A39">
        <w:rPr>
          <w:color w:val="000000" w:themeColor="text1"/>
        </w:rPr>
        <w:t xml:space="preserve"> </w:t>
      </w:r>
      <w:r w:rsidR="0047055A" w:rsidRPr="00015A39">
        <w:rPr>
          <w:color w:val="000000" w:themeColor="text1"/>
        </w:rPr>
        <w:t>to</w:t>
      </w:r>
      <w:r w:rsidR="001E1DF1" w:rsidRPr="00015A39">
        <w:rPr>
          <w:color w:val="000000" w:themeColor="text1"/>
        </w:rPr>
        <w:t xml:space="preserve"> </w:t>
      </w:r>
      <w:r w:rsidR="0047055A" w:rsidRPr="00015A39">
        <w:rPr>
          <w:color w:val="000000" w:themeColor="text1"/>
        </w:rPr>
        <w:t>itching</w:t>
      </w:r>
      <w:r w:rsidR="00DF4177" w:rsidRPr="00015A39">
        <w:rPr>
          <w:color w:val="000000" w:themeColor="text1"/>
        </w:rPr>
        <w:t xml:space="preserve"> and i</w:t>
      </w:r>
      <w:r w:rsidR="00622058" w:rsidRPr="00015A39">
        <w:rPr>
          <w:color w:val="000000" w:themeColor="text1"/>
        </w:rPr>
        <w:t>tch-associated</w:t>
      </w:r>
      <w:r w:rsidR="001E1DF1" w:rsidRPr="00015A39">
        <w:rPr>
          <w:color w:val="000000" w:themeColor="text1"/>
        </w:rPr>
        <w:t xml:space="preserve"> </w:t>
      </w:r>
      <w:r w:rsidR="00887E69" w:rsidRPr="00015A39">
        <w:rPr>
          <w:color w:val="000000" w:themeColor="text1"/>
        </w:rPr>
        <w:t xml:space="preserve">neuromodulators and cytokines </w:t>
      </w:r>
      <w:r w:rsidR="00003E60" w:rsidRPr="00015A39">
        <w:rPr>
          <w:color w:val="000000" w:themeColor="text1"/>
        </w:rPr>
        <w:t>like</w:t>
      </w:r>
      <w:r w:rsidR="00887E69" w:rsidRPr="00015A39">
        <w:rPr>
          <w:color w:val="000000" w:themeColor="text1"/>
        </w:rPr>
        <w:t xml:space="preserve"> </w:t>
      </w:r>
      <w:r w:rsidR="008E20DA" w:rsidRPr="00015A39">
        <w:rPr>
          <w:color w:val="000000" w:themeColor="text1"/>
        </w:rPr>
        <w:t>interleukin</w:t>
      </w:r>
      <w:r w:rsidR="00887E69" w:rsidRPr="00015A39">
        <w:rPr>
          <w:color w:val="000000" w:themeColor="text1"/>
        </w:rPr>
        <w:t xml:space="preserve">-31 and </w:t>
      </w:r>
      <w:r w:rsidR="00531BE0" w:rsidRPr="00015A39">
        <w:rPr>
          <w:color w:val="000000" w:themeColor="text1"/>
        </w:rPr>
        <w:t>thymic</w:t>
      </w:r>
      <w:r w:rsidR="00CA1C26" w:rsidRPr="00015A39">
        <w:rPr>
          <w:color w:val="000000" w:themeColor="text1"/>
        </w:rPr>
        <w:t xml:space="preserve"> </w:t>
      </w:r>
      <w:r w:rsidR="00531BE0" w:rsidRPr="00015A39">
        <w:rPr>
          <w:color w:val="000000" w:themeColor="text1"/>
        </w:rPr>
        <w:t>stromal lymphopoietin</w:t>
      </w:r>
      <w:r w:rsidR="00AE6027" w:rsidRPr="00015A39">
        <w:rPr>
          <w:color w:val="000000" w:themeColor="text1"/>
        </w:rPr>
        <w:t xml:space="preserve"> may not be influenced by high-fat intake</w:t>
      </w:r>
      <w:r w:rsidR="00C54290" w:rsidRPr="00015A39">
        <w:rPr>
          <w:color w:val="000000" w:themeColor="text1"/>
        </w:rPr>
        <w:t xml:space="preserve"> [</w:t>
      </w:r>
      <w:r w:rsidR="00183273" w:rsidRPr="00015A39">
        <w:rPr>
          <w:color w:val="000000" w:themeColor="text1"/>
        </w:rPr>
        <w:t>4</w:t>
      </w:r>
      <w:r w:rsidR="00D6301E" w:rsidRPr="00015A39">
        <w:rPr>
          <w:color w:val="000000" w:themeColor="text1"/>
        </w:rPr>
        <w:t>8</w:t>
      </w:r>
      <w:r w:rsidR="00183273" w:rsidRPr="00015A39">
        <w:rPr>
          <w:color w:val="000000" w:themeColor="text1"/>
        </w:rPr>
        <w:t>, 4</w:t>
      </w:r>
      <w:r w:rsidR="00D6301E" w:rsidRPr="00015A39">
        <w:rPr>
          <w:color w:val="000000" w:themeColor="text1"/>
        </w:rPr>
        <w:t>9</w:t>
      </w:r>
      <w:r w:rsidR="00C54290" w:rsidRPr="00015A39">
        <w:rPr>
          <w:color w:val="000000" w:themeColor="text1"/>
        </w:rPr>
        <w:t>]</w:t>
      </w:r>
      <w:r w:rsidR="00AE6027" w:rsidRPr="00015A39">
        <w:rPr>
          <w:color w:val="000000" w:themeColor="text1"/>
        </w:rPr>
        <w:t xml:space="preserve">. For AD persistency, the </w:t>
      </w:r>
      <w:r w:rsidR="00A83F7E" w:rsidRPr="00015A39">
        <w:rPr>
          <w:color w:val="000000" w:themeColor="text1"/>
        </w:rPr>
        <w:t>small</w:t>
      </w:r>
      <w:r w:rsidR="00AE6027" w:rsidRPr="00015A39">
        <w:rPr>
          <w:color w:val="000000" w:themeColor="text1"/>
        </w:rPr>
        <w:t xml:space="preserve"> number of recovered</w:t>
      </w:r>
      <w:r w:rsidR="00834D9C" w:rsidRPr="00015A39">
        <w:rPr>
          <w:color w:val="000000" w:themeColor="text1"/>
        </w:rPr>
        <w:t xml:space="preserve"> </w:t>
      </w:r>
      <w:r w:rsidR="00AE6027" w:rsidRPr="00015A39">
        <w:rPr>
          <w:color w:val="000000" w:themeColor="text1"/>
        </w:rPr>
        <w:t xml:space="preserve">AD cases may have reduced statistical power, </w:t>
      </w:r>
      <w:r w:rsidR="00E9093B" w:rsidRPr="00015A39">
        <w:rPr>
          <w:color w:val="000000" w:themeColor="text1"/>
        </w:rPr>
        <w:t>making</w:t>
      </w:r>
      <w:r w:rsidR="00715CEC" w:rsidRPr="00015A39">
        <w:rPr>
          <w:color w:val="000000" w:themeColor="text1"/>
        </w:rPr>
        <w:t xml:space="preserve"> associations harder to</w:t>
      </w:r>
      <w:r w:rsidR="00AE6027" w:rsidRPr="00015A39">
        <w:rPr>
          <w:color w:val="000000" w:themeColor="text1"/>
        </w:rPr>
        <w:t xml:space="preserve"> detect </w:t>
      </w:r>
      <w:r w:rsidR="009173C2" w:rsidRPr="00015A39">
        <w:rPr>
          <w:color w:val="000000" w:themeColor="text1"/>
        </w:rPr>
        <w:t>in this current study</w:t>
      </w:r>
      <w:r w:rsidR="00AE6027" w:rsidRPr="00015A39">
        <w:rPr>
          <w:color w:val="000000" w:themeColor="text1"/>
        </w:rPr>
        <w:t xml:space="preserve">. </w:t>
      </w:r>
      <w:r w:rsidR="00C146E0" w:rsidRPr="00015A39">
        <w:rPr>
          <w:color w:val="000000" w:themeColor="text1"/>
        </w:rPr>
        <w:t>Additionally, confounding factors such as</w:t>
      </w:r>
      <w:r w:rsidR="009C4C79" w:rsidRPr="00015A39">
        <w:rPr>
          <w:color w:val="000000" w:themeColor="text1"/>
        </w:rPr>
        <w:t xml:space="preserve"> </w:t>
      </w:r>
      <w:r w:rsidR="0091355E" w:rsidRPr="00015A39">
        <w:rPr>
          <w:color w:val="000000" w:themeColor="text1"/>
        </w:rPr>
        <w:t>antioxidant-rich diets</w:t>
      </w:r>
      <w:r w:rsidR="00AC0B84" w:rsidRPr="00015A39">
        <w:rPr>
          <w:color w:val="000000" w:themeColor="text1"/>
        </w:rPr>
        <w:t xml:space="preserve"> </w:t>
      </w:r>
      <w:r w:rsidR="0091355E" w:rsidRPr="00015A39">
        <w:rPr>
          <w:color w:val="000000" w:themeColor="text1"/>
        </w:rPr>
        <w:t>or</w:t>
      </w:r>
      <w:r w:rsidR="00AC0B84" w:rsidRPr="00015A39">
        <w:rPr>
          <w:color w:val="000000" w:themeColor="text1"/>
        </w:rPr>
        <w:t xml:space="preserve"> </w:t>
      </w:r>
      <w:r w:rsidR="007733A5" w:rsidRPr="00015A39">
        <w:rPr>
          <w:color w:val="000000" w:themeColor="text1"/>
        </w:rPr>
        <w:t xml:space="preserve">poor </w:t>
      </w:r>
      <w:r w:rsidR="00A245F4" w:rsidRPr="00015A39">
        <w:rPr>
          <w:color w:val="000000" w:themeColor="text1"/>
        </w:rPr>
        <w:t xml:space="preserve">sleep </w:t>
      </w:r>
      <w:r w:rsidR="00D952BF" w:rsidRPr="00015A39">
        <w:rPr>
          <w:color w:val="000000" w:themeColor="text1"/>
        </w:rPr>
        <w:t>habits</w:t>
      </w:r>
      <w:r w:rsidR="00A245F4" w:rsidRPr="00015A39">
        <w:rPr>
          <w:color w:val="000000" w:themeColor="text1"/>
        </w:rPr>
        <w:t xml:space="preserve"> </w:t>
      </w:r>
      <w:r w:rsidR="0071473D" w:rsidRPr="00015A39">
        <w:rPr>
          <w:color w:val="000000" w:themeColor="text1"/>
        </w:rPr>
        <w:t>could</w:t>
      </w:r>
      <w:r w:rsidR="00A245F4" w:rsidRPr="00015A39">
        <w:rPr>
          <w:color w:val="000000" w:themeColor="text1"/>
        </w:rPr>
        <w:t xml:space="preserve"> </w:t>
      </w:r>
      <w:r w:rsidR="0071473D" w:rsidRPr="00015A39">
        <w:rPr>
          <w:color w:val="000000" w:themeColor="text1"/>
        </w:rPr>
        <w:t>influence inflammatory pathways,</w:t>
      </w:r>
      <w:r w:rsidR="00A245F4" w:rsidRPr="00015A39">
        <w:rPr>
          <w:color w:val="000000" w:themeColor="text1"/>
        </w:rPr>
        <w:t xml:space="preserve"> </w:t>
      </w:r>
      <w:r w:rsidR="0071473D" w:rsidRPr="00015A39">
        <w:rPr>
          <w:color w:val="000000" w:themeColor="text1"/>
        </w:rPr>
        <w:t>modulating</w:t>
      </w:r>
      <w:r w:rsidR="0070589D" w:rsidRPr="00015A39">
        <w:rPr>
          <w:color w:val="000000" w:themeColor="text1"/>
        </w:rPr>
        <w:t xml:space="preserve"> symptoms</w:t>
      </w:r>
      <w:r w:rsidR="00A245F4" w:rsidRPr="00015A39">
        <w:rPr>
          <w:color w:val="000000" w:themeColor="text1"/>
        </w:rPr>
        <w:t xml:space="preserve"> persistenc</w:t>
      </w:r>
      <w:r w:rsidR="00B6405C" w:rsidRPr="00015A39">
        <w:rPr>
          <w:color w:val="000000" w:themeColor="text1"/>
        </w:rPr>
        <w:t>e</w:t>
      </w:r>
      <w:r w:rsidR="007867F4" w:rsidRPr="00015A39">
        <w:rPr>
          <w:color w:val="000000" w:themeColor="text1"/>
        </w:rPr>
        <w:t xml:space="preserve"> [</w:t>
      </w:r>
      <w:r w:rsidR="00D6301E" w:rsidRPr="00015A39">
        <w:rPr>
          <w:color w:val="000000" w:themeColor="text1"/>
        </w:rPr>
        <w:t>50, 51</w:t>
      </w:r>
      <w:r w:rsidR="007867F4" w:rsidRPr="00015A39">
        <w:rPr>
          <w:color w:val="000000" w:themeColor="text1"/>
        </w:rPr>
        <w:t>]</w:t>
      </w:r>
      <w:r w:rsidR="00A245F4" w:rsidRPr="00015A39">
        <w:rPr>
          <w:color w:val="000000" w:themeColor="text1"/>
        </w:rPr>
        <w:t xml:space="preserve">. </w:t>
      </w:r>
    </w:p>
    <w:p w14:paraId="160D20F6" w14:textId="77777777" w:rsidR="00B55877" w:rsidRPr="00015A39" w:rsidRDefault="00B55877" w:rsidP="0004258D">
      <w:pPr>
        <w:spacing w:after="160" w:line="360" w:lineRule="auto"/>
        <w:contextualSpacing/>
        <w:jc w:val="both"/>
        <w:rPr>
          <w:color w:val="000000" w:themeColor="text1"/>
        </w:rPr>
      </w:pPr>
    </w:p>
    <w:p w14:paraId="354BBE00" w14:textId="341ADF58" w:rsidR="003027AB" w:rsidRPr="00015A39" w:rsidRDefault="005A5936" w:rsidP="0004258D">
      <w:pPr>
        <w:spacing w:after="160" w:line="360" w:lineRule="auto"/>
        <w:contextualSpacing/>
        <w:jc w:val="both"/>
        <w:rPr>
          <w:color w:val="000000" w:themeColor="text1"/>
        </w:rPr>
      </w:pPr>
      <w:r w:rsidRPr="00015A39">
        <w:rPr>
          <w:color w:val="000000" w:themeColor="text1"/>
        </w:rPr>
        <w:t xml:space="preserve">To better understand the complex role of dietary fats in the severity and persistency of AD, future studies should </w:t>
      </w:r>
      <w:r w:rsidR="00024F77" w:rsidRPr="00015A39">
        <w:rPr>
          <w:color w:val="000000" w:themeColor="text1"/>
        </w:rPr>
        <w:t>integrate</w:t>
      </w:r>
      <w:r w:rsidRPr="00015A39">
        <w:rPr>
          <w:color w:val="000000" w:themeColor="text1"/>
        </w:rPr>
        <w:t xml:space="preserve"> functional assessments of microbiome</w:t>
      </w:r>
      <w:r w:rsidR="003D6C00" w:rsidRPr="00015A39">
        <w:rPr>
          <w:color w:val="000000" w:themeColor="text1"/>
        </w:rPr>
        <w:t xml:space="preserve"> composition</w:t>
      </w:r>
      <w:r w:rsidRPr="00015A39">
        <w:rPr>
          <w:color w:val="000000" w:themeColor="text1"/>
        </w:rPr>
        <w:t>, immun</w:t>
      </w:r>
      <w:r w:rsidR="00261AFF" w:rsidRPr="00015A39">
        <w:rPr>
          <w:color w:val="000000" w:themeColor="text1"/>
        </w:rPr>
        <w:t>e</w:t>
      </w:r>
      <w:r w:rsidRPr="00015A39">
        <w:rPr>
          <w:color w:val="000000" w:themeColor="text1"/>
        </w:rPr>
        <w:t xml:space="preserve"> responses, </w:t>
      </w:r>
      <w:r w:rsidR="006D0A33" w:rsidRPr="00015A39">
        <w:rPr>
          <w:color w:val="000000" w:themeColor="text1"/>
        </w:rPr>
        <w:t xml:space="preserve">and </w:t>
      </w:r>
      <w:r w:rsidRPr="00015A39">
        <w:rPr>
          <w:color w:val="000000" w:themeColor="text1"/>
        </w:rPr>
        <w:t>metabolomic and lipidomic profiles</w:t>
      </w:r>
      <w:r w:rsidR="00FB1400" w:rsidRPr="00015A39">
        <w:rPr>
          <w:color w:val="000000" w:themeColor="text1"/>
        </w:rPr>
        <w:t xml:space="preserve">, alongside evaluations of sleep patterns and concurrent dietary habits. </w:t>
      </w:r>
      <w:r w:rsidRPr="00015A39">
        <w:rPr>
          <w:color w:val="000000" w:themeColor="text1"/>
        </w:rPr>
        <w:t xml:space="preserve">These investigations </w:t>
      </w:r>
      <w:r w:rsidR="00FB1400" w:rsidRPr="00015A39">
        <w:rPr>
          <w:color w:val="000000" w:themeColor="text1"/>
        </w:rPr>
        <w:t xml:space="preserve">can be achieved through multi-omics approaches, incorporating stool and blood analyses to capture </w:t>
      </w:r>
      <w:r w:rsidR="00E53126" w:rsidRPr="00015A39">
        <w:rPr>
          <w:color w:val="000000" w:themeColor="text1"/>
        </w:rPr>
        <w:t>metabolic and immunological markers, actigraphy to monitor sleep disturbances, and detailed dietary logs or 24</w:t>
      </w:r>
      <w:r w:rsidR="00A33373" w:rsidRPr="00015A39">
        <w:rPr>
          <w:color w:val="000000" w:themeColor="text1"/>
        </w:rPr>
        <w:t>-</w:t>
      </w:r>
      <w:r w:rsidR="00E53126" w:rsidRPr="00015A39">
        <w:rPr>
          <w:color w:val="000000" w:themeColor="text1"/>
        </w:rPr>
        <w:t>hour recalls to examine overall nutrition</w:t>
      </w:r>
      <w:r w:rsidR="005D5E7F" w:rsidRPr="00015A39">
        <w:rPr>
          <w:color w:val="000000" w:themeColor="text1"/>
        </w:rPr>
        <w:t xml:space="preserve"> [52</w:t>
      </w:r>
      <w:r w:rsidR="004F0E5C" w:rsidRPr="00015A39">
        <w:rPr>
          <w:color w:val="000000" w:themeColor="text1"/>
        </w:rPr>
        <w:t>]</w:t>
      </w:r>
      <w:r w:rsidR="00E53126" w:rsidRPr="00015A39">
        <w:rPr>
          <w:color w:val="000000" w:themeColor="text1"/>
        </w:rPr>
        <w:t xml:space="preserve">. </w:t>
      </w:r>
      <w:r w:rsidR="00DF7C41" w:rsidRPr="00015A39">
        <w:rPr>
          <w:color w:val="000000" w:themeColor="text1"/>
        </w:rPr>
        <w:t xml:space="preserve">Combining these methods will provide a holistic </w:t>
      </w:r>
      <w:r w:rsidR="00F96A78" w:rsidRPr="00015A39">
        <w:rPr>
          <w:color w:val="000000" w:themeColor="text1"/>
        </w:rPr>
        <w:t xml:space="preserve">view of </w:t>
      </w:r>
      <w:r w:rsidR="008002A9" w:rsidRPr="00015A39">
        <w:rPr>
          <w:color w:val="000000" w:themeColor="text1"/>
        </w:rPr>
        <w:t>how dietary fats, lifestyle factors, and individual metabolic variation</w:t>
      </w:r>
      <w:r w:rsidR="00672489" w:rsidRPr="00015A39">
        <w:rPr>
          <w:color w:val="000000" w:themeColor="text1"/>
        </w:rPr>
        <w:t>s influenc</w:t>
      </w:r>
      <w:r w:rsidR="00A33373" w:rsidRPr="00015A39">
        <w:rPr>
          <w:color w:val="000000" w:themeColor="text1"/>
        </w:rPr>
        <w:t>e</w:t>
      </w:r>
      <w:r w:rsidR="00672489" w:rsidRPr="00015A39">
        <w:rPr>
          <w:color w:val="000000" w:themeColor="text1"/>
        </w:rPr>
        <w:t xml:space="preserve"> </w:t>
      </w:r>
      <w:r w:rsidR="0091174D" w:rsidRPr="00015A39">
        <w:rPr>
          <w:color w:val="000000" w:themeColor="text1"/>
        </w:rPr>
        <w:t xml:space="preserve">long-term </w:t>
      </w:r>
      <w:r w:rsidR="00EB708A" w:rsidRPr="00015A39">
        <w:rPr>
          <w:color w:val="000000" w:themeColor="text1"/>
        </w:rPr>
        <w:t xml:space="preserve">AD progression and symptom persistence. </w:t>
      </w:r>
    </w:p>
    <w:p w14:paraId="30ACD3D2" w14:textId="77777777" w:rsidR="004728C4" w:rsidRPr="00015A39" w:rsidRDefault="004728C4" w:rsidP="0004258D">
      <w:pPr>
        <w:autoSpaceDE w:val="0"/>
        <w:autoSpaceDN w:val="0"/>
        <w:adjustRightInd w:val="0"/>
        <w:spacing w:line="360" w:lineRule="auto"/>
        <w:jc w:val="both"/>
        <w:rPr>
          <w:color w:val="000000" w:themeColor="text1"/>
        </w:rPr>
      </w:pPr>
    </w:p>
    <w:p w14:paraId="79762E28" w14:textId="69BBB0A0" w:rsidR="009B21FD" w:rsidRPr="00015A39" w:rsidRDefault="00336326" w:rsidP="006F67EB">
      <w:pPr>
        <w:spacing w:line="360" w:lineRule="auto"/>
        <w:jc w:val="both"/>
        <w:rPr>
          <w:color w:val="000000" w:themeColor="text1"/>
        </w:rPr>
      </w:pPr>
      <w:r w:rsidRPr="00015A39">
        <w:rPr>
          <w:color w:val="000000" w:themeColor="text1"/>
        </w:rPr>
        <w:t>The</w:t>
      </w:r>
      <w:r w:rsidR="005A56BA" w:rsidRPr="00015A39">
        <w:rPr>
          <w:color w:val="000000" w:themeColor="text1"/>
        </w:rPr>
        <w:t xml:space="preserve"> retrospective nature</w:t>
      </w:r>
      <w:r w:rsidRPr="00015A39">
        <w:rPr>
          <w:color w:val="000000" w:themeColor="text1"/>
        </w:rPr>
        <w:t xml:space="preserve"> of our study limits our ability to</w:t>
      </w:r>
      <w:r w:rsidR="005A56BA" w:rsidRPr="00015A39">
        <w:rPr>
          <w:color w:val="000000" w:themeColor="text1"/>
        </w:rPr>
        <w:t xml:space="preserve"> </w:t>
      </w:r>
      <w:r w:rsidR="00DA55E5" w:rsidRPr="00015A39">
        <w:rPr>
          <w:color w:val="000000" w:themeColor="text1"/>
        </w:rPr>
        <w:t xml:space="preserve">establish </w:t>
      </w:r>
      <w:r w:rsidR="00E95E65" w:rsidRPr="00015A39">
        <w:rPr>
          <w:color w:val="000000" w:themeColor="text1"/>
        </w:rPr>
        <w:t xml:space="preserve">a causal </w:t>
      </w:r>
      <w:r w:rsidR="00542E10" w:rsidRPr="00015A39">
        <w:rPr>
          <w:color w:val="000000" w:themeColor="text1"/>
        </w:rPr>
        <w:t xml:space="preserve">relationship </w:t>
      </w:r>
      <w:r w:rsidR="002B5253" w:rsidRPr="00015A39">
        <w:rPr>
          <w:color w:val="000000" w:themeColor="text1"/>
        </w:rPr>
        <w:t>between</w:t>
      </w:r>
      <w:r w:rsidR="00AB3EB7" w:rsidRPr="00015A39">
        <w:rPr>
          <w:color w:val="000000" w:themeColor="text1"/>
        </w:rPr>
        <w:t xml:space="preserve"> the frequency </w:t>
      </w:r>
      <w:r w:rsidR="00E95E65" w:rsidRPr="00015A39">
        <w:rPr>
          <w:color w:val="000000" w:themeColor="text1"/>
        </w:rPr>
        <w:t>of high</w:t>
      </w:r>
      <w:r w:rsidR="00FB203E" w:rsidRPr="00015A39">
        <w:rPr>
          <w:color w:val="000000" w:themeColor="text1"/>
        </w:rPr>
        <w:t>-</w:t>
      </w:r>
      <w:r w:rsidR="00E95E65" w:rsidRPr="00015A39">
        <w:rPr>
          <w:color w:val="000000" w:themeColor="text1"/>
        </w:rPr>
        <w:t xml:space="preserve">fat </w:t>
      </w:r>
      <w:r w:rsidR="00FB203E" w:rsidRPr="00015A39">
        <w:rPr>
          <w:color w:val="000000" w:themeColor="text1"/>
        </w:rPr>
        <w:t>food</w:t>
      </w:r>
      <w:r w:rsidR="00793CE3" w:rsidRPr="00015A39">
        <w:rPr>
          <w:color w:val="000000" w:themeColor="text1"/>
        </w:rPr>
        <w:t xml:space="preserve"> intake</w:t>
      </w:r>
      <w:r w:rsidR="00E95E65" w:rsidRPr="00015A39">
        <w:rPr>
          <w:color w:val="000000" w:themeColor="text1"/>
        </w:rPr>
        <w:t xml:space="preserve"> </w:t>
      </w:r>
      <w:r w:rsidR="00793CE3" w:rsidRPr="00015A39">
        <w:rPr>
          <w:color w:val="000000" w:themeColor="text1"/>
        </w:rPr>
        <w:t xml:space="preserve">and </w:t>
      </w:r>
      <w:r w:rsidR="00E95E65" w:rsidRPr="00015A39">
        <w:rPr>
          <w:color w:val="000000" w:themeColor="text1"/>
        </w:rPr>
        <w:t xml:space="preserve">AD </w:t>
      </w:r>
      <w:r w:rsidR="00FB203E" w:rsidRPr="00015A39">
        <w:rPr>
          <w:color w:val="000000" w:themeColor="text1"/>
        </w:rPr>
        <w:t>phenotypes</w:t>
      </w:r>
      <w:r w:rsidR="00190D17" w:rsidRPr="00015A39">
        <w:rPr>
          <w:color w:val="000000" w:themeColor="text1"/>
        </w:rPr>
        <w:t xml:space="preserve">. </w:t>
      </w:r>
      <w:r w:rsidR="00CD15CC" w:rsidRPr="00015A39">
        <w:rPr>
          <w:color w:val="000000" w:themeColor="text1"/>
        </w:rPr>
        <w:t xml:space="preserve">While </w:t>
      </w:r>
      <w:r w:rsidR="00B25881" w:rsidRPr="00015A39">
        <w:rPr>
          <w:color w:val="000000" w:themeColor="text1"/>
        </w:rPr>
        <w:t xml:space="preserve">our </w:t>
      </w:r>
      <w:r w:rsidR="000A156B" w:rsidRPr="00015A39">
        <w:rPr>
          <w:color w:val="000000" w:themeColor="text1"/>
        </w:rPr>
        <w:t xml:space="preserve">findings </w:t>
      </w:r>
      <w:r w:rsidR="00FB203E" w:rsidRPr="00015A39">
        <w:rPr>
          <w:color w:val="000000" w:themeColor="text1"/>
        </w:rPr>
        <w:t>suggest a</w:t>
      </w:r>
      <w:r w:rsidR="00317B62" w:rsidRPr="00015A39">
        <w:rPr>
          <w:color w:val="000000" w:themeColor="text1"/>
        </w:rPr>
        <w:t xml:space="preserve">n </w:t>
      </w:r>
      <w:r w:rsidR="00FB203E" w:rsidRPr="00015A39">
        <w:rPr>
          <w:color w:val="000000" w:themeColor="text1"/>
        </w:rPr>
        <w:t>association between frequent intake of high-fat foods and AD</w:t>
      </w:r>
      <w:r w:rsidR="00EF0DDA" w:rsidRPr="00015A39">
        <w:rPr>
          <w:color w:val="000000" w:themeColor="text1"/>
        </w:rPr>
        <w:t xml:space="preserve"> presentation</w:t>
      </w:r>
      <w:r w:rsidR="00FB203E" w:rsidRPr="00015A39">
        <w:rPr>
          <w:color w:val="000000" w:themeColor="text1"/>
        </w:rPr>
        <w:t>, cautio</w:t>
      </w:r>
      <w:r w:rsidR="00655C8B" w:rsidRPr="00015A39">
        <w:rPr>
          <w:color w:val="000000" w:themeColor="text1"/>
        </w:rPr>
        <w:t xml:space="preserve">n is warranted in interpreting these findings. </w:t>
      </w:r>
      <w:r w:rsidR="004E1BE6" w:rsidRPr="00015A39">
        <w:rPr>
          <w:color w:val="000000" w:themeColor="text1"/>
        </w:rPr>
        <w:t>D</w:t>
      </w:r>
      <w:r w:rsidR="00AB6732" w:rsidRPr="00015A39">
        <w:rPr>
          <w:color w:val="000000" w:themeColor="text1"/>
        </w:rPr>
        <w:t xml:space="preserve">ietary habits </w:t>
      </w:r>
      <w:r w:rsidR="004A5F23" w:rsidRPr="00015A39">
        <w:rPr>
          <w:color w:val="000000" w:themeColor="text1"/>
        </w:rPr>
        <w:t xml:space="preserve">alone </w:t>
      </w:r>
      <w:r w:rsidR="00AB6732" w:rsidRPr="00015A39">
        <w:rPr>
          <w:color w:val="000000" w:themeColor="text1"/>
        </w:rPr>
        <w:t xml:space="preserve">are neither exclusive nor sufficient to entirely modify </w:t>
      </w:r>
      <w:r w:rsidR="00D049D6" w:rsidRPr="00015A39">
        <w:rPr>
          <w:color w:val="000000" w:themeColor="text1"/>
        </w:rPr>
        <w:t>AD</w:t>
      </w:r>
      <w:r w:rsidR="00AB6732" w:rsidRPr="00015A39">
        <w:rPr>
          <w:color w:val="000000" w:themeColor="text1"/>
        </w:rPr>
        <w:t xml:space="preserve"> risk</w:t>
      </w:r>
      <w:r w:rsidR="00D049D6" w:rsidRPr="00015A39">
        <w:rPr>
          <w:color w:val="000000" w:themeColor="text1"/>
        </w:rPr>
        <w:t>, as o</w:t>
      </w:r>
      <w:r w:rsidR="00AB6732" w:rsidRPr="00015A39">
        <w:rPr>
          <w:color w:val="000000" w:themeColor="text1"/>
        </w:rPr>
        <w:t>ther factors</w:t>
      </w:r>
      <w:r w:rsidR="008F5161" w:rsidRPr="00015A39">
        <w:rPr>
          <w:color w:val="000000" w:themeColor="text1"/>
        </w:rPr>
        <w:t>,</w:t>
      </w:r>
      <w:r w:rsidR="00AB6732" w:rsidRPr="00015A39">
        <w:rPr>
          <w:color w:val="000000" w:themeColor="text1"/>
        </w:rPr>
        <w:t xml:space="preserve"> such as </w:t>
      </w:r>
      <w:r w:rsidR="00AD3796" w:rsidRPr="00015A39">
        <w:rPr>
          <w:color w:val="000000" w:themeColor="text1"/>
        </w:rPr>
        <w:t>sleep patterns</w:t>
      </w:r>
      <w:r w:rsidR="00AB6732" w:rsidRPr="00015A39">
        <w:rPr>
          <w:color w:val="000000" w:themeColor="text1"/>
        </w:rPr>
        <w:t xml:space="preserve"> and </w:t>
      </w:r>
      <w:r w:rsidR="00AD3796" w:rsidRPr="00015A39">
        <w:rPr>
          <w:color w:val="000000" w:themeColor="text1"/>
        </w:rPr>
        <w:t>allergen exposures</w:t>
      </w:r>
      <w:r w:rsidR="00BF5C2B" w:rsidRPr="00015A39">
        <w:rPr>
          <w:color w:val="000000" w:themeColor="text1"/>
        </w:rPr>
        <w:t>,</w:t>
      </w:r>
      <w:r w:rsidR="00AB6732" w:rsidRPr="00015A39">
        <w:rPr>
          <w:color w:val="000000" w:themeColor="text1"/>
        </w:rPr>
        <w:t xml:space="preserve"> also contribute to AD susceptibility</w:t>
      </w:r>
      <w:r w:rsidR="00AB6732" w:rsidRPr="00015A39">
        <w:rPr>
          <w:color w:val="000000" w:themeColor="text1"/>
          <w:vertAlign w:val="superscript"/>
        </w:rPr>
        <w:t xml:space="preserve"> </w:t>
      </w:r>
      <w:r w:rsidR="00AB6732" w:rsidRPr="00015A39">
        <w:rPr>
          <w:color w:val="000000" w:themeColor="text1"/>
        </w:rPr>
        <w:t>[</w:t>
      </w:r>
      <w:r w:rsidR="00BA30BB" w:rsidRPr="00015A39">
        <w:rPr>
          <w:color w:val="000000" w:themeColor="text1"/>
        </w:rPr>
        <w:t>51</w:t>
      </w:r>
      <w:r w:rsidR="000E500E" w:rsidRPr="00015A39">
        <w:rPr>
          <w:color w:val="000000" w:themeColor="text1"/>
        </w:rPr>
        <w:t xml:space="preserve">, </w:t>
      </w:r>
      <w:r w:rsidR="00BA30BB" w:rsidRPr="00015A39">
        <w:rPr>
          <w:color w:val="000000" w:themeColor="text1"/>
        </w:rPr>
        <w:t>53</w:t>
      </w:r>
      <w:r w:rsidR="00AB6732" w:rsidRPr="00015A39">
        <w:rPr>
          <w:color w:val="000000" w:themeColor="text1"/>
        </w:rPr>
        <w:t xml:space="preserve">]. </w:t>
      </w:r>
      <w:r w:rsidR="00BF5C2B" w:rsidRPr="00015A39">
        <w:rPr>
          <w:color w:val="000000" w:themeColor="text1"/>
        </w:rPr>
        <w:t>Furthermore</w:t>
      </w:r>
      <w:r w:rsidR="00AB6732" w:rsidRPr="00015A39">
        <w:rPr>
          <w:color w:val="000000" w:themeColor="text1"/>
        </w:rPr>
        <w:t xml:space="preserve">, individual differences, cultural </w:t>
      </w:r>
      <w:r w:rsidR="00DB60C5" w:rsidRPr="00015A39">
        <w:rPr>
          <w:color w:val="000000" w:themeColor="text1"/>
        </w:rPr>
        <w:t>influences</w:t>
      </w:r>
      <w:r w:rsidR="00AB6732" w:rsidRPr="00015A39">
        <w:rPr>
          <w:color w:val="000000" w:themeColor="text1"/>
        </w:rPr>
        <w:t xml:space="preserve">, and personal eating experiences can shape dietary habits </w:t>
      </w:r>
      <w:r w:rsidR="0025375B" w:rsidRPr="00015A39">
        <w:rPr>
          <w:color w:val="000000" w:themeColor="text1"/>
        </w:rPr>
        <w:t>and their</w:t>
      </w:r>
      <w:r w:rsidR="00AB6732" w:rsidRPr="00015A39">
        <w:rPr>
          <w:color w:val="000000" w:themeColor="text1"/>
        </w:rPr>
        <w:t xml:space="preserve"> impact</w:t>
      </w:r>
      <w:r w:rsidR="0025375B" w:rsidRPr="00015A39">
        <w:rPr>
          <w:color w:val="000000" w:themeColor="text1"/>
        </w:rPr>
        <w:t xml:space="preserve"> on AD</w:t>
      </w:r>
      <w:r w:rsidR="00AB6732" w:rsidRPr="00015A39">
        <w:rPr>
          <w:color w:val="000000" w:themeColor="text1"/>
        </w:rPr>
        <w:t xml:space="preserve"> progression and management [</w:t>
      </w:r>
      <w:r w:rsidR="005E5C3E" w:rsidRPr="00015A39">
        <w:rPr>
          <w:color w:val="000000" w:themeColor="text1"/>
        </w:rPr>
        <w:t>5</w:t>
      </w:r>
      <w:r w:rsidR="00BA30BB" w:rsidRPr="00015A39">
        <w:rPr>
          <w:color w:val="000000" w:themeColor="text1"/>
        </w:rPr>
        <w:t>4</w:t>
      </w:r>
      <w:r w:rsidR="00AB6732" w:rsidRPr="00015A39">
        <w:rPr>
          <w:color w:val="000000" w:themeColor="text1"/>
        </w:rPr>
        <w:t xml:space="preserve">]. Therefore, </w:t>
      </w:r>
      <w:r w:rsidR="00AB6732" w:rsidRPr="00015A39">
        <w:rPr>
          <w:color w:val="000000" w:themeColor="text1"/>
          <w:lang w:val="en-US"/>
        </w:rPr>
        <w:t xml:space="preserve">the study’s findings should be interpreted in consideration of these potential confounding factors and future research </w:t>
      </w:r>
      <w:r w:rsidR="00701CFD" w:rsidRPr="00015A39">
        <w:rPr>
          <w:color w:val="000000" w:themeColor="text1"/>
          <w:lang w:val="en-US"/>
        </w:rPr>
        <w:t>would</w:t>
      </w:r>
      <w:r w:rsidR="00AB6732" w:rsidRPr="00015A39">
        <w:rPr>
          <w:color w:val="000000" w:themeColor="text1"/>
          <w:lang w:val="en-US"/>
        </w:rPr>
        <w:t xml:space="preserve"> benefit from a more comprehensive assessment of such variables.</w:t>
      </w:r>
      <w:r w:rsidR="006F67EB" w:rsidRPr="00015A39">
        <w:rPr>
          <w:color w:val="000000" w:themeColor="text1"/>
          <w:lang w:val="en-US"/>
        </w:rPr>
        <w:t xml:space="preserve"> </w:t>
      </w:r>
      <w:r w:rsidR="00B15508" w:rsidRPr="00015A39">
        <w:rPr>
          <w:color w:val="000000" w:themeColor="text1"/>
        </w:rPr>
        <w:t>R</w:t>
      </w:r>
      <w:r w:rsidR="00FB203E" w:rsidRPr="00015A39">
        <w:rPr>
          <w:color w:val="000000" w:themeColor="text1"/>
        </w:rPr>
        <w:t>andomized controlled trial</w:t>
      </w:r>
      <w:r w:rsidR="00FA537F" w:rsidRPr="00015A39">
        <w:rPr>
          <w:color w:val="000000" w:themeColor="text1"/>
        </w:rPr>
        <w:t>s</w:t>
      </w:r>
      <w:r w:rsidR="00FB203E" w:rsidRPr="00015A39">
        <w:rPr>
          <w:color w:val="000000" w:themeColor="text1"/>
        </w:rPr>
        <w:t xml:space="preserve"> </w:t>
      </w:r>
      <w:r w:rsidR="002B3416" w:rsidRPr="00015A39">
        <w:rPr>
          <w:color w:val="000000" w:themeColor="text1"/>
        </w:rPr>
        <w:t xml:space="preserve">focusing on </w:t>
      </w:r>
      <w:r w:rsidR="004F42B4" w:rsidRPr="00015A39">
        <w:rPr>
          <w:color w:val="000000" w:themeColor="text1"/>
        </w:rPr>
        <w:t>d</w:t>
      </w:r>
      <w:r w:rsidR="00FB203E" w:rsidRPr="00015A39">
        <w:rPr>
          <w:color w:val="000000" w:themeColor="text1"/>
        </w:rPr>
        <w:t>iet</w:t>
      </w:r>
      <w:r w:rsidR="00055C1E" w:rsidRPr="00015A39">
        <w:rPr>
          <w:color w:val="000000" w:themeColor="text1"/>
        </w:rPr>
        <w:t>ary</w:t>
      </w:r>
      <w:r w:rsidR="00FB203E" w:rsidRPr="00015A39">
        <w:rPr>
          <w:color w:val="000000" w:themeColor="text1"/>
        </w:rPr>
        <w:t xml:space="preserve"> intervention</w:t>
      </w:r>
      <w:r w:rsidR="004F42B4" w:rsidRPr="00015A39">
        <w:rPr>
          <w:color w:val="000000" w:themeColor="text1"/>
        </w:rPr>
        <w:t>s</w:t>
      </w:r>
      <w:r w:rsidR="00055C1E" w:rsidRPr="00015A39">
        <w:rPr>
          <w:color w:val="000000" w:themeColor="text1"/>
        </w:rPr>
        <w:t xml:space="preserve"> to </w:t>
      </w:r>
      <w:r w:rsidR="00956F20" w:rsidRPr="00015A39">
        <w:rPr>
          <w:color w:val="000000" w:themeColor="text1"/>
        </w:rPr>
        <w:t>reduce</w:t>
      </w:r>
      <w:r w:rsidR="00055C1E" w:rsidRPr="00015A39">
        <w:rPr>
          <w:color w:val="000000" w:themeColor="text1"/>
        </w:rPr>
        <w:t xml:space="preserve"> </w:t>
      </w:r>
      <w:r w:rsidR="00A036FB" w:rsidRPr="00015A39">
        <w:rPr>
          <w:color w:val="000000" w:themeColor="text1"/>
        </w:rPr>
        <w:t xml:space="preserve">the frequency of </w:t>
      </w:r>
      <w:r w:rsidR="00A87420" w:rsidRPr="00015A39">
        <w:rPr>
          <w:color w:val="000000" w:themeColor="text1"/>
        </w:rPr>
        <w:t>high-fat food</w:t>
      </w:r>
      <w:r w:rsidR="0062115F" w:rsidRPr="00015A39">
        <w:rPr>
          <w:color w:val="000000" w:themeColor="text1"/>
        </w:rPr>
        <w:t xml:space="preserve"> intake </w:t>
      </w:r>
      <w:r w:rsidR="00687F87" w:rsidRPr="00015A39">
        <w:rPr>
          <w:color w:val="000000" w:themeColor="text1"/>
        </w:rPr>
        <w:t>are</w:t>
      </w:r>
      <w:r w:rsidR="00FB203E" w:rsidRPr="00015A39">
        <w:rPr>
          <w:color w:val="000000" w:themeColor="text1"/>
        </w:rPr>
        <w:t xml:space="preserve"> </w:t>
      </w:r>
      <w:r w:rsidR="009A3E2D" w:rsidRPr="00015A39">
        <w:rPr>
          <w:color w:val="000000" w:themeColor="text1"/>
        </w:rPr>
        <w:t xml:space="preserve">needed </w:t>
      </w:r>
      <w:r w:rsidR="00FB203E" w:rsidRPr="00015A39">
        <w:rPr>
          <w:color w:val="000000" w:themeColor="text1"/>
        </w:rPr>
        <w:t xml:space="preserve">to </w:t>
      </w:r>
      <w:r w:rsidR="009A3E2D" w:rsidRPr="00015A39">
        <w:rPr>
          <w:color w:val="000000" w:themeColor="text1"/>
        </w:rPr>
        <w:t xml:space="preserve">clarify </w:t>
      </w:r>
      <w:r w:rsidR="003C74D7" w:rsidRPr="00015A39">
        <w:rPr>
          <w:color w:val="000000" w:themeColor="text1"/>
        </w:rPr>
        <w:t>t</w:t>
      </w:r>
      <w:r w:rsidR="00FB203E" w:rsidRPr="00015A39">
        <w:rPr>
          <w:color w:val="000000" w:themeColor="text1"/>
        </w:rPr>
        <w:t xml:space="preserve">he temporal sequence between </w:t>
      </w:r>
      <w:r w:rsidR="000A415F" w:rsidRPr="00015A39">
        <w:rPr>
          <w:color w:val="000000" w:themeColor="text1"/>
        </w:rPr>
        <w:t>dietary fats</w:t>
      </w:r>
      <w:r w:rsidR="00FB203E" w:rsidRPr="00015A39">
        <w:rPr>
          <w:color w:val="000000" w:themeColor="text1"/>
        </w:rPr>
        <w:t xml:space="preserve"> and AD.</w:t>
      </w:r>
      <w:r w:rsidR="001F0EDE" w:rsidRPr="00015A39">
        <w:rPr>
          <w:color w:val="000000" w:themeColor="text1"/>
        </w:rPr>
        <w:t xml:space="preserve"> </w:t>
      </w:r>
      <w:r w:rsidR="00C24DD0" w:rsidRPr="00015A39">
        <w:rPr>
          <w:color w:val="000000" w:themeColor="text1"/>
        </w:rPr>
        <w:t xml:space="preserve">We also acknowledge the potential for recall or reporting bias </w:t>
      </w:r>
      <w:r w:rsidR="00A6769C" w:rsidRPr="00015A39">
        <w:rPr>
          <w:color w:val="000000" w:themeColor="text1"/>
        </w:rPr>
        <w:t xml:space="preserve">in </w:t>
      </w:r>
      <w:r w:rsidR="00C24DD0" w:rsidRPr="00015A39">
        <w:rPr>
          <w:color w:val="000000" w:themeColor="text1"/>
        </w:rPr>
        <w:t>dietary data</w:t>
      </w:r>
      <w:r w:rsidR="00446DB0" w:rsidRPr="00015A39">
        <w:rPr>
          <w:color w:val="000000" w:themeColor="text1"/>
        </w:rPr>
        <w:t>.</w:t>
      </w:r>
      <w:r w:rsidR="00C24DD0" w:rsidRPr="00015A39">
        <w:rPr>
          <w:color w:val="000000" w:themeColor="text1"/>
        </w:rPr>
        <w:t xml:space="preserve"> </w:t>
      </w:r>
      <w:r w:rsidR="00E80CCB" w:rsidRPr="00015A39">
        <w:rPr>
          <w:color w:val="000000" w:themeColor="text1"/>
        </w:rPr>
        <w:t>To address this</w:t>
      </w:r>
      <w:r w:rsidR="00446DB0" w:rsidRPr="00015A39">
        <w:rPr>
          <w:color w:val="000000" w:themeColor="text1"/>
        </w:rPr>
        <w:t>, we</w:t>
      </w:r>
      <w:r w:rsidR="00C24DD0" w:rsidRPr="00015A39">
        <w:rPr>
          <w:color w:val="000000" w:themeColor="text1"/>
        </w:rPr>
        <w:t xml:space="preserve"> </w:t>
      </w:r>
      <w:r w:rsidR="00A638C8" w:rsidRPr="00015A39">
        <w:rPr>
          <w:color w:val="000000" w:themeColor="text1"/>
        </w:rPr>
        <w:t xml:space="preserve">implemented </w:t>
      </w:r>
      <w:r w:rsidR="0059400C" w:rsidRPr="00015A39">
        <w:rPr>
          <w:color w:val="000000" w:themeColor="text1"/>
        </w:rPr>
        <w:t>several measures</w:t>
      </w:r>
      <w:r w:rsidR="00B8370B" w:rsidRPr="00015A39">
        <w:rPr>
          <w:color w:val="000000" w:themeColor="text1"/>
        </w:rPr>
        <w:t xml:space="preserve"> </w:t>
      </w:r>
      <w:r w:rsidR="0059400C" w:rsidRPr="00015A39">
        <w:rPr>
          <w:color w:val="000000" w:themeColor="text1"/>
        </w:rPr>
        <w:t xml:space="preserve">to mitigate </w:t>
      </w:r>
      <w:r w:rsidR="0059400C" w:rsidRPr="00015A39">
        <w:rPr>
          <w:color w:val="000000" w:themeColor="text1"/>
        </w:rPr>
        <w:lastRenderedPageBreak/>
        <w:t xml:space="preserve">these limitations. </w:t>
      </w:r>
      <w:r w:rsidR="00265EEE" w:rsidRPr="00015A39">
        <w:rPr>
          <w:color w:val="000000" w:themeColor="text1"/>
        </w:rPr>
        <w:t>The direct</w:t>
      </w:r>
      <w:r w:rsidR="009061C9" w:rsidRPr="00015A39">
        <w:rPr>
          <w:color w:val="000000" w:themeColor="text1"/>
        </w:rPr>
        <w:t xml:space="preserve"> </w:t>
      </w:r>
      <w:r w:rsidR="00265EEE" w:rsidRPr="00015A39">
        <w:rPr>
          <w:color w:val="000000" w:themeColor="text1"/>
        </w:rPr>
        <w:t>administration</w:t>
      </w:r>
      <w:r w:rsidR="009061C9" w:rsidRPr="00015A39">
        <w:rPr>
          <w:color w:val="000000" w:themeColor="text1"/>
        </w:rPr>
        <w:t xml:space="preserve"> </w:t>
      </w:r>
      <w:r w:rsidR="00265EEE" w:rsidRPr="00015A39">
        <w:rPr>
          <w:color w:val="000000" w:themeColor="text1"/>
        </w:rPr>
        <w:t xml:space="preserve">of a validated FFQ </w:t>
      </w:r>
      <w:r w:rsidR="009061C9" w:rsidRPr="00015A39">
        <w:rPr>
          <w:color w:val="000000" w:themeColor="text1"/>
        </w:rPr>
        <w:t>by trained investigato</w:t>
      </w:r>
      <w:r w:rsidR="00D53F46" w:rsidRPr="00015A39">
        <w:rPr>
          <w:color w:val="000000" w:themeColor="text1"/>
        </w:rPr>
        <w:t xml:space="preserve">rs </w:t>
      </w:r>
      <w:r w:rsidR="009061C9" w:rsidRPr="00015A39">
        <w:rPr>
          <w:color w:val="000000" w:themeColor="text1"/>
        </w:rPr>
        <w:t>p</w:t>
      </w:r>
      <w:r w:rsidR="007C3A89" w:rsidRPr="00015A39">
        <w:rPr>
          <w:color w:val="000000" w:themeColor="text1"/>
        </w:rPr>
        <w:t>rovid</w:t>
      </w:r>
      <w:r w:rsidR="00E80CCB" w:rsidRPr="00015A39">
        <w:rPr>
          <w:color w:val="000000" w:themeColor="text1"/>
        </w:rPr>
        <w:t>ed</w:t>
      </w:r>
      <w:r w:rsidR="007C3A89" w:rsidRPr="00015A39">
        <w:rPr>
          <w:color w:val="000000" w:themeColor="text1"/>
        </w:rPr>
        <w:t xml:space="preserve"> p</w:t>
      </w:r>
      <w:r w:rsidR="009061C9" w:rsidRPr="00015A39">
        <w:rPr>
          <w:color w:val="000000" w:themeColor="text1"/>
        </w:rPr>
        <w:t xml:space="preserve">articipants </w:t>
      </w:r>
      <w:r w:rsidR="002D2FAD" w:rsidRPr="00015A39">
        <w:rPr>
          <w:color w:val="000000" w:themeColor="text1"/>
        </w:rPr>
        <w:t>with</w:t>
      </w:r>
      <w:r w:rsidR="009061C9" w:rsidRPr="00015A39">
        <w:rPr>
          <w:color w:val="000000" w:themeColor="text1"/>
        </w:rPr>
        <w:t xml:space="preserve"> the opportunity to clarify any doubts during </w:t>
      </w:r>
      <w:r w:rsidR="00EB7203" w:rsidRPr="00015A39">
        <w:rPr>
          <w:color w:val="000000" w:themeColor="text1"/>
        </w:rPr>
        <w:t>data collection</w:t>
      </w:r>
      <w:r w:rsidR="009061C9" w:rsidRPr="00015A39">
        <w:rPr>
          <w:color w:val="000000" w:themeColor="text1"/>
        </w:rPr>
        <w:t xml:space="preserve">. </w:t>
      </w:r>
      <w:r w:rsidR="00564108" w:rsidRPr="00015A39">
        <w:rPr>
          <w:color w:val="000000" w:themeColor="text1"/>
        </w:rPr>
        <w:t>The</w:t>
      </w:r>
      <w:r w:rsidR="009B5A9E" w:rsidRPr="00015A39">
        <w:rPr>
          <w:color w:val="000000" w:themeColor="text1"/>
        </w:rPr>
        <w:t xml:space="preserve"> FFQ was </w:t>
      </w:r>
      <w:r w:rsidR="003E6579" w:rsidRPr="00015A39">
        <w:rPr>
          <w:color w:val="000000" w:themeColor="text1"/>
        </w:rPr>
        <w:t>designed to be</w:t>
      </w:r>
      <w:r w:rsidR="009B5A9E" w:rsidRPr="00015A39">
        <w:rPr>
          <w:color w:val="000000" w:themeColor="text1"/>
        </w:rPr>
        <w:t xml:space="preserve"> simple, straightforward, and cost-effective </w:t>
      </w:r>
      <w:r w:rsidR="007D0651" w:rsidRPr="00015A39">
        <w:rPr>
          <w:color w:val="000000" w:themeColor="text1"/>
        </w:rPr>
        <w:t>for</w:t>
      </w:r>
      <w:r w:rsidR="009B5A9E" w:rsidRPr="00015A39">
        <w:rPr>
          <w:color w:val="000000" w:themeColor="text1"/>
        </w:rPr>
        <w:t xml:space="preserve"> assessing dietary habits in a large</w:t>
      </w:r>
      <w:r w:rsidR="00534515" w:rsidRPr="00015A39">
        <w:rPr>
          <w:color w:val="000000" w:themeColor="text1"/>
        </w:rPr>
        <w:t xml:space="preserve"> and</w:t>
      </w:r>
      <w:r w:rsidR="009B5A9E" w:rsidRPr="00015A39">
        <w:rPr>
          <w:color w:val="000000" w:themeColor="text1"/>
        </w:rPr>
        <w:t xml:space="preserve"> diverse</w:t>
      </w:r>
      <w:r w:rsidR="00534515" w:rsidRPr="00015A39">
        <w:rPr>
          <w:color w:val="000000" w:themeColor="text1"/>
        </w:rPr>
        <w:t xml:space="preserve"> </w:t>
      </w:r>
      <w:r w:rsidR="009B5A9E" w:rsidRPr="00015A39">
        <w:rPr>
          <w:color w:val="000000" w:themeColor="text1"/>
        </w:rPr>
        <w:t>population.</w:t>
      </w:r>
      <w:r w:rsidR="003568C8" w:rsidRPr="00015A39">
        <w:rPr>
          <w:color w:val="000000" w:themeColor="text1"/>
        </w:rPr>
        <w:t xml:space="preserve"> </w:t>
      </w:r>
      <w:r w:rsidR="00C714BA" w:rsidRPr="00015A39">
        <w:rPr>
          <w:color w:val="000000" w:themeColor="text1"/>
        </w:rPr>
        <w:t>Moreover</w:t>
      </w:r>
      <w:r w:rsidR="003568C8" w:rsidRPr="00015A39">
        <w:rPr>
          <w:color w:val="000000" w:themeColor="text1"/>
        </w:rPr>
        <w:t xml:space="preserve">, </w:t>
      </w:r>
      <w:r w:rsidR="00AA78C1" w:rsidRPr="00015A39">
        <w:rPr>
          <w:color w:val="000000" w:themeColor="text1"/>
        </w:rPr>
        <w:t xml:space="preserve">the FFQ was validated for </w:t>
      </w:r>
      <w:r w:rsidR="00413201" w:rsidRPr="00015A39">
        <w:rPr>
          <w:color w:val="000000" w:themeColor="text1"/>
        </w:rPr>
        <w:t xml:space="preserve">the </w:t>
      </w:r>
      <w:r w:rsidR="00AA78C1" w:rsidRPr="00015A39">
        <w:rPr>
          <w:color w:val="000000" w:themeColor="text1"/>
        </w:rPr>
        <w:t>adult population [</w:t>
      </w:r>
      <w:r w:rsidR="00E11F18" w:rsidRPr="00015A39">
        <w:rPr>
          <w:color w:val="000000" w:themeColor="text1"/>
        </w:rPr>
        <w:t>5</w:t>
      </w:r>
      <w:r w:rsidR="00157842" w:rsidRPr="00015A39">
        <w:rPr>
          <w:color w:val="000000" w:themeColor="text1"/>
        </w:rPr>
        <w:t>5</w:t>
      </w:r>
      <w:r w:rsidR="00AA78C1" w:rsidRPr="00015A39">
        <w:rPr>
          <w:color w:val="000000" w:themeColor="text1"/>
        </w:rPr>
        <w:t xml:space="preserve">] </w:t>
      </w:r>
      <w:r w:rsidR="00567F30" w:rsidRPr="00015A39">
        <w:rPr>
          <w:color w:val="000000" w:themeColor="text1"/>
        </w:rPr>
        <w:t xml:space="preserve">with </w:t>
      </w:r>
      <w:r w:rsidR="00AA78C1" w:rsidRPr="00015A39">
        <w:rPr>
          <w:color w:val="000000" w:themeColor="text1"/>
        </w:rPr>
        <w:t>the protocol has been adjusted to include dietary questions applicable to adults, with guidelines for customizing the food list to regional dietary patterns [</w:t>
      </w:r>
      <w:r w:rsidR="00E11F18" w:rsidRPr="00015A39">
        <w:rPr>
          <w:color w:val="000000" w:themeColor="text1"/>
        </w:rPr>
        <w:t>5</w:t>
      </w:r>
      <w:r w:rsidR="00157842" w:rsidRPr="00015A39">
        <w:rPr>
          <w:color w:val="000000" w:themeColor="text1"/>
        </w:rPr>
        <w:t>6</w:t>
      </w:r>
      <w:r w:rsidR="00AA78C1" w:rsidRPr="00015A39">
        <w:rPr>
          <w:color w:val="000000" w:themeColor="text1"/>
        </w:rPr>
        <w:t xml:space="preserve">]. </w:t>
      </w:r>
      <w:r w:rsidR="001D6348" w:rsidRPr="00015A39">
        <w:rPr>
          <w:color w:val="000000" w:themeColor="text1"/>
        </w:rPr>
        <w:t xml:space="preserve">Lastly, our study highlights the need for broader ethnic representation. </w:t>
      </w:r>
      <w:r w:rsidR="0038566B" w:rsidRPr="00015A39">
        <w:rPr>
          <w:color w:val="000000" w:themeColor="text1"/>
        </w:rPr>
        <w:t>F</w:t>
      </w:r>
      <w:r w:rsidR="001D6348" w:rsidRPr="00015A39">
        <w:rPr>
          <w:color w:val="000000" w:themeColor="text1"/>
        </w:rPr>
        <w:t xml:space="preserve">uture studies </w:t>
      </w:r>
      <w:r w:rsidR="005C7C2F" w:rsidRPr="00015A39">
        <w:rPr>
          <w:color w:val="000000" w:themeColor="text1"/>
        </w:rPr>
        <w:t>should aim to</w:t>
      </w:r>
      <w:r w:rsidR="009B21FD" w:rsidRPr="00015A39">
        <w:rPr>
          <w:color w:val="000000" w:themeColor="text1"/>
        </w:rPr>
        <w:t xml:space="preserve"> replicate these findings in other ethnic groups, including Malay, Indian, and other Asian populations, to enhance the generalizability of the results. </w:t>
      </w:r>
      <w:r w:rsidR="008D24CE" w:rsidRPr="00015A39">
        <w:rPr>
          <w:color w:val="000000" w:themeColor="text1"/>
        </w:rPr>
        <w:t>To achieve this, we plan to leverage large, independent datasets in Singapore, such as the multiethnic cohort (MEC) population</w:t>
      </w:r>
      <w:r w:rsidR="002E0331" w:rsidRPr="00015A39">
        <w:rPr>
          <w:color w:val="000000" w:themeColor="text1"/>
        </w:rPr>
        <w:t xml:space="preserve"> [5</w:t>
      </w:r>
      <w:r w:rsidR="00DC42F8" w:rsidRPr="00015A39">
        <w:rPr>
          <w:color w:val="000000" w:themeColor="text1"/>
        </w:rPr>
        <w:t>7</w:t>
      </w:r>
      <w:r w:rsidR="002E0331" w:rsidRPr="00015A39">
        <w:rPr>
          <w:color w:val="000000" w:themeColor="text1"/>
        </w:rPr>
        <w:t>]</w:t>
      </w:r>
      <w:r w:rsidR="008D24CE" w:rsidRPr="00015A39">
        <w:rPr>
          <w:color w:val="000000" w:themeColor="text1"/>
        </w:rPr>
        <w:t>, the Growing Up in Singapore Towards Healthy Outcomes (GUSTO) longitudinal birth cohort</w:t>
      </w:r>
      <w:r w:rsidR="002E0331" w:rsidRPr="00015A39">
        <w:rPr>
          <w:color w:val="000000" w:themeColor="text1"/>
        </w:rPr>
        <w:t xml:space="preserve"> [5</w:t>
      </w:r>
      <w:r w:rsidR="00DC42F8" w:rsidRPr="00015A39">
        <w:rPr>
          <w:color w:val="000000" w:themeColor="text1"/>
        </w:rPr>
        <w:t>8</w:t>
      </w:r>
      <w:r w:rsidR="002E0331" w:rsidRPr="00015A39">
        <w:rPr>
          <w:color w:val="000000" w:themeColor="text1"/>
        </w:rPr>
        <w:t>]</w:t>
      </w:r>
      <w:r w:rsidR="008D24CE" w:rsidRPr="00015A39">
        <w:rPr>
          <w:color w:val="000000" w:themeColor="text1"/>
        </w:rPr>
        <w:t>, and the Health for Life in Singapore (HELIOS) population cohort</w:t>
      </w:r>
      <w:r w:rsidR="00D57A98" w:rsidRPr="00015A39">
        <w:rPr>
          <w:color w:val="000000" w:themeColor="text1"/>
        </w:rPr>
        <w:t xml:space="preserve"> [5</w:t>
      </w:r>
      <w:r w:rsidR="00DC42F8" w:rsidRPr="00015A39">
        <w:rPr>
          <w:color w:val="000000" w:themeColor="text1"/>
        </w:rPr>
        <w:t>9</w:t>
      </w:r>
      <w:r w:rsidR="00D57A98" w:rsidRPr="00015A39">
        <w:rPr>
          <w:color w:val="000000" w:themeColor="text1"/>
        </w:rPr>
        <w:t>]</w:t>
      </w:r>
      <w:r w:rsidR="008D24CE" w:rsidRPr="00015A39">
        <w:rPr>
          <w:color w:val="000000" w:themeColor="text1"/>
        </w:rPr>
        <w:t xml:space="preserve">. Additionally, we propose conducting randomized controlled trials to further validate the observed associations and establish causal relationships. </w:t>
      </w:r>
      <w:r w:rsidR="009B21FD" w:rsidRPr="00015A39">
        <w:rPr>
          <w:color w:val="000000" w:themeColor="text1"/>
        </w:rPr>
        <w:t xml:space="preserve">Such efforts will provide deeper insights into how dietary habits and cultural factors uniquely influence AD across diverse ethnicities. </w:t>
      </w:r>
    </w:p>
    <w:p w14:paraId="6F90F366" w14:textId="222B7D64" w:rsidR="00D32829" w:rsidRPr="00015A39" w:rsidRDefault="001D6348" w:rsidP="006F67EB">
      <w:pPr>
        <w:spacing w:line="360" w:lineRule="auto"/>
        <w:jc w:val="both"/>
        <w:rPr>
          <w:color w:val="000000" w:themeColor="text1"/>
        </w:rPr>
      </w:pPr>
      <w:r w:rsidRPr="00015A39">
        <w:rPr>
          <w:color w:val="000000" w:themeColor="text1"/>
        </w:rPr>
        <w:t xml:space="preserve"> </w:t>
      </w:r>
    </w:p>
    <w:p w14:paraId="57BA1A87" w14:textId="59F6ADB6" w:rsidR="00892F99" w:rsidRDefault="000C2788" w:rsidP="008B1759">
      <w:pPr>
        <w:spacing w:line="360" w:lineRule="auto"/>
        <w:jc w:val="both"/>
        <w:rPr>
          <w:color w:val="000000" w:themeColor="text1"/>
        </w:rPr>
      </w:pPr>
      <w:r w:rsidRPr="00015A39">
        <w:rPr>
          <w:color w:val="000000" w:themeColor="text1"/>
        </w:rPr>
        <w:t>In conclusion</w:t>
      </w:r>
      <w:r w:rsidR="00DE7CF5" w:rsidRPr="00015A39">
        <w:rPr>
          <w:color w:val="000000" w:themeColor="text1"/>
        </w:rPr>
        <w:t xml:space="preserve">, </w:t>
      </w:r>
      <w:r w:rsidR="00A91C58" w:rsidRPr="00015A39">
        <w:rPr>
          <w:color w:val="000000" w:themeColor="text1"/>
        </w:rPr>
        <w:t>our study</w:t>
      </w:r>
      <w:r w:rsidR="009D05E9" w:rsidRPr="00015A39">
        <w:rPr>
          <w:color w:val="000000" w:themeColor="text1"/>
        </w:rPr>
        <w:t xml:space="preserve"> highlights a</w:t>
      </w:r>
      <w:r w:rsidR="00625F64" w:rsidRPr="00015A39">
        <w:rPr>
          <w:color w:val="000000" w:themeColor="text1"/>
        </w:rPr>
        <w:t>n</w:t>
      </w:r>
      <w:r w:rsidR="009D05E9" w:rsidRPr="00015A39">
        <w:rPr>
          <w:color w:val="000000" w:themeColor="text1"/>
        </w:rPr>
        <w:t xml:space="preserve"> association between frequent intake of high-fat foods and AD, particularly in symptom presentation and chronicity</w:t>
      </w:r>
      <w:r w:rsidR="00455822" w:rsidRPr="00015A39">
        <w:rPr>
          <w:color w:val="000000" w:themeColor="text1"/>
        </w:rPr>
        <w:t xml:space="preserve">. </w:t>
      </w:r>
      <w:r w:rsidR="00630B3F" w:rsidRPr="00015A39">
        <w:rPr>
          <w:color w:val="000000" w:themeColor="text1"/>
        </w:rPr>
        <w:t xml:space="preserve">These </w:t>
      </w:r>
      <w:r w:rsidR="00DE7CF5" w:rsidRPr="00015A39">
        <w:rPr>
          <w:color w:val="000000" w:themeColor="text1"/>
        </w:rPr>
        <w:t xml:space="preserve">findings </w:t>
      </w:r>
      <w:r w:rsidR="00630B3F" w:rsidRPr="00015A39">
        <w:rPr>
          <w:color w:val="000000" w:themeColor="text1"/>
        </w:rPr>
        <w:t xml:space="preserve">emphasize the clinical importance of moderation in dietary fat intake as a potential and promising strategy for managing AD. </w:t>
      </w:r>
      <w:r w:rsidR="00625B37" w:rsidRPr="00015A39">
        <w:rPr>
          <w:color w:val="000000" w:themeColor="text1"/>
        </w:rPr>
        <w:t xml:space="preserve">While further research is necessary to explore underlying mechanisms and validate these results across diverse populations, our study provides a strong foundation for investigating dietary interventions aimed at reducing high-fat food intake to </w:t>
      </w:r>
      <w:r w:rsidR="006135B0" w:rsidRPr="00015A39">
        <w:rPr>
          <w:color w:val="000000" w:themeColor="text1"/>
        </w:rPr>
        <w:t>mitigate</w:t>
      </w:r>
      <w:r w:rsidR="00625B37" w:rsidRPr="00015A39">
        <w:rPr>
          <w:color w:val="000000" w:themeColor="text1"/>
        </w:rPr>
        <w:t xml:space="preserve"> AD symptoms and improve AD outcomes. </w:t>
      </w:r>
    </w:p>
    <w:p w14:paraId="159C6B7F" w14:textId="77777777" w:rsidR="00CE693C" w:rsidRPr="00015A39" w:rsidRDefault="00CE693C" w:rsidP="008B1759">
      <w:pPr>
        <w:spacing w:line="360" w:lineRule="auto"/>
        <w:jc w:val="both"/>
        <w:rPr>
          <w:color w:val="000000" w:themeColor="text1"/>
        </w:rPr>
      </w:pPr>
    </w:p>
    <w:p w14:paraId="34D4690E" w14:textId="77777777" w:rsidR="009D2BCC" w:rsidRPr="00015A39" w:rsidRDefault="009D2BCC" w:rsidP="009D2BCC">
      <w:pPr>
        <w:pStyle w:val="Heading1"/>
        <w:rPr>
          <w:color w:val="000000" w:themeColor="text1"/>
          <w:sz w:val="24"/>
          <w:szCs w:val="24"/>
        </w:rPr>
      </w:pPr>
      <w:r w:rsidRPr="00015A39">
        <w:rPr>
          <w:color w:val="000000" w:themeColor="text1"/>
          <w:sz w:val="24"/>
          <w:szCs w:val="24"/>
        </w:rPr>
        <w:t>Declaration</w:t>
      </w:r>
    </w:p>
    <w:p w14:paraId="53CF0977" w14:textId="77777777" w:rsidR="009D2BCC" w:rsidRPr="00015A39" w:rsidRDefault="009D2BCC" w:rsidP="009D2BCC">
      <w:pPr>
        <w:pStyle w:val="Heading1"/>
        <w:numPr>
          <w:ilvl w:val="0"/>
          <w:numId w:val="0"/>
        </w:numPr>
        <w:rPr>
          <w:b w:val="0"/>
          <w:bCs w:val="0"/>
          <w:color w:val="000000" w:themeColor="text1"/>
          <w:sz w:val="24"/>
          <w:szCs w:val="24"/>
        </w:rPr>
      </w:pPr>
      <w:r w:rsidRPr="00015A39">
        <w:rPr>
          <w:b w:val="0"/>
          <w:bCs w:val="0"/>
          <w:color w:val="000000" w:themeColor="text1"/>
          <w:sz w:val="24"/>
          <w:szCs w:val="24"/>
        </w:rPr>
        <w:t xml:space="preserve">This study was conducted in accordance with the principles of the Declaration of Helsinki and Good Clinical Practices, and in compliance with local regulatory requirements. The cross-sectional studies in Singapore were conducted on the National University of Singapore (NUS) campus annually between 2005 and 2019 with the approval of the Institutional Review Board (NUS-IRB Reference Code: NUS-07-023, NUS-09-256, NUS-10-445, NUS-13-075, NUS-14-150, and NUS-18-036) and by the Helsinki declaration. The cross-sectional studies in Malaysia were held in the </w:t>
      </w:r>
      <w:proofErr w:type="spellStart"/>
      <w:r w:rsidRPr="00015A39">
        <w:rPr>
          <w:b w:val="0"/>
          <w:bCs w:val="0"/>
          <w:color w:val="000000" w:themeColor="text1"/>
          <w:sz w:val="24"/>
          <w:szCs w:val="24"/>
        </w:rPr>
        <w:t>Universiti</w:t>
      </w:r>
      <w:proofErr w:type="spellEnd"/>
      <w:r w:rsidRPr="00015A39">
        <w:rPr>
          <w:b w:val="0"/>
          <w:bCs w:val="0"/>
          <w:color w:val="000000" w:themeColor="text1"/>
          <w:sz w:val="24"/>
          <w:szCs w:val="24"/>
        </w:rPr>
        <w:t xml:space="preserve"> </w:t>
      </w:r>
      <w:proofErr w:type="spellStart"/>
      <w:r w:rsidRPr="00015A39">
        <w:rPr>
          <w:b w:val="0"/>
          <w:bCs w:val="0"/>
          <w:color w:val="000000" w:themeColor="text1"/>
          <w:sz w:val="24"/>
          <w:szCs w:val="24"/>
        </w:rPr>
        <w:t>Tunku</w:t>
      </w:r>
      <w:proofErr w:type="spellEnd"/>
      <w:r w:rsidRPr="00015A39">
        <w:rPr>
          <w:b w:val="0"/>
          <w:bCs w:val="0"/>
          <w:color w:val="000000" w:themeColor="text1"/>
          <w:sz w:val="24"/>
          <w:szCs w:val="24"/>
        </w:rPr>
        <w:t xml:space="preserve"> Abdul Rahman (UTAR), and Sunway University. Ethical approval was granted respectively from the Scientific and Ethical Review Committee (SERC) </w:t>
      </w:r>
      <w:r w:rsidRPr="00015A39">
        <w:rPr>
          <w:b w:val="0"/>
          <w:bCs w:val="0"/>
          <w:color w:val="000000" w:themeColor="text1"/>
          <w:sz w:val="24"/>
          <w:szCs w:val="24"/>
        </w:rPr>
        <w:lastRenderedPageBreak/>
        <w:t xml:space="preserve">of UTAR (Ref. code: U/SERC/03/2016) and Sunway University Research Ethics Committee (Ref. code: SUREC 2019/029). Before the data collection, all participants involved signed an informed consent form. Only participants aged 18 years old or above are allowed to participate and those under 21 years old must obtain parental/guardian consent. All identifiable information will never be used in a publication or presentation. At the earliest possible stage, all raw data have been de-identified. Data and samples collected will be studied as a whole and not individually. </w:t>
      </w:r>
    </w:p>
    <w:p w14:paraId="7B0B8E4F" w14:textId="77777777" w:rsidR="00922211" w:rsidRPr="00015A39" w:rsidRDefault="00922211" w:rsidP="0004258D">
      <w:pPr>
        <w:pStyle w:val="Heading1"/>
        <w:rPr>
          <w:color w:val="000000" w:themeColor="text1"/>
          <w:sz w:val="24"/>
          <w:szCs w:val="24"/>
        </w:rPr>
      </w:pPr>
      <w:r w:rsidRPr="00015A39">
        <w:rPr>
          <w:color w:val="000000" w:themeColor="text1"/>
          <w:sz w:val="24"/>
          <w:szCs w:val="24"/>
        </w:rPr>
        <w:t>Acknowledgements</w:t>
      </w:r>
    </w:p>
    <w:p w14:paraId="055F5F6B" w14:textId="77777777" w:rsidR="00922211" w:rsidRPr="00015A39" w:rsidRDefault="00922211" w:rsidP="0004258D">
      <w:pPr>
        <w:spacing w:line="360" w:lineRule="auto"/>
        <w:jc w:val="both"/>
        <w:rPr>
          <w:color w:val="000000" w:themeColor="text1"/>
        </w:rPr>
      </w:pPr>
      <w:r w:rsidRPr="00015A39">
        <w:rPr>
          <w:color w:val="000000" w:themeColor="text1"/>
        </w:rPr>
        <w:t xml:space="preserve">The authors would like to acknowledge and sincerely thank all our participants and their family members for willing to participate in this study. </w:t>
      </w:r>
    </w:p>
    <w:p w14:paraId="00CCBCC3" w14:textId="77777777" w:rsidR="007225F3" w:rsidRPr="00015A39" w:rsidRDefault="007225F3" w:rsidP="007225F3">
      <w:pPr>
        <w:pStyle w:val="Heading1"/>
        <w:rPr>
          <w:color w:val="000000" w:themeColor="text1"/>
          <w:sz w:val="24"/>
          <w:szCs w:val="24"/>
        </w:rPr>
      </w:pPr>
      <w:r w:rsidRPr="00015A39">
        <w:rPr>
          <w:color w:val="000000" w:themeColor="text1"/>
          <w:sz w:val="24"/>
          <w:szCs w:val="24"/>
        </w:rPr>
        <w:t>Funding Disclosure</w:t>
      </w:r>
    </w:p>
    <w:p w14:paraId="7D014601" w14:textId="77777777" w:rsidR="00927419" w:rsidRPr="00015A39" w:rsidRDefault="00927419" w:rsidP="00927419">
      <w:pPr>
        <w:pStyle w:val="NormalWeb"/>
        <w:spacing w:before="0" w:beforeAutospacing="0" w:after="0" w:afterAutospacing="0" w:line="360" w:lineRule="auto"/>
        <w:rPr>
          <w:color w:val="000000" w:themeColor="text1"/>
        </w:rPr>
      </w:pPr>
      <w:r w:rsidRPr="00015A39">
        <w:rPr>
          <w:color w:val="000000" w:themeColor="text1"/>
          <w:bdr w:val="none" w:sz="0" w:space="0" w:color="auto" w:frame="1"/>
        </w:rPr>
        <w:t>F.T.C. received grants from the National University of Singapore (N-154-000-038-001</w:t>
      </w:r>
      <w:r w:rsidRPr="00015A39">
        <w:rPr>
          <w:rStyle w:val="apple-converted-space"/>
          <w:color w:val="000000" w:themeColor="text1"/>
        </w:rPr>
        <w:t> </w:t>
      </w:r>
      <w:r w:rsidRPr="00015A39">
        <w:rPr>
          <w:color w:val="000000" w:themeColor="text1"/>
          <w:bdr w:val="none" w:sz="0" w:space="0" w:color="auto" w:frame="1"/>
        </w:rPr>
        <w:t>(E-154-00-0017-01); C141-000-077-001 (E-141-00-0096-01)), Singapore Ministry of Education Academic Research Fund (R-154-000-191-112; R-154-000-404-112; R-154-000-553-112; R-154-000-565-112; R-154-000-630-112; R-154-000-A08-592; R-154-000-A27-597; R-154-000-A91-592; R-154-000-A95-592; R154-000-B99-114), Biomedical Research Council (BMRC) (Singapore) (BMRC/01/1/21/18/077; BMRC/04/1/21/19/315; BMRC/APG2013/108), Singapore Immunology Network (SIgN-06-006; SIgN-08-020), National Medical Research Council (NMRC) (Singapore) (NMRC/1150/2008; OFIRG20nov-0033;</w:t>
      </w:r>
      <w:r w:rsidRPr="00015A39">
        <w:rPr>
          <w:rStyle w:val="apple-converted-space"/>
          <w:color w:val="000000" w:themeColor="text1"/>
          <w:bdr w:val="none" w:sz="0" w:space="0" w:color="auto" w:frame="1"/>
        </w:rPr>
        <w:t> </w:t>
      </w:r>
      <w:r w:rsidRPr="00015A39">
        <w:rPr>
          <w:color w:val="000000" w:themeColor="text1"/>
          <w:bdr w:val="none" w:sz="0" w:space="0" w:color="auto" w:frame="1"/>
        </w:rPr>
        <w:t>MOH-001636 (OFLCG23may-0038, A-8002641-00-00)), National Research Foundation (NRF) (Singapore) (NRF-MP-2020-0004), Singapore Food Agency (SFA) (SFS_RND_SUFP_001_04; W22W3D0006),</w:t>
      </w:r>
      <w:r w:rsidRPr="00015A39">
        <w:rPr>
          <w:rStyle w:val="apple-converted-space"/>
          <w:color w:val="000000" w:themeColor="text1"/>
          <w:bdr w:val="none" w:sz="0" w:space="0" w:color="auto" w:frame="1"/>
        </w:rPr>
        <w:t> </w:t>
      </w:r>
      <w:r w:rsidRPr="00015A39">
        <w:rPr>
          <w:color w:val="000000" w:themeColor="text1"/>
          <w:bdr w:val="none" w:sz="0" w:space="0" w:color="auto" w:frame="1"/>
        </w:rPr>
        <w:t>Singapore's Economic Development Board (EDB)</w:t>
      </w:r>
      <w:r w:rsidRPr="00015A39">
        <w:rPr>
          <w:color w:val="000000" w:themeColor="text1"/>
        </w:rPr>
        <w:t xml:space="preserve"> </w:t>
      </w:r>
      <w:r w:rsidRPr="00015A39">
        <w:rPr>
          <w:color w:val="000000" w:themeColor="text1"/>
          <w:bdr w:val="none" w:sz="0" w:space="0" w:color="auto" w:frame="1"/>
        </w:rPr>
        <w:t>(A-8002576-00-00),</w:t>
      </w:r>
      <w:r w:rsidRPr="00015A39">
        <w:rPr>
          <w:rStyle w:val="apple-converted-space"/>
          <w:color w:val="000000" w:themeColor="text1"/>
          <w:bdr w:val="none" w:sz="0" w:space="0" w:color="auto" w:frame="1"/>
        </w:rPr>
        <w:t> </w:t>
      </w:r>
      <w:r w:rsidRPr="00015A39">
        <w:rPr>
          <w:color w:val="000000" w:themeColor="text1"/>
          <w:bdr w:val="none" w:sz="0" w:space="0" w:color="auto" w:frame="1"/>
        </w:rPr>
        <w:t>and the Agency for Science Technology and Research (A*STAR) (Singapore) (H17/01/a0/008; and APG2013/108). The funding agencies had no role in the study design, data collection and analysis, decision to publish, or preparation of the manuscript.</w:t>
      </w:r>
    </w:p>
    <w:p w14:paraId="145D984F" w14:textId="77777777" w:rsidR="00DA0A46" w:rsidRPr="00015A39" w:rsidRDefault="00DA0A46" w:rsidP="00DA0A46">
      <w:pPr>
        <w:pStyle w:val="Heading1"/>
        <w:rPr>
          <w:color w:val="000000" w:themeColor="text1"/>
          <w:sz w:val="24"/>
          <w:szCs w:val="24"/>
        </w:rPr>
      </w:pPr>
      <w:r w:rsidRPr="00015A39">
        <w:rPr>
          <w:color w:val="000000" w:themeColor="text1"/>
          <w:sz w:val="24"/>
          <w:szCs w:val="24"/>
        </w:rPr>
        <w:t>Conflict of Interests</w:t>
      </w:r>
    </w:p>
    <w:p w14:paraId="001FF982" w14:textId="3046DC7F" w:rsidR="00DA0A46" w:rsidRPr="00015A39" w:rsidRDefault="00FE63DB" w:rsidP="00552691">
      <w:pPr>
        <w:spacing w:line="360" w:lineRule="auto"/>
        <w:jc w:val="both"/>
        <w:rPr>
          <w:color w:val="000000" w:themeColor="text1"/>
        </w:rPr>
      </w:pPr>
      <w:r w:rsidRPr="00015A39">
        <w:rPr>
          <w:color w:val="000000" w:themeColor="text1"/>
        </w:rPr>
        <w:t xml:space="preserve">F.T.C reports grants from the National University of Singapore, Singapore Ministry of Education Academic Research Fund, Singapore Immunology Network, National Medical Research Council (NMRC) (Singapore), Biomedical Research Council (BMRC) (Singapore), National Research Foundation (NRF) (Singapore), Singapore Food Agency (SFA), Singapore’s Economic Development Board (EDB), and the Agency for Science Technology and Research (A*STAR) (Singapore),  during the conduct of the study; and </w:t>
      </w:r>
      <w:r w:rsidRPr="00015A39">
        <w:rPr>
          <w:color w:val="000000" w:themeColor="text1"/>
        </w:rPr>
        <w:lastRenderedPageBreak/>
        <w:t>consulting fees from Sime Darby Technology Centre; First Resources Ltd; Genting Plantation, Olam International, Musim Mas, and Syngenta Crop Protection, outside the submitted work. The other authors declare no other competing interests. This research is supported by the National Research Foundation Singapore under its Open Fund-Large Collaborative Grant (MOH-001636) (A-8002641-00-00) and administered by the Singapore Ministry of Health’s National Medical Research Council.</w:t>
      </w:r>
      <w:r w:rsidR="00552691" w:rsidRPr="00015A39">
        <w:rPr>
          <w:color w:val="000000" w:themeColor="text1"/>
        </w:rPr>
        <w:t xml:space="preserve"> </w:t>
      </w:r>
      <w:r w:rsidR="00DA0A46" w:rsidRPr="00015A39">
        <w:rPr>
          <w:color w:val="000000" w:themeColor="text1"/>
          <w:bdr w:val="none" w:sz="0" w:space="0" w:color="auto" w:frame="1"/>
        </w:rPr>
        <w:t>The other authors declare no other competing interests.</w:t>
      </w:r>
    </w:p>
    <w:p w14:paraId="12AAEA91" w14:textId="77777777" w:rsidR="003124F0" w:rsidRPr="00015A39" w:rsidRDefault="003124F0" w:rsidP="0004258D">
      <w:pPr>
        <w:pStyle w:val="Heading1"/>
        <w:rPr>
          <w:color w:val="000000" w:themeColor="text1"/>
          <w:sz w:val="24"/>
          <w:szCs w:val="24"/>
        </w:rPr>
      </w:pPr>
      <w:r w:rsidRPr="00015A39">
        <w:rPr>
          <w:color w:val="000000" w:themeColor="text1"/>
          <w:sz w:val="24"/>
          <w:szCs w:val="24"/>
        </w:rPr>
        <w:t>Authors Contributions</w:t>
      </w:r>
    </w:p>
    <w:p w14:paraId="41F57E63" w14:textId="015B732A" w:rsidR="003124F0" w:rsidRPr="00015A39" w:rsidRDefault="003124F0" w:rsidP="0004258D">
      <w:pPr>
        <w:spacing w:line="360" w:lineRule="auto"/>
        <w:jc w:val="both"/>
        <w:rPr>
          <w:color w:val="000000" w:themeColor="text1"/>
        </w:rPr>
      </w:pPr>
      <w:r w:rsidRPr="00015A39">
        <w:rPr>
          <w:color w:val="000000" w:themeColor="text1"/>
        </w:rPr>
        <w:t>F.T.C.: Conceptualization and supervision of current research study. J.J.L.: Literature review, data analysis, and writing of manuscript. J.J.L., K.R., Y.H.S</w:t>
      </w:r>
      <w:r w:rsidR="00AB40E7" w:rsidRPr="00015A39">
        <w:rPr>
          <w:color w:val="000000" w:themeColor="text1"/>
        </w:rPr>
        <w:t>, and M.H.L.</w:t>
      </w:r>
      <w:r w:rsidRPr="00015A39">
        <w:rPr>
          <w:color w:val="000000" w:themeColor="text1"/>
        </w:rPr>
        <w:t xml:space="preserve">: Recruitment of participants and data collation. All authors read and approved the final manuscript. All authors report no conflicts of interest. </w:t>
      </w:r>
    </w:p>
    <w:p w14:paraId="1ADF2676" w14:textId="77777777" w:rsidR="00D76B63" w:rsidRPr="00015A39" w:rsidRDefault="00D76B63" w:rsidP="00D76B63">
      <w:pPr>
        <w:pStyle w:val="Heading1"/>
        <w:rPr>
          <w:color w:val="000000" w:themeColor="text1"/>
          <w:sz w:val="24"/>
          <w:szCs w:val="24"/>
        </w:rPr>
      </w:pPr>
      <w:r w:rsidRPr="00015A39">
        <w:rPr>
          <w:color w:val="000000" w:themeColor="text1"/>
          <w:sz w:val="24"/>
          <w:szCs w:val="24"/>
        </w:rPr>
        <w:t>Consent for Publication</w:t>
      </w:r>
    </w:p>
    <w:p w14:paraId="4B63E374" w14:textId="298CAF19" w:rsidR="00D76B63" w:rsidRPr="00015A39" w:rsidRDefault="00D76B63" w:rsidP="0004258D">
      <w:pPr>
        <w:spacing w:line="360" w:lineRule="auto"/>
        <w:jc w:val="both"/>
        <w:rPr>
          <w:color w:val="000000" w:themeColor="text1"/>
        </w:rPr>
      </w:pPr>
      <w:r w:rsidRPr="00015A39">
        <w:rPr>
          <w:color w:val="000000" w:themeColor="text1"/>
        </w:rPr>
        <w:t xml:space="preserve">All authors have read and consented to publication of this manuscript. </w:t>
      </w:r>
    </w:p>
    <w:p w14:paraId="673C4F7B" w14:textId="77777777" w:rsidR="000244AE" w:rsidRPr="00015A39" w:rsidRDefault="000244AE" w:rsidP="000244AE">
      <w:pPr>
        <w:pStyle w:val="Heading1"/>
        <w:rPr>
          <w:color w:val="000000" w:themeColor="text1"/>
          <w:sz w:val="24"/>
          <w:szCs w:val="24"/>
        </w:rPr>
      </w:pPr>
      <w:r w:rsidRPr="00015A39">
        <w:rPr>
          <w:color w:val="000000" w:themeColor="text1"/>
          <w:sz w:val="24"/>
          <w:szCs w:val="24"/>
        </w:rPr>
        <w:t>Availability of Data and Materials</w:t>
      </w:r>
    </w:p>
    <w:p w14:paraId="39137A3F" w14:textId="4BD0FAF8" w:rsidR="00593B7C" w:rsidRPr="00015A39" w:rsidRDefault="000244AE" w:rsidP="0004258D">
      <w:pPr>
        <w:spacing w:line="360" w:lineRule="auto"/>
        <w:jc w:val="both"/>
        <w:rPr>
          <w:color w:val="000000" w:themeColor="text1"/>
        </w:rPr>
      </w:pPr>
      <w:r w:rsidRPr="00015A39">
        <w:rPr>
          <w:color w:val="000000" w:themeColor="text1"/>
        </w:rPr>
        <w:t>All data used and included in this study are available from the corresponding author (F.T.C.).</w:t>
      </w:r>
    </w:p>
    <w:p w14:paraId="24248419" w14:textId="77777777" w:rsidR="00655085" w:rsidRPr="00015A39" w:rsidRDefault="00655085" w:rsidP="0004258D">
      <w:pPr>
        <w:pStyle w:val="Heading1"/>
        <w:rPr>
          <w:color w:val="000000" w:themeColor="text1"/>
          <w:sz w:val="24"/>
          <w:szCs w:val="24"/>
        </w:rPr>
      </w:pPr>
      <w:r w:rsidRPr="00015A39">
        <w:rPr>
          <w:color w:val="000000" w:themeColor="text1"/>
          <w:sz w:val="24"/>
          <w:szCs w:val="24"/>
        </w:rPr>
        <w:t>References</w:t>
      </w:r>
    </w:p>
    <w:p w14:paraId="688ED4B2"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proofErr w:type="spellStart"/>
      <w:r w:rsidRPr="00015A39">
        <w:rPr>
          <w:rFonts w:cs="Times New Roman"/>
          <w:color w:val="000000" w:themeColor="text1"/>
          <w:sz w:val="24"/>
          <w:szCs w:val="24"/>
          <w:shd w:val="clear" w:color="auto" w:fill="FFFFFF"/>
        </w:rPr>
        <w:t>Sacotte</w:t>
      </w:r>
      <w:proofErr w:type="spellEnd"/>
      <w:r w:rsidRPr="00015A39">
        <w:rPr>
          <w:rFonts w:cs="Times New Roman"/>
          <w:color w:val="000000" w:themeColor="text1"/>
          <w:sz w:val="24"/>
          <w:szCs w:val="24"/>
          <w:shd w:val="clear" w:color="auto" w:fill="FFFFFF"/>
        </w:rPr>
        <w:t xml:space="preserve"> R, Silverberg JI. Epidemiology of adult atopic dermatitis.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Clin Dermatol</w:t>
      </w:r>
      <w:r w:rsidRPr="00015A39">
        <w:rPr>
          <w:rFonts w:cs="Times New Roman"/>
          <w:color w:val="000000" w:themeColor="text1"/>
          <w:sz w:val="24"/>
          <w:szCs w:val="24"/>
          <w:shd w:val="clear" w:color="auto" w:fill="FFFFFF"/>
        </w:rPr>
        <w:t>. 2018;36(5):595-605. doi:10.1016/j.clindermatol.2018.05.007</w:t>
      </w:r>
    </w:p>
    <w:p w14:paraId="4A829C7C"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rPr>
        <w:t xml:space="preserve">Faye O, Flohr C, </w:t>
      </w:r>
      <w:proofErr w:type="spellStart"/>
      <w:r w:rsidRPr="00015A39">
        <w:rPr>
          <w:rFonts w:eastAsia="Times New Roman" w:cs="Times New Roman"/>
          <w:color w:val="000000" w:themeColor="text1"/>
          <w:sz w:val="24"/>
          <w:szCs w:val="24"/>
        </w:rPr>
        <w:t>Kabashima</w:t>
      </w:r>
      <w:proofErr w:type="spellEnd"/>
      <w:r w:rsidRPr="00015A39">
        <w:rPr>
          <w:rFonts w:eastAsia="Times New Roman" w:cs="Times New Roman"/>
          <w:color w:val="000000" w:themeColor="text1"/>
          <w:sz w:val="24"/>
          <w:szCs w:val="24"/>
        </w:rPr>
        <w:t xml:space="preserve"> K, et al. Atopic dermatitis: A global health perspective. </w:t>
      </w:r>
      <w:r w:rsidRPr="00015A39">
        <w:rPr>
          <w:rFonts w:eastAsia="Times New Roman" w:cs="Times New Roman"/>
          <w:i/>
          <w:iCs/>
          <w:color w:val="000000" w:themeColor="text1"/>
          <w:sz w:val="24"/>
          <w:szCs w:val="24"/>
        </w:rPr>
        <w:t xml:space="preserve">J </w:t>
      </w:r>
      <w:proofErr w:type="spellStart"/>
      <w:r w:rsidRPr="00015A39">
        <w:rPr>
          <w:rFonts w:eastAsia="Times New Roman" w:cs="Times New Roman"/>
          <w:i/>
          <w:iCs/>
          <w:color w:val="000000" w:themeColor="text1"/>
          <w:sz w:val="24"/>
          <w:szCs w:val="24"/>
        </w:rPr>
        <w:t>Eur</w:t>
      </w:r>
      <w:proofErr w:type="spellEnd"/>
      <w:r w:rsidRPr="00015A39">
        <w:rPr>
          <w:rFonts w:eastAsia="Times New Roman" w:cs="Times New Roman"/>
          <w:i/>
          <w:iCs/>
          <w:color w:val="000000" w:themeColor="text1"/>
          <w:sz w:val="24"/>
          <w:szCs w:val="24"/>
        </w:rPr>
        <w:t xml:space="preserve"> </w:t>
      </w:r>
      <w:proofErr w:type="spellStart"/>
      <w:r w:rsidRPr="00015A39">
        <w:rPr>
          <w:rFonts w:eastAsia="Times New Roman" w:cs="Times New Roman"/>
          <w:i/>
          <w:iCs/>
          <w:color w:val="000000" w:themeColor="text1"/>
          <w:sz w:val="24"/>
          <w:szCs w:val="24"/>
        </w:rPr>
        <w:t>Acad</w:t>
      </w:r>
      <w:proofErr w:type="spellEnd"/>
      <w:r w:rsidRPr="00015A39">
        <w:rPr>
          <w:rFonts w:eastAsia="Times New Roman" w:cs="Times New Roman"/>
          <w:i/>
          <w:iCs/>
          <w:color w:val="000000" w:themeColor="text1"/>
          <w:sz w:val="24"/>
          <w:szCs w:val="24"/>
        </w:rPr>
        <w:t xml:space="preserve"> Dermatol </w:t>
      </w:r>
      <w:proofErr w:type="spellStart"/>
      <w:r w:rsidRPr="00015A39">
        <w:rPr>
          <w:rFonts w:eastAsia="Times New Roman" w:cs="Times New Roman"/>
          <w:i/>
          <w:iCs/>
          <w:color w:val="000000" w:themeColor="text1"/>
          <w:sz w:val="24"/>
          <w:szCs w:val="24"/>
        </w:rPr>
        <w:t>Venereol</w:t>
      </w:r>
      <w:proofErr w:type="spellEnd"/>
      <w:r w:rsidRPr="00015A39">
        <w:rPr>
          <w:rFonts w:eastAsia="Times New Roman" w:cs="Times New Roman"/>
          <w:color w:val="000000" w:themeColor="text1"/>
          <w:sz w:val="24"/>
          <w:szCs w:val="24"/>
        </w:rPr>
        <w:t>. 2024;38(5):801-811. doi:10.1111/jdv.19723</w:t>
      </w:r>
    </w:p>
    <w:p w14:paraId="0FBA2980" w14:textId="77777777" w:rsidR="009E29C6" w:rsidRPr="00015A39" w:rsidRDefault="009E29C6" w:rsidP="009E29C6">
      <w:pPr>
        <w:pStyle w:val="ListParagraph"/>
        <w:numPr>
          <w:ilvl w:val="0"/>
          <w:numId w:val="3"/>
        </w:numPr>
        <w:spacing w:after="0"/>
        <w:contextualSpacing w:val="0"/>
        <w:rPr>
          <w:rFonts w:cs="Times New Roman"/>
          <w:color w:val="000000" w:themeColor="text1"/>
          <w:sz w:val="24"/>
          <w:szCs w:val="24"/>
        </w:rPr>
      </w:pPr>
      <w:r w:rsidRPr="00015A39">
        <w:rPr>
          <w:rFonts w:cs="Times New Roman"/>
          <w:color w:val="000000" w:themeColor="text1"/>
          <w:sz w:val="24"/>
          <w:szCs w:val="24"/>
          <w:shd w:val="clear" w:color="auto" w:fill="FFFFFF"/>
        </w:rPr>
        <w:t>Lim JJ, Lim YYE, Ng JY, et al. An update on the prevalence, chronicity, and severity of atopic dermatitis and the associated epidemiological risk factors in the Singapore/Malaysia Chinese young adult population: A detailed description of the Singapore/Malaysia Cross-Sectional Genetics Epidemiology Study (SMCGES) cohort.</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World Allergy Organ J</w:t>
      </w:r>
      <w:r w:rsidRPr="00015A39">
        <w:rPr>
          <w:rFonts w:cs="Times New Roman"/>
          <w:color w:val="000000" w:themeColor="text1"/>
          <w:sz w:val="24"/>
          <w:szCs w:val="24"/>
          <w:shd w:val="clear" w:color="auto" w:fill="FFFFFF"/>
        </w:rPr>
        <w:t>. 2022;15(12):100722. Published 2022 Nov 18. doi:10.1016/j.waojou.2022.100722</w:t>
      </w:r>
    </w:p>
    <w:p w14:paraId="73D6CEEA"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Luger T, Amagai M, </w:t>
      </w:r>
      <w:proofErr w:type="spellStart"/>
      <w:r w:rsidRPr="00015A39">
        <w:rPr>
          <w:rFonts w:cs="Times New Roman"/>
          <w:color w:val="000000" w:themeColor="text1"/>
          <w:sz w:val="24"/>
          <w:szCs w:val="24"/>
          <w:shd w:val="clear" w:color="auto" w:fill="FFFFFF"/>
        </w:rPr>
        <w:t>Dreno</w:t>
      </w:r>
      <w:proofErr w:type="spellEnd"/>
      <w:r w:rsidRPr="00015A39">
        <w:rPr>
          <w:rFonts w:cs="Times New Roman"/>
          <w:color w:val="000000" w:themeColor="text1"/>
          <w:sz w:val="24"/>
          <w:szCs w:val="24"/>
          <w:shd w:val="clear" w:color="auto" w:fill="FFFFFF"/>
        </w:rPr>
        <w:t xml:space="preserve"> B, et al. Atopic dermatitis: Role of the skin barrier, environment, microbiome, and therapeutic agents.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J Dermatol Sci</w:t>
      </w:r>
      <w:r w:rsidRPr="00015A39">
        <w:rPr>
          <w:rFonts w:cs="Times New Roman"/>
          <w:color w:val="000000" w:themeColor="text1"/>
          <w:sz w:val="24"/>
          <w:szCs w:val="24"/>
          <w:shd w:val="clear" w:color="auto" w:fill="FFFFFF"/>
        </w:rPr>
        <w:t>. 2021;102(3):142-157. doi:10.1016/j.jdermsci.2021.04.007</w:t>
      </w:r>
    </w:p>
    <w:p w14:paraId="12CCE8C9"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Kantor R, Kim A, Thyssen JP, Silverberg JI. Association of atopic dermatitis with smoking: A systematic review and meta-analysis.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 xml:space="preserve">J Am </w:t>
      </w:r>
      <w:proofErr w:type="spellStart"/>
      <w:r w:rsidRPr="00015A39">
        <w:rPr>
          <w:rFonts w:cs="Times New Roman"/>
          <w:i/>
          <w:iCs/>
          <w:color w:val="000000" w:themeColor="text1"/>
          <w:sz w:val="24"/>
          <w:szCs w:val="24"/>
        </w:rPr>
        <w:t>Acad</w:t>
      </w:r>
      <w:proofErr w:type="spellEnd"/>
      <w:r w:rsidRPr="00015A39">
        <w:rPr>
          <w:rFonts w:cs="Times New Roman"/>
          <w:i/>
          <w:iCs/>
          <w:color w:val="000000" w:themeColor="text1"/>
          <w:sz w:val="24"/>
          <w:szCs w:val="24"/>
        </w:rPr>
        <w:t xml:space="preserve"> Dermatol</w:t>
      </w:r>
      <w:r w:rsidRPr="00015A39">
        <w:rPr>
          <w:rFonts w:cs="Times New Roman"/>
          <w:color w:val="000000" w:themeColor="text1"/>
          <w:sz w:val="24"/>
          <w:szCs w:val="24"/>
          <w:shd w:val="clear" w:color="auto" w:fill="FFFFFF"/>
        </w:rPr>
        <w:t>. 2016;75(6):1119-1125.e1. doi:10.1016/j.jaad.2016.07.017</w:t>
      </w:r>
    </w:p>
    <w:p w14:paraId="5A0B3192"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lastRenderedPageBreak/>
        <w:t>Halling-Overgaard AS, Hamann CR, Holm RP, et al. Atopic dermatitis and alcohol use - a meta-analysis and systematic review.</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 xml:space="preserve">J </w:t>
      </w:r>
      <w:proofErr w:type="spellStart"/>
      <w:r w:rsidRPr="00015A39">
        <w:rPr>
          <w:rFonts w:cs="Times New Roman"/>
          <w:i/>
          <w:iCs/>
          <w:color w:val="000000" w:themeColor="text1"/>
          <w:sz w:val="24"/>
          <w:szCs w:val="24"/>
        </w:rPr>
        <w:t>Eur</w:t>
      </w:r>
      <w:proofErr w:type="spellEnd"/>
      <w:r w:rsidRPr="00015A39">
        <w:rPr>
          <w:rFonts w:cs="Times New Roman"/>
          <w:i/>
          <w:iCs/>
          <w:color w:val="000000" w:themeColor="text1"/>
          <w:sz w:val="24"/>
          <w:szCs w:val="24"/>
        </w:rPr>
        <w:t xml:space="preserve"> </w:t>
      </w:r>
      <w:proofErr w:type="spellStart"/>
      <w:r w:rsidRPr="00015A39">
        <w:rPr>
          <w:rFonts w:cs="Times New Roman"/>
          <w:i/>
          <w:iCs/>
          <w:color w:val="000000" w:themeColor="text1"/>
          <w:sz w:val="24"/>
          <w:szCs w:val="24"/>
        </w:rPr>
        <w:t>Acad</w:t>
      </w:r>
      <w:proofErr w:type="spellEnd"/>
      <w:r w:rsidRPr="00015A39">
        <w:rPr>
          <w:rFonts w:cs="Times New Roman"/>
          <w:i/>
          <w:iCs/>
          <w:color w:val="000000" w:themeColor="text1"/>
          <w:sz w:val="24"/>
          <w:szCs w:val="24"/>
        </w:rPr>
        <w:t xml:space="preserve"> Dermatol </w:t>
      </w:r>
      <w:proofErr w:type="spellStart"/>
      <w:r w:rsidRPr="00015A39">
        <w:rPr>
          <w:rFonts w:cs="Times New Roman"/>
          <w:i/>
          <w:iCs/>
          <w:color w:val="000000" w:themeColor="text1"/>
          <w:sz w:val="24"/>
          <w:szCs w:val="24"/>
        </w:rPr>
        <w:t>Venereol</w:t>
      </w:r>
      <w:proofErr w:type="spellEnd"/>
      <w:r w:rsidRPr="00015A39">
        <w:rPr>
          <w:rFonts w:cs="Times New Roman"/>
          <w:color w:val="000000" w:themeColor="text1"/>
          <w:sz w:val="24"/>
          <w:szCs w:val="24"/>
          <w:shd w:val="clear" w:color="auto" w:fill="FFFFFF"/>
        </w:rPr>
        <w:t>. 2018;32(8):1238-1245. doi:10.1111/jdv.14814</w:t>
      </w:r>
    </w:p>
    <w:p w14:paraId="7A79A3F9"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Silverberg NB, Lee-Wong M, </w:t>
      </w:r>
      <w:proofErr w:type="spellStart"/>
      <w:r w:rsidRPr="00015A39">
        <w:rPr>
          <w:rFonts w:cs="Times New Roman"/>
          <w:color w:val="000000" w:themeColor="text1"/>
          <w:sz w:val="24"/>
          <w:szCs w:val="24"/>
          <w:shd w:val="clear" w:color="auto" w:fill="FFFFFF"/>
        </w:rPr>
        <w:t>Yosipovitch</w:t>
      </w:r>
      <w:proofErr w:type="spellEnd"/>
      <w:r w:rsidRPr="00015A39">
        <w:rPr>
          <w:rFonts w:cs="Times New Roman"/>
          <w:color w:val="000000" w:themeColor="text1"/>
          <w:sz w:val="24"/>
          <w:szCs w:val="24"/>
          <w:shd w:val="clear" w:color="auto" w:fill="FFFFFF"/>
        </w:rPr>
        <w:t xml:space="preserve"> G. Diet and atopic dermatitis.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Cutis</w:t>
      </w:r>
      <w:r w:rsidRPr="00015A39">
        <w:rPr>
          <w:rFonts w:cs="Times New Roman"/>
          <w:color w:val="000000" w:themeColor="text1"/>
          <w:sz w:val="24"/>
          <w:szCs w:val="24"/>
          <w:shd w:val="clear" w:color="auto" w:fill="FFFFFF"/>
        </w:rPr>
        <w:t>. 2016;97(3):227-232.</w:t>
      </w:r>
    </w:p>
    <w:p w14:paraId="279483EA"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rPr>
        <w:t>Lim JJ, Lim YYE, Ng JY, et al. Burgers, Fast Foods, and Increased Associated Risk for Atopic Dermatitis: A Cross-Sectional Study of Dietary Habits among Young Chinese Adults in Singapore/Malaysia. </w:t>
      </w:r>
      <w:r w:rsidRPr="00015A39">
        <w:rPr>
          <w:rFonts w:eastAsia="Times New Roman" w:cs="Times New Roman"/>
          <w:i/>
          <w:iCs/>
          <w:color w:val="000000" w:themeColor="text1"/>
          <w:sz w:val="24"/>
          <w:szCs w:val="24"/>
        </w:rPr>
        <w:t>Dermatology</w:t>
      </w:r>
      <w:r w:rsidRPr="00015A39">
        <w:rPr>
          <w:rFonts w:eastAsia="Times New Roman" w:cs="Times New Roman"/>
          <w:color w:val="000000" w:themeColor="text1"/>
          <w:sz w:val="24"/>
          <w:szCs w:val="24"/>
        </w:rPr>
        <w:t>. 2024;240(1):77-84. doi:10.1159/000533942</w:t>
      </w:r>
    </w:p>
    <w:p w14:paraId="0795769D"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rPr>
        <w:t>Lim JJ, Reginald K, Say YH, Liu MH, Chew FT. Dietary Protein Intake and Associated Risks for Atopic Dermatitis, Intrinsic Eczema, and Allergic Sensitization among Young Chinese Adults in Singapore/Malaysia: Key Findings from a Cross-sectional Study. </w:t>
      </w:r>
      <w:r w:rsidRPr="00015A39">
        <w:rPr>
          <w:rFonts w:eastAsia="Times New Roman" w:cs="Times New Roman"/>
          <w:i/>
          <w:iCs/>
          <w:color w:val="000000" w:themeColor="text1"/>
          <w:sz w:val="24"/>
          <w:szCs w:val="24"/>
        </w:rPr>
        <w:t>JID Innov</w:t>
      </w:r>
      <w:r w:rsidRPr="00015A39">
        <w:rPr>
          <w:rFonts w:eastAsia="Times New Roman" w:cs="Times New Roman"/>
          <w:color w:val="000000" w:themeColor="text1"/>
          <w:sz w:val="24"/>
          <w:szCs w:val="24"/>
        </w:rPr>
        <w:t>. 2023;3(6):100224. Published 2023 Aug 21. doi:10.1016/j.xjidi.2023.100224</w:t>
      </w:r>
    </w:p>
    <w:p w14:paraId="0BF406E8"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shd w:val="clear" w:color="auto" w:fill="FFFFFF"/>
        </w:rPr>
        <w:t>Pingali, P., 2007. Westernization of Asian diets and the transformation of food systems: Implications for research and policy. Food Policy 32, 281–298. doi:10.1016/j.foodpol.2006.08.001</w:t>
      </w:r>
    </w:p>
    <w:p w14:paraId="2BB9A9A8"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shd w:val="clear" w:color="auto" w:fill="FFFFFF"/>
        </w:rPr>
        <w:t>Drewnowski A, Popkin BM. The nutrition transition: new trends in the global diet. </w:t>
      </w:r>
      <w:proofErr w:type="spellStart"/>
      <w:r w:rsidRPr="00015A39">
        <w:rPr>
          <w:rFonts w:eastAsia="Times New Roman" w:cs="Times New Roman"/>
          <w:i/>
          <w:iCs/>
          <w:color w:val="000000" w:themeColor="text1"/>
          <w:sz w:val="24"/>
          <w:szCs w:val="24"/>
        </w:rPr>
        <w:t>Nutr</w:t>
      </w:r>
      <w:proofErr w:type="spellEnd"/>
      <w:r w:rsidRPr="00015A39">
        <w:rPr>
          <w:rFonts w:eastAsia="Times New Roman" w:cs="Times New Roman"/>
          <w:i/>
          <w:iCs/>
          <w:color w:val="000000" w:themeColor="text1"/>
          <w:sz w:val="24"/>
          <w:szCs w:val="24"/>
        </w:rPr>
        <w:t xml:space="preserve"> Rev</w:t>
      </w:r>
      <w:r w:rsidRPr="00015A39">
        <w:rPr>
          <w:rFonts w:eastAsia="Times New Roman" w:cs="Times New Roman"/>
          <w:color w:val="000000" w:themeColor="text1"/>
          <w:sz w:val="24"/>
          <w:szCs w:val="24"/>
          <w:shd w:val="clear" w:color="auto" w:fill="FFFFFF"/>
        </w:rPr>
        <w:t>. 1997;55(2):31-43. doi:10.1111/j.1753-4887.1997.tb01593.x</w:t>
      </w:r>
    </w:p>
    <w:p w14:paraId="0CAE4E6D"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Venter C, Meyer RW, </w:t>
      </w:r>
      <w:proofErr w:type="spellStart"/>
      <w:r w:rsidRPr="00015A39">
        <w:rPr>
          <w:rFonts w:cs="Times New Roman"/>
          <w:color w:val="000000" w:themeColor="text1"/>
          <w:sz w:val="24"/>
          <w:szCs w:val="24"/>
          <w:shd w:val="clear" w:color="auto" w:fill="FFFFFF"/>
        </w:rPr>
        <w:t>Nwaru</w:t>
      </w:r>
      <w:proofErr w:type="spellEnd"/>
      <w:r w:rsidRPr="00015A39">
        <w:rPr>
          <w:rFonts w:cs="Times New Roman"/>
          <w:color w:val="000000" w:themeColor="text1"/>
          <w:sz w:val="24"/>
          <w:szCs w:val="24"/>
          <w:shd w:val="clear" w:color="auto" w:fill="FFFFFF"/>
        </w:rPr>
        <w:t xml:space="preserve"> BI, et al. EAACI position paper: Influence of dietary fatty acids on asthma, food allergy, and atopic dermatitis.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Allergy</w:t>
      </w:r>
      <w:r w:rsidRPr="00015A39">
        <w:rPr>
          <w:rFonts w:cs="Times New Roman"/>
          <w:color w:val="000000" w:themeColor="text1"/>
          <w:sz w:val="24"/>
          <w:szCs w:val="24"/>
          <w:shd w:val="clear" w:color="auto" w:fill="FFFFFF"/>
        </w:rPr>
        <w:t>. 2019;74(8):1429-1444. doi:10.1111/all.13764</w:t>
      </w:r>
    </w:p>
    <w:p w14:paraId="16036E83"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i/>
          <w:iCs/>
          <w:color w:val="000000" w:themeColor="text1"/>
          <w:sz w:val="24"/>
          <w:szCs w:val="24"/>
        </w:rPr>
        <w:t>Total Fat Intake for the Prevention of Unhealthy Weight Gain in Adults and Children: WHO Guideline</w:t>
      </w:r>
      <w:r w:rsidRPr="00015A39">
        <w:rPr>
          <w:rFonts w:cs="Times New Roman"/>
          <w:color w:val="000000" w:themeColor="text1"/>
          <w:sz w:val="24"/>
          <w:szCs w:val="24"/>
          <w:shd w:val="clear" w:color="auto" w:fill="FFFFFF"/>
        </w:rPr>
        <w:t>. Geneva: World Health Organization; 2023.</w:t>
      </w:r>
    </w:p>
    <w:p w14:paraId="1CB352EF"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Ellwood P, Asher MI, García-Marcos L, et al. Do fast foods cause asthma, </w:t>
      </w:r>
      <w:proofErr w:type="spellStart"/>
      <w:r w:rsidRPr="00015A39">
        <w:rPr>
          <w:rFonts w:cs="Times New Roman"/>
          <w:color w:val="000000" w:themeColor="text1"/>
          <w:sz w:val="24"/>
          <w:szCs w:val="24"/>
          <w:shd w:val="clear" w:color="auto" w:fill="FFFFFF"/>
        </w:rPr>
        <w:t>rhinoconjunctivitis</w:t>
      </w:r>
      <w:proofErr w:type="spellEnd"/>
      <w:r w:rsidRPr="00015A39">
        <w:rPr>
          <w:rFonts w:cs="Times New Roman"/>
          <w:color w:val="000000" w:themeColor="text1"/>
          <w:sz w:val="24"/>
          <w:szCs w:val="24"/>
          <w:shd w:val="clear" w:color="auto" w:fill="FFFFFF"/>
        </w:rPr>
        <w:t xml:space="preserve"> and eczema? Global findings from the International Study of Asthma and Allergies in Childhood (ISAAC) phase three.</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Thorax</w:t>
      </w:r>
      <w:r w:rsidRPr="00015A39">
        <w:rPr>
          <w:rFonts w:cs="Times New Roman"/>
          <w:color w:val="000000" w:themeColor="text1"/>
          <w:sz w:val="24"/>
          <w:szCs w:val="24"/>
          <w:shd w:val="clear" w:color="auto" w:fill="FFFFFF"/>
        </w:rPr>
        <w:t>. 2013;68(4):351-360. doi:10.1136/thoraxjnl-2012-202285</w:t>
      </w:r>
    </w:p>
    <w:p w14:paraId="26816F45"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Lim JJ, Reginald K, Say YH, Liu MH, Chew FT. A dietary pattern of frequent plant-based foods intake reduced the associated risks for atopic dermatitis exacerbation: Insights from the Singapore/Malaysia cross-sectional genetics epidemiology cohort.</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BMC Public Health</w:t>
      </w:r>
      <w:r w:rsidRPr="00015A39">
        <w:rPr>
          <w:rFonts w:cs="Times New Roman"/>
          <w:color w:val="000000" w:themeColor="text1"/>
          <w:sz w:val="24"/>
          <w:szCs w:val="24"/>
          <w:shd w:val="clear" w:color="auto" w:fill="FFFFFF"/>
        </w:rPr>
        <w:t>. 2023;23(1):1818. Published 2023 Sep 19. doi:10.1186/s12889-023-16736-y</w:t>
      </w:r>
    </w:p>
    <w:p w14:paraId="4E9678BE"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lastRenderedPageBreak/>
        <w:t>Lim JJ, Lim SW, Reginald K, Say YH, Liu MH, Chew FT. Association of frequent intake of trans fatty acids and saturated fatty acids in diets with increased susceptibility of atopic dermatitis exacerbation in young Chinese adults: A cross-sectional study in Singapore/Malaysia.</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Skin Health Dis</w:t>
      </w:r>
      <w:r w:rsidRPr="00015A39">
        <w:rPr>
          <w:rFonts w:cs="Times New Roman"/>
          <w:color w:val="000000" w:themeColor="text1"/>
          <w:sz w:val="24"/>
          <w:szCs w:val="24"/>
          <w:shd w:val="clear" w:color="auto" w:fill="FFFFFF"/>
        </w:rPr>
        <w:t>. 2024;4(4):e330. Published 2024 Jun 26. doi:10.1002/ski2.330</w:t>
      </w:r>
    </w:p>
    <w:p w14:paraId="7DA2E038"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Lim JJ, Reginald K, Say YH, Liu MH, Chew FT. Frequent intake of high </w:t>
      </w:r>
      <w:proofErr w:type="spellStart"/>
      <w:r w:rsidRPr="00015A39">
        <w:rPr>
          <w:rFonts w:cs="Times New Roman"/>
          <w:color w:val="000000" w:themeColor="text1"/>
          <w:sz w:val="24"/>
          <w:szCs w:val="24"/>
          <w:shd w:val="clear" w:color="auto" w:fill="FFFFFF"/>
        </w:rPr>
        <w:t>fiber</w:t>
      </w:r>
      <w:proofErr w:type="spellEnd"/>
      <w:r w:rsidRPr="00015A39">
        <w:rPr>
          <w:rFonts w:cs="Times New Roman"/>
          <w:color w:val="000000" w:themeColor="text1"/>
          <w:sz w:val="24"/>
          <w:szCs w:val="24"/>
          <w:shd w:val="clear" w:color="auto" w:fill="FFFFFF"/>
        </w:rPr>
        <w:t xml:space="preserve"> and probiotic diets lowers risks associated with atopic dermatitis and house dust mite allergy: a cross-sequential study of young Chinese adults from Singapore and Malaysia.</w:t>
      </w:r>
      <w:r w:rsidRPr="00015A39">
        <w:rPr>
          <w:rStyle w:val="apple-converted-space"/>
          <w:rFonts w:cs="Times New Roman"/>
          <w:color w:val="000000" w:themeColor="text1"/>
          <w:sz w:val="24"/>
          <w:szCs w:val="24"/>
          <w:shd w:val="clear" w:color="auto" w:fill="FFFFFF"/>
        </w:rPr>
        <w:t> </w:t>
      </w:r>
      <w:proofErr w:type="spellStart"/>
      <w:r w:rsidRPr="00015A39">
        <w:rPr>
          <w:rFonts w:cs="Times New Roman"/>
          <w:i/>
          <w:iCs/>
          <w:color w:val="000000" w:themeColor="text1"/>
          <w:sz w:val="24"/>
          <w:szCs w:val="24"/>
        </w:rPr>
        <w:t>Eur</w:t>
      </w:r>
      <w:proofErr w:type="spellEnd"/>
      <w:r w:rsidRPr="00015A39">
        <w:rPr>
          <w:rFonts w:cs="Times New Roman"/>
          <w:i/>
          <w:iCs/>
          <w:color w:val="000000" w:themeColor="text1"/>
          <w:sz w:val="24"/>
          <w:szCs w:val="24"/>
        </w:rPr>
        <w:t xml:space="preserve"> J </w:t>
      </w:r>
      <w:proofErr w:type="spellStart"/>
      <w:r w:rsidRPr="00015A39">
        <w:rPr>
          <w:rFonts w:cs="Times New Roman"/>
          <w:i/>
          <w:iCs/>
          <w:color w:val="000000" w:themeColor="text1"/>
          <w:sz w:val="24"/>
          <w:szCs w:val="24"/>
        </w:rPr>
        <w:t>Nutr</w:t>
      </w:r>
      <w:proofErr w:type="spellEnd"/>
      <w:r w:rsidRPr="00015A39">
        <w:rPr>
          <w:rFonts w:cs="Times New Roman"/>
          <w:color w:val="000000" w:themeColor="text1"/>
          <w:sz w:val="24"/>
          <w:szCs w:val="24"/>
          <w:shd w:val="clear" w:color="auto" w:fill="FFFFFF"/>
        </w:rPr>
        <w:t>. 2024;64(1):38. Published 2024 Nov 30. doi:10.1007/s00394-024-03524-6</w:t>
      </w:r>
    </w:p>
    <w:p w14:paraId="6C80C452"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Lim JJ, Reginald K, Say YH, Liu MH, Chew FT. Associations Between Self-Reported Dietary Intake and Atopic Dermatitis Risk in Young Adults From Singapore and Malaysia.</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Clin Exp Allergy</w:t>
      </w:r>
      <w:r w:rsidRPr="00015A39">
        <w:rPr>
          <w:rFonts w:cs="Times New Roman"/>
          <w:color w:val="000000" w:themeColor="text1"/>
          <w:sz w:val="24"/>
          <w:szCs w:val="24"/>
          <w:shd w:val="clear" w:color="auto" w:fill="FFFFFF"/>
        </w:rPr>
        <w:t>. Published online January 21, 2025. doi:10.1111/cea.14629</w:t>
      </w:r>
    </w:p>
    <w:p w14:paraId="22F860EC" w14:textId="77777777" w:rsidR="009E29C6" w:rsidRPr="00015A39" w:rsidRDefault="009E29C6" w:rsidP="009E29C6">
      <w:pPr>
        <w:pStyle w:val="ListParagraph"/>
        <w:numPr>
          <w:ilvl w:val="0"/>
          <w:numId w:val="3"/>
        </w:numPr>
        <w:spacing w:after="0"/>
        <w:rPr>
          <w:rFonts w:cs="Times New Roman"/>
          <w:color w:val="000000" w:themeColor="text1"/>
          <w:sz w:val="24"/>
          <w:szCs w:val="24"/>
        </w:rPr>
      </w:pPr>
      <w:proofErr w:type="spellStart"/>
      <w:r w:rsidRPr="00015A39">
        <w:rPr>
          <w:rFonts w:cs="Times New Roman"/>
          <w:color w:val="000000" w:themeColor="text1"/>
          <w:sz w:val="24"/>
          <w:szCs w:val="24"/>
        </w:rPr>
        <w:t>Singstat</w:t>
      </w:r>
      <w:proofErr w:type="spellEnd"/>
      <w:r w:rsidRPr="00015A39">
        <w:rPr>
          <w:rFonts w:cs="Times New Roman"/>
          <w:color w:val="000000" w:themeColor="text1"/>
          <w:sz w:val="24"/>
          <w:szCs w:val="24"/>
        </w:rPr>
        <w:t>, 2020. Census of Population 2020 Statistical Release. Retrieved from https://www.singstat.gov.sg/-/media/files/publications/cop2020/sr1/findings.pdf on 2023 Feb</w:t>
      </w:r>
    </w:p>
    <w:p w14:paraId="2DAAFD33"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Charan J, Biswas T. How to calculate sample size for different study designs in medical research?.</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 xml:space="preserve">Indian J </w:t>
      </w:r>
      <w:proofErr w:type="spellStart"/>
      <w:r w:rsidRPr="00015A39">
        <w:rPr>
          <w:rFonts w:cs="Times New Roman"/>
          <w:i/>
          <w:iCs/>
          <w:color w:val="000000" w:themeColor="text1"/>
          <w:sz w:val="24"/>
          <w:szCs w:val="24"/>
        </w:rPr>
        <w:t>Psychol</w:t>
      </w:r>
      <w:proofErr w:type="spellEnd"/>
      <w:r w:rsidRPr="00015A39">
        <w:rPr>
          <w:rFonts w:cs="Times New Roman"/>
          <w:i/>
          <w:iCs/>
          <w:color w:val="000000" w:themeColor="text1"/>
          <w:sz w:val="24"/>
          <w:szCs w:val="24"/>
        </w:rPr>
        <w:t xml:space="preserve"> Med</w:t>
      </w:r>
      <w:r w:rsidRPr="00015A39">
        <w:rPr>
          <w:rFonts w:cs="Times New Roman"/>
          <w:color w:val="000000" w:themeColor="text1"/>
          <w:sz w:val="24"/>
          <w:szCs w:val="24"/>
          <w:shd w:val="clear" w:color="auto" w:fill="FFFFFF"/>
        </w:rPr>
        <w:t>. 2013;35(2):121-126. doi:10.4103/0253-7176.116232</w:t>
      </w:r>
    </w:p>
    <w:p w14:paraId="13C0619A" w14:textId="77777777" w:rsidR="009E29C6" w:rsidRPr="00015A39" w:rsidRDefault="009E29C6" w:rsidP="009E29C6">
      <w:pPr>
        <w:pStyle w:val="ListParagraph"/>
        <w:numPr>
          <w:ilvl w:val="0"/>
          <w:numId w:val="3"/>
        </w:numPr>
        <w:rPr>
          <w:rFonts w:cs="Times New Roman"/>
          <w:color w:val="000000" w:themeColor="text1"/>
          <w:sz w:val="24"/>
          <w:szCs w:val="24"/>
          <w:shd w:val="clear" w:color="auto" w:fill="FFFFFF"/>
        </w:rPr>
      </w:pPr>
      <w:proofErr w:type="spellStart"/>
      <w:r w:rsidRPr="00015A39">
        <w:rPr>
          <w:rFonts w:cs="Times New Roman"/>
          <w:color w:val="000000" w:themeColor="text1"/>
          <w:sz w:val="24"/>
          <w:szCs w:val="24"/>
          <w:shd w:val="clear" w:color="auto" w:fill="FFFFFF"/>
        </w:rPr>
        <w:t>Jeyagurunathan</w:t>
      </w:r>
      <w:proofErr w:type="spellEnd"/>
      <w:r w:rsidRPr="00015A39">
        <w:rPr>
          <w:rFonts w:cs="Times New Roman"/>
          <w:color w:val="000000" w:themeColor="text1"/>
          <w:sz w:val="24"/>
          <w:szCs w:val="24"/>
          <w:shd w:val="clear" w:color="auto" w:fill="FFFFFF"/>
        </w:rPr>
        <w:t xml:space="preserve"> A, Abdin E, Shafie S, et al. Asthma Prevalence and its Risk Factors Among a Multi-Ethnic Adult Population. </w:t>
      </w:r>
      <w:r w:rsidRPr="00015A39">
        <w:rPr>
          <w:rFonts w:cs="Times New Roman"/>
          <w:i/>
          <w:iCs/>
          <w:color w:val="000000" w:themeColor="text1"/>
          <w:sz w:val="24"/>
          <w:szCs w:val="24"/>
          <w:shd w:val="clear" w:color="auto" w:fill="FFFFFF"/>
        </w:rPr>
        <w:t>Yale J Biol Med</w:t>
      </w:r>
      <w:r w:rsidRPr="00015A39">
        <w:rPr>
          <w:rFonts w:cs="Times New Roman"/>
          <w:color w:val="000000" w:themeColor="text1"/>
          <w:sz w:val="24"/>
          <w:szCs w:val="24"/>
          <w:shd w:val="clear" w:color="auto" w:fill="FFFFFF"/>
        </w:rPr>
        <w:t>. 2021;94(3):417-427. Published 2021 Sep 30.</w:t>
      </w:r>
    </w:p>
    <w:p w14:paraId="566CFCC7" w14:textId="77777777" w:rsidR="009E29C6" w:rsidRPr="00015A39" w:rsidRDefault="009E29C6" w:rsidP="009E29C6">
      <w:pPr>
        <w:pStyle w:val="ListParagraph"/>
        <w:numPr>
          <w:ilvl w:val="0"/>
          <w:numId w:val="3"/>
        </w:numPr>
        <w:rPr>
          <w:rFonts w:cs="Times New Roman"/>
          <w:color w:val="000000" w:themeColor="text1"/>
          <w:sz w:val="24"/>
          <w:szCs w:val="24"/>
        </w:rPr>
      </w:pPr>
      <w:r w:rsidRPr="00015A39">
        <w:rPr>
          <w:rFonts w:cs="Times New Roman"/>
          <w:color w:val="000000" w:themeColor="text1"/>
          <w:sz w:val="24"/>
          <w:szCs w:val="24"/>
        </w:rPr>
        <w:t>Wang XS, Tan TN, Shek LP, et al. The prevalence of asthma and allergies in Singapore; data from two ISAAC surveys seven years apart. </w:t>
      </w:r>
      <w:r w:rsidRPr="00015A39">
        <w:rPr>
          <w:rFonts w:cs="Times New Roman"/>
          <w:i/>
          <w:iCs/>
          <w:color w:val="000000" w:themeColor="text1"/>
          <w:sz w:val="24"/>
          <w:szCs w:val="24"/>
        </w:rPr>
        <w:t>Arch Dis Child</w:t>
      </w:r>
      <w:r w:rsidRPr="00015A39">
        <w:rPr>
          <w:rFonts w:cs="Times New Roman"/>
          <w:color w:val="000000" w:themeColor="text1"/>
          <w:sz w:val="24"/>
          <w:szCs w:val="24"/>
        </w:rPr>
        <w:t>. 2004;89(5):423-426. doi:10.1136/adc.2003.031112</w:t>
      </w:r>
    </w:p>
    <w:p w14:paraId="2E2A4219"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eastAsia="Times New Roman" w:cs="Times New Roman"/>
          <w:color w:val="000000" w:themeColor="text1"/>
          <w:sz w:val="24"/>
          <w:szCs w:val="24"/>
        </w:rPr>
        <w:t>Wong QYA, Lim JJ, Ng JY, et al. Allergic rhinitis in Chinese young adults from the Singapore/Malaysia cross-sectional genetics epidemiology study (SMCGES) cohort: Prevalence, patterns, and epidemiology of allergic rhinitis. </w:t>
      </w:r>
      <w:r w:rsidRPr="00015A39">
        <w:rPr>
          <w:rFonts w:eastAsia="Times New Roman" w:cs="Times New Roman"/>
          <w:i/>
          <w:iCs/>
          <w:color w:val="000000" w:themeColor="text1"/>
          <w:sz w:val="24"/>
          <w:szCs w:val="24"/>
        </w:rPr>
        <w:t>World Allergy Organ J</w:t>
      </w:r>
      <w:r w:rsidRPr="00015A39">
        <w:rPr>
          <w:rFonts w:eastAsia="Times New Roman" w:cs="Times New Roman"/>
          <w:color w:val="000000" w:themeColor="text1"/>
          <w:sz w:val="24"/>
          <w:szCs w:val="24"/>
        </w:rPr>
        <w:t>. 2022;15(10):100704. Published 2022 Oct 7. doi:10.1016/j.waojou.2022.100704</w:t>
      </w:r>
    </w:p>
    <w:p w14:paraId="263690D3"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eastAsia="Times New Roman" w:cs="Times New Roman"/>
          <w:color w:val="000000" w:themeColor="text1"/>
          <w:sz w:val="24"/>
          <w:szCs w:val="24"/>
        </w:rPr>
        <w:t>Wong QYA, Lim JJ, Ng JY, et al. An updated prevalence of asthma, its phenotypes, and the identification of the potential asthma risk factors among young Chinese adults recruited in Singapore. </w:t>
      </w:r>
      <w:r w:rsidRPr="00015A39">
        <w:rPr>
          <w:rFonts w:eastAsia="Times New Roman" w:cs="Times New Roman"/>
          <w:i/>
          <w:iCs/>
          <w:color w:val="000000" w:themeColor="text1"/>
          <w:sz w:val="24"/>
          <w:szCs w:val="24"/>
        </w:rPr>
        <w:t>World Allergy Organ J</w:t>
      </w:r>
      <w:r w:rsidRPr="00015A39">
        <w:rPr>
          <w:rFonts w:eastAsia="Times New Roman" w:cs="Times New Roman"/>
          <w:color w:val="000000" w:themeColor="text1"/>
          <w:sz w:val="24"/>
          <w:szCs w:val="24"/>
        </w:rPr>
        <w:t>. 2023;16(3):100757. Published 2023 Mar 20. doi:10.1016/j.waojou.2023.100757</w:t>
      </w:r>
    </w:p>
    <w:p w14:paraId="165EBD08"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lastRenderedPageBreak/>
        <w:t>Asher MI, Keil U, Anderson HR, Crane J, Martinez F, Mitchell EA, et al. International Study of Asthma and Allergies in Childhood (ISAAC): rationale and methods.</w:t>
      </w:r>
      <w:r w:rsidRPr="00015A39">
        <w:rPr>
          <w:rStyle w:val="apple-converted-space"/>
          <w:rFonts w:cs="Times New Roman"/>
          <w:color w:val="000000" w:themeColor="text1"/>
          <w:sz w:val="24"/>
          <w:szCs w:val="24"/>
          <w:shd w:val="clear" w:color="auto" w:fill="FFFFFF"/>
        </w:rPr>
        <w:t> </w:t>
      </w:r>
      <w:proofErr w:type="spellStart"/>
      <w:r w:rsidRPr="00015A39">
        <w:rPr>
          <w:rFonts w:cs="Times New Roman"/>
          <w:i/>
          <w:iCs/>
          <w:color w:val="000000" w:themeColor="text1"/>
          <w:sz w:val="24"/>
          <w:szCs w:val="24"/>
        </w:rPr>
        <w:t>Eur</w:t>
      </w:r>
      <w:proofErr w:type="spellEnd"/>
      <w:r w:rsidRPr="00015A39">
        <w:rPr>
          <w:rFonts w:cs="Times New Roman"/>
          <w:i/>
          <w:iCs/>
          <w:color w:val="000000" w:themeColor="text1"/>
          <w:sz w:val="24"/>
          <w:szCs w:val="24"/>
        </w:rPr>
        <w:t xml:space="preserve"> Respir J</w:t>
      </w:r>
      <w:r w:rsidRPr="00015A39">
        <w:rPr>
          <w:rFonts w:cs="Times New Roman"/>
          <w:color w:val="000000" w:themeColor="text1"/>
          <w:sz w:val="24"/>
          <w:szCs w:val="24"/>
          <w:shd w:val="clear" w:color="auto" w:fill="FFFFFF"/>
        </w:rPr>
        <w:t>. 1995;8(3):483-491. doi:10.1183/09031936.95.08030483</w:t>
      </w:r>
    </w:p>
    <w:p w14:paraId="4B868F3B"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Hanifin J, Rajka G. Diagnostic features of atopic eczema.</w:t>
      </w:r>
      <w:r w:rsidRPr="00015A39">
        <w:rPr>
          <w:rStyle w:val="apple-converted-space"/>
          <w:rFonts w:cs="Times New Roman"/>
          <w:color w:val="000000" w:themeColor="text1"/>
          <w:sz w:val="24"/>
          <w:szCs w:val="24"/>
          <w:shd w:val="clear" w:color="auto" w:fill="FFFFFF"/>
        </w:rPr>
        <w:t> </w:t>
      </w:r>
      <w:r w:rsidRPr="00015A39">
        <w:rPr>
          <w:rStyle w:val="ref-journal"/>
          <w:rFonts w:cs="Times New Roman"/>
          <w:i/>
          <w:iCs/>
          <w:color w:val="000000" w:themeColor="text1"/>
          <w:sz w:val="24"/>
          <w:szCs w:val="24"/>
        </w:rPr>
        <w:t xml:space="preserve">Acta Derm </w:t>
      </w:r>
      <w:proofErr w:type="spellStart"/>
      <w:r w:rsidRPr="00015A39">
        <w:rPr>
          <w:rStyle w:val="ref-journal"/>
          <w:rFonts w:cs="Times New Roman"/>
          <w:i/>
          <w:iCs/>
          <w:color w:val="000000" w:themeColor="text1"/>
          <w:sz w:val="24"/>
          <w:szCs w:val="24"/>
        </w:rPr>
        <w:t>Venereol</w:t>
      </w:r>
      <w:proofErr w:type="spellEnd"/>
      <w:r w:rsidRPr="00015A39">
        <w:rPr>
          <w:rStyle w:val="ref-journal"/>
          <w:rFonts w:cs="Times New Roman"/>
          <w:i/>
          <w:iCs/>
          <w:color w:val="000000" w:themeColor="text1"/>
          <w:sz w:val="24"/>
          <w:szCs w:val="24"/>
        </w:rPr>
        <w:t>.</w:t>
      </w:r>
      <w:r w:rsidRPr="00015A39">
        <w:rPr>
          <w:rStyle w:val="apple-converted-space"/>
          <w:rFonts w:cs="Times New Roman"/>
          <w:i/>
          <w:iCs/>
          <w:color w:val="000000" w:themeColor="text1"/>
          <w:sz w:val="24"/>
          <w:szCs w:val="24"/>
        </w:rPr>
        <w:t> </w:t>
      </w:r>
      <w:r w:rsidRPr="00015A39">
        <w:rPr>
          <w:rFonts w:cs="Times New Roman"/>
          <w:color w:val="000000" w:themeColor="text1"/>
          <w:sz w:val="24"/>
          <w:szCs w:val="24"/>
        </w:rPr>
        <w:t>1980;</w:t>
      </w:r>
      <w:r w:rsidRPr="00015A39">
        <w:rPr>
          <w:rStyle w:val="ref-vol"/>
          <w:rFonts w:cs="Times New Roman"/>
          <w:b/>
          <w:bCs/>
          <w:color w:val="000000" w:themeColor="text1"/>
          <w:sz w:val="24"/>
          <w:szCs w:val="24"/>
        </w:rPr>
        <w:t>92</w:t>
      </w:r>
      <w:r w:rsidRPr="00015A39">
        <w:rPr>
          <w:rFonts w:cs="Times New Roman"/>
          <w:color w:val="000000" w:themeColor="text1"/>
          <w:sz w:val="24"/>
          <w:szCs w:val="24"/>
        </w:rPr>
        <w:t xml:space="preserve">:44–47. </w:t>
      </w:r>
      <w:proofErr w:type="spellStart"/>
      <w:r w:rsidRPr="00015A39">
        <w:rPr>
          <w:rFonts w:cs="Times New Roman"/>
          <w:color w:val="000000" w:themeColor="text1"/>
          <w:sz w:val="24"/>
          <w:szCs w:val="24"/>
        </w:rPr>
        <w:t>doi</w:t>
      </w:r>
      <w:proofErr w:type="spellEnd"/>
      <w:r w:rsidRPr="00015A39">
        <w:rPr>
          <w:rFonts w:cs="Times New Roman"/>
          <w:color w:val="000000" w:themeColor="text1"/>
          <w:sz w:val="24"/>
          <w:szCs w:val="24"/>
        </w:rPr>
        <w:t>: 10.2340/00015555924447</w:t>
      </w:r>
    </w:p>
    <w:p w14:paraId="0431B489"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Williams HC, Burney PG, Hay RJ, et al. The U.K. Working Party’s Diagnostic Criteria for Atopic Dermatitis. I. Derivation of a minimum set of discriminators for atopic dermatitis.</w:t>
      </w:r>
      <w:r w:rsidRPr="00015A39">
        <w:rPr>
          <w:rStyle w:val="apple-converted-space"/>
          <w:rFonts w:cs="Times New Roman"/>
          <w:color w:val="000000" w:themeColor="text1"/>
          <w:sz w:val="24"/>
          <w:szCs w:val="24"/>
          <w:shd w:val="clear" w:color="auto" w:fill="FFFFFF"/>
        </w:rPr>
        <w:t> </w:t>
      </w:r>
      <w:r w:rsidRPr="00015A39">
        <w:rPr>
          <w:rStyle w:val="ref-journal"/>
          <w:rFonts w:cs="Times New Roman"/>
          <w:i/>
          <w:iCs/>
          <w:color w:val="000000" w:themeColor="text1"/>
          <w:sz w:val="24"/>
          <w:szCs w:val="24"/>
        </w:rPr>
        <w:t>Br J Dermatol.</w:t>
      </w:r>
      <w:r w:rsidRPr="00015A39">
        <w:rPr>
          <w:rStyle w:val="apple-converted-space"/>
          <w:rFonts w:cs="Times New Roman"/>
          <w:i/>
          <w:iCs/>
          <w:color w:val="000000" w:themeColor="text1"/>
          <w:sz w:val="24"/>
          <w:szCs w:val="24"/>
        </w:rPr>
        <w:t> </w:t>
      </w:r>
      <w:r w:rsidRPr="00015A39">
        <w:rPr>
          <w:rFonts w:cs="Times New Roman"/>
          <w:color w:val="000000" w:themeColor="text1"/>
          <w:sz w:val="24"/>
          <w:szCs w:val="24"/>
        </w:rPr>
        <w:t>1994;</w:t>
      </w:r>
      <w:r w:rsidRPr="00015A39">
        <w:rPr>
          <w:rStyle w:val="ref-vol"/>
          <w:rFonts w:cs="Times New Roman"/>
          <w:b/>
          <w:bCs/>
          <w:color w:val="000000" w:themeColor="text1"/>
          <w:sz w:val="24"/>
          <w:szCs w:val="24"/>
        </w:rPr>
        <w:t>131</w:t>
      </w:r>
      <w:r w:rsidRPr="00015A39">
        <w:rPr>
          <w:rFonts w:cs="Times New Roman"/>
          <w:color w:val="000000" w:themeColor="text1"/>
          <w:sz w:val="24"/>
          <w:szCs w:val="24"/>
        </w:rPr>
        <w:t xml:space="preserve">(3):383–396. </w:t>
      </w:r>
      <w:proofErr w:type="spellStart"/>
      <w:r w:rsidRPr="00015A39">
        <w:rPr>
          <w:rFonts w:cs="Times New Roman"/>
          <w:color w:val="000000" w:themeColor="text1"/>
          <w:sz w:val="24"/>
          <w:szCs w:val="24"/>
        </w:rPr>
        <w:t>doi</w:t>
      </w:r>
      <w:proofErr w:type="spellEnd"/>
      <w:r w:rsidRPr="00015A39">
        <w:rPr>
          <w:rFonts w:cs="Times New Roman"/>
          <w:color w:val="000000" w:themeColor="text1"/>
          <w:sz w:val="24"/>
          <w:szCs w:val="24"/>
        </w:rPr>
        <w:t>: 10.1111/j.1365-2133,1994.tb08530.x</w:t>
      </w:r>
    </w:p>
    <w:p w14:paraId="01E7A70B"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Chew FT, Lim SH, Goh DY, Lee BW. Sensitization to local dust-mite fauna in Singapore.</w:t>
      </w:r>
      <w:r w:rsidRPr="00015A39">
        <w:rPr>
          <w:rStyle w:val="apple-converted-space"/>
          <w:rFonts w:cs="Times New Roman"/>
          <w:color w:val="000000" w:themeColor="text1"/>
          <w:sz w:val="24"/>
          <w:szCs w:val="24"/>
          <w:shd w:val="clear" w:color="auto" w:fill="FFFFFF"/>
        </w:rPr>
        <w:t> </w:t>
      </w:r>
      <w:r w:rsidRPr="00015A39">
        <w:rPr>
          <w:rStyle w:val="ref-journal"/>
          <w:rFonts w:cs="Times New Roman"/>
          <w:i/>
          <w:iCs/>
          <w:color w:val="000000" w:themeColor="text1"/>
          <w:sz w:val="24"/>
          <w:szCs w:val="24"/>
        </w:rPr>
        <w:t>Allergy.</w:t>
      </w:r>
      <w:r w:rsidRPr="00015A39">
        <w:rPr>
          <w:rStyle w:val="apple-converted-space"/>
          <w:rFonts w:cs="Times New Roman"/>
          <w:i/>
          <w:iCs/>
          <w:color w:val="000000" w:themeColor="text1"/>
          <w:sz w:val="24"/>
          <w:szCs w:val="24"/>
        </w:rPr>
        <w:t> </w:t>
      </w:r>
      <w:r w:rsidRPr="00015A39">
        <w:rPr>
          <w:rFonts w:cs="Times New Roman"/>
          <w:color w:val="000000" w:themeColor="text1"/>
          <w:sz w:val="24"/>
          <w:szCs w:val="24"/>
        </w:rPr>
        <w:t>1999;</w:t>
      </w:r>
      <w:r w:rsidRPr="00015A39">
        <w:rPr>
          <w:rStyle w:val="ref-vol"/>
          <w:rFonts w:cs="Times New Roman"/>
          <w:b/>
          <w:bCs/>
          <w:color w:val="000000" w:themeColor="text1"/>
          <w:sz w:val="24"/>
          <w:szCs w:val="24"/>
        </w:rPr>
        <w:t>54</w:t>
      </w:r>
      <w:r w:rsidRPr="00015A39">
        <w:rPr>
          <w:rFonts w:cs="Times New Roman"/>
          <w:color w:val="000000" w:themeColor="text1"/>
          <w:sz w:val="24"/>
          <w:szCs w:val="24"/>
        </w:rPr>
        <w:t xml:space="preserve">(11):1150–1159. </w:t>
      </w:r>
      <w:proofErr w:type="spellStart"/>
      <w:r w:rsidRPr="00015A39">
        <w:rPr>
          <w:rFonts w:cs="Times New Roman"/>
          <w:color w:val="000000" w:themeColor="text1"/>
          <w:sz w:val="24"/>
          <w:szCs w:val="24"/>
        </w:rPr>
        <w:t>doi</w:t>
      </w:r>
      <w:proofErr w:type="spellEnd"/>
      <w:r w:rsidRPr="00015A39">
        <w:rPr>
          <w:rFonts w:cs="Times New Roman"/>
          <w:color w:val="000000" w:themeColor="text1"/>
          <w:sz w:val="24"/>
          <w:szCs w:val="24"/>
        </w:rPr>
        <w:t>: 10.1034/j.1398-9995.1999.00050.x.</w:t>
      </w:r>
    </w:p>
    <w:p w14:paraId="2EFFF81C" w14:textId="77777777" w:rsidR="009E29C6" w:rsidRPr="00015A39" w:rsidRDefault="009E29C6" w:rsidP="009E29C6">
      <w:pPr>
        <w:pStyle w:val="ListParagraph"/>
        <w:numPr>
          <w:ilvl w:val="0"/>
          <w:numId w:val="3"/>
        </w:numPr>
        <w:spacing w:after="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Chew F.T., Zhang L., Ho T.M., Lee B.W. House dust mite fauna of tropical Singapore.</w:t>
      </w:r>
      <w:r w:rsidRPr="00015A39">
        <w:rPr>
          <w:rStyle w:val="apple-converted-space"/>
          <w:rFonts w:cs="Times New Roman"/>
          <w:color w:val="000000" w:themeColor="text1"/>
          <w:sz w:val="24"/>
          <w:szCs w:val="24"/>
          <w:shd w:val="clear" w:color="auto" w:fill="FFFFFF"/>
        </w:rPr>
        <w:t> </w:t>
      </w:r>
      <w:r w:rsidRPr="00015A39">
        <w:rPr>
          <w:rStyle w:val="ref-journal"/>
          <w:rFonts w:cs="Times New Roman"/>
          <w:i/>
          <w:iCs/>
          <w:color w:val="000000" w:themeColor="text1"/>
          <w:sz w:val="24"/>
          <w:szCs w:val="24"/>
        </w:rPr>
        <w:t>Clin Exp Allergy.</w:t>
      </w:r>
      <w:r w:rsidRPr="00015A39">
        <w:rPr>
          <w:rStyle w:val="apple-converted-space"/>
          <w:rFonts w:cs="Times New Roman"/>
          <w:i/>
          <w:iCs/>
          <w:color w:val="000000" w:themeColor="text1"/>
          <w:sz w:val="24"/>
          <w:szCs w:val="24"/>
        </w:rPr>
        <w:t> </w:t>
      </w:r>
      <w:r w:rsidRPr="00015A39">
        <w:rPr>
          <w:rFonts w:cs="Times New Roman"/>
          <w:color w:val="000000" w:themeColor="text1"/>
          <w:sz w:val="24"/>
          <w:szCs w:val="24"/>
        </w:rPr>
        <w:t>1999;</w:t>
      </w:r>
      <w:r w:rsidRPr="00015A39">
        <w:rPr>
          <w:rStyle w:val="ref-vol"/>
          <w:rFonts w:cs="Times New Roman"/>
          <w:color w:val="000000" w:themeColor="text1"/>
          <w:sz w:val="24"/>
          <w:szCs w:val="24"/>
        </w:rPr>
        <w:t>29</w:t>
      </w:r>
      <w:r w:rsidRPr="00015A39">
        <w:rPr>
          <w:rFonts w:cs="Times New Roman"/>
          <w:color w:val="000000" w:themeColor="text1"/>
          <w:sz w:val="24"/>
          <w:szCs w:val="24"/>
        </w:rPr>
        <w:t>:201–206.</w:t>
      </w:r>
    </w:p>
    <w:p w14:paraId="2CDE1CF9" w14:textId="77777777" w:rsidR="009E29C6" w:rsidRPr="00015A39" w:rsidRDefault="009E29C6" w:rsidP="009E29C6">
      <w:pPr>
        <w:pStyle w:val="ListParagraph"/>
        <w:numPr>
          <w:ilvl w:val="0"/>
          <w:numId w:val="3"/>
        </w:numPr>
        <w:spacing w:after="0"/>
        <w:rPr>
          <w:rFonts w:cs="Times New Roman"/>
          <w:color w:val="000000" w:themeColor="text1"/>
          <w:sz w:val="24"/>
          <w:szCs w:val="24"/>
        </w:rPr>
      </w:pPr>
      <w:proofErr w:type="spellStart"/>
      <w:r w:rsidRPr="00015A39">
        <w:rPr>
          <w:rFonts w:cs="Times New Roman"/>
          <w:color w:val="000000" w:themeColor="text1"/>
          <w:sz w:val="24"/>
          <w:szCs w:val="24"/>
          <w:shd w:val="clear" w:color="auto" w:fill="FFFFFF"/>
        </w:rPr>
        <w:t>Andiappan</w:t>
      </w:r>
      <w:proofErr w:type="spellEnd"/>
      <w:r w:rsidRPr="00015A39">
        <w:rPr>
          <w:rFonts w:cs="Times New Roman"/>
          <w:color w:val="000000" w:themeColor="text1"/>
          <w:sz w:val="24"/>
          <w:szCs w:val="24"/>
          <w:shd w:val="clear" w:color="auto" w:fill="FFFFFF"/>
        </w:rPr>
        <w:t xml:space="preserve"> AK, Puan KJ, Lee B, Nardin A, </w:t>
      </w:r>
      <w:proofErr w:type="spellStart"/>
      <w:r w:rsidRPr="00015A39">
        <w:rPr>
          <w:rFonts w:cs="Times New Roman"/>
          <w:color w:val="000000" w:themeColor="text1"/>
          <w:sz w:val="24"/>
          <w:szCs w:val="24"/>
          <w:shd w:val="clear" w:color="auto" w:fill="FFFFFF"/>
        </w:rPr>
        <w:t>Poidinger</w:t>
      </w:r>
      <w:proofErr w:type="spellEnd"/>
      <w:r w:rsidRPr="00015A39">
        <w:rPr>
          <w:rFonts w:cs="Times New Roman"/>
          <w:color w:val="000000" w:themeColor="text1"/>
          <w:sz w:val="24"/>
          <w:szCs w:val="24"/>
          <w:shd w:val="clear" w:color="auto" w:fill="FFFFFF"/>
        </w:rPr>
        <w:t xml:space="preserve"> M, Connolly J, et al. Allergic airway diseases in a tropical urban environment are driven by dominant mono-specific sensitization against house dust mites.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Allergy</w:t>
      </w:r>
      <w:r w:rsidRPr="00015A39">
        <w:rPr>
          <w:rFonts w:cs="Times New Roman"/>
          <w:color w:val="000000" w:themeColor="text1"/>
          <w:sz w:val="24"/>
          <w:szCs w:val="24"/>
          <w:shd w:val="clear" w:color="auto" w:fill="FFFFFF"/>
        </w:rPr>
        <w:t>. 2014;69(4):501-509. doi:10.1111/all.12364</w:t>
      </w:r>
    </w:p>
    <w:p w14:paraId="600A3BEB"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Fishbein AB, Silverberg JI, Wilson EJ, Ong PY. Update on Atopic Dermatitis: Diagnosis, Severity Assessment, and Treatment Selection.</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 xml:space="preserve">J Allergy Clin Immunol </w:t>
      </w:r>
      <w:proofErr w:type="spellStart"/>
      <w:r w:rsidRPr="00015A39">
        <w:rPr>
          <w:rFonts w:cs="Times New Roman"/>
          <w:i/>
          <w:iCs/>
          <w:color w:val="000000" w:themeColor="text1"/>
          <w:sz w:val="24"/>
          <w:szCs w:val="24"/>
        </w:rPr>
        <w:t>Pract</w:t>
      </w:r>
      <w:proofErr w:type="spellEnd"/>
      <w:r w:rsidRPr="00015A39">
        <w:rPr>
          <w:rFonts w:cs="Times New Roman"/>
          <w:color w:val="000000" w:themeColor="text1"/>
          <w:sz w:val="24"/>
          <w:szCs w:val="24"/>
          <w:shd w:val="clear" w:color="auto" w:fill="FFFFFF"/>
        </w:rPr>
        <w:t>. 2020;8(1):91-101. doi:10.1016/j.jaip.2019.06.044</w:t>
      </w:r>
    </w:p>
    <w:p w14:paraId="03A9A0CF"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proofErr w:type="spellStart"/>
      <w:r w:rsidRPr="00015A39">
        <w:rPr>
          <w:rFonts w:cs="Times New Roman"/>
          <w:color w:val="000000" w:themeColor="text1"/>
          <w:sz w:val="24"/>
          <w:szCs w:val="24"/>
          <w:shd w:val="clear" w:color="auto" w:fill="FFFFFF"/>
        </w:rPr>
        <w:t>Fasseeh</w:t>
      </w:r>
      <w:proofErr w:type="spellEnd"/>
      <w:r w:rsidRPr="00015A39">
        <w:rPr>
          <w:rFonts w:cs="Times New Roman"/>
          <w:color w:val="000000" w:themeColor="text1"/>
          <w:sz w:val="24"/>
          <w:szCs w:val="24"/>
          <w:shd w:val="clear" w:color="auto" w:fill="FFFFFF"/>
        </w:rPr>
        <w:t xml:space="preserve"> AN, </w:t>
      </w:r>
      <w:proofErr w:type="spellStart"/>
      <w:r w:rsidRPr="00015A39">
        <w:rPr>
          <w:rFonts w:cs="Times New Roman"/>
          <w:color w:val="000000" w:themeColor="text1"/>
          <w:sz w:val="24"/>
          <w:szCs w:val="24"/>
          <w:shd w:val="clear" w:color="auto" w:fill="FFFFFF"/>
        </w:rPr>
        <w:t>Elezbawy</w:t>
      </w:r>
      <w:proofErr w:type="spellEnd"/>
      <w:r w:rsidRPr="00015A39">
        <w:rPr>
          <w:rFonts w:cs="Times New Roman"/>
          <w:color w:val="000000" w:themeColor="text1"/>
          <w:sz w:val="24"/>
          <w:szCs w:val="24"/>
          <w:shd w:val="clear" w:color="auto" w:fill="FFFFFF"/>
        </w:rPr>
        <w:t xml:space="preserve"> B, Korra N, et al. Burden of Atopic Dermatitis in Adults and Adolescents: a Systematic Literature Review.</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Dermatol Ther (</w:t>
      </w:r>
      <w:proofErr w:type="spellStart"/>
      <w:r w:rsidRPr="00015A39">
        <w:rPr>
          <w:rFonts w:cs="Times New Roman"/>
          <w:i/>
          <w:iCs/>
          <w:color w:val="000000" w:themeColor="text1"/>
          <w:sz w:val="24"/>
          <w:szCs w:val="24"/>
        </w:rPr>
        <w:t>Heidelb</w:t>
      </w:r>
      <w:proofErr w:type="spellEnd"/>
      <w:r w:rsidRPr="00015A39">
        <w:rPr>
          <w:rFonts w:cs="Times New Roman"/>
          <w:i/>
          <w:iCs/>
          <w:color w:val="000000" w:themeColor="text1"/>
          <w:sz w:val="24"/>
          <w:szCs w:val="24"/>
        </w:rPr>
        <w:t>)</w:t>
      </w:r>
      <w:r w:rsidRPr="00015A39">
        <w:rPr>
          <w:rFonts w:cs="Times New Roman"/>
          <w:color w:val="000000" w:themeColor="text1"/>
          <w:sz w:val="24"/>
          <w:szCs w:val="24"/>
          <w:shd w:val="clear" w:color="auto" w:fill="FFFFFF"/>
        </w:rPr>
        <w:t>. 2022;12(12):2653-2668. doi:10.1007/s13555-022-00819-6</w:t>
      </w:r>
    </w:p>
    <w:p w14:paraId="1D8AD109"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Ramirez FD, Chen S, Langan SM, et al. Association of Atopic Dermatitis With Sleep Quality in Children.</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 xml:space="preserve">JAMA </w:t>
      </w:r>
      <w:proofErr w:type="spellStart"/>
      <w:r w:rsidRPr="00015A39">
        <w:rPr>
          <w:rFonts w:cs="Times New Roman"/>
          <w:i/>
          <w:iCs/>
          <w:color w:val="000000" w:themeColor="text1"/>
          <w:sz w:val="24"/>
          <w:szCs w:val="24"/>
        </w:rPr>
        <w:t>Pediatr</w:t>
      </w:r>
      <w:proofErr w:type="spellEnd"/>
      <w:r w:rsidRPr="00015A39">
        <w:rPr>
          <w:rFonts w:cs="Times New Roman"/>
          <w:color w:val="000000" w:themeColor="text1"/>
          <w:sz w:val="24"/>
          <w:szCs w:val="24"/>
          <w:shd w:val="clear" w:color="auto" w:fill="FFFFFF"/>
        </w:rPr>
        <w:t>. 2019;173(5):e190025. doi:10.1001/jamapediatrics.2019.0025</w:t>
      </w:r>
    </w:p>
    <w:p w14:paraId="718203B5"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Say YH, Sio YY, Heng AHS, et al. </w:t>
      </w:r>
      <w:proofErr w:type="spellStart"/>
      <w:r w:rsidRPr="00015A39">
        <w:rPr>
          <w:rFonts w:cs="Times New Roman"/>
          <w:color w:val="000000" w:themeColor="text1"/>
          <w:sz w:val="24"/>
          <w:szCs w:val="24"/>
          <w:shd w:val="clear" w:color="auto" w:fill="FFFFFF"/>
        </w:rPr>
        <w:t>Golgin</w:t>
      </w:r>
      <w:proofErr w:type="spellEnd"/>
      <w:r w:rsidRPr="00015A39">
        <w:rPr>
          <w:rFonts w:cs="Times New Roman"/>
          <w:color w:val="000000" w:themeColor="text1"/>
          <w:sz w:val="24"/>
          <w:szCs w:val="24"/>
          <w:shd w:val="clear" w:color="auto" w:fill="FFFFFF"/>
        </w:rPr>
        <w:t xml:space="preserve"> A7 family member B (GOLGA7B) is a plausible novel gene associating high glycaemic index diet with acne vulgaris.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Exp Dermatol</w:t>
      </w:r>
      <w:r w:rsidRPr="00015A39">
        <w:rPr>
          <w:rFonts w:cs="Times New Roman"/>
          <w:color w:val="000000" w:themeColor="text1"/>
          <w:sz w:val="24"/>
          <w:szCs w:val="24"/>
          <w:shd w:val="clear" w:color="auto" w:fill="FFFFFF"/>
        </w:rPr>
        <w:t>. 2022;31(8):1208-1219. doi:10.1111/exd.14575</w:t>
      </w:r>
    </w:p>
    <w:p w14:paraId="23D534DC"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 xml:space="preserve">Ellwood P, Asher MI, </w:t>
      </w:r>
      <w:proofErr w:type="spellStart"/>
      <w:r w:rsidRPr="00015A39">
        <w:rPr>
          <w:rFonts w:cs="Times New Roman"/>
          <w:color w:val="000000" w:themeColor="text1"/>
          <w:sz w:val="24"/>
          <w:szCs w:val="24"/>
          <w:shd w:val="clear" w:color="auto" w:fill="FFFFFF"/>
        </w:rPr>
        <w:t>Björkstén</w:t>
      </w:r>
      <w:proofErr w:type="spellEnd"/>
      <w:r w:rsidRPr="00015A39">
        <w:rPr>
          <w:rFonts w:cs="Times New Roman"/>
          <w:color w:val="000000" w:themeColor="text1"/>
          <w:sz w:val="24"/>
          <w:szCs w:val="24"/>
          <w:shd w:val="clear" w:color="auto" w:fill="FFFFFF"/>
        </w:rPr>
        <w:t xml:space="preserve"> B, Burr M, Pearce N, Robertson CF. Diet and asthma, allergic </w:t>
      </w:r>
      <w:proofErr w:type="spellStart"/>
      <w:r w:rsidRPr="00015A39">
        <w:rPr>
          <w:rFonts w:cs="Times New Roman"/>
          <w:color w:val="000000" w:themeColor="text1"/>
          <w:sz w:val="24"/>
          <w:szCs w:val="24"/>
          <w:shd w:val="clear" w:color="auto" w:fill="FFFFFF"/>
        </w:rPr>
        <w:t>rhinoconjunctivitis</w:t>
      </w:r>
      <w:proofErr w:type="spellEnd"/>
      <w:r w:rsidRPr="00015A39">
        <w:rPr>
          <w:rFonts w:cs="Times New Roman"/>
          <w:color w:val="000000" w:themeColor="text1"/>
          <w:sz w:val="24"/>
          <w:szCs w:val="24"/>
          <w:shd w:val="clear" w:color="auto" w:fill="FFFFFF"/>
        </w:rPr>
        <w:t xml:space="preserve"> and atopic eczema symptom prevalence: an ecological analysis of the International Study of Asthma and Allergies in Childhood (ISAAC) data. ISAAC Phase One Study Group. </w:t>
      </w:r>
      <w:proofErr w:type="spellStart"/>
      <w:r w:rsidRPr="00015A39">
        <w:rPr>
          <w:rFonts w:cs="Times New Roman"/>
          <w:color w:val="000000" w:themeColor="text1"/>
          <w:sz w:val="24"/>
          <w:szCs w:val="24"/>
          <w:shd w:val="clear" w:color="auto" w:fill="FFFFFF"/>
        </w:rPr>
        <w:t>Eur</w:t>
      </w:r>
      <w:proofErr w:type="spellEnd"/>
      <w:r w:rsidRPr="00015A39">
        <w:rPr>
          <w:rFonts w:cs="Times New Roman"/>
          <w:color w:val="000000" w:themeColor="text1"/>
          <w:sz w:val="24"/>
          <w:szCs w:val="24"/>
          <w:shd w:val="clear" w:color="auto" w:fill="FFFFFF"/>
        </w:rPr>
        <w:t xml:space="preserve"> Respir J. 2001;17(3):436–443. 10.1183/09031936.01.17304360</w:t>
      </w:r>
    </w:p>
    <w:p w14:paraId="4559AA5F"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rPr>
        <w:lastRenderedPageBreak/>
        <w:t>Health Promotion Board, 2023. Energy and Nutrient Composition of Food. Retrieved from https://focos.hpb.gov.sg/eservices/ENCF/ on 2023 Jul</w:t>
      </w:r>
    </w:p>
    <w:p w14:paraId="1BE9DF2C"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eastAsia="Times New Roman" w:cs="Times New Roman"/>
          <w:color w:val="000000" w:themeColor="text1"/>
          <w:sz w:val="24"/>
          <w:szCs w:val="24"/>
          <w:shd w:val="clear" w:color="auto" w:fill="FFFFFF"/>
        </w:rPr>
        <w:t xml:space="preserve">Manousos O, Day NE, </w:t>
      </w:r>
      <w:proofErr w:type="spellStart"/>
      <w:r w:rsidRPr="00015A39">
        <w:rPr>
          <w:rFonts w:eastAsia="Times New Roman" w:cs="Times New Roman"/>
          <w:color w:val="000000" w:themeColor="text1"/>
          <w:sz w:val="24"/>
          <w:szCs w:val="24"/>
          <w:shd w:val="clear" w:color="auto" w:fill="FFFFFF"/>
        </w:rPr>
        <w:t>Trichopoulos</w:t>
      </w:r>
      <w:proofErr w:type="spellEnd"/>
      <w:r w:rsidRPr="00015A39">
        <w:rPr>
          <w:rFonts w:eastAsia="Times New Roman" w:cs="Times New Roman"/>
          <w:color w:val="000000" w:themeColor="text1"/>
          <w:sz w:val="24"/>
          <w:szCs w:val="24"/>
          <w:shd w:val="clear" w:color="auto" w:fill="FFFFFF"/>
        </w:rPr>
        <w:t xml:space="preserve"> D, </w:t>
      </w:r>
      <w:proofErr w:type="spellStart"/>
      <w:r w:rsidRPr="00015A39">
        <w:rPr>
          <w:rFonts w:eastAsia="Times New Roman" w:cs="Times New Roman"/>
          <w:color w:val="000000" w:themeColor="text1"/>
          <w:sz w:val="24"/>
          <w:szCs w:val="24"/>
          <w:shd w:val="clear" w:color="auto" w:fill="FFFFFF"/>
        </w:rPr>
        <w:t>Gerovassilis</w:t>
      </w:r>
      <w:proofErr w:type="spellEnd"/>
      <w:r w:rsidRPr="00015A39">
        <w:rPr>
          <w:rFonts w:eastAsia="Times New Roman" w:cs="Times New Roman"/>
          <w:color w:val="000000" w:themeColor="text1"/>
          <w:sz w:val="24"/>
          <w:szCs w:val="24"/>
          <w:shd w:val="clear" w:color="auto" w:fill="FFFFFF"/>
        </w:rPr>
        <w:t xml:space="preserve"> F, </w:t>
      </w:r>
      <w:proofErr w:type="spellStart"/>
      <w:r w:rsidRPr="00015A39">
        <w:rPr>
          <w:rFonts w:eastAsia="Times New Roman" w:cs="Times New Roman"/>
          <w:color w:val="000000" w:themeColor="text1"/>
          <w:sz w:val="24"/>
          <w:szCs w:val="24"/>
          <w:shd w:val="clear" w:color="auto" w:fill="FFFFFF"/>
        </w:rPr>
        <w:t>Tzonou</w:t>
      </w:r>
      <w:proofErr w:type="spellEnd"/>
      <w:r w:rsidRPr="00015A39">
        <w:rPr>
          <w:rFonts w:eastAsia="Times New Roman" w:cs="Times New Roman"/>
          <w:color w:val="000000" w:themeColor="text1"/>
          <w:sz w:val="24"/>
          <w:szCs w:val="24"/>
          <w:shd w:val="clear" w:color="auto" w:fill="FFFFFF"/>
        </w:rPr>
        <w:t xml:space="preserve"> A, </w:t>
      </w:r>
      <w:proofErr w:type="spellStart"/>
      <w:r w:rsidRPr="00015A39">
        <w:rPr>
          <w:rFonts w:eastAsia="Times New Roman" w:cs="Times New Roman"/>
          <w:color w:val="000000" w:themeColor="text1"/>
          <w:sz w:val="24"/>
          <w:szCs w:val="24"/>
          <w:shd w:val="clear" w:color="auto" w:fill="FFFFFF"/>
        </w:rPr>
        <w:t>Polychronopoulou</w:t>
      </w:r>
      <w:proofErr w:type="spellEnd"/>
      <w:r w:rsidRPr="00015A39">
        <w:rPr>
          <w:rFonts w:eastAsia="Times New Roman" w:cs="Times New Roman"/>
          <w:color w:val="000000" w:themeColor="text1"/>
          <w:sz w:val="24"/>
          <w:szCs w:val="24"/>
          <w:shd w:val="clear" w:color="auto" w:fill="FFFFFF"/>
        </w:rPr>
        <w:t xml:space="preserve"> A. Diet and colorectal cancer: a case-control study in Greece. </w:t>
      </w:r>
      <w:r w:rsidRPr="00015A39">
        <w:rPr>
          <w:rFonts w:eastAsia="Times New Roman" w:cs="Times New Roman"/>
          <w:i/>
          <w:iCs/>
          <w:color w:val="000000" w:themeColor="text1"/>
          <w:sz w:val="24"/>
          <w:szCs w:val="24"/>
        </w:rPr>
        <w:t>Int J Cancer</w:t>
      </w:r>
      <w:r w:rsidRPr="00015A39">
        <w:rPr>
          <w:rFonts w:eastAsia="Times New Roman" w:cs="Times New Roman"/>
          <w:color w:val="000000" w:themeColor="text1"/>
          <w:sz w:val="24"/>
          <w:szCs w:val="24"/>
          <w:shd w:val="clear" w:color="auto" w:fill="FFFFFF"/>
        </w:rPr>
        <w:t>. 1983;32(1):1-5. doi:10.1002/ijc.2910320102</w:t>
      </w:r>
    </w:p>
    <w:p w14:paraId="76235A98" w14:textId="77777777" w:rsidR="009E29C6" w:rsidRPr="00015A39" w:rsidRDefault="009E29C6" w:rsidP="009E29C6">
      <w:pPr>
        <w:pStyle w:val="ListParagraph"/>
        <w:numPr>
          <w:ilvl w:val="0"/>
          <w:numId w:val="3"/>
        </w:numPr>
        <w:spacing w:after="0"/>
        <w:contextualSpacing w:val="0"/>
        <w:rPr>
          <w:rFonts w:eastAsia="Times New Roman" w:cs="Times New Roman"/>
          <w:color w:val="000000" w:themeColor="text1"/>
          <w:sz w:val="24"/>
          <w:szCs w:val="24"/>
        </w:rPr>
      </w:pPr>
      <w:r w:rsidRPr="00015A39">
        <w:rPr>
          <w:rFonts w:cs="Times New Roman"/>
          <w:color w:val="000000" w:themeColor="text1"/>
          <w:sz w:val="24"/>
          <w:szCs w:val="24"/>
          <w:shd w:val="clear" w:color="auto" w:fill="FFFFFF"/>
        </w:rPr>
        <w:t>Lim JJ, Reginald K, Say YH, Liu MH, Chew FT. A Dietary Pattern for High Estimated Total Fat Amount Is Associated with Enhanced Allergy Sensitization and Atopic Diseases among Singapore/Malaysia Young Chinese Adults.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Int Arch Allergy Immunol</w:t>
      </w:r>
      <w:r w:rsidRPr="00015A39">
        <w:rPr>
          <w:rFonts w:cs="Times New Roman"/>
          <w:color w:val="000000" w:themeColor="text1"/>
          <w:sz w:val="24"/>
          <w:szCs w:val="24"/>
          <w:shd w:val="clear" w:color="auto" w:fill="FFFFFF"/>
        </w:rPr>
        <w:t>. 2023;184(10):975-984. doi:10.1159/000530948</w:t>
      </w:r>
    </w:p>
    <w:p w14:paraId="45578197" w14:textId="77777777" w:rsidR="009E29C6" w:rsidRPr="00015A39" w:rsidRDefault="009E29C6" w:rsidP="009E29C6">
      <w:pPr>
        <w:pStyle w:val="ListParagraph"/>
        <w:numPr>
          <w:ilvl w:val="0"/>
          <w:numId w:val="3"/>
        </w:numPr>
        <w:rPr>
          <w:rFonts w:cs="Times New Roman"/>
          <w:color w:val="000000" w:themeColor="text1"/>
          <w:sz w:val="24"/>
          <w:szCs w:val="24"/>
        </w:rPr>
      </w:pPr>
      <w:r w:rsidRPr="00015A39">
        <w:rPr>
          <w:rFonts w:cs="Times New Roman"/>
          <w:color w:val="000000" w:themeColor="text1"/>
          <w:sz w:val="24"/>
          <w:szCs w:val="24"/>
        </w:rPr>
        <w:t>Cho SI, Lee H, Lee DH, Kim KH. Association of frequent intake of fast foods, energy drinks, or convenience food with atopic dermatitis in adolescents. </w:t>
      </w:r>
      <w:proofErr w:type="spellStart"/>
      <w:r w:rsidRPr="00015A39">
        <w:rPr>
          <w:rFonts w:cs="Times New Roman"/>
          <w:i/>
          <w:iCs/>
          <w:color w:val="000000" w:themeColor="text1"/>
          <w:sz w:val="24"/>
          <w:szCs w:val="24"/>
        </w:rPr>
        <w:t>Eur</w:t>
      </w:r>
      <w:proofErr w:type="spellEnd"/>
      <w:r w:rsidRPr="00015A39">
        <w:rPr>
          <w:rFonts w:cs="Times New Roman"/>
          <w:i/>
          <w:iCs/>
          <w:color w:val="000000" w:themeColor="text1"/>
          <w:sz w:val="24"/>
          <w:szCs w:val="24"/>
        </w:rPr>
        <w:t xml:space="preserve"> J </w:t>
      </w:r>
      <w:proofErr w:type="spellStart"/>
      <w:r w:rsidRPr="00015A39">
        <w:rPr>
          <w:rFonts w:cs="Times New Roman"/>
          <w:i/>
          <w:iCs/>
          <w:color w:val="000000" w:themeColor="text1"/>
          <w:sz w:val="24"/>
          <w:szCs w:val="24"/>
        </w:rPr>
        <w:t>Nutr</w:t>
      </w:r>
      <w:proofErr w:type="spellEnd"/>
      <w:r w:rsidRPr="00015A39">
        <w:rPr>
          <w:rFonts w:cs="Times New Roman"/>
          <w:color w:val="000000" w:themeColor="text1"/>
          <w:sz w:val="24"/>
          <w:szCs w:val="24"/>
        </w:rPr>
        <w:t>. 2020;59(7):3171-3182. doi:10.1007/s00394-019-02157-4</w:t>
      </w:r>
    </w:p>
    <w:p w14:paraId="491347CF" w14:textId="77777777" w:rsidR="009E29C6" w:rsidRPr="00015A39" w:rsidRDefault="009E29C6" w:rsidP="009E29C6">
      <w:pPr>
        <w:pStyle w:val="ListParagraph"/>
        <w:numPr>
          <w:ilvl w:val="0"/>
          <w:numId w:val="3"/>
        </w:numPr>
        <w:spacing w:after="0"/>
        <w:rPr>
          <w:rFonts w:cs="Times New Roman"/>
          <w:color w:val="000000" w:themeColor="text1"/>
          <w:sz w:val="24"/>
          <w:szCs w:val="24"/>
        </w:rPr>
      </w:pPr>
      <w:r w:rsidRPr="00015A39">
        <w:rPr>
          <w:rFonts w:cs="Times New Roman"/>
          <w:color w:val="000000" w:themeColor="text1"/>
          <w:sz w:val="24"/>
          <w:szCs w:val="24"/>
          <w:shd w:val="clear" w:color="auto" w:fill="FFFFFF"/>
        </w:rPr>
        <w:t xml:space="preserve">M. Cortina-Borja, A. D. Smith, O. </w:t>
      </w:r>
      <w:proofErr w:type="spellStart"/>
      <w:r w:rsidRPr="00015A39">
        <w:rPr>
          <w:rFonts w:cs="Times New Roman"/>
          <w:color w:val="000000" w:themeColor="text1"/>
          <w:sz w:val="24"/>
          <w:szCs w:val="24"/>
          <w:shd w:val="clear" w:color="auto" w:fill="FFFFFF"/>
        </w:rPr>
        <w:t>Combarros</w:t>
      </w:r>
      <w:proofErr w:type="spellEnd"/>
      <w:r w:rsidRPr="00015A39">
        <w:rPr>
          <w:rFonts w:cs="Times New Roman"/>
          <w:color w:val="000000" w:themeColor="text1"/>
          <w:sz w:val="24"/>
          <w:szCs w:val="24"/>
          <w:shd w:val="clear" w:color="auto" w:fill="FFFFFF"/>
        </w:rPr>
        <w:t>, D. J. Lehmann, The synergy factor: A statistic to measure interactions in complex diseases.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BMC Research Notes</w:t>
      </w:r>
      <w:r w:rsidRPr="00015A39">
        <w:rPr>
          <w:rFonts w:cs="Times New Roman"/>
          <w:color w:val="000000" w:themeColor="text1"/>
          <w:sz w:val="24"/>
          <w:szCs w:val="24"/>
          <w:shd w:val="clear" w:color="auto" w:fill="FFFFFF"/>
        </w:rPr>
        <w:t>.</w:t>
      </w:r>
      <w:r w:rsidRPr="00015A39">
        <w:rPr>
          <w:rStyle w:val="apple-converted-space"/>
          <w:rFonts w:cs="Times New Roman"/>
          <w:color w:val="000000" w:themeColor="text1"/>
          <w:sz w:val="24"/>
          <w:szCs w:val="24"/>
          <w:shd w:val="clear" w:color="auto" w:fill="FFFFFF"/>
        </w:rPr>
        <w:t> </w:t>
      </w:r>
      <w:r w:rsidRPr="00015A39">
        <w:rPr>
          <w:rFonts w:cs="Times New Roman"/>
          <w:color w:val="000000" w:themeColor="text1"/>
          <w:sz w:val="24"/>
          <w:szCs w:val="24"/>
        </w:rPr>
        <w:t>2</w:t>
      </w:r>
      <w:r w:rsidRPr="00015A39">
        <w:rPr>
          <w:rStyle w:val="apple-converted-space"/>
          <w:rFonts w:cs="Times New Roman"/>
          <w:color w:val="000000" w:themeColor="text1"/>
          <w:sz w:val="24"/>
          <w:szCs w:val="24"/>
          <w:shd w:val="clear" w:color="auto" w:fill="FFFFFF"/>
        </w:rPr>
        <w:t> </w:t>
      </w:r>
      <w:r w:rsidRPr="00015A39">
        <w:rPr>
          <w:rFonts w:cs="Times New Roman"/>
          <w:color w:val="000000" w:themeColor="text1"/>
          <w:sz w:val="24"/>
          <w:szCs w:val="24"/>
          <w:shd w:val="clear" w:color="auto" w:fill="FFFFFF"/>
        </w:rPr>
        <w:t>(2009), doi:10.1186/1756-0500-2-105.</w:t>
      </w:r>
    </w:p>
    <w:p w14:paraId="03B6B4C2" w14:textId="77777777" w:rsidR="009E29C6" w:rsidRPr="00015A39" w:rsidRDefault="009E29C6" w:rsidP="009E29C6">
      <w:pPr>
        <w:pStyle w:val="ListParagraph"/>
        <w:numPr>
          <w:ilvl w:val="0"/>
          <w:numId w:val="3"/>
        </w:numPr>
        <w:spacing w:after="0"/>
        <w:rPr>
          <w:rFonts w:cs="Times New Roman"/>
          <w:color w:val="000000" w:themeColor="text1"/>
          <w:sz w:val="24"/>
          <w:szCs w:val="24"/>
        </w:rPr>
      </w:pPr>
      <w:r w:rsidRPr="00015A39">
        <w:rPr>
          <w:rFonts w:cs="Times New Roman"/>
          <w:color w:val="000000" w:themeColor="text1"/>
          <w:sz w:val="24"/>
          <w:szCs w:val="24"/>
          <w:shd w:val="clear" w:color="auto" w:fill="FFFFFF"/>
        </w:rPr>
        <w:t>Colquhoun D. An investigation of the false discovery rate and the misinterpretation of p-values.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R Soc Open Sci</w:t>
      </w:r>
      <w:r w:rsidRPr="00015A39">
        <w:rPr>
          <w:rFonts w:cs="Times New Roman"/>
          <w:color w:val="000000" w:themeColor="text1"/>
          <w:sz w:val="24"/>
          <w:szCs w:val="24"/>
          <w:shd w:val="clear" w:color="auto" w:fill="FFFFFF"/>
        </w:rPr>
        <w:t>. 2014;1(3):140216. Published 2014 Nov 19. doi:10.1098/rsos.140216</w:t>
      </w:r>
    </w:p>
    <w:p w14:paraId="134120D0" w14:textId="77777777" w:rsidR="009E29C6" w:rsidRPr="00015A39" w:rsidRDefault="009E29C6" w:rsidP="009E29C6">
      <w:pPr>
        <w:pStyle w:val="ListParagraph"/>
        <w:numPr>
          <w:ilvl w:val="0"/>
          <w:numId w:val="3"/>
        </w:numPr>
        <w:spacing w:after="0"/>
        <w:rPr>
          <w:rFonts w:cs="Times New Roman"/>
          <w:color w:val="000000" w:themeColor="text1"/>
          <w:sz w:val="24"/>
          <w:szCs w:val="24"/>
        </w:rPr>
      </w:pPr>
      <w:r w:rsidRPr="00015A39">
        <w:rPr>
          <w:rFonts w:cs="Times New Roman"/>
          <w:color w:val="000000" w:themeColor="text1"/>
          <w:sz w:val="24"/>
          <w:szCs w:val="24"/>
          <w:shd w:val="clear" w:color="auto" w:fill="FFFFFF"/>
        </w:rPr>
        <w:t>Hersoug LG, Linneberg A. The link between the epidemics of obesity and allergic diseases: does obesity induce decreased immune tolerance?.</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Allergy</w:t>
      </w:r>
      <w:r w:rsidRPr="00015A39">
        <w:rPr>
          <w:rFonts w:cs="Times New Roman"/>
          <w:color w:val="000000" w:themeColor="text1"/>
          <w:sz w:val="24"/>
          <w:szCs w:val="24"/>
          <w:shd w:val="clear" w:color="auto" w:fill="FFFFFF"/>
        </w:rPr>
        <w:t>. 2007;62(10):1205-1213. doi:10.1111/j.1398-9995.2007.01506.x</w:t>
      </w:r>
    </w:p>
    <w:p w14:paraId="44949717" w14:textId="77777777" w:rsidR="009E29C6" w:rsidRPr="00015A39" w:rsidRDefault="009E29C6" w:rsidP="009E29C6">
      <w:pPr>
        <w:pStyle w:val="ListParagraph"/>
        <w:numPr>
          <w:ilvl w:val="0"/>
          <w:numId w:val="3"/>
        </w:numPr>
        <w:spacing w:after="0"/>
        <w:rPr>
          <w:rFonts w:cs="Times New Roman"/>
          <w:color w:val="000000" w:themeColor="text1"/>
          <w:sz w:val="24"/>
          <w:szCs w:val="24"/>
        </w:rPr>
      </w:pPr>
      <w:r w:rsidRPr="00015A39">
        <w:rPr>
          <w:rFonts w:cs="Times New Roman"/>
          <w:color w:val="000000" w:themeColor="text1"/>
          <w:sz w:val="24"/>
          <w:szCs w:val="24"/>
        </w:rPr>
        <w:t>Kiran S, Rakib A, Kodidela S, Kumar S, Singh UP. High-Fat Diet-Induced Dysregulation of Immune Cells Correlates with Macrophage Phenotypes and Chronic Inflammation in Adipose Tissue. </w:t>
      </w:r>
      <w:r w:rsidRPr="00015A39">
        <w:rPr>
          <w:rFonts w:cs="Times New Roman"/>
          <w:i/>
          <w:iCs/>
          <w:color w:val="000000" w:themeColor="text1"/>
          <w:sz w:val="24"/>
          <w:szCs w:val="24"/>
        </w:rPr>
        <w:t>Cells</w:t>
      </w:r>
      <w:r w:rsidRPr="00015A39">
        <w:rPr>
          <w:rFonts w:cs="Times New Roman"/>
          <w:color w:val="000000" w:themeColor="text1"/>
          <w:sz w:val="24"/>
          <w:szCs w:val="24"/>
        </w:rPr>
        <w:t>. 2022;11(8):1327. Published 2022 Apr 13. doi:10.3390/cells11081327</w:t>
      </w:r>
    </w:p>
    <w:p w14:paraId="13752ACB" w14:textId="77777777" w:rsidR="009E29C6" w:rsidRPr="00015A39" w:rsidRDefault="009E29C6" w:rsidP="009E29C6">
      <w:pPr>
        <w:pStyle w:val="ListParagraph"/>
        <w:numPr>
          <w:ilvl w:val="0"/>
          <w:numId w:val="3"/>
        </w:numPr>
        <w:rPr>
          <w:rFonts w:cs="Times New Roman"/>
          <w:color w:val="000000" w:themeColor="text1"/>
          <w:sz w:val="24"/>
          <w:szCs w:val="24"/>
        </w:rPr>
      </w:pPr>
      <w:r w:rsidRPr="00015A39">
        <w:rPr>
          <w:rFonts w:cs="Times New Roman"/>
          <w:color w:val="000000" w:themeColor="text1"/>
          <w:sz w:val="24"/>
          <w:szCs w:val="24"/>
          <w:shd w:val="clear" w:color="auto" w:fill="FFFFFF"/>
        </w:rPr>
        <w:t>Snodgrass RG, Huang S, Choi IW, Rutledge JC, Hwang DH. Inflammasome-mediated secretion of IL-1β in human monocytes through TLR2 activation; modulation by dietary fatty acids.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J Immunol</w:t>
      </w:r>
      <w:r w:rsidRPr="00015A39">
        <w:rPr>
          <w:rFonts w:cs="Times New Roman"/>
          <w:color w:val="000000" w:themeColor="text1"/>
          <w:sz w:val="24"/>
          <w:szCs w:val="24"/>
          <w:shd w:val="clear" w:color="auto" w:fill="FFFFFF"/>
        </w:rPr>
        <w:t xml:space="preserve">. 2013;191(8):4337-4347. doi:10.4049/jimmunol.1300298 </w:t>
      </w:r>
    </w:p>
    <w:p w14:paraId="10F774A2" w14:textId="77777777" w:rsidR="009E29C6" w:rsidRPr="00015A39" w:rsidRDefault="009E29C6" w:rsidP="009E29C6">
      <w:pPr>
        <w:pStyle w:val="ListParagraph"/>
        <w:numPr>
          <w:ilvl w:val="0"/>
          <w:numId w:val="3"/>
        </w:numPr>
        <w:rPr>
          <w:rFonts w:cs="Times New Roman"/>
          <w:color w:val="000000" w:themeColor="text1"/>
          <w:sz w:val="24"/>
          <w:szCs w:val="24"/>
        </w:rPr>
      </w:pPr>
      <w:r w:rsidRPr="00015A39">
        <w:rPr>
          <w:rFonts w:cs="Times New Roman"/>
          <w:color w:val="000000" w:themeColor="text1"/>
          <w:sz w:val="24"/>
          <w:szCs w:val="24"/>
          <w:shd w:val="clear" w:color="auto" w:fill="FFFFFF"/>
        </w:rPr>
        <w:t xml:space="preserve">Rocha DM, Caldas AP, Oliveira LL, Bressan J, </w:t>
      </w:r>
      <w:proofErr w:type="spellStart"/>
      <w:r w:rsidRPr="00015A39">
        <w:rPr>
          <w:rFonts w:cs="Times New Roman"/>
          <w:color w:val="000000" w:themeColor="text1"/>
          <w:sz w:val="24"/>
          <w:szCs w:val="24"/>
          <w:shd w:val="clear" w:color="auto" w:fill="FFFFFF"/>
        </w:rPr>
        <w:t>Hermsdorff</w:t>
      </w:r>
      <w:proofErr w:type="spellEnd"/>
      <w:r w:rsidRPr="00015A39">
        <w:rPr>
          <w:rFonts w:cs="Times New Roman"/>
          <w:color w:val="000000" w:themeColor="text1"/>
          <w:sz w:val="24"/>
          <w:szCs w:val="24"/>
          <w:shd w:val="clear" w:color="auto" w:fill="FFFFFF"/>
        </w:rPr>
        <w:t xml:space="preserve"> HH. Saturated fatty acids trigger TLR4-mediated inflammatory response.</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Atherosclerosis</w:t>
      </w:r>
      <w:r w:rsidRPr="00015A39">
        <w:rPr>
          <w:rFonts w:cs="Times New Roman"/>
          <w:color w:val="000000" w:themeColor="text1"/>
          <w:sz w:val="24"/>
          <w:szCs w:val="24"/>
          <w:shd w:val="clear" w:color="auto" w:fill="FFFFFF"/>
        </w:rPr>
        <w:t>. 2016;244:211-215. doi:10.1016/j.atherosclerosis.2015.11.015</w:t>
      </w:r>
    </w:p>
    <w:p w14:paraId="004217E3" w14:textId="77777777" w:rsidR="009E29C6" w:rsidRPr="00015A39" w:rsidRDefault="009E29C6" w:rsidP="009E29C6">
      <w:pPr>
        <w:pStyle w:val="ListParagraph"/>
        <w:numPr>
          <w:ilvl w:val="0"/>
          <w:numId w:val="3"/>
        </w:numPr>
        <w:rPr>
          <w:rFonts w:cs="Times New Roman"/>
          <w:color w:val="000000" w:themeColor="text1"/>
          <w:sz w:val="24"/>
          <w:szCs w:val="24"/>
        </w:rPr>
      </w:pPr>
      <w:proofErr w:type="spellStart"/>
      <w:r w:rsidRPr="00015A39">
        <w:rPr>
          <w:rFonts w:cs="Times New Roman"/>
          <w:color w:val="000000" w:themeColor="text1"/>
          <w:sz w:val="24"/>
          <w:szCs w:val="24"/>
          <w:shd w:val="clear" w:color="auto" w:fill="FFFFFF"/>
        </w:rPr>
        <w:lastRenderedPageBreak/>
        <w:t>Korbecki</w:t>
      </w:r>
      <w:proofErr w:type="spellEnd"/>
      <w:r w:rsidRPr="00015A39">
        <w:rPr>
          <w:rFonts w:cs="Times New Roman"/>
          <w:color w:val="000000" w:themeColor="text1"/>
          <w:sz w:val="24"/>
          <w:szCs w:val="24"/>
          <w:shd w:val="clear" w:color="auto" w:fill="FFFFFF"/>
        </w:rPr>
        <w:t xml:space="preserve"> J, </w:t>
      </w:r>
      <w:proofErr w:type="spellStart"/>
      <w:r w:rsidRPr="00015A39">
        <w:rPr>
          <w:rFonts w:cs="Times New Roman"/>
          <w:color w:val="000000" w:themeColor="text1"/>
          <w:sz w:val="24"/>
          <w:szCs w:val="24"/>
          <w:shd w:val="clear" w:color="auto" w:fill="FFFFFF"/>
        </w:rPr>
        <w:t>Bajdak</w:t>
      </w:r>
      <w:proofErr w:type="spellEnd"/>
      <w:r w:rsidRPr="00015A39">
        <w:rPr>
          <w:rFonts w:cs="Times New Roman"/>
          <w:color w:val="000000" w:themeColor="text1"/>
          <w:sz w:val="24"/>
          <w:szCs w:val="24"/>
          <w:shd w:val="clear" w:color="auto" w:fill="FFFFFF"/>
        </w:rPr>
        <w:t>-Rusinek K. The effect of palmitic acid on inflammatory response in macrophages: an overview of molecular mechanisms.</w:t>
      </w:r>
      <w:r w:rsidRPr="00015A39">
        <w:rPr>
          <w:rStyle w:val="apple-converted-space"/>
          <w:rFonts w:cs="Times New Roman"/>
          <w:color w:val="000000" w:themeColor="text1"/>
          <w:sz w:val="24"/>
          <w:szCs w:val="24"/>
          <w:shd w:val="clear" w:color="auto" w:fill="FFFFFF"/>
        </w:rPr>
        <w:t> </w:t>
      </w:r>
      <w:proofErr w:type="spellStart"/>
      <w:r w:rsidRPr="00015A39">
        <w:rPr>
          <w:rFonts w:cs="Times New Roman"/>
          <w:i/>
          <w:iCs/>
          <w:color w:val="000000" w:themeColor="text1"/>
          <w:sz w:val="24"/>
          <w:szCs w:val="24"/>
        </w:rPr>
        <w:t>Inflamm</w:t>
      </w:r>
      <w:proofErr w:type="spellEnd"/>
      <w:r w:rsidRPr="00015A39">
        <w:rPr>
          <w:rFonts w:cs="Times New Roman"/>
          <w:i/>
          <w:iCs/>
          <w:color w:val="000000" w:themeColor="text1"/>
          <w:sz w:val="24"/>
          <w:szCs w:val="24"/>
        </w:rPr>
        <w:t xml:space="preserve"> Res</w:t>
      </w:r>
      <w:r w:rsidRPr="00015A39">
        <w:rPr>
          <w:rFonts w:cs="Times New Roman"/>
          <w:color w:val="000000" w:themeColor="text1"/>
          <w:sz w:val="24"/>
          <w:szCs w:val="24"/>
          <w:shd w:val="clear" w:color="auto" w:fill="FFFFFF"/>
        </w:rPr>
        <w:t>. 2019;68(11):915-932. doi:10.1007/s00011-019-01273-5</w:t>
      </w:r>
    </w:p>
    <w:p w14:paraId="029B1950" w14:textId="77777777" w:rsidR="009E29C6" w:rsidRPr="00015A39" w:rsidRDefault="009E29C6" w:rsidP="009E29C6">
      <w:pPr>
        <w:pStyle w:val="ListParagraph"/>
        <w:numPr>
          <w:ilvl w:val="0"/>
          <w:numId w:val="3"/>
        </w:numPr>
        <w:rPr>
          <w:rFonts w:cs="Times New Roman"/>
          <w:color w:val="000000" w:themeColor="text1"/>
          <w:sz w:val="24"/>
          <w:szCs w:val="24"/>
          <w:lang w:val="en-GB"/>
        </w:rPr>
      </w:pPr>
      <w:r w:rsidRPr="00015A39">
        <w:rPr>
          <w:rFonts w:cs="Times New Roman"/>
          <w:color w:val="000000" w:themeColor="text1"/>
          <w:sz w:val="24"/>
          <w:szCs w:val="24"/>
        </w:rPr>
        <w:t xml:space="preserve">Hamamah S, Amin A, Al-Kassir AL, Chuang J, </w:t>
      </w:r>
      <w:proofErr w:type="spellStart"/>
      <w:r w:rsidRPr="00015A39">
        <w:rPr>
          <w:rFonts w:cs="Times New Roman"/>
          <w:color w:val="000000" w:themeColor="text1"/>
          <w:sz w:val="24"/>
          <w:szCs w:val="24"/>
        </w:rPr>
        <w:t>Covasa</w:t>
      </w:r>
      <w:proofErr w:type="spellEnd"/>
      <w:r w:rsidRPr="00015A39">
        <w:rPr>
          <w:rFonts w:cs="Times New Roman"/>
          <w:color w:val="000000" w:themeColor="text1"/>
          <w:sz w:val="24"/>
          <w:szCs w:val="24"/>
        </w:rPr>
        <w:t xml:space="preserve"> M. Dietary Fat Modulation of Gut Microbiota and Impact on Regulatory Pathways Controlling Food Intake. </w:t>
      </w:r>
      <w:r w:rsidRPr="00015A39">
        <w:rPr>
          <w:rFonts w:cs="Times New Roman"/>
          <w:i/>
          <w:iCs/>
          <w:color w:val="000000" w:themeColor="text1"/>
          <w:sz w:val="24"/>
          <w:szCs w:val="24"/>
        </w:rPr>
        <w:t>Nutrients</w:t>
      </w:r>
      <w:r w:rsidRPr="00015A39">
        <w:rPr>
          <w:rFonts w:cs="Times New Roman"/>
          <w:color w:val="000000" w:themeColor="text1"/>
          <w:sz w:val="24"/>
          <w:szCs w:val="24"/>
        </w:rPr>
        <w:t>. 2023;15(15):3365. Published 2023 Jul 28. doi:10.3390/nu15153365</w:t>
      </w:r>
    </w:p>
    <w:p w14:paraId="1326CE3C" w14:textId="77777777" w:rsidR="009E29C6" w:rsidRPr="00015A39" w:rsidRDefault="009E29C6" w:rsidP="009E29C6">
      <w:pPr>
        <w:pStyle w:val="ListParagraph"/>
        <w:numPr>
          <w:ilvl w:val="0"/>
          <w:numId w:val="3"/>
        </w:numPr>
        <w:rPr>
          <w:rFonts w:cs="Times New Roman"/>
          <w:color w:val="000000" w:themeColor="text1"/>
          <w:sz w:val="24"/>
          <w:szCs w:val="24"/>
          <w:lang w:val="en-GB"/>
        </w:rPr>
      </w:pPr>
      <w:r w:rsidRPr="00015A39">
        <w:rPr>
          <w:rFonts w:cs="Times New Roman"/>
          <w:color w:val="000000" w:themeColor="text1"/>
          <w:sz w:val="24"/>
          <w:szCs w:val="24"/>
        </w:rPr>
        <w:t xml:space="preserve">Labib A, Vander Does A, </w:t>
      </w:r>
      <w:proofErr w:type="spellStart"/>
      <w:r w:rsidRPr="00015A39">
        <w:rPr>
          <w:rFonts w:cs="Times New Roman"/>
          <w:color w:val="000000" w:themeColor="text1"/>
          <w:sz w:val="24"/>
          <w:szCs w:val="24"/>
        </w:rPr>
        <w:t>Yosipovitch</w:t>
      </w:r>
      <w:proofErr w:type="spellEnd"/>
      <w:r w:rsidRPr="00015A39">
        <w:rPr>
          <w:rFonts w:cs="Times New Roman"/>
          <w:color w:val="000000" w:themeColor="text1"/>
          <w:sz w:val="24"/>
          <w:szCs w:val="24"/>
        </w:rPr>
        <w:t xml:space="preserve"> G. </w:t>
      </w:r>
      <w:proofErr w:type="spellStart"/>
      <w:r w:rsidRPr="00015A39">
        <w:rPr>
          <w:rFonts w:cs="Times New Roman"/>
          <w:color w:val="000000" w:themeColor="text1"/>
          <w:sz w:val="24"/>
          <w:szCs w:val="24"/>
        </w:rPr>
        <w:t>Nemolizumab</w:t>
      </w:r>
      <w:proofErr w:type="spellEnd"/>
      <w:r w:rsidRPr="00015A39">
        <w:rPr>
          <w:rFonts w:cs="Times New Roman"/>
          <w:color w:val="000000" w:themeColor="text1"/>
          <w:sz w:val="24"/>
          <w:szCs w:val="24"/>
        </w:rPr>
        <w:t xml:space="preserve"> for atopic dermatitis. </w:t>
      </w:r>
      <w:r w:rsidRPr="00015A39">
        <w:rPr>
          <w:rFonts w:cs="Times New Roman"/>
          <w:i/>
          <w:iCs/>
          <w:color w:val="000000" w:themeColor="text1"/>
          <w:sz w:val="24"/>
          <w:szCs w:val="24"/>
        </w:rPr>
        <w:t>Drugs Today (</w:t>
      </w:r>
      <w:proofErr w:type="spellStart"/>
      <w:r w:rsidRPr="00015A39">
        <w:rPr>
          <w:rFonts w:cs="Times New Roman"/>
          <w:i/>
          <w:iCs/>
          <w:color w:val="000000" w:themeColor="text1"/>
          <w:sz w:val="24"/>
          <w:szCs w:val="24"/>
        </w:rPr>
        <w:t>Barc</w:t>
      </w:r>
      <w:proofErr w:type="spellEnd"/>
      <w:r w:rsidRPr="00015A39">
        <w:rPr>
          <w:rFonts w:cs="Times New Roman"/>
          <w:i/>
          <w:iCs/>
          <w:color w:val="000000" w:themeColor="text1"/>
          <w:sz w:val="24"/>
          <w:szCs w:val="24"/>
        </w:rPr>
        <w:t>)</w:t>
      </w:r>
      <w:r w:rsidRPr="00015A39">
        <w:rPr>
          <w:rFonts w:cs="Times New Roman"/>
          <w:color w:val="000000" w:themeColor="text1"/>
          <w:sz w:val="24"/>
          <w:szCs w:val="24"/>
        </w:rPr>
        <w:t>. 2022;58(4):159-173. doi:10.1358/dot.2022.58.4.3378056</w:t>
      </w:r>
    </w:p>
    <w:p w14:paraId="52C2902D" w14:textId="77777777" w:rsidR="009E29C6" w:rsidRPr="00015A39" w:rsidRDefault="009E29C6" w:rsidP="009E29C6">
      <w:pPr>
        <w:pStyle w:val="ListParagraph"/>
        <w:numPr>
          <w:ilvl w:val="0"/>
          <w:numId w:val="3"/>
        </w:numPr>
        <w:rPr>
          <w:rFonts w:cs="Times New Roman"/>
          <w:color w:val="000000" w:themeColor="text1"/>
          <w:sz w:val="24"/>
          <w:szCs w:val="24"/>
          <w:lang w:val="en-GB"/>
        </w:rPr>
      </w:pPr>
      <w:r w:rsidRPr="00015A39">
        <w:rPr>
          <w:rFonts w:cs="Times New Roman"/>
          <w:color w:val="000000" w:themeColor="text1"/>
          <w:sz w:val="24"/>
          <w:szCs w:val="24"/>
        </w:rPr>
        <w:t>Kwatra SG, Misery L, Clibborn C, Steinhoff M. Molecular and cellular mechanisms of itch and pain in atopic dermatitis and implications for novel therapeutics. </w:t>
      </w:r>
      <w:r w:rsidRPr="00015A39">
        <w:rPr>
          <w:rFonts w:cs="Times New Roman"/>
          <w:i/>
          <w:iCs/>
          <w:color w:val="000000" w:themeColor="text1"/>
          <w:sz w:val="24"/>
          <w:szCs w:val="24"/>
        </w:rPr>
        <w:t xml:space="preserve">Clin </w:t>
      </w:r>
      <w:proofErr w:type="spellStart"/>
      <w:r w:rsidRPr="00015A39">
        <w:rPr>
          <w:rFonts w:cs="Times New Roman"/>
          <w:i/>
          <w:iCs/>
          <w:color w:val="000000" w:themeColor="text1"/>
          <w:sz w:val="24"/>
          <w:szCs w:val="24"/>
        </w:rPr>
        <w:t>Transl</w:t>
      </w:r>
      <w:proofErr w:type="spellEnd"/>
      <w:r w:rsidRPr="00015A39">
        <w:rPr>
          <w:rFonts w:cs="Times New Roman"/>
          <w:i/>
          <w:iCs/>
          <w:color w:val="000000" w:themeColor="text1"/>
          <w:sz w:val="24"/>
          <w:szCs w:val="24"/>
        </w:rPr>
        <w:t xml:space="preserve"> Immunology</w:t>
      </w:r>
      <w:r w:rsidRPr="00015A39">
        <w:rPr>
          <w:rFonts w:cs="Times New Roman"/>
          <w:color w:val="000000" w:themeColor="text1"/>
          <w:sz w:val="24"/>
          <w:szCs w:val="24"/>
        </w:rPr>
        <w:t>. 2022;11(5):e1390. Published 2022 May 9. doi:10.1002/cti2.1390</w:t>
      </w:r>
    </w:p>
    <w:p w14:paraId="0D21F7BD" w14:textId="77777777" w:rsidR="009E29C6" w:rsidRPr="00015A39" w:rsidRDefault="009E29C6" w:rsidP="009E29C6">
      <w:pPr>
        <w:pStyle w:val="ListParagraph"/>
        <w:numPr>
          <w:ilvl w:val="0"/>
          <w:numId w:val="3"/>
        </w:numPr>
        <w:rPr>
          <w:rFonts w:cs="Times New Roman"/>
          <w:color w:val="000000" w:themeColor="text1"/>
          <w:sz w:val="24"/>
          <w:szCs w:val="24"/>
          <w:lang w:val="en-GB"/>
        </w:rPr>
      </w:pPr>
      <w:r w:rsidRPr="00015A39">
        <w:rPr>
          <w:rFonts w:cs="Times New Roman"/>
          <w:color w:val="000000" w:themeColor="text1"/>
          <w:sz w:val="24"/>
          <w:szCs w:val="24"/>
        </w:rPr>
        <w:t>Wang S, Dan W, Wang Z, Sun Y, Zhang G. Causal relationships between dietary antioxidant vitamin intake and atopic dermatitis: A two-sample Mendelian randomization study. </w:t>
      </w:r>
      <w:r w:rsidRPr="00015A39">
        <w:rPr>
          <w:rFonts w:cs="Times New Roman"/>
          <w:i/>
          <w:iCs/>
          <w:color w:val="000000" w:themeColor="text1"/>
          <w:sz w:val="24"/>
          <w:szCs w:val="24"/>
        </w:rPr>
        <w:t>Skin Res Technol</w:t>
      </w:r>
      <w:r w:rsidRPr="00015A39">
        <w:rPr>
          <w:rFonts w:cs="Times New Roman"/>
          <w:color w:val="000000" w:themeColor="text1"/>
          <w:sz w:val="24"/>
          <w:szCs w:val="24"/>
        </w:rPr>
        <w:t>. 2024;30(8):e13883. doi:10.1111/srt.13883</w:t>
      </w:r>
    </w:p>
    <w:p w14:paraId="6B29C04F" w14:textId="77777777" w:rsidR="009E29C6" w:rsidRPr="00015A39" w:rsidRDefault="009E29C6" w:rsidP="009E29C6">
      <w:pPr>
        <w:pStyle w:val="ListParagraph"/>
        <w:numPr>
          <w:ilvl w:val="0"/>
          <w:numId w:val="3"/>
        </w:numPr>
        <w:rPr>
          <w:rFonts w:cs="Times New Roman"/>
          <w:color w:val="000000" w:themeColor="text1"/>
          <w:sz w:val="24"/>
          <w:szCs w:val="24"/>
          <w:lang w:val="en-GB"/>
        </w:rPr>
      </w:pPr>
      <w:r w:rsidRPr="00015A39">
        <w:rPr>
          <w:rFonts w:cs="Times New Roman"/>
          <w:color w:val="000000" w:themeColor="text1"/>
          <w:sz w:val="24"/>
          <w:szCs w:val="24"/>
        </w:rPr>
        <w:t>Chang YS, Chiang BL. Sleep disorders and atopic dermatitis: A 2-way street?. </w:t>
      </w:r>
      <w:r w:rsidRPr="00015A39">
        <w:rPr>
          <w:rFonts w:cs="Times New Roman"/>
          <w:i/>
          <w:iCs/>
          <w:color w:val="000000" w:themeColor="text1"/>
          <w:sz w:val="24"/>
          <w:szCs w:val="24"/>
        </w:rPr>
        <w:t>J Allergy Clin Immunol</w:t>
      </w:r>
      <w:r w:rsidRPr="00015A39">
        <w:rPr>
          <w:rFonts w:cs="Times New Roman"/>
          <w:color w:val="000000" w:themeColor="text1"/>
          <w:sz w:val="24"/>
          <w:szCs w:val="24"/>
        </w:rPr>
        <w:t>. 2018;142(4):1033-1040. doi:10.1016/j.jaci.2018.08.005</w:t>
      </w:r>
    </w:p>
    <w:p w14:paraId="3BC38ECF" w14:textId="77777777" w:rsidR="009E29C6" w:rsidRPr="00015A39" w:rsidRDefault="009E29C6" w:rsidP="009E29C6">
      <w:pPr>
        <w:pStyle w:val="ListParagraph"/>
        <w:numPr>
          <w:ilvl w:val="0"/>
          <w:numId w:val="3"/>
        </w:numPr>
        <w:rPr>
          <w:rFonts w:cs="Times New Roman"/>
          <w:color w:val="000000" w:themeColor="text1"/>
          <w:sz w:val="24"/>
          <w:szCs w:val="24"/>
        </w:rPr>
      </w:pPr>
      <w:proofErr w:type="spellStart"/>
      <w:r w:rsidRPr="00015A39">
        <w:rPr>
          <w:rFonts w:cs="Times New Roman"/>
          <w:color w:val="000000" w:themeColor="text1"/>
          <w:sz w:val="24"/>
          <w:szCs w:val="24"/>
          <w:shd w:val="clear" w:color="auto" w:fill="FFFFFF"/>
        </w:rPr>
        <w:t>Wastyk</w:t>
      </w:r>
      <w:proofErr w:type="spellEnd"/>
      <w:r w:rsidRPr="00015A39">
        <w:rPr>
          <w:rFonts w:cs="Times New Roman"/>
          <w:color w:val="000000" w:themeColor="text1"/>
          <w:sz w:val="24"/>
          <w:szCs w:val="24"/>
          <w:shd w:val="clear" w:color="auto" w:fill="FFFFFF"/>
        </w:rPr>
        <w:t xml:space="preserve"> HC, </w:t>
      </w:r>
      <w:proofErr w:type="spellStart"/>
      <w:r w:rsidRPr="00015A39">
        <w:rPr>
          <w:rFonts w:cs="Times New Roman"/>
          <w:color w:val="000000" w:themeColor="text1"/>
          <w:sz w:val="24"/>
          <w:szCs w:val="24"/>
          <w:shd w:val="clear" w:color="auto" w:fill="FFFFFF"/>
        </w:rPr>
        <w:t>Fragiadakis</w:t>
      </w:r>
      <w:proofErr w:type="spellEnd"/>
      <w:r w:rsidRPr="00015A39">
        <w:rPr>
          <w:rFonts w:cs="Times New Roman"/>
          <w:color w:val="000000" w:themeColor="text1"/>
          <w:sz w:val="24"/>
          <w:szCs w:val="24"/>
          <w:shd w:val="clear" w:color="auto" w:fill="FFFFFF"/>
        </w:rPr>
        <w:t xml:space="preserve"> GK, Perelman D, et al. Gut-microbiota-targeted diets modulate human immune status.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Cell</w:t>
      </w:r>
      <w:r w:rsidRPr="00015A39">
        <w:rPr>
          <w:rFonts w:cs="Times New Roman"/>
          <w:color w:val="000000" w:themeColor="text1"/>
          <w:sz w:val="24"/>
          <w:szCs w:val="24"/>
          <w:shd w:val="clear" w:color="auto" w:fill="FFFFFF"/>
        </w:rPr>
        <w:t>. 2021;184(16):4137-4153.e14. doi:10.1016/j.cell.2021.06.019</w:t>
      </w:r>
    </w:p>
    <w:p w14:paraId="584A7BA1" w14:textId="77777777" w:rsidR="009E29C6" w:rsidRPr="00015A39" w:rsidRDefault="009E29C6" w:rsidP="009E29C6">
      <w:pPr>
        <w:pStyle w:val="ListParagraph"/>
        <w:numPr>
          <w:ilvl w:val="0"/>
          <w:numId w:val="3"/>
        </w:numPr>
        <w:rPr>
          <w:rFonts w:cs="Times New Roman"/>
          <w:color w:val="000000" w:themeColor="text1"/>
          <w:sz w:val="24"/>
          <w:szCs w:val="24"/>
        </w:rPr>
      </w:pPr>
      <w:r w:rsidRPr="00015A39">
        <w:rPr>
          <w:rFonts w:cs="Times New Roman"/>
          <w:color w:val="000000" w:themeColor="text1"/>
          <w:sz w:val="24"/>
          <w:szCs w:val="24"/>
          <w:shd w:val="clear" w:color="auto" w:fill="FFFFFF"/>
        </w:rPr>
        <w:t>Kantor R, Silverberg JI. Environmental risk factors and their role in the management of atopic dermatitis.</w:t>
      </w:r>
      <w:r w:rsidRPr="00015A39">
        <w:rPr>
          <w:rStyle w:val="apple-converted-space"/>
          <w:rFonts w:cs="Times New Roman"/>
          <w:color w:val="000000" w:themeColor="text1"/>
          <w:sz w:val="24"/>
          <w:szCs w:val="24"/>
          <w:shd w:val="clear" w:color="auto" w:fill="FFFFFF"/>
        </w:rPr>
        <w:t> </w:t>
      </w:r>
      <w:r w:rsidRPr="00015A39">
        <w:rPr>
          <w:rFonts w:cs="Times New Roman"/>
          <w:i/>
          <w:iCs/>
          <w:color w:val="000000" w:themeColor="text1"/>
          <w:sz w:val="24"/>
          <w:szCs w:val="24"/>
        </w:rPr>
        <w:t>Expert Rev Clin Immunol</w:t>
      </w:r>
      <w:r w:rsidRPr="00015A39">
        <w:rPr>
          <w:rFonts w:cs="Times New Roman"/>
          <w:color w:val="000000" w:themeColor="text1"/>
          <w:sz w:val="24"/>
          <w:szCs w:val="24"/>
          <w:shd w:val="clear" w:color="auto" w:fill="FFFFFF"/>
        </w:rPr>
        <w:t>. 2017;13(1):15-26. doi:10.1080/1744666X.2016.1212660</w:t>
      </w:r>
    </w:p>
    <w:p w14:paraId="3C75C6ED" w14:textId="77777777" w:rsidR="009E29C6" w:rsidRPr="00015A39" w:rsidRDefault="009E29C6" w:rsidP="009E29C6">
      <w:pPr>
        <w:pStyle w:val="ListParagraph"/>
        <w:numPr>
          <w:ilvl w:val="0"/>
          <w:numId w:val="3"/>
        </w:numPr>
        <w:rPr>
          <w:rFonts w:cs="Times New Roman"/>
          <w:color w:val="000000" w:themeColor="text1"/>
          <w:sz w:val="24"/>
          <w:szCs w:val="24"/>
        </w:rPr>
      </w:pPr>
      <w:r w:rsidRPr="00015A39">
        <w:rPr>
          <w:rFonts w:cs="Times New Roman"/>
          <w:color w:val="000000" w:themeColor="text1"/>
          <w:sz w:val="24"/>
          <w:szCs w:val="24"/>
          <w:shd w:val="clear" w:color="auto" w:fill="FFFFFF"/>
        </w:rPr>
        <w:t xml:space="preserve">Shepherd R. Social determinants of food </w:t>
      </w:r>
      <w:proofErr w:type="spellStart"/>
      <w:r w:rsidRPr="00015A39">
        <w:rPr>
          <w:rFonts w:cs="Times New Roman"/>
          <w:color w:val="000000" w:themeColor="text1"/>
          <w:sz w:val="24"/>
          <w:szCs w:val="24"/>
          <w:shd w:val="clear" w:color="auto" w:fill="FFFFFF"/>
        </w:rPr>
        <w:t>choice.</w:t>
      </w:r>
      <w:r w:rsidRPr="00015A39">
        <w:rPr>
          <w:rFonts w:cs="Times New Roman"/>
          <w:i/>
          <w:iCs/>
          <w:color w:val="000000" w:themeColor="text1"/>
          <w:sz w:val="24"/>
          <w:szCs w:val="24"/>
        </w:rPr>
        <w:t>Proc</w:t>
      </w:r>
      <w:proofErr w:type="spellEnd"/>
      <w:r w:rsidRPr="00015A39">
        <w:rPr>
          <w:rFonts w:cs="Times New Roman"/>
          <w:i/>
          <w:iCs/>
          <w:color w:val="000000" w:themeColor="text1"/>
          <w:sz w:val="24"/>
          <w:szCs w:val="24"/>
        </w:rPr>
        <w:t xml:space="preserve"> </w:t>
      </w:r>
      <w:proofErr w:type="spellStart"/>
      <w:r w:rsidRPr="00015A39">
        <w:rPr>
          <w:rFonts w:cs="Times New Roman"/>
          <w:i/>
          <w:iCs/>
          <w:color w:val="000000" w:themeColor="text1"/>
          <w:sz w:val="24"/>
          <w:szCs w:val="24"/>
        </w:rPr>
        <w:t>Nutr</w:t>
      </w:r>
      <w:proofErr w:type="spellEnd"/>
      <w:r w:rsidRPr="00015A39">
        <w:rPr>
          <w:rFonts w:cs="Times New Roman"/>
          <w:i/>
          <w:iCs/>
          <w:color w:val="000000" w:themeColor="text1"/>
          <w:sz w:val="24"/>
          <w:szCs w:val="24"/>
        </w:rPr>
        <w:t xml:space="preserve"> Soc</w:t>
      </w:r>
      <w:r w:rsidRPr="00015A39">
        <w:rPr>
          <w:rFonts w:cs="Times New Roman"/>
          <w:color w:val="000000" w:themeColor="text1"/>
          <w:sz w:val="24"/>
          <w:szCs w:val="24"/>
          <w:shd w:val="clear" w:color="auto" w:fill="FFFFFF"/>
        </w:rPr>
        <w:t xml:space="preserve">. 1999;58(4):807-812. doi:10.1017/s0029665199001093 </w:t>
      </w:r>
    </w:p>
    <w:p w14:paraId="0D5D3A1B" w14:textId="77777777" w:rsidR="009E29C6" w:rsidRPr="00015A39" w:rsidRDefault="009E29C6" w:rsidP="009E29C6">
      <w:pPr>
        <w:pStyle w:val="ListParagraph"/>
        <w:numPr>
          <w:ilvl w:val="0"/>
          <w:numId w:val="3"/>
        </w:numPr>
        <w:spacing w:after="0"/>
        <w:rPr>
          <w:rFonts w:cs="Times New Roman"/>
          <w:color w:val="000000" w:themeColor="text1"/>
          <w:sz w:val="24"/>
          <w:szCs w:val="24"/>
          <w:shd w:val="clear" w:color="auto" w:fill="FFFFFF"/>
        </w:rPr>
      </w:pPr>
      <w:r w:rsidRPr="00015A39">
        <w:rPr>
          <w:rFonts w:cs="Times New Roman"/>
          <w:color w:val="000000" w:themeColor="text1"/>
          <w:sz w:val="24"/>
          <w:szCs w:val="24"/>
          <w:shd w:val="clear" w:color="auto" w:fill="FFFFFF"/>
        </w:rPr>
        <w:t>Ellwood P, Asher MI, Billo NE, et al. The Global Asthma Network rationale and methods for Phase I global surveillance: prevalence, severity, management and risk factors.</w:t>
      </w:r>
      <w:r w:rsidRPr="00015A39">
        <w:rPr>
          <w:rStyle w:val="apple-converted-space"/>
          <w:rFonts w:eastAsiaTheme="majorEastAsia" w:cs="Times New Roman"/>
          <w:color w:val="000000" w:themeColor="text1"/>
          <w:sz w:val="24"/>
          <w:szCs w:val="24"/>
          <w:shd w:val="clear" w:color="auto" w:fill="FFFFFF"/>
        </w:rPr>
        <w:t> </w:t>
      </w:r>
      <w:proofErr w:type="spellStart"/>
      <w:r w:rsidRPr="00015A39">
        <w:rPr>
          <w:rFonts w:cs="Times New Roman"/>
          <w:i/>
          <w:iCs/>
          <w:color w:val="000000" w:themeColor="text1"/>
          <w:sz w:val="24"/>
          <w:szCs w:val="24"/>
        </w:rPr>
        <w:t>Eur</w:t>
      </w:r>
      <w:proofErr w:type="spellEnd"/>
      <w:r w:rsidRPr="00015A39">
        <w:rPr>
          <w:rFonts w:cs="Times New Roman"/>
          <w:i/>
          <w:iCs/>
          <w:color w:val="000000" w:themeColor="text1"/>
          <w:sz w:val="24"/>
          <w:szCs w:val="24"/>
        </w:rPr>
        <w:t xml:space="preserve"> Respir J</w:t>
      </w:r>
      <w:r w:rsidRPr="00015A39">
        <w:rPr>
          <w:rFonts w:cs="Times New Roman"/>
          <w:color w:val="000000" w:themeColor="text1"/>
          <w:sz w:val="24"/>
          <w:szCs w:val="24"/>
          <w:shd w:val="clear" w:color="auto" w:fill="FFFFFF"/>
        </w:rPr>
        <w:t>. 2017;49(1):1601605. Published 2017 Jan 11. doi:10.1183/13993003.01605-2016</w:t>
      </w:r>
    </w:p>
    <w:p w14:paraId="4C8AE6A3" w14:textId="77777777" w:rsidR="009E29C6" w:rsidRPr="00015A39" w:rsidRDefault="009E29C6" w:rsidP="009E29C6">
      <w:pPr>
        <w:pStyle w:val="ListParagraph"/>
        <w:numPr>
          <w:ilvl w:val="0"/>
          <w:numId w:val="3"/>
        </w:numPr>
        <w:spacing w:after="0"/>
        <w:rPr>
          <w:rFonts w:cs="Times New Roman"/>
          <w:color w:val="000000" w:themeColor="text1"/>
          <w:sz w:val="24"/>
          <w:szCs w:val="24"/>
        </w:rPr>
      </w:pPr>
      <w:r w:rsidRPr="00015A39">
        <w:rPr>
          <w:rFonts w:cs="Times New Roman"/>
          <w:color w:val="000000" w:themeColor="text1"/>
          <w:sz w:val="24"/>
          <w:szCs w:val="24"/>
          <w:shd w:val="clear" w:color="auto" w:fill="FFFFFF"/>
        </w:rPr>
        <w:t xml:space="preserve">Global Asthma Network . 2016. The global asthma Network manual for global Surveillance: prevalence, severity, Management and risk factors: Global Asthma Network. </w:t>
      </w:r>
    </w:p>
    <w:p w14:paraId="07BEEA56" w14:textId="77777777" w:rsidR="009E29C6" w:rsidRPr="00015A39" w:rsidRDefault="009E29C6" w:rsidP="009E29C6">
      <w:pPr>
        <w:pStyle w:val="ListParagraph"/>
        <w:numPr>
          <w:ilvl w:val="0"/>
          <w:numId w:val="3"/>
        </w:numPr>
        <w:spacing w:after="0"/>
        <w:rPr>
          <w:rFonts w:cs="Times New Roman"/>
          <w:color w:val="000000" w:themeColor="text1"/>
          <w:sz w:val="24"/>
          <w:szCs w:val="24"/>
        </w:rPr>
      </w:pPr>
      <w:r w:rsidRPr="00015A39">
        <w:rPr>
          <w:rFonts w:cs="Times New Roman"/>
          <w:color w:val="000000" w:themeColor="text1"/>
          <w:sz w:val="24"/>
          <w:szCs w:val="24"/>
        </w:rPr>
        <w:t xml:space="preserve">Whitton C, Ho JCY, Tay Z, et al. Relative Validity and Reproducibility of a Food Frequency Questionnaire for Assessing Dietary Intakes in a Multi-Ethnic Asian </w:t>
      </w:r>
      <w:r w:rsidRPr="00015A39">
        <w:rPr>
          <w:rFonts w:cs="Times New Roman"/>
          <w:color w:val="000000" w:themeColor="text1"/>
          <w:sz w:val="24"/>
          <w:szCs w:val="24"/>
        </w:rPr>
        <w:lastRenderedPageBreak/>
        <w:t>Population Using 24-h Dietary Recalls and Biomarkers. </w:t>
      </w:r>
      <w:r w:rsidRPr="00015A39">
        <w:rPr>
          <w:rFonts w:cs="Times New Roman"/>
          <w:i/>
          <w:iCs/>
          <w:color w:val="000000" w:themeColor="text1"/>
          <w:sz w:val="24"/>
          <w:szCs w:val="24"/>
        </w:rPr>
        <w:t>Nutrients</w:t>
      </w:r>
      <w:r w:rsidRPr="00015A39">
        <w:rPr>
          <w:rFonts w:cs="Times New Roman"/>
          <w:color w:val="000000" w:themeColor="text1"/>
          <w:sz w:val="24"/>
          <w:szCs w:val="24"/>
        </w:rPr>
        <w:t>. 2017;9(10):1059. Published 2017 Sep 25. doi:10.3390/nu9101059</w:t>
      </w:r>
    </w:p>
    <w:p w14:paraId="4230A708" w14:textId="77777777" w:rsidR="009E29C6" w:rsidRPr="00015A39" w:rsidRDefault="009E29C6" w:rsidP="009E29C6">
      <w:pPr>
        <w:pStyle w:val="ListParagraph"/>
        <w:numPr>
          <w:ilvl w:val="0"/>
          <w:numId w:val="3"/>
        </w:numPr>
        <w:spacing w:after="0"/>
        <w:rPr>
          <w:rFonts w:cs="Times New Roman"/>
          <w:color w:val="000000" w:themeColor="text1"/>
          <w:sz w:val="24"/>
          <w:szCs w:val="24"/>
          <w:shd w:val="clear" w:color="auto" w:fill="FFFFFF"/>
        </w:rPr>
      </w:pPr>
      <w:r w:rsidRPr="00015A39">
        <w:rPr>
          <w:rFonts w:cs="Times New Roman"/>
          <w:color w:val="000000" w:themeColor="text1"/>
          <w:sz w:val="24"/>
          <w:szCs w:val="24"/>
          <w:shd w:val="clear" w:color="auto" w:fill="FFFFFF"/>
        </w:rPr>
        <w:t>Soh SE, Chong YS, Kwek K, et al. Insights from the Growing Up in Singapore Towards Healthy Outcomes (GUSTO) cohort study. </w:t>
      </w:r>
      <w:r w:rsidRPr="00015A39">
        <w:rPr>
          <w:rFonts w:cs="Times New Roman"/>
          <w:i/>
          <w:iCs/>
          <w:color w:val="000000" w:themeColor="text1"/>
          <w:sz w:val="24"/>
          <w:szCs w:val="24"/>
          <w:shd w:val="clear" w:color="auto" w:fill="FFFFFF"/>
        </w:rPr>
        <w:t xml:space="preserve">Ann </w:t>
      </w:r>
      <w:proofErr w:type="spellStart"/>
      <w:r w:rsidRPr="00015A39">
        <w:rPr>
          <w:rFonts w:cs="Times New Roman"/>
          <w:i/>
          <w:iCs/>
          <w:color w:val="000000" w:themeColor="text1"/>
          <w:sz w:val="24"/>
          <w:szCs w:val="24"/>
          <w:shd w:val="clear" w:color="auto" w:fill="FFFFFF"/>
        </w:rPr>
        <w:t>Nutr</w:t>
      </w:r>
      <w:proofErr w:type="spellEnd"/>
      <w:r w:rsidRPr="00015A39">
        <w:rPr>
          <w:rFonts w:cs="Times New Roman"/>
          <w:i/>
          <w:iCs/>
          <w:color w:val="000000" w:themeColor="text1"/>
          <w:sz w:val="24"/>
          <w:szCs w:val="24"/>
          <w:shd w:val="clear" w:color="auto" w:fill="FFFFFF"/>
        </w:rPr>
        <w:t xml:space="preserve"> </w:t>
      </w:r>
      <w:proofErr w:type="spellStart"/>
      <w:r w:rsidRPr="00015A39">
        <w:rPr>
          <w:rFonts w:cs="Times New Roman"/>
          <w:i/>
          <w:iCs/>
          <w:color w:val="000000" w:themeColor="text1"/>
          <w:sz w:val="24"/>
          <w:szCs w:val="24"/>
          <w:shd w:val="clear" w:color="auto" w:fill="FFFFFF"/>
        </w:rPr>
        <w:t>Metab</w:t>
      </w:r>
      <w:proofErr w:type="spellEnd"/>
      <w:r w:rsidRPr="00015A39">
        <w:rPr>
          <w:rFonts w:cs="Times New Roman"/>
          <w:color w:val="000000" w:themeColor="text1"/>
          <w:sz w:val="24"/>
          <w:szCs w:val="24"/>
          <w:shd w:val="clear" w:color="auto" w:fill="FFFFFF"/>
        </w:rPr>
        <w:t>. 2014;64(3-4):218-225. doi:10.1159/000365023</w:t>
      </w:r>
    </w:p>
    <w:p w14:paraId="5F84A3D0" w14:textId="77777777" w:rsidR="009E29C6" w:rsidRPr="00015A39" w:rsidRDefault="009E29C6" w:rsidP="009E29C6">
      <w:pPr>
        <w:pStyle w:val="ListParagraph"/>
        <w:numPr>
          <w:ilvl w:val="0"/>
          <w:numId w:val="3"/>
        </w:numPr>
        <w:spacing w:after="0"/>
        <w:rPr>
          <w:rFonts w:cs="Times New Roman"/>
          <w:color w:val="000000" w:themeColor="text1"/>
          <w:sz w:val="24"/>
          <w:szCs w:val="24"/>
          <w:shd w:val="clear" w:color="auto" w:fill="FFFFFF"/>
        </w:rPr>
      </w:pPr>
      <w:r w:rsidRPr="00015A39">
        <w:rPr>
          <w:rFonts w:cs="Times New Roman"/>
          <w:color w:val="000000" w:themeColor="text1"/>
          <w:sz w:val="24"/>
          <w:szCs w:val="24"/>
          <w:shd w:val="clear" w:color="auto" w:fill="FFFFFF"/>
        </w:rPr>
        <w:t>Lam CCB, Mina T, Xie W, et al. The relationships between sleep and adiposity amongst multi-ethnic Asian populations: a cross-sectional analysis of the Health for Life in Singapore (HELIOS) study. </w:t>
      </w:r>
      <w:r w:rsidRPr="00015A39">
        <w:rPr>
          <w:rFonts w:cs="Times New Roman"/>
          <w:i/>
          <w:iCs/>
          <w:color w:val="000000" w:themeColor="text1"/>
          <w:sz w:val="24"/>
          <w:szCs w:val="24"/>
          <w:shd w:val="clear" w:color="auto" w:fill="FFFFFF"/>
        </w:rPr>
        <w:t xml:space="preserve">Int J </w:t>
      </w:r>
      <w:proofErr w:type="spellStart"/>
      <w:r w:rsidRPr="00015A39">
        <w:rPr>
          <w:rFonts w:cs="Times New Roman"/>
          <w:i/>
          <w:iCs/>
          <w:color w:val="000000" w:themeColor="text1"/>
          <w:sz w:val="24"/>
          <w:szCs w:val="24"/>
          <w:shd w:val="clear" w:color="auto" w:fill="FFFFFF"/>
        </w:rPr>
        <w:t>Obes</w:t>
      </w:r>
      <w:proofErr w:type="spellEnd"/>
      <w:r w:rsidRPr="00015A39">
        <w:rPr>
          <w:rFonts w:cs="Times New Roman"/>
          <w:i/>
          <w:iCs/>
          <w:color w:val="000000" w:themeColor="text1"/>
          <w:sz w:val="24"/>
          <w:szCs w:val="24"/>
          <w:shd w:val="clear" w:color="auto" w:fill="FFFFFF"/>
        </w:rPr>
        <w:t xml:space="preserve"> (Lond)</w:t>
      </w:r>
      <w:r w:rsidRPr="00015A39">
        <w:rPr>
          <w:rFonts w:cs="Times New Roman"/>
          <w:color w:val="000000" w:themeColor="text1"/>
          <w:sz w:val="24"/>
          <w:szCs w:val="24"/>
          <w:shd w:val="clear" w:color="auto" w:fill="FFFFFF"/>
        </w:rPr>
        <w:t>. Published online November 19, 2024. doi:10.1038/s41366-024-01666-5</w:t>
      </w:r>
    </w:p>
    <w:p w14:paraId="584FB3F1" w14:textId="77777777" w:rsidR="00803C44" w:rsidRPr="00015A39" w:rsidRDefault="00803C44" w:rsidP="00D969CF">
      <w:pPr>
        <w:rPr>
          <w:b/>
          <w:bCs/>
          <w:color w:val="000000" w:themeColor="text1"/>
        </w:rPr>
        <w:sectPr w:rsidR="00803C44" w:rsidRPr="00015A39" w:rsidSect="00B53596">
          <w:headerReference w:type="even" r:id="rId8"/>
          <w:headerReference w:type="default" r:id="rId9"/>
          <w:footerReference w:type="even" r:id="rId10"/>
          <w:footerReference w:type="default" r:id="rId11"/>
          <w:pgSz w:w="11900" w:h="16840"/>
          <w:pgMar w:top="1440" w:right="1440" w:bottom="1440" w:left="1440" w:header="708" w:footer="708" w:gutter="0"/>
          <w:cols w:space="708"/>
          <w:docGrid w:linePitch="360"/>
        </w:sectPr>
      </w:pPr>
    </w:p>
    <w:p w14:paraId="2384029D" w14:textId="51814FEB" w:rsidR="00D41230" w:rsidRPr="00015A39" w:rsidRDefault="00D41230" w:rsidP="00D41230">
      <w:pPr>
        <w:pStyle w:val="Heading1"/>
        <w:rPr>
          <w:color w:val="000000" w:themeColor="text1"/>
          <w:sz w:val="24"/>
          <w:szCs w:val="24"/>
        </w:rPr>
      </w:pPr>
      <w:r w:rsidRPr="00015A39">
        <w:rPr>
          <w:color w:val="000000" w:themeColor="text1"/>
          <w:sz w:val="24"/>
          <w:szCs w:val="24"/>
        </w:rPr>
        <w:lastRenderedPageBreak/>
        <w:t>Tables</w:t>
      </w:r>
    </w:p>
    <w:p w14:paraId="5758F72E" w14:textId="77777777" w:rsidR="00954983" w:rsidRPr="00015A39" w:rsidRDefault="00954983" w:rsidP="00954983">
      <w:pPr>
        <w:jc w:val="both"/>
        <w:rPr>
          <w:color w:val="000000" w:themeColor="text1"/>
        </w:rPr>
      </w:pPr>
      <w:r w:rsidRPr="00015A39">
        <w:rPr>
          <w:b/>
          <w:bCs/>
          <w:color w:val="000000" w:themeColor="text1"/>
        </w:rPr>
        <w:t xml:space="preserve">Table 1. </w:t>
      </w:r>
      <w:r w:rsidRPr="00015A39">
        <w:rPr>
          <w:color w:val="000000" w:themeColor="text1"/>
        </w:rPr>
        <w:t xml:space="preserve">An overview of the demographic distribution of 13,561 young Chinese adults from the Singapore/Malaysia Cross-sectional Genetics Epidemiology Study (SMCGES) cohort. Participants were categorized based on their dietary fat scores using the frequency-based dietary index, Diet Quality based on Dietary Fat Score (DQDFS).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1"/>
        <w:gridCol w:w="1662"/>
        <w:gridCol w:w="1717"/>
        <w:gridCol w:w="1649"/>
        <w:gridCol w:w="1512"/>
        <w:gridCol w:w="1717"/>
        <w:gridCol w:w="1717"/>
        <w:gridCol w:w="1655"/>
      </w:tblGrid>
      <w:tr w:rsidR="00015A39" w:rsidRPr="00015A39" w14:paraId="081EFD45" w14:textId="77777777" w:rsidTr="006D313F">
        <w:tc>
          <w:tcPr>
            <w:tcW w:w="1961" w:type="dxa"/>
            <w:vMerge w:val="restart"/>
            <w:tcBorders>
              <w:top w:val="single" w:sz="4" w:space="0" w:color="auto"/>
            </w:tcBorders>
            <w:shd w:val="clear" w:color="auto" w:fill="D0CECE" w:themeFill="background2" w:themeFillShade="E6"/>
            <w:vAlign w:val="center"/>
          </w:tcPr>
          <w:p w14:paraId="0B0F8504" w14:textId="77777777" w:rsidR="00954983" w:rsidRPr="00015A39" w:rsidRDefault="00954983" w:rsidP="006D313F">
            <w:pPr>
              <w:rPr>
                <w:b/>
                <w:bCs/>
                <w:color w:val="000000" w:themeColor="text1"/>
                <w:sz w:val="24"/>
                <w:szCs w:val="24"/>
                <w:lang w:val="en-US"/>
              </w:rPr>
            </w:pPr>
            <w:r w:rsidRPr="00015A39">
              <w:rPr>
                <w:b/>
                <w:bCs/>
                <w:color w:val="000000" w:themeColor="text1"/>
                <w:sz w:val="24"/>
                <w:szCs w:val="24"/>
                <w:lang w:val="en-US"/>
              </w:rPr>
              <w:t>Variables</w:t>
            </w:r>
          </w:p>
        </w:tc>
        <w:tc>
          <w:tcPr>
            <w:tcW w:w="5213" w:type="dxa"/>
            <w:gridSpan w:val="3"/>
            <w:tcBorders>
              <w:top w:val="single" w:sz="4" w:space="0" w:color="auto"/>
              <w:bottom w:val="single" w:sz="4" w:space="0" w:color="auto"/>
            </w:tcBorders>
            <w:shd w:val="clear" w:color="auto" w:fill="D0CECE" w:themeFill="background2" w:themeFillShade="E6"/>
            <w:vAlign w:val="center"/>
          </w:tcPr>
          <w:p w14:paraId="6D6EB41B" w14:textId="77777777" w:rsidR="00954983" w:rsidRPr="00015A39" w:rsidRDefault="00954983" w:rsidP="006D313F">
            <w:pPr>
              <w:jc w:val="center"/>
              <w:rPr>
                <w:b/>
                <w:bCs/>
                <w:color w:val="000000" w:themeColor="text1"/>
                <w:sz w:val="24"/>
                <w:szCs w:val="24"/>
                <w:lang w:val="en-US"/>
              </w:rPr>
            </w:pPr>
            <w:r w:rsidRPr="00015A39">
              <w:rPr>
                <w:b/>
                <w:bCs/>
                <w:color w:val="000000" w:themeColor="text1"/>
                <w:sz w:val="24"/>
                <w:szCs w:val="24"/>
                <w:lang w:val="en-US"/>
              </w:rPr>
              <w:t>Diet Quality based on Dietary Fat Score (DQDFS)</w:t>
            </w:r>
            <w:r w:rsidRPr="00015A39">
              <w:rPr>
                <w:b/>
                <w:bCs/>
                <w:color w:val="000000" w:themeColor="text1"/>
                <w:sz w:val="24"/>
                <w:szCs w:val="24"/>
                <w:vertAlign w:val="superscript"/>
                <w:lang w:val="en-US"/>
              </w:rPr>
              <w:t>1</w:t>
            </w:r>
          </w:p>
        </w:tc>
        <w:tc>
          <w:tcPr>
            <w:tcW w:w="1530" w:type="dxa"/>
            <w:tcBorders>
              <w:top w:val="single" w:sz="4" w:space="0" w:color="auto"/>
              <w:bottom w:val="single" w:sz="4" w:space="0" w:color="auto"/>
            </w:tcBorders>
            <w:shd w:val="clear" w:color="auto" w:fill="D0CECE" w:themeFill="background2" w:themeFillShade="E6"/>
          </w:tcPr>
          <w:p w14:paraId="4B005EDA" w14:textId="77777777" w:rsidR="00954983" w:rsidRPr="00015A39" w:rsidRDefault="00954983" w:rsidP="006D313F">
            <w:pPr>
              <w:jc w:val="center"/>
              <w:rPr>
                <w:b/>
                <w:bCs/>
                <w:color w:val="000000" w:themeColor="text1"/>
                <w:sz w:val="24"/>
                <w:szCs w:val="24"/>
                <w:lang w:val="en-US"/>
              </w:rPr>
            </w:pPr>
          </w:p>
        </w:tc>
        <w:tc>
          <w:tcPr>
            <w:tcW w:w="5256" w:type="dxa"/>
            <w:gridSpan w:val="3"/>
            <w:tcBorders>
              <w:top w:val="single" w:sz="4" w:space="0" w:color="auto"/>
              <w:bottom w:val="single" w:sz="4" w:space="0" w:color="auto"/>
            </w:tcBorders>
            <w:shd w:val="clear" w:color="auto" w:fill="D0CECE" w:themeFill="background2" w:themeFillShade="E6"/>
            <w:vAlign w:val="center"/>
          </w:tcPr>
          <w:p w14:paraId="6843B260" w14:textId="77777777" w:rsidR="00954983" w:rsidRPr="00015A39" w:rsidRDefault="00954983" w:rsidP="006D313F">
            <w:pPr>
              <w:jc w:val="center"/>
              <w:rPr>
                <w:b/>
                <w:bCs/>
                <w:color w:val="000000" w:themeColor="text1"/>
                <w:sz w:val="24"/>
                <w:szCs w:val="24"/>
                <w:vertAlign w:val="superscript"/>
                <w:lang w:val="en-US"/>
              </w:rPr>
            </w:pPr>
            <w:r w:rsidRPr="00015A39">
              <w:rPr>
                <w:b/>
                <w:bCs/>
                <w:color w:val="000000" w:themeColor="text1"/>
                <w:sz w:val="24"/>
                <w:szCs w:val="24"/>
                <w:lang w:val="en-US"/>
              </w:rPr>
              <w:t>Chi-square p-value</w:t>
            </w:r>
            <w:r w:rsidRPr="00015A39">
              <w:rPr>
                <w:b/>
                <w:bCs/>
                <w:color w:val="000000" w:themeColor="text1"/>
                <w:sz w:val="24"/>
                <w:szCs w:val="24"/>
                <w:vertAlign w:val="superscript"/>
                <w:lang w:val="en-US"/>
              </w:rPr>
              <w:t>2</w:t>
            </w:r>
          </w:p>
        </w:tc>
      </w:tr>
      <w:tr w:rsidR="00015A39" w:rsidRPr="00015A39" w14:paraId="28337826" w14:textId="77777777" w:rsidTr="006D313F">
        <w:tc>
          <w:tcPr>
            <w:tcW w:w="1961" w:type="dxa"/>
            <w:vMerge/>
            <w:tcBorders>
              <w:bottom w:val="single" w:sz="4" w:space="0" w:color="auto"/>
            </w:tcBorders>
            <w:shd w:val="clear" w:color="auto" w:fill="D0CECE" w:themeFill="background2" w:themeFillShade="E6"/>
            <w:vAlign w:val="center"/>
          </w:tcPr>
          <w:p w14:paraId="27E7053A" w14:textId="77777777" w:rsidR="00954983" w:rsidRPr="00015A39" w:rsidRDefault="00954983" w:rsidP="006D313F">
            <w:pPr>
              <w:rPr>
                <w:b/>
                <w:bCs/>
                <w:color w:val="000000" w:themeColor="text1"/>
                <w:sz w:val="24"/>
                <w:szCs w:val="24"/>
              </w:rPr>
            </w:pPr>
          </w:p>
        </w:tc>
        <w:tc>
          <w:tcPr>
            <w:tcW w:w="1730" w:type="dxa"/>
            <w:tcBorders>
              <w:top w:val="single" w:sz="4" w:space="0" w:color="auto"/>
              <w:bottom w:val="single" w:sz="4" w:space="0" w:color="auto"/>
            </w:tcBorders>
            <w:shd w:val="clear" w:color="auto" w:fill="D0CECE" w:themeFill="background2" w:themeFillShade="E6"/>
            <w:vAlign w:val="center"/>
          </w:tcPr>
          <w:p w14:paraId="64C04EA5" w14:textId="77777777" w:rsidR="00954983" w:rsidRPr="00015A39" w:rsidRDefault="00954983" w:rsidP="006D313F">
            <w:pPr>
              <w:jc w:val="center"/>
              <w:rPr>
                <w:b/>
                <w:bCs/>
                <w:color w:val="000000" w:themeColor="text1"/>
                <w:sz w:val="24"/>
                <w:szCs w:val="24"/>
                <w:vertAlign w:val="superscript"/>
                <w:lang w:val="en-US"/>
              </w:rPr>
            </w:pPr>
            <w:r w:rsidRPr="00015A39">
              <w:rPr>
                <w:b/>
                <w:bCs/>
                <w:color w:val="000000" w:themeColor="text1"/>
                <w:sz w:val="24"/>
                <w:szCs w:val="24"/>
                <w:lang w:val="en-US"/>
              </w:rPr>
              <w:t>Low DFS</w:t>
            </w:r>
          </w:p>
          <w:p w14:paraId="40960235"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lang w:val="en-US"/>
              </w:rPr>
              <w:t>(</w:t>
            </w:r>
            <w:r w:rsidRPr="00015A39">
              <w:rPr>
                <w:b/>
                <w:bCs/>
                <w:i/>
                <w:iCs/>
                <w:color w:val="000000" w:themeColor="text1"/>
                <w:sz w:val="24"/>
                <w:szCs w:val="24"/>
                <w:lang w:val="en-US"/>
              </w:rPr>
              <w:t>n</w:t>
            </w:r>
            <w:r w:rsidRPr="00015A39">
              <w:rPr>
                <w:b/>
                <w:bCs/>
                <w:color w:val="000000" w:themeColor="text1"/>
                <w:sz w:val="24"/>
                <w:szCs w:val="24"/>
                <w:lang w:val="en-US"/>
              </w:rPr>
              <w:t xml:space="preserve"> = 4343)</w:t>
            </w:r>
          </w:p>
        </w:tc>
        <w:tc>
          <w:tcPr>
            <w:tcW w:w="1768" w:type="dxa"/>
            <w:tcBorders>
              <w:top w:val="single" w:sz="4" w:space="0" w:color="auto"/>
              <w:bottom w:val="single" w:sz="4" w:space="0" w:color="auto"/>
            </w:tcBorders>
            <w:shd w:val="clear" w:color="auto" w:fill="D0CECE" w:themeFill="background2" w:themeFillShade="E6"/>
            <w:vAlign w:val="center"/>
          </w:tcPr>
          <w:p w14:paraId="55DF852B" w14:textId="77777777" w:rsidR="00954983" w:rsidRPr="00015A39" w:rsidRDefault="00954983" w:rsidP="006D313F">
            <w:pPr>
              <w:jc w:val="center"/>
              <w:rPr>
                <w:b/>
                <w:bCs/>
                <w:color w:val="000000" w:themeColor="text1"/>
                <w:sz w:val="24"/>
                <w:szCs w:val="24"/>
                <w:vertAlign w:val="superscript"/>
                <w:lang w:val="en-US"/>
              </w:rPr>
            </w:pPr>
            <w:r w:rsidRPr="00015A39">
              <w:rPr>
                <w:b/>
                <w:bCs/>
                <w:color w:val="000000" w:themeColor="text1"/>
                <w:sz w:val="24"/>
                <w:szCs w:val="24"/>
                <w:lang w:val="en-US"/>
              </w:rPr>
              <w:t>Moderate DFS</w:t>
            </w:r>
          </w:p>
          <w:p w14:paraId="7B049B42" w14:textId="77777777" w:rsidR="00954983" w:rsidRPr="00015A39" w:rsidRDefault="00954983" w:rsidP="006D313F">
            <w:pPr>
              <w:jc w:val="center"/>
              <w:rPr>
                <w:b/>
                <w:bCs/>
                <w:color w:val="000000" w:themeColor="text1"/>
                <w:sz w:val="24"/>
                <w:szCs w:val="24"/>
              </w:rPr>
            </w:pPr>
            <w:r w:rsidRPr="00015A39">
              <w:rPr>
                <w:b/>
                <w:bCs/>
                <w:i/>
                <w:iCs/>
                <w:color w:val="000000" w:themeColor="text1"/>
                <w:sz w:val="24"/>
                <w:szCs w:val="24"/>
                <w:lang w:val="en-US"/>
              </w:rPr>
              <w:t>(n</w:t>
            </w:r>
            <w:r w:rsidRPr="00015A39">
              <w:rPr>
                <w:b/>
                <w:bCs/>
                <w:color w:val="000000" w:themeColor="text1"/>
                <w:sz w:val="24"/>
                <w:szCs w:val="24"/>
                <w:lang w:val="en-US"/>
              </w:rPr>
              <w:t xml:space="preserve"> = 3984)</w:t>
            </w:r>
          </w:p>
        </w:tc>
        <w:tc>
          <w:tcPr>
            <w:tcW w:w="1715" w:type="dxa"/>
            <w:tcBorders>
              <w:top w:val="single" w:sz="4" w:space="0" w:color="auto"/>
              <w:bottom w:val="single" w:sz="4" w:space="0" w:color="auto"/>
            </w:tcBorders>
            <w:shd w:val="clear" w:color="auto" w:fill="D0CECE" w:themeFill="background2" w:themeFillShade="E6"/>
            <w:vAlign w:val="center"/>
          </w:tcPr>
          <w:p w14:paraId="7AC52E9B" w14:textId="77777777" w:rsidR="00954983" w:rsidRPr="00015A39" w:rsidRDefault="00954983" w:rsidP="006D313F">
            <w:pPr>
              <w:jc w:val="center"/>
              <w:rPr>
                <w:b/>
                <w:bCs/>
                <w:color w:val="000000" w:themeColor="text1"/>
                <w:sz w:val="24"/>
                <w:szCs w:val="24"/>
                <w:vertAlign w:val="superscript"/>
                <w:lang w:val="en-US"/>
              </w:rPr>
            </w:pPr>
            <w:r w:rsidRPr="00015A39">
              <w:rPr>
                <w:b/>
                <w:bCs/>
                <w:color w:val="000000" w:themeColor="text1"/>
                <w:sz w:val="24"/>
                <w:szCs w:val="24"/>
                <w:lang w:val="en-US"/>
              </w:rPr>
              <w:t>High DFS</w:t>
            </w:r>
          </w:p>
          <w:p w14:paraId="7999E545"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lang w:val="en-US"/>
              </w:rPr>
              <w:t>(</w:t>
            </w:r>
            <w:r w:rsidRPr="00015A39">
              <w:rPr>
                <w:b/>
                <w:bCs/>
                <w:i/>
                <w:iCs/>
                <w:color w:val="000000" w:themeColor="text1"/>
                <w:sz w:val="24"/>
                <w:szCs w:val="24"/>
                <w:lang w:val="en-US"/>
              </w:rPr>
              <w:t>n</w:t>
            </w:r>
            <w:r w:rsidRPr="00015A39">
              <w:rPr>
                <w:b/>
                <w:bCs/>
                <w:color w:val="000000" w:themeColor="text1"/>
                <w:sz w:val="24"/>
                <w:szCs w:val="24"/>
                <w:lang w:val="en-US"/>
              </w:rPr>
              <w:t xml:space="preserve"> = 4658)</w:t>
            </w:r>
          </w:p>
        </w:tc>
        <w:tc>
          <w:tcPr>
            <w:tcW w:w="1530" w:type="dxa"/>
            <w:tcBorders>
              <w:top w:val="single" w:sz="4" w:space="0" w:color="auto"/>
              <w:bottom w:val="single" w:sz="4" w:space="0" w:color="auto"/>
            </w:tcBorders>
            <w:shd w:val="clear" w:color="auto" w:fill="D0CECE" w:themeFill="background2" w:themeFillShade="E6"/>
          </w:tcPr>
          <w:p w14:paraId="1FFD76BD" w14:textId="77777777" w:rsidR="00954983" w:rsidRPr="00015A39" w:rsidRDefault="00954983" w:rsidP="006D313F">
            <w:pPr>
              <w:jc w:val="center"/>
              <w:rPr>
                <w:b/>
                <w:bCs/>
                <w:color w:val="000000" w:themeColor="text1"/>
                <w:sz w:val="24"/>
                <w:szCs w:val="24"/>
                <w:lang w:val="en-US"/>
              </w:rPr>
            </w:pPr>
            <w:r w:rsidRPr="00015A39">
              <w:rPr>
                <w:b/>
                <w:bCs/>
                <w:color w:val="000000" w:themeColor="text1"/>
                <w:sz w:val="24"/>
                <w:szCs w:val="24"/>
                <w:lang w:val="en-US"/>
              </w:rPr>
              <w:t xml:space="preserve">Overall Population </w:t>
            </w:r>
          </w:p>
          <w:p w14:paraId="59C0EF13" w14:textId="77777777" w:rsidR="00954983" w:rsidRPr="00015A39" w:rsidRDefault="00954983" w:rsidP="006D313F">
            <w:pPr>
              <w:jc w:val="center"/>
              <w:rPr>
                <w:b/>
                <w:bCs/>
                <w:color w:val="000000" w:themeColor="text1"/>
                <w:sz w:val="24"/>
                <w:szCs w:val="24"/>
                <w:lang w:val="en-US"/>
              </w:rPr>
            </w:pPr>
            <w:r w:rsidRPr="00015A39">
              <w:rPr>
                <w:b/>
                <w:bCs/>
                <w:color w:val="000000" w:themeColor="text1"/>
                <w:sz w:val="24"/>
                <w:szCs w:val="24"/>
                <w:lang w:val="en-US"/>
              </w:rPr>
              <w:t>(n = 13,561)</w:t>
            </w:r>
          </w:p>
        </w:tc>
        <w:tc>
          <w:tcPr>
            <w:tcW w:w="1768" w:type="dxa"/>
            <w:tcBorders>
              <w:top w:val="single" w:sz="4" w:space="0" w:color="auto"/>
              <w:bottom w:val="single" w:sz="4" w:space="0" w:color="auto"/>
            </w:tcBorders>
            <w:shd w:val="clear" w:color="auto" w:fill="D0CECE" w:themeFill="background2" w:themeFillShade="E6"/>
            <w:vAlign w:val="center"/>
          </w:tcPr>
          <w:p w14:paraId="59A09181"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lang w:val="en-US"/>
              </w:rPr>
              <w:t>Low DFS vs. Moderate DFS</w:t>
            </w:r>
          </w:p>
        </w:tc>
        <w:tc>
          <w:tcPr>
            <w:tcW w:w="1768" w:type="dxa"/>
            <w:tcBorders>
              <w:top w:val="single" w:sz="4" w:space="0" w:color="auto"/>
              <w:bottom w:val="single" w:sz="4" w:space="0" w:color="auto"/>
            </w:tcBorders>
            <w:shd w:val="clear" w:color="auto" w:fill="D0CECE" w:themeFill="background2" w:themeFillShade="E6"/>
            <w:vAlign w:val="center"/>
          </w:tcPr>
          <w:p w14:paraId="7FFAE763"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lang w:val="en-US"/>
              </w:rPr>
              <w:t>Moderate DFS vs. High DFS</w:t>
            </w:r>
          </w:p>
        </w:tc>
        <w:tc>
          <w:tcPr>
            <w:tcW w:w="1720" w:type="dxa"/>
            <w:tcBorders>
              <w:top w:val="single" w:sz="4" w:space="0" w:color="auto"/>
              <w:bottom w:val="single" w:sz="4" w:space="0" w:color="auto"/>
            </w:tcBorders>
            <w:shd w:val="clear" w:color="auto" w:fill="D0CECE" w:themeFill="background2" w:themeFillShade="E6"/>
            <w:vAlign w:val="center"/>
          </w:tcPr>
          <w:p w14:paraId="578BC5E3" w14:textId="77777777" w:rsidR="00954983" w:rsidRPr="00015A39" w:rsidRDefault="00954983" w:rsidP="006D313F">
            <w:pPr>
              <w:jc w:val="center"/>
              <w:rPr>
                <w:color w:val="000000" w:themeColor="text1"/>
                <w:sz w:val="24"/>
                <w:szCs w:val="24"/>
              </w:rPr>
            </w:pPr>
            <w:r w:rsidRPr="00015A39">
              <w:rPr>
                <w:b/>
                <w:bCs/>
                <w:color w:val="000000" w:themeColor="text1"/>
                <w:sz w:val="24"/>
                <w:szCs w:val="24"/>
                <w:lang w:val="en-US"/>
              </w:rPr>
              <w:t>Low DFS vs. High DFS</w:t>
            </w:r>
          </w:p>
        </w:tc>
      </w:tr>
      <w:tr w:rsidR="00015A39" w:rsidRPr="00015A39" w14:paraId="017C3DDD" w14:textId="77777777" w:rsidTr="006D313F">
        <w:tc>
          <w:tcPr>
            <w:tcW w:w="1961" w:type="dxa"/>
            <w:tcBorders>
              <w:top w:val="single" w:sz="4" w:space="0" w:color="auto"/>
              <w:bottom w:val="single" w:sz="4" w:space="0" w:color="auto"/>
            </w:tcBorders>
            <w:shd w:val="clear" w:color="auto" w:fill="D0CECE" w:themeFill="background2" w:themeFillShade="E6"/>
          </w:tcPr>
          <w:p w14:paraId="599505BF" w14:textId="77777777" w:rsidR="00954983" w:rsidRPr="00015A39" w:rsidRDefault="00954983" w:rsidP="006D313F">
            <w:pPr>
              <w:jc w:val="both"/>
              <w:rPr>
                <w:b/>
                <w:bCs/>
                <w:color w:val="000000" w:themeColor="text1"/>
                <w:sz w:val="24"/>
                <w:szCs w:val="24"/>
              </w:rPr>
            </w:pPr>
            <w:r w:rsidRPr="00015A39">
              <w:rPr>
                <w:b/>
                <w:bCs/>
                <w:color w:val="000000" w:themeColor="text1"/>
                <w:sz w:val="24"/>
                <w:szCs w:val="24"/>
              </w:rPr>
              <w:t>Mean Age (± SD)</w:t>
            </w:r>
          </w:p>
        </w:tc>
        <w:tc>
          <w:tcPr>
            <w:tcW w:w="1730" w:type="dxa"/>
            <w:tcBorders>
              <w:top w:val="single" w:sz="4" w:space="0" w:color="auto"/>
              <w:bottom w:val="single" w:sz="4" w:space="0" w:color="auto"/>
            </w:tcBorders>
            <w:shd w:val="clear" w:color="auto" w:fill="D0CECE" w:themeFill="background2" w:themeFillShade="E6"/>
          </w:tcPr>
          <w:p w14:paraId="450A5637" w14:textId="77777777" w:rsidR="00954983" w:rsidRPr="00015A39" w:rsidRDefault="00954983" w:rsidP="006D313F">
            <w:pPr>
              <w:jc w:val="center"/>
              <w:rPr>
                <w:color w:val="000000" w:themeColor="text1"/>
                <w:sz w:val="24"/>
                <w:szCs w:val="24"/>
              </w:rPr>
            </w:pPr>
            <w:r w:rsidRPr="00015A39">
              <w:rPr>
                <w:color w:val="000000" w:themeColor="text1"/>
                <w:sz w:val="24"/>
                <w:szCs w:val="24"/>
              </w:rPr>
              <w:t>22.91 ± 6.58</w:t>
            </w:r>
          </w:p>
        </w:tc>
        <w:tc>
          <w:tcPr>
            <w:tcW w:w="1768" w:type="dxa"/>
            <w:tcBorders>
              <w:top w:val="single" w:sz="4" w:space="0" w:color="auto"/>
              <w:bottom w:val="single" w:sz="4" w:space="0" w:color="auto"/>
            </w:tcBorders>
            <w:shd w:val="clear" w:color="auto" w:fill="D0CECE" w:themeFill="background2" w:themeFillShade="E6"/>
          </w:tcPr>
          <w:p w14:paraId="389A500D" w14:textId="77777777" w:rsidR="00954983" w:rsidRPr="00015A39" w:rsidRDefault="00954983" w:rsidP="006D313F">
            <w:pPr>
              <w:jc w:val="center"/>
              <w:rPr>
                <w:color w:val="000000" w:themeColor="text1"/>
                <w:sz w:val="24"/>
                <w:szCs w:val="24"/>
              </w:rPr>
            </w:pPr>
            <w:r w:rsidRPr="00015A39">
              <w:rPr>
                <w:color w:val="000000" w:themeColor="text1"/>
                <w:sz w:val="24"/>
                <w:szCs w:val="24"/>
              </w:rPr>
              <w:t>22.52 ± 5.89</w:t>
            </w:r>
          </w:p>
        </w:tc>
        <w:tc>
          <w:tcPr>
            <w:tcW w:w="1715" w:type="dxa"/>
            <w:tcBorders>
              <w:top w:val="single" w:sz="4" w:space="0" w:color="auto"/>
              <w:bottom w:val="single" w:sz="4" w:space="0" w:color="auto"/>
            </w:tcBorders>
            <w:shd w:val="clear" w:color="auto" w:fill="D0CECE" w:themeFill="background2" w:themeFillShade="E6"/>
          </w:tcPr>
          <w:p w14:paraId="12FDD4EC" w14:textId="77777777" w:rsidR="00954983" w:rsidRPr="00015A39" w:rsidRDefault="00954983" w:rsidP="006D313F">
            <w:pPr>
              <w:jc w:val="center"/>
              <w:rPr>
                <w:color w:val="000000" w:themeColor="text1"/>
                <w:sz w:val="24"/>
                <w:szCs w:val="24"/>
              </w:rPr>
            </w:pPr>
            <w:r w:rsidRPr="00015A39">
              <w:rPr>
                <w:color w:val="000000" w:themeColor="text1"/>
                <w:sz w:val="24"/>
                <w:szCs w:val="24"/>
              </w:rPr>
              <w:t>22.11 ± 5.09</w:t>
            </w:r>
          </w:p>
        </w:tc>
        <w:tc>
          <w:tcPr>
            <w:tcW w:w="1530" w:type="dxa"/>
            <w:tcBorders>
              <w:top w:val="single" w:sz="4" w:space="0" w:color="auto"/>
              <w:bottom w:val="single" w:sz="4" w:space="0" w:color="auto"/>
            </w:tcBorders>
            <w:shd w:val="clear" w:color="auto" w:fill="D0CECE" w:themeFill="background2" w:themeFillShade="E6"/>
          </w:tcPr>
          <w:p w14:paraId="2EDE1F2D" w14:textId="77777777" w:rsidR="00954983" w:rsidRPr="00015A39" w:rsidRDefault="00954983" w:rsidP="006D313F">
            <w:pPr>
              <w:jc w:val="center"/>
              <w:rPr>
                <w:color w:val="000000" w:themeColor="text1"/>
                <w:sz w:val="24"/>
                <w:szCs w:val="24"/>
              </w:rPr>
            </w:pPr>
            <w:r w:rsidRPr="00015A39">
              <w:rPr>
                <w:color w:val="000000" w:themeColor="text1"/>
                <w:sz w:val="24"/>
                <w:szCs w:val="24"/>
              </w:rPr>
              <w:t>22.51 ± 5.90</w:t>
            </w:r>
          </w:p>
        </w:tc>
        <w:tc>
          <w:tcPr>
            <w:tcW w:w="1768" w:type="dxa"/>
            <w:tcBorders>
              <w:top w:val="single" w:sz="4" w:space="0" w:color="auto"/>
              <w:bottom w:val="single" w:sz="4" w:space="0" w:color="auto"/>
            </w:tcBorders>
            <w:shd w:val="clear" w:color="auto" w:fill="D0CECE" w:themeFill="background2" w:themeFillShade="E6"/>
          </w:tcPr>
          <w:p w14:paraId="1A5ED917"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68" w:type="dxa"/>
            <w:tcBorders>
              <w:top w:val="single" w:sz="4" w:space="0" w:color="auto"/>
              <w:bottom w:val="single" w:sz="4" w:space="0" w:color="auto"/>
            </w:tcBorders>
            <w:shd w:val="clear" w:color="auto" w:fill="D0CECE" w:themeFill="background2" w:themeFillShade="E6"/>
          </w:tcPr>
          <w:p w14:paraId="43BB15BB"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20" w:type="dxa"/>
            <w:tcBorders>
              <w:top w:val="single" w:sz="4" w:space="0" w:color="auto"/>
              <w:bottom w:val="single" w:sz="4" w:space="0" w:color="auto"/>
            </w:tcBorders>
            <w:shd w:val="clear" w:color="auto" w:fill="D0CECE" w:themeFill="background2" w:themeFillShade="E6"/>
          </w:tcPr>
          <w:p w14:paraId="7B3D809F"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r>
      <w:tr w:rsidR="00015A39" w:rsidRPr="00015A39" w14:paraId="2F94CF10" w14:textId="77777777" w:rsidTr="006D313F">
        <w:tc>
          <w:tcPr>
            <w:tcW w:w="13960" w:type="dxa"/>
            <w:gridSpan w:val="8"/>
            <w:tcBorders>
              <w:top w:val="single" w:sz="4" w:space="0" w:color="auto"/>
              <w:bottom w:val="single" w:sz="4" w:space="0" w:color="auto"/>
            </w:tcBorders>
            <w:shd w:val="clear" w:color="auto" w:fill="D0CECE" w:themeFill="background2" w:themeFillShade="E6"/>
          </w:tcPr>
          <w:p w14:paraId="165E028E" w14:textId="77777777" w:rsidR="00954983" w:rsidRPr="00015A39" w:rsidRDefault="00954983" w:rsidP="006D313F">
            <w:pPr>
              <w:rPr>
                <w:color w:val="000000" w:themeColor="text1"/>
                <w:sz w:val="24"/>
                <w:szCs w:val="24"/>
              </w:rPr>
            </w:pPr>
            <w:r w:rsidRPr="00015A39">
              <w:rPr>
                <w:b/>
                <w:bCs/>
                <w:color w:val="000000" w:themeColor="text1"/>
                <w:sz w:val="24"/>
                <w:szCs w:val="24"/>
              </w:rPr>
              <w:t>Sex</w:t>
            </w:r>
          </w:p>
        </w:tc>
      </w:tr>
      <w:tr w:rsidR="00015A39" w:rsidRPr="00015A39" w14:paraId="4D1B705F" w14:textId="77777777" w:rsidTr="006D313F">
        <w:tc>
          <w:tcPr>
            <w:tcW w:w="1961" w:type="dxa"/>
            <w:tcBorders>
              <w:top w:val="single" w:sz="4" w:space="0" w:color="auto"/>
            </w:tcBorders>
            <w:vAlign w:val="center"/>
          </w:tcPr>
          <w:p w14:paraId="7AD8771B" w14:textId="77777777" w:rsidR="00954983" w:rsidRPr="00015A39" w:rsidRDefault="00954983" w:rsidP="00954983">
            <w:pPr>
              <w:pStyle w:val="ListParagraph"/>
              <w:numPr>
                <w:ilvl w:val="0"/>
                <w:numId w:val="51"/>
              </w:numPr>
              <w:jc w:val="left"/>
              <w:rPr>
                <w:rFonts w:cs="Times New Roman"/>
                <w:color w:val="000000" w:themeColor="text1"/>
                <w:sz w:val="24"/>
                <w:szCs w:val="24"/>
              </w:rPr>
            </w:pPr>
            <w:r w:rsidRPr="00015A39">
              <w:rPr>
                <w:rFonts w:cs="Times New Roman"/>
                <w:color w:val="000000" w:themeColor="text1"/>
                <w:sz w:val="24"/>
                <w:szCs w:val="24"/>
              </w:rPr>
              <w:t>Female</w:t>
            </w:r>
          </w:p>
        </w:tc>
        <w:tc>
          <w:tcPr>
            <w:tcW w:w="1730" w:type="dxa"/>
            <w:tcBorders>
              <w:top w:val="single" w:sz="4" w:space="0" w:color="auto"/>
            </w:tcBorders>
            <w:vAlign w:val="center"/>
          </w:tcPr>
          <w:p w14:paraId="5D5E4AA5" w14:textId="77777777" w:rsidR="00954983" w:rsidRPr="00015A39" w:rsidRDefault="00954983" w:rsidP="006D313F">
            <w:pPr>
              <w:jc w:val="center"/>
              <w:rPr>
                <w:color w:val="000000" w:themeColor="text1"/>
                <w:sz w:val="24"/>
                <w:szCs w:val="24"/>
              </w:rPr>
            </w:pPr>
            <w:r w:rsidRPr="00015A39">
              <w:rPr>
                <w:color w:val="000000" w:themeColor="text1"/>
                <w:sz w:val="24"/>
                <w:szCs w:val="24"/>
              </w:rPr>
              <w:t>2829 (65.1%)</w:t>
            </w:r>
          </w:p>
        </w:tc>
        <w:tc>
          <w:tcPr>
            <w:tcW w:w="1768" w:type="dxa"/>
            <w:tcBorders>
              <w:top w:val="single" w:sz="4" w:space="0" w:color="auto"/>
            </w:tcBorders>
            <w:vAlign w:val="center"/>
          </w:tcPr>
          <w:p w14:paraId="05627988" w14:textId="77777777" w:rsidR="00954983" w:rsidRPr="00015A39" w:rsidRDefault="00954983" w:rsidP="006D313F">
            <w:pPr>
              <w:jc w:val="center"/>
              <w:rPr>
                <w:color w:val="000000" w:themeColor="text1"/>
                <w:sz w:val="24"/>
                <w:szCs w:val="24"/>
              </w:rPr>
            </w:pPr>
            <w:r w:rsidRPr="00015A39">
              <w:rPr>
                <w:color w:val="000000" w:themeColor="text1"/>
                <w:sz w:val="24"/>
                <w:szCs w:val="24"/>
              </w:rPr>
              <w:t>2345 (58.9%)</w:t>
            </w:r>
          </w:p>
        </w:tc>
        <w:tc>
          <w:tcPr>
            <w:tcW w:w="1715" w:type="dxa"/>
            <w:tcBorders>
              <w:top w:val="single" w:sz="4" w:space="0" w:color="auto"/>
            </w:tcBorders>
            <w:vAlign w:val="center"/>
          </w:tcPr>
          <w:p w14:paraId="2DDD04DD" w14:textId="77777777" w:rsidR="00954983" w:rsidRPr="00015A39" w:rsidRDefault="00954983" w:rsidP="006D313F">
            <w:pPr>
              <w:jc w:val="center"/>
              <w:rPr>
                <w:color w:val="000000" w:themeColor="text1"/>
                <w:sz w:val="24"/>
                <w:szCs w:val="24"/>
              </w:rPr>
            </w:pPr>
            <w:r w:rsidRPr="00015A39">
              <w:rPr>
                <w:color w:val="000000" w:themeColor="text1"/>
                <w:sz w:val="24"/>
                <w:szCs w:val="24"/>
              </w:rPr>
              <w:t>2526 (54.2%)</w:t>
            </w:r>
          </w:p>
        </w:tc>
        <w:tc>
          <w:tcPr>
            <w:tcW w:w="1530" w:type="dxa"/>
            <w:tcBorders>
              <w:top w:val="single" w:sz="4" w:space="0" w:color="auto"/>
            </w:tcBorders>
            <w:vAlign w:val="center"/>
          </w:tcPr>
          <w:p w14:paraId="13105D71" w14:textId="77777777" w:rsidR="00954983" w:rsidRPr="00015A39" w:rsidRDefault="00954983" w:rsidP="006D313F">
            <w:pPr>
              <w:jc w:val="center"/>
              <w:rPr>
                <w:color w:val="000000" w:themeColor="text1"/>
                <w:sz w:val="24"/>
                <w:szCs w:val="24"/>
              </w:rPr>
            </w:pPr>
            <w:r w:rsidRPr="00015A39">
              <w:rPr>
                <w:color w:val="000000" w:themeColor="text1"/>
                <w:sz w:val="24"/>
                <w:szCs w:val="24"/>
              </w:rPr>
              <w:t>8060 (59.4%)</w:t>
            </w:r>
          </w:p>
        </w:tc>
        <w:tc>
          <w:tcPr>
            <w:tcW w:w="1768" w:type="dxa"/>
            <w:vMerge w:val="restart"/>
            <w:tcBorders>
              <w:top w:val="single" w:sz="4" w:space="0" w:color="auto"/>
            </w:tcBorders>
            <w:vAlign w:val="center"/>
          </w:tcPr>
          <w:p w14:paraId="75DD72A4"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rPr>
              <w:t>&lt;0.0001</w:t>
            </w:r>
          </w:p>
        </w:tc>
        <w:tc>
          <w:tcPr>
            <w:tcW w:w="1768" w:type="dxa"/>
            <w:vMerge w:val="restart"/>
            <w:tcBorders>
              <w:top w:val="single" w:sz="4" w:space="0" w:color="auto"/>
            </w:tcBorders>
            <w:vAlign w:val="center"/>
          </w:tcPr>
          <w:p w14:paraId="4B83FF6E"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&lt;0.0001</w:t>
            </w:r>
          </w:p>
        </w:tc>
        <w:tc>
          <w:tcPr>
            <w:tcW w:w="1720" w:type="dxa"/>
            <w:vMerge w:val="restart"/>
            <w:tcBorders>
              <w:top w:val="single" w:sz="4" w:space="0" w:color="auto"/>
            </w:tcBorders>
            <w:vAlign w:val="center"/>
          </w:tcPr>
          <w:p w14:paraId="21EAF08F"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&lt;0.0001</w:t>
            </w:r>
          </w:p>
        </w:tc>
      </w:tr>
      <w:tr w:rsidR="00015A39" w:rsidRPr="00015A39" w14:paraId="3CD5AF3E" w14:textId="77777777" w:rsidTr="006D313F">
        <w:tc>
          <w:tcPr>
            <w:tcW w:w="1961" w:type="dxa"/>
            <w:tcBorders>
              <w:bottom w:val="single" w:sz="4" w:space="0" w:color="auto"/>
            </w:tcBorders>
            <w:vAlign w:val="center"/>
          </w:tcPr>
          <w:p w14:paraId="30B2BEDC" w14:textId="77777777" w:rsidR="00954983" w:rsidRPr="00015A39" w:rsidRDefault="00954983" w:rsidP="00954983">
            <w:pPr>
              <w:pStyle w:val="ListParagraph"/>
              <w:numPr>
                <w:ilvl w:val="0"/>
                <w:numId w:val="51"/>
              </w:numPr>
              <w:jc w:val="left"/>
              <w:rPr>
                <w:rFonts w:cs="Times New Roman"/>
                <w:color w:val="000000" w:themeColor="text1"/>
                <w:sz w:val="24"/>
                <w:szCs w:val="24"/>
              </w:rPr>
            </w:pPr>
            <w:r w:rsidRPr="00015A39">
              <w:rPr>
                <w:rFonts w:cs="Times New Roman"/>
                <w:color w:val="000000" w:themeColor="text1"/>
                <w:sz w:val="24"/>
                <w:szCs w:val="24"/>
              </w:rPr>
              <w:t>Male</w:t>
            </w:r>
          </w:p>
        </w:tc>
        <w:tc>
          <w:tcPr>
            <w:tcW w:w="1730" w:type="dxa"/>
            <w:tcBorders>
              <w:bottom w:val="single" w:sz="4" w:space="0" w:color="auto"/>
            </w:tcBorders>
            <w:vAlign w:val="center"/>
          </w:tcPr>
          <w:p w14:paraId="5450C94C" w14:textId="77777777" w:rsidR="00954983" w:rsidRPr="00015A39" w:rsidRDefault="00954983" w:rsidP="006D313F">
            <w:pPr>
              <w:jc w:val="center"/>
              <w:rPr>
                <w:color w:val="000000" w:themeColor="text1"/>
                <w:sz w:val="24"/>
                <w:szCs w:val="24"/>
              </w:rPr>
            </w:pPr>
            <w:r w:rsidRPr="00015A39">
              <w:rPr>
                <w:color w:val="000000" w:themeColor="text1"/>
                <w:sz w:val="24"/>
                <w:szCs w:val="24"/>
              </w:rPr>
              <w:t>1514 (34.9%)</w:t>
            </w:r>
          </w:p>
        </w:tc>
        <w:tc>
          <w:tcPr>
            <w:tcW w:w="1768" w:type="dxa"/>
            <w:tcBorders>
              <w:bottom w:val="single" w:sz="4" w:space="0" w:color="auto"/>
            </w:tcBorders>
            <w:vAlign w:val="center"/>
          </w:tcPr>
          <w:p w14:paraId="3A475E79" w14:textId="77777777" w:rsidR="00954983" w:rsidRPr="00015A39" w:rsidRDefault="00954983" w:rsidP="006D313F">
            <w:pPr>
              <w:jc w:val="center"/>
              <w:rPr>
                <w:color w:val="000000" w:themeColor="text1"/>
                <w:sz w:val="24"/>
                <w:szCs w:val="24"/>
              </w:rPr>
            </w:pPr>
            <w:r w:rsidRPr="00015A39">
              <w:rPr>
                <w:color w:val="000000" w:themeColor="text1"/>
                <w:sz w:val="24"/>
                <w:szCs w:val="24"/>
              </w:rPr>
              <w:t>1639 (41.1%)</w:t>
            </w:r>
          </w:p>
        </w:tc>
        <w:tc>
          <w:tcPr>
            <w:tcW w:w="1715" w:type="dxa"/>
            <w:tcBorders>
              <w:bottom w:val="single" w:sz="4" w:space="0" w:color="auto"/>
            </w:tcBorders>
            <w:vAlign w:val="center"/>
          </w:tcPr>
          <w:p w14:paraId="5F001714" w14:textId="77777777" w:rsidR="00954983" w:rsidRPr="00015A39" w:rsidRDefault="00954983" w:rsidP="006D313F">
            <w:pPr>
              <w:jc w:val="center"/>
              <w:rPr>
                <w:color w:val="000000" w:themeColor="text1"/>
                <w:sz w:val="24"/>
                <w:szCs w:val="24"/>
              </w:rPr>
            </w:pPr>
            <w:r w:rsidRPr="00015A39">
              <w:rPr>
                <w:color w:val="000000" w:themeColor="text1"/>
                <w:sz w:val="24"/>
                <w:szCs w:val="24"/>
              </w:rPr>
              <w:t>2132 (45.8%)</w:t>
            </w:r>
          </w:p>
        </w:tc>
        <w:tc>
          <w:tcPr>
            <w:tcW w:w="1530" w:type="dxa"/>
            <w:tcBorders>
              <w:bottom w:val="single" w:sz="4" w:space="0" w:color="auto"/>
            </w:tcBorders>
            <w:vAlign w:val="center"/>
          </w:tcPr>
          <w:p w14:paraId="21825347" w14:textId="77777777" w:rsidR="00954983" w:rsidRPr="00015A39" w:rsidRDefault="00954983" w:rsidP="006D313F">
            <w:pPr>
              <w:jc w:val="center"/>
              <w:rPr>
                <w:color w:val="000000" w:themeColor="text1"/>
                <w:sz w:val="24"/>
                <w:szCs w:val="24"/>
              </w:rPr>
            </w:pPr>
            <w:r w:rsidRPr="00015A39">
              <w:rPr>
                <w:color w:val="000000" w:themeColor="text1"/>
                <w:sz w:val="24"/>
                <w:szCs w:val="24"/>
              </w:rPr>
              <w:t>5501 (40.6%)</w:t>
            </w:r>
          </w:p>
        </w:tc>
        <w:tc>
          <w:tcPr>
            <w:tcW w:w="1768" w:type="dxa"/>
            <w:vMerge/>
            <w:tcBorders>
              <w:bottom w:val="single" w:sz="4" w:space="0" w:color="auto"/>
            </w:tcBorders>
          </w:tcPr>
          <w:p w14:paraId="1FC18BAF" w14:textId="77777777" w:rsidR="00954983" w:rsidRPr="00015A39" w:rsidRDefault="00954983" w:rsidP="006D313F">
            <w:pPr>
              <w:jc w:val="both"/>
              <w:rPr>
                <w:color w:val="000000" w:themeColor="text1"/>
                <w:sz w:val="24"/>
                <w:szCs w:val="24"/>
              </w:rPr>
            </w:pPr>
          </w:p>
        </w:tc>
        <w:tc>
          <w:tcPr>
            <w:tcW w:w="1768" w:type="dxa"/>
            <w:vMerge/>
            <w:tcBorders>
              <w:bottom w:val="single" w:sz="4" w:space="0" w:color="auto"/>
            </w:tcBorders>
          </w:tcPr>
          <w:p w14:paraId="5F187796" w14:textId="77777777" w:rsidR="00954983" w:rsidRPr="00015A39" w:rsidRDefault="00954983" w:rsidP="006D313F">
            <w:pPr>
              <w:jc w:val="both"/>
              <w:rPr>
                <w:color w:val="000000" w:themeColor="text1"/>
                <w:sz w:val="24"/>
                <w:szCs w:val="24"/>
              </w:rPr>
            </w:pPr>
          </w:p>
        </w:tc>
        <w:tc>
          <w:tcPr>
            <w:tcW w:w="1720" w:type="dxa"/>
            <w:vMerge/>
            <w:tcBorders>
              <w:bottom w:val="single" w:sz="4" w:space="0" w:color="auto"/>
            </w:tcBorders>
          </w:tcPr>
          <w:p w14:paraId="48B0AC7A" w14:textId="77777777" w:rsidR="00954983" w:rsidRPr="00015A39" w:rsidRDefault="00954983" w:rsidP="006D313F">
            <w:pPr>
              <w:jc w:val="both"/>
              <w:rPr>
                <w:color w:val="000000" w:themeColor="text1"/>
                <w:sz w:val="24"/>
                <w:szCs w:val="24"/>
              </w:rPr>
            </w:pPr>
          </w:p>
        </w:tc>
      </w:tr>
      <w:tr w:rsidR="00015A39" w:rsidRPr="00015A39" w14:paraId="539F4F23" w14:textId="77777777" w:rsidTr="006D313F">
        <w:tc>
          <w:tcPr>
            <w:tcW w:w="13960" w:type="dxa"/>
            <w:gridSpan w:val="8"/>
            <w:tcBorders>
              <w:bottom w:val="single" w:sz="4" w:space="0" w:color="auto"/>
            </w:tcBorders>
            <w:shd w:val="clear" w:color="auto" w:fill="D0CECE" w:themeFill="background2" w:themeFillShade="E6"/>
          </w:tcPr>
          <w:p w14:paraId="6CB0BF14" w14:textId="77777777" w:rsidR="00954983" w:rsidRPr="00015A39" w:rsidRDefault="00954983" w:rsidP="006D313F">
            <w:pPr>
              <w:rPr>
                <w:color w:val="000000" w:themeColor="text1"/>
                <w:sz w:val="24"/>
                <w:szCs w:val="24"/>
              </w:rPr>
            </w:pPr>
            <w:r w:rsidRPr="00015A39">
              <w:rPr>
                <w:b/>
                <w:bCs/>
                <w:color w:val="000000" w:themeColor="text1"/>
                <w:sz w:val="24"/>
                <w:szCs w:val="24"/>
              </w:rPr>
              <w:t xml:space="preserve">Body </w:t>
            </w:r>
            <w:r w:rsidRPr="00015A39">
              <w:rPr>
                <w:b/>
                <w:bCs/>
                <w:color w:val="000000" w:themeColor="text1"/>
                <w:sz w:val="24"/>
                <w:szCs w:val="24"/>
                <w:shd w:val="clear" w:color="auto" w:fill="D0CECE" w:themeFill="background2" w:themeFillShade="E6"/>
              </w:rPr>
              <w:t>Mass Index,</w:t>
            </w:r>
            <w:r w:rsidRPr="00015A39">
              <w:rPr>
                <w:b/>
                <w:bCs/>
                <w:color w:val="000000" w:themeColor="text1"/>
                <w:sz w:val="24"/>
                <w:szCs w:val="24"/>
              </w:rPr>
              <w:t xml:space="preserve"> Asian Class (kg/m</w:t>
            </w:r>
            <w:r w:rsidRPr="00015A39">
              <w:rPr>
                <w:b/>
                <w:bCs/>
                <w:color w:val="000000" w:themeColor="text1"/>
                <w:sz w:val="24"/>
                <w:szCs w:val="24"/>
                <w:vertAlign w:val="superscript"/>
              </w:rPr>
              <w:t>2</w:t>
            </w:r>
            <w:r w:rsidRPr="00015A39">
              <w:rPr>
                <w:b/>
                <w:bCs/>
                <w:color w:val="000000" w:themeColor="text1"/>
                <w:sz w:val="24"/>
                <w:szCs w:val="24"/>
              </w:rPr>
              <w:t>) (</w:t>
            </w:r>
            <w:r w:rsidRPr="00015A39">
              <w:rPr>
                <w:b/>
                <w:bCs/>
                <w:i/>
                <w:iCs/>
                <w:color w:val="000000" w:themeColor="text1"/>
                <w:sz w:val="24"/>
                <w:szCs w:val="24"/>
              </w:rPr>
              <w:t>n</w:t>
            </w:r>
            <w:r w:rsidRPr="00015A39">
              <w:rPr>
                <w:b/>
                <w:bCs/>
                <w:color w:val="000000" w:themeColor="text1"/>
                <w:sz w:val="24"/>
                <w:szCs w:val="24"/>
              </w:rPr>
              <w:t>, %)</w:t>
            </w:r>
          </w:p>
        </w:tc>
      </w:tr>
      <w:tr w:rsidR="00015A39" w:rsidRPr="00015A39" w14:paraId="54D6AEF2" w14:textId="77777777" w:rsidTr="006D313F">
        <w:tc>
          <w:tcPr>
            <w:tcW w:w="1961" w:type="dxa"/>
            <w:vAlign w:val="center"/>
          </w:tcPr>
          <w:p w14:paraId="21ABC8B5" w14:textId="77777777" w:rsidR="00954983" w:rsidRPr="00015A39" w:rsidRDefault="00954983" w:rsidP="00954983">
            <w:pPr>
              <w:pStyle w:val="ListParagraph"/>
              <w:numPr>
                <w:ilvl w:val="0"/>
                <w:numId w:val="51"/>
              </w:numPr>
              <w:rPr>
                <w:rFonts w:cs="Times New Roman"/>
                <w:color w:val="000000" w:themeColor="text1"/>
                <w:sz w:val="24"/>
                <w:szCs w:val="24"/>
              </w:rPr>
            </w:pPr>
            <w:r w:rsidRPr="00015A39">
              <w:rPr>
                <w:rFonts w:cs="Times New Roman"/>
                <w:color w:val="000000" w:themeColor="text1"/>
                <w:sz w:val="24"/>
                <w:szCs w:val="24"/>
              </w:rPr>
              <w:t xml:space="preserve">Healthy </w:t>
            </w:r>
          </w:p>
          <w:p w14:paraId="563F9D2C" w14:textId="77777777" w:rsidR="00954983" w:rsidRPr="00015A39" w:rsidRDefault="00954983" w:rsidP="00954983">
            <w:pPr>
              <w:pStyle w:val="ListParagraph"/>
              <w:numPr>
                <w:ilvl w:val="0"/>
                <w:numId w:val="51"/>
              </w:numPr>
              <w:rPr>
                <w:rFonts w:cs="Times New Roman"/>
                <w:color w:val="000000" w:themeColor="text1"/>
                <w:sz w:val="24"/>
                <w:szCs w:val="24"/>
              </w:rPr>
            </w:pPr>
            <w:r w:rsidRPr="00015A39">
              <w:rPr>
                <w:rFonts w:cs="Times New Roman"/>
                <w:color w:val="000000" w:themeColor="text1"/>
                <w:sz w:val="24"/>
                <w:szCs w:val="24"/>
              </w:rPr>
              <w:t>(18.0-23.0)</w:t>
            </w:r>
          </w:p>
        </w:tc>
        <w:tc>
          <w:tcPr>
            <w:tcW w:w="1730" w:type="dxa"/>
            <w:vAlign w:val="center"/>
          </w:tcPr>
          <w:p w14:paraId="617D7D85" w14:textId="77777777" w:rsidR="00954983" w:rsidRPr="00015A39" w:rsidRDefault="00954983" w:rsidP="006D313F">
            <w:pPr>
              <w:jc w:val="center"/>
              <w:rPr>
                <w:color w:val="000000" w:themeColor="text1"/>
                <w:sz w:val="24"/>
                <w:szCs w:val="24"/>
              </w:rPr>
            </w:pPr>
            <w:r w:rsidRPr="00015A39">
              <w:rPr>
                <w:color w:val="000000" w:themeColor="text1"/>
                <w:sz w:val="24"/>
                <w:szCs w:val="24"/>
              </w:rPr>
              <w:t>2402 (55.3%)</w:t>
            </w:r>
          </w:p>
        </w:tc>
        <w:tc>
          <w:tcPr>
            <w:tcW w:w="1768" w:type="dxa"/>
            <w:vAlign w:val="center"/>
          </w:tcPr>
          <w:p w14:paraId="26453DAC" w14:textId="77777777" w:rsidR="00954983" w:rsidRPr="00015A39" w:rsidRDefault="00954983" w:rsidP="006D313F">
            <w:pPr>
              <w:jc w:val="center"/>
              <w:rPr>
                <w:color w:val="000000" w:themeColor="text1"/>
                <w:sz w:val="24"/>
                <w:szCs w:val="24"/>
              </w:rPr>
            </w:pPr>
            <w:r w:rsidRPr="00015A39">
              <w:rPr>
                <w:color w:val="000000" w:themeColor="text1"/>
                <w:sz w:val="24"/>
                <w:szCs w:val="24"/>
              </w:rPr>
              <w:t>2223 (55.8%)</w:t>
            </w:r>
          </w:p>
        </w:tc>
        <w:tc>
          <w:tcPr>
            <w:tcW w:w="1715" w:type="dxa"/>
            <w:vAlign w:val="center"/>
          </w:tcPr>
          <w:p w14:paraId="495BA79B" w14:textId="77777777" w:rsidR="00954983" w:rsidRPr="00015A39" w:rsidRDefault="00954983" w:rsidP="006D313F">
            <w:pPr>
              <w:jc w:val="center"/>
              <w:rPr>
                <w:color w:val="000000" w:themeColor="text1"/>
                <w:sz w:val="24"/>
                <w:szCs w:val="24"/>
              </w:rPr>
            </w:pPr>
            <w:r w:rsidRPr="00015A39">
              <w:rPr>
                <w:color w:val="000000" w:themeColor="text1"/>
                <w:sz w:val="24"/>
                <w:szCs w:val="24"/>
              </w:rPr>
              <w:t>2519 (54.1%)</w:t>
            </w:r>
          </w:p>
        </w:tc>
        <w:tc>
          <w:tcPr>
            <w:tcW w:w="1530" w:type="dxa"/>
            <w:vAlign w:val="center"/>
          </w:tcPr>
          <w:p w14:paraId="5C39C105" w14:textId="77777777" w:rsidR="00954983" w:rsidRPr="00015A39" w:rsidRDefault="00954983" w:rsidP="006D313F">
            <w:pPr>
              <w:jc w:val="center"/>
              <w:rPr>
                <w:color w:val="000000" w:themeColor="text1"/>
                <w:sz w:val="24"/>
                <w:szCs w:val="24"/>
              </w:rPr>
            </w:pPr>
            <w:r w:rsidRPr="00015A39">
              <w:rPr>
                <w:color w:val="000000" w:themeColor="text1"/>
                <w:sz w:val="24"/>
                <w:szCs w:val="24"/>
              </w:rPr>
              <w:t>7445 (54.9%)</w:t>
            </w:r>
          </w:p>
        </w:tc>
        <w:tc>
          <w:tcPr>
            <w:tcW w:w="1768" w:type="dxa"/>
            <w:vMerge w:val="restart"/>
            <w:vAlign w:val="center"/>
          </w:tcPr>
          <w:p w14:paraId="2EAEC33F" w14:textId="77777777" w:rsidR="00954983" w:rsidRPr="00015A39" w:rsidRDefault="00954983" w:rsidP="006D313F">
            <w:pPr>
              <w:jc w:val="center"/>
              <w:rPr>
                <w:color w:val="000000" w:themeColor="text1"/>
                <w:sz w:val="24"/>
                <w:szCs w:val="24"/>
              </w:rPr>
            </w:pPr>
            <w:r w:rsidRPr="00015A39">
              <w:rPr>
                <w:color w:val="000000" w:themeColor="text1"/>
                <w:sz w:val="24"/>
                <w:szCs w:val="24"/>
              </w:rPr>
              <w:t>0.153 (ns)</w:t>
            </w:r>
          </w:p>
        </w:tc>
        <w:tc>
          <w:tcPr>
            <w:tcW w:w="1768" w:type="dxa"/>
            <w:vMerge w:val="restart"/>
            <w:vAlign w:val="center"/>
          </w:tcPr>
          <w:p w14:paraId="018506FB" w14:textId="77777777" w:rsidR="00954983" w:rsidRPr="00015A39" w:rsidRDefault="00954983" w:rsidP="006D313F">
            <w:pPr>
              <w:jc w:val="center"/>
              <w:rPr>
                <w:color w:val="000000" w:themeColor="text1"/>
                <w:sz w:val="24"/>
                <w:szCs w:val="24"/>
              </w:rPr>
            </w:pPr>
            <w:r w:rsidRPr="00015A39">
              <w:rPr>
                <w:color w:val="000000" w:themeColor="text1"/>
                <w:sz w:val="24"/>
                <w:szCs w:val="24"/>
              </w:rPr>
              <w:t>0.116 (ns)</w:t>
            </w:r>
          </w:p>
        </w:tc>
        <w:tc>
          <w:tcPr>
            <w:tcW w:w="1720" w:type="dxa"/>
            <w:vMerge w:val="restart"/>
            <w:vAlign w:val="center"/>
          </w:tcPr>
          <w:p w14:paraId="67697C69"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0.001</w:t>
            </w:r>
          </w:p>
        </w:tc>
      </w:tr>
      <w:tr w:rsidR="00015A39" w:rsidRPr="00015A39" w14:paraId="5341FBED" w14:textId="77777777" w:rsidTr="006D313F">
        <w:tc>
          <w:tcPr>
            <w:tcW w:w="1961" w:type="dxa"/>
            <w:vAlign w:val="center"/>
          </w:tcPr>
          <w:p w14:paraId="4B02674F" w14:textId="77777777" w:rsidR="00954983" w:rsidRPr="00015A39" w:rsidRDefault="00954983" w:rsidP="00954983">
            <w:pPr>
              <w:pStyle w:val="ListParagraph"/>
              <w:numPr>
                <w:ilvl w:val="0"/>
                <w:numId w:val="51"/>
              </w:numPr>
              <w:rPr>
                <w:rFonts w:cs="Times New Roman"/>
                <w:color w:val="000000" w:themeColor="text1"/>
                <w:sz w:val="24"/>
                <w:szCs w:val="24"/>
              </w:rPr>
            </w:pPr>
            <w:r w:rsidRPr="00015A39">
              <w:rPr>
                <w:rFonts w:cs="Times New Roman"/>
                <w:color w:val="000000" w:themeColor="text1"/>
                <w:sz w:val="24"/>
                <w:szCs w:val="24"/>
              </w:rPr>
              <w:t>Underweight (&lt;18.0)</w:t>
            </w:r>
          </w:p>
        </w:tc>
        <w:tc>
          <w:tcPr>
            <w:tcW w:w="1730" w:type="dxa"/>
            <w:vAlign w:val="center"/>
          </w:tcPr>
          <w:p w14:paraId="36422308" w14:textId="77777777" w:rsidR="00954983" w:rsidRPr="00015A39" w:rsidRDefault="00954983" w:rsidP="006D313F">
            <w:pPr>
              <w:jc w:val="center"/>
              <w:rPr>
                <w:color w:val="000000" w:themeColor="text1"/>
                <w:sz w:val="24"/>
                <w:szCs w:val="24"/>
              </w:rPr>
            </w:pPr>
            <w:r w:rsidRPr="00015A39">
              <w:rPr>
                <w:color w:val="000000" w:themeColor="text1"/>
                <w:sz w:val="24"/>
                <w:szCs w:val="24"/>
              </w:rPr>
              <w:t>785 (18.1%)</w:t>
            </w:r>
          </w:p>
        </w:tc>
        <w:tc>
          <w:tcPr>
            <w:tcW w:w="1768" w:type="dxa"/>
            <w:vAlign w:val="center"/>
          </w:tcPr>
          <w:p w14:paraId="2246C1E0" w14:textId="77777777" w:rsidR="00954983" w:rsidRPr="00015A39" w:rsidRDefault="00954983" w:rsidP="006D313F">
            <w:pPr>
              <w:jc w:val="center"/>
              <w:rPr>
                <w:color w:val="000000" w:themeColor="text1"/>
                <w:sz w:val="24"/>
                <w:szCs w:val="24"/>
              </w:rPr>
            </w:pPr>
            <w:r w:rsidRPr="00015A39">
              <w:rPr>
                <w:color w:val="000000" w:themeColor="text1"/>
                <w:sz w:val="24"/>
                <w:szCs w:val="24"/>
              </w:rPr>
              <w:t>668 (16.8%)</w:t>
            </w:r>
          </w:p>
        </w:tc>
        <w:tc>
          <w:tcPr>
            <w:tcW w:w="1715" w:type="dxa"/>
            <w:vAlign w:val="center"/>
          </w:tcPr>
          <w:p w14:paraId="0F886B4C" w14:textId="77777777" w:rsidR="00954983" w:rsidRPr="00015A39" w:rsidRDefault="00954983" w:rsidP="006D313F">
            <w:pPr>
              <w:jc w:val="center"/>
              <w:rPr>
                <w:color w:val="000000" w:themeColor="text1"/>
                <w:sz w:val="24"/>
                <w:szCs w:val="24"/>
              </w:rPr>
            </w:pPr>
            <w:r w:rsidRPr="00015A39">
              <w:rPr>
                <w:color w:val="000000" w:themeColor="text1"/>
                <w:sz w:val="24"/>
                <w:szCs w:val="24"/>
              </w:rPr>
              <w:t>770 (16.5%)</w:t>
            </w:r>
          </w:p>
        </w:tc>
        <w:tc>
          <w:tcPr>
            <w:tcW w:w="1530" w:type="dxa"/>
            <w:vAlign w:val="center"/>
          </w:tcPr>
          <w:p w14:paraId="7F88E992" w14:textId="77777777" w:rsidR="00954983" w:rsidRPr="00015A39" w:rsidRDefault="00954983" w:rsidP="006D313F">
            <w:pPr>
              <w:jc w:val="center"/>
              <w:rPr>
                <w:color w:val="000000" w:themeColor="text1"/>
                <w:sz w:val="24"/>
                <w:szCs w:val="24"/>
              </w:rPr>
            </w:pPr>
            <w:r w:rsidRPr="00015A39">
              <w:rPr>
                <w:color w:val="000000" w:themeColor="text1"/>
                <w:sz w:val="24"/>
                <w:szCs w:val="24"/>
              </w:rPr>
              <w:t>2327 (17.2%)</w:t>
            </w:r>
          </w:p>
        </w:tc>
        <w:tc>
          <w:tcPr>
            <w:tcW w:w="1768" w:type="dxa"/>
            <w:vMerge/>
          </w:tcPr>
          <w:p w14:paraId="42757143" w14:textId="77777777" w:rsidR="00954983" w:rsidRPr="00015A39" w:rsidRDefault="00954983" w:rsidP="006D313F">
            <w:pPr>
              <w:jc w:val="both"/>
              <w:rPr>
                <w:color w:val="000000" w:themeColor="text1"/>
                <w:sz w:val="24"/>
                <w:szCs w:val="24"/>
              </w:rPr>
            </w:pPr>
          </w:p>
        </w:tc>
        <w:tc>
          <w:tcPr>
            <w:tcW w:w="1768" w:type="dxa"/>
            <w:vMerge/>
          </w:tcPr>
          <w:p w14:paraId="2E86EE7C" w14:textId="77777777" w:rsidR="00954983" w:rsidRPr="00015A39" w:rsidRDefault="00954983" w:rsidP="006D313F">
            <w:pPr>
              <w:jc w:val="both"/>
              <w:rPr>
                <w:color w:val="000000" w:themeColor="text1"/>
                <w:sz w:val="24"/>
                <w:szCs w:val="24"/>
              </w:rPr>
            </w:pPr>
          </w:p>
        </w:tc>
        <w:tc>
          <w:tcPr>
            <w:tcW w:w="1720" w:type="dxa"/>
            <w:vMerge/>
          </w:tcPr>
          <w:p w14:paraId="0977C80B" w14:textId="77777777" w:rsidR="00954983" w:rsidRPr="00015A39" w:rsidRDefault="00954983" w:rsidP="006D313F">
            <w:pPr>
              <w:jc w:val="both"/>
              <w:rPr>
                <w:color w:val="000000" w:themeColor="text1"/>
                <w:sz w:val="24"/>
                <w:szCs w:val="24"/>
              </w:rPr>
            </w:pPr>
          </w:p>
        </w:tc>
      </w:tr>
      <w:tr w:rsidR="00015A39" w:rsidRPr="00015A39" w14:paraId="3358EA38" w14:textId="77777777" w:rsidTr="006D313F">
        <w:tc>
          <w:tcPr>
            <w:tcW w:w="1961" w:type="dxa"/>
            <w:vAlign w:val="center"/>
          </w:tcPr>
          <w:p w14:paraId="256A9A33" w14:textId="77777777" w:rsidR="00954983" w:rsidRPr="00015A39" w:rsidRDefault="00954983" w:rsidP="00954983">
            <w:pPr>
              <w:pStyle w:val="ListParagraph"/>
              <w:numPr>
                <w:ilvl w:val="0"/>
                <w:numId w:val="51"/>
              </w:numPr>
              <w:rPr>
                <w:rFonts w:cs="Times New Roman"/>
                <w:color w:val="000000" w:themeColor="text1"/>
                <w:sz w:val="24"/>
                <w:szCs w:val="24"/>
              </w:rPr>
            </w:pPr>
            <w:r w:rsidRPr="00015A39">
              <w:rPr>
                <w:rFonts w:cs="Times New Roman"/>
                <w:color w:val="000000" w:themeColor="text1"/>
                <w:sz w:val="24"/>
                <w:szCs w:val="24"/>
              </w:rPr>
              <w:t>Overweight (&gt;23.0)</w:t>
            </w:r>
          </w:p>
        </w:tc>
        <w:tc>
          <w:tcPr>
            <w:tcW w:w="1730" w:type="dxa"/>
            <w:vAlign w:val="center"/>
          </w:tcPr>
          <w:p w14:paraId="05AA6DF9" w14:textId="77777777" w:rsidR="00954983" w:rsidRPr="00015A39" w:rsidRDefault="00954983" w:rsidP="006D313F">
            <w:pPr>
              <w:jc w:val="center"/>
              <w:rPr>
                <w:color w:val="000000" w:themeColor="text1"/>
                <w:sz w:val="24"/>
                <w:szCs w:val="24"/>
              </w:rPr>
            </w:pPr>
            <w:r w:rsidRPr="00015A39">
              <w:rPr>
                <w:color w:val="000000" w:themeColor="text1"/>
                <w:sz w:val="24"/>
                <w:szCs w:val="24"/>
              </w:rPr>
              <w:t>615 (14.2%)</w:t>
            </w:r>
          </w:p>
        </w:tc>
        <w:tc>
          <w:tcPr>
            <w:tcW w:w="1768" w:type="dxa"/>
            <w:vAlign w:val="center"/>
          </w:tcPr>
          <w:p w14:paraId="76499BF5" w14:textId="77777777" w:rsidR="00954983" w:rsidRPr="00015A39" w:rsidRDefault="00954983" w:rsidP="006D313F">
            <w:pPr>
              <w:jc w:val="center"/>
              <w:rPr>
                <w:color w:val="000000" w:themeColor="text1"/>
                <w:sz w:val="24"/>
                <w:szCs w:val="24"/>
              </w:rPr>
            </w:pPr>
            <w:r w:rsidRPr="00015A39">
              <w:rPr>
                <w:color w:val="000000" w:themeColor="text1"/>
                <w:sz w:val="24"/>
                <w:szCs w:val="24"/>
              </w:rPr>
              <w:t>607 (15.2%)</w:t>
            </w:r>
          </w:p>
        </w:tc>
        <w:tc>
          <w:tcPr>
            <w:tcW w:w="1715" w:type="dxa"/>
            <w:vAlign w:val="center"/>
          </w:tcPr>
          <w:p w14:paraId="00F0F02E" w14:textId="77777777" w:rsidR="00954983" w:rsidRPr="00015A39" w:rsidRDefault="00954983" w:rsidP="006D313F">
            <w:pPr>
              <w:jc w:val="center"/>
              <w:rPr>
                <w:color w:val="000000" w:themeColor="text1"/>
                <w:sz w:val="24"/>
                <w:szCs w:val="24"/>
              </w:rPr>
            </w:pPr>
            <w:r w:rsidRPr="00015A39">
              <w:rPr>
                <w:color w:val="000000" w:themeColor="text1"/>
                <w:sz w:val="24"/>
                <w:szCs w:val="24"/>
              </w:rPr>
              <w:t>781 (16.8%)</w:t>
            </w:r>
          </w:p>
        </w:tc>
        <w:tc>
          <w:tcPr>
            <w:tcW w:w="1530" w:type="dxa"/>
            <w:vAlign w:val="center"/>
          </w:tcPr>
          <w:p w14:paraId="363AD706" w14:textId="77777777" w:rsidR="00954983" w:rsidRPr="00015A39" w:rsidRDefault="00954983" w:rsidP="006D313F">
            <w:pPr>
              <w:jc w:val="center"/>
              <w:rPr>
                <w:color w:val="000000" w:themeColor="text1"/>
                <w:sz w:val="24"/>
                <w:szCs w:val="24"/>
              </w:rPr>
            </w:pPr>
            <w:r w:rsidRPr="00015A39">
              <w:rPr>
                <w:color w:val="000000" w:themeColor="text1"/>
                <w:sz w:val="24"/>
                <w:szCs w:val="24"/>
              </w:rPr>
              <w:t>2092 (15.4%)</w:t>
            </w:r>
          </w:p>
        </w:tc>
        <w:tc>
          <w:tcPr>
            <w:tcW w:w="1768" w:type="dxa"/>
            <w:vMerge/>
          </w:tcPr>
          <w:p w14:paraId="0A57D182" w14:textId="77777777" w:rsidR="00954983" w:rsidRPr="00015A39" w:rsidRDefault="00954983" w:rsidP="006D313F">
            <w:pPr>
              <w:jc w:val="both"/>
              <w:rPr>
                <w:color w:val="000000" w:themeColor="text1"/>
                <w:sz w:val="24"/>
                <w:szCs w:val="24"/>
              </w:rPr>
            </w:pPr>
          </w:p>
        </w:tc>
        <w:tc>
          <w:tcPr>
            <w:tcW w:w="1768" w:type="dxa"/>
            <w:vMerge/>
          </w:tcPr>
          <w:p w14:paraId="660D1C60" w14:textId="77777777" w:rsidR="00954983" w:rsidRPr="00015A39" w:rsidRDefault="00954983" w:rsidP="006D313F">
            <w:pPr>
              <w:jc w:val="both"/>
              <w:rPr>
                <w:color w:val="000000" w:themeColor="text1"/>
                <w:sz w:val="24"/>
                <w:szCs w:val="24"/>
              </w:rPr>
            </w:pPr>
          </w:p>
        </w:tc>
        <w:tc>
          <w:tcPr>
            <w:tcW w:w="1720" w:type="dxa"/>
            <w:vMerge/>
          </w:tcPr>
          <w:p w14:paraId="200678E7" w14:textId="77777777" w:rsidR="00954983" w:rsidRPr="00015A39" w:rsidRDefault="00954983" w:rsidP="006D313F">
            <w:pPr>
              <w:jc w:val="both"/>
              <w:rPr>
                <w:color w:val="000000" w:themeColor="text1"/>
                <w:sz w:val="24"/>
                <w:szCs w:val="24"/>
              </w:rPr>
            </w:pPr>
          </w:p>
        </w:tc>
      </w:tr>
      <w:tr w:rsidR="00015A39" w:rsidRPr="00015A39" w14:paraId="28F15C6D" w14:textId="77777777" w:rsidTr="006D313F">
        <w:tc>
          <w:tcPr>
            <w:tcW w:w="1961" w:type="dxa"/>
            <w:tcBorders>
              <w:bottom w:val="single" w:sz="4" w:space="0" w:color="auto"/>
            </w:tcBorders>
            <w:vAlign w:val="center"/>
          </w:tcPr>
          <w:p w14:paraId="751E37F0" w14:textId="77777777" w:rsidR="00954983" w:rsidRPr="00015A39" w:rsidRDefault="00954983" w:rsidP="006D313F">
            <w:pPr>
              <w:rPr>
                <w:color w:val="000000" w:themeColor="text1"/>
                <w:sz w:val="24"/>
                <w:szCs w:val="24"/>
              </w:rPr>
            </w:pPr>
            <w:r w:rsidRPr="00015A39">
              <w:rPr>
                <w:color w:val="000000" w:themeColor="text1"/>
                <w:sz w:val="24"/>
                <w:szCs w:val="24"/>
              </w:rPr>
              <w:t>NA</w:t>
            </w:r>
          </w:p>
        </w:tc>
        <w:tc>
          <w:tcPr>
            <w:tcW w:w="1730" w:type="dxa"/>
            <w:tcBorders>
              <w:bottom w:val="single" w:sz="4" w:space="0" w:color="auto"/>
            </w:tcBorders>
            <w:vAlign w:val="center"/>
          </w:tcPr>
          <w:p w14:paraId="2354EAF9" w14:textId="77777777" w:rsidR="00954983" w:rsidRPr="00015A39" w:rsidRDefault="00954983" w:rsidP="006D313F">
            <w:pPr>
              <w:rPr>
                <w:color w:val="000000" w:themeColor="text1"/>
                <w:sz w:val="24"/>
                <w:szCs w:val="24"/>
              </w:rPr>
            </w:pPr>
            <w:r w:rsidRPr="00015A39">
              <w:rPr>
                <w:color w:val="000000" w:themeColor="text1"/>
                <w:sz w:val="24"/>
                <w:szCs w:val="24"/>
              </w:rPr>
              <w:t>541 (12.5%)</w:t>
            </w:r>
          </w:p>
        </w:tc>
        <w:tc>
          <w:tcPr>
            <w:tcW w:w="1768" w:type="dxa"/>
            <w:tcBorders>
              <w:bottom w:val="single" w:sz="4" w:space="0" w:color="auto"/>
            </w:tcBorders>
            <w:vAlign w:val="center"/>
          </w:tcPr>
          <w:p w14:paraId="0BC724CF" w14:textId="77777777" w:rsidR="00954983" w:rsidRPr="00015A39" w:rsidRDefault="00954983" w:rsidP="006D313F">
            <w:pPr>
              <w:rPr>
                <w:color w:val="000000" w:themeColor="text1"/>
                <w:sz w:val="24"/>
                <w:szCs w:val="24"/>
              </w:rPr>
            </w:pPr>
            <w:r w:rsidRPr="00015A39">
              <w:rPr>
                <w:color w:val="000000" w:themeColor="text1"/>
                <w:sz w:val="24"/>
                <w:szCs w:val="24"/>
              </w:rPr>
              <w:t>486 (12.2%)</w:t>
            </w:r>
          </w:p>
        </w:tc>
        <w:tc>
          <w:tcPr>
            <w:tcW w:w="1715" w:type="dxa"/>
            <w:tcBorders>
              <w:bottom w:val="single" w:sz="4" w:space="0" w:color="auto"/>
            </w:tcBorders>
            <w:vAlign w:val="bottom"/>
          </w:tcPr>
          <w:p w14:paraId="71DBBE36" w14:textId="77777777" w:rsidR="00954983" w:rsidRPr="00015A39" w:rsidRDefault="00954983" w:rsidP="006D313F">
            <w:pPr>
              <w:rPr>
                <w:color w:val="000000" w:themeColor="text1"/>
                <w:sz w:val="24"/>
                <w:szCs w:val="24"/>
              </w:rPr>
            </w:pPr>
            <w:r w:rsidRPr="00015A39">
              <w:rPr>
                <w:color w:val="000000" w:themeColor="text1"/>
                <w:sz w:val="24"/>
                <w:szCs w:val="24"/>
              </w:rPr>
              <w:t>588 (12.6%)</w:t>
            </w:r>
          </w:p>
        </w:tc>
        <w:tc>
          <w:tcPr>
            <w:tcW w:w="1530" w:type="dxa"/>
            <w:tcBorders>
              <w:bottom w:val="single" w:sz="4" w:space="0" w:color="auto"/>
            </w:tcBorders>
            <w:vAlign w:val="center"/>
          </w:tcPr>
          <w:p w14:paraId="161D137B" w14:textId="77777777" w:rsidR="00954983" w:rsidRPr="00015A39" w:rsidRDefault="00954983" w:rsidP="006D313F">
            <w:pPr>
              <w:rPr>
                <w:color w:val="000000" w:themeColor="text1"/>
                <w:sz w:val="24"/>
                <w:szCs w:val="24"/>
              </w:rPr>
            </w:pPr>
            <w:r w:rsidRPr="00015A39">
              <w:rPr>
                <w:color w:val="000000" w:themeColor="text1"/>
                <w:sz w:val="24"/>
                <w:szCs w:val="24"/>
              </w:rPr>
              <w:t>1697</w:t>
            </w:r>
          </w:p>
        </w:tc>
        <w:tc>
          <w:tcPr>
            <w:tcW w:w="1768" w:type="dxa"/>
            <w:tcBorders>
              <w:bottom w:val="single" w:sz="4" w:space="0" w:color="auto"/>
            </w:tcBorders>
            <w:vAlign w:val="center"/>
          </w:tcPr>
          <w:p w14:paraId="748124E1"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68" w:type="dxa"/>
            <w:tcBorders>
              <w:bottom w:val="single" w:sz="4" w:space="0" w:color="auto"/>
            </w:tcBorders>
            <w:vAlign w:val="center"/>
          </w:tcPr>
          <w:p w14:paraId="1970CBB8"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20" w:type="dxa"/>
            <w:tcBorders>
              <w:bottom w:val="single" w:sz="4" w:space="0" w:color="auto"/>
            </w:tcBorders>
            <w:vAlign w:val="center"/>
          </w:tcPr>
          <w:p w14:paraId="17440E9D"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r>
      <w:tr w:rsidR="00015A39" w:rsidRPr="00015A39" w14:paraId="42363F58" w14:textId="77777777" w:rsidTr="006D313F">
        <w:tc>
          <w:tcPr>
            <w:tcW w:w="13960" w:type="dxa"/>
            <w:gridSpan w:val="8"/>
            <w:tcBorders>
              <w:top w:val="single" w:sz="4" w:space="0" w:color="auto"/>
            </w:tcBorders>
            <w:shd w:val="clear" w:color="auto" w:fill="D0CECE" w:themeFill="background2" w:themeFillShade="E6"/>
          </w:tcPr>
          <w:p w14:paraId="4E738EB3" w14:textId="77777777" w:rsidR="00954983" w:rsidRPr="00015A39" w:rsidRDefault="00954983" w:rsidP="006D313F">
            <w:pPr>
              <w:jc w:val="both"/>
              <w:rPr>
                <w:b/>
                <w:bCs/>
                <w:color w:val="000000" w:themeColor="text1"/>
                <w:sz w:val="24"/>
                <w:szCs w:val="24"/>
              </w:rPr>
            </w:pPr>
            <w:r w:rsidRPr="00015A39">
              <w:rPr>
                <w:b/>
                <w:bCs/>
                <w:color w:val="000000" w:themeColor="text1"/>
                <w:sz w:val="24"/>
                <w:szCs w:val="24"/>
              </w:rPr>
              <w:t>Parental Eczema (</w:t>
            </w:r>
            <w:r w:rsidRPr="00015A39">
              <w:rPr>
                <w:b/>
                <w:bCs/>
                <w:i/>
                <w:iCs/>
                <w:color w:val="000000" w:themeColor="text1"/>
                <w:sz w:val="24"/>
                <w:szCs w:val="24"/>
              </w:rPr>
              <w:t>n</w:t>
            </w:r>
            <w:r w:rsidRPr="00015A39">
              <w:rPr>
                <w:b/>
                <w:bCs/>
                <w:color w:val="000000" w:themeColor="text1"/>
                <w:sz w:val="24"/>
                <w:szCs w:val="24"/>
              </w:rPr>
              <w:t>, %)</w:t>
            </w:r>
          </w:p>
        </w:tc>
      </w:tr>
      <w:tr w:rsidR="00015A39" w:rsidRPr="00015A39" w14:paraId="190040BC" w14:textId="77777777" w:rsidTr="006D313F">
        <w:tc>
          <w:tcPr>
            <w:tcW w:w="1961" w:type="dxa"/>
          </w:tcPr>
          <w:p w14:paraId="3628F666" w14:textId="77777777" w:rsidR="00954983" w:rsidRPr="00015A39" w:rsidRDefault="00954983" w:rsidP="00954983">
            <w:pPr>
              <w:pStyle w:val="ListParagraph"/>
              <w:numPr>
                <w:ilvl w:val="0"/>
                <w:numId w:val="52"/>
              </w:numPr>
              <w:rPr>
                <w:rFonts w:cs="Times New Roman"/>
                <w:color w:val="000000" w:themeColor="text1"/>
                <w:sz w:val="24"/>
                <w:szCs w:val="24"/>
              </w:rPr>
            </w:pPr>
            <w:r w:rsidRPr="00015A39">
              <w:rPr>
                <w:rFonts w:cs="Times New Roman"/>
                <w:color w:val="000000" w:themeColor="text1"/>
                <w:sz w:val="24"/>
                <w:szCs w:val="24"/>
              </w:rPr>
              <w:t>No</w:t>
            </w:r>
          </w:p>
        </w:tc>
        <w:tc>
          <w:tcPr>
            <w:tcW w:w="1730" w:type="dxa"/>
            <w:vAlign w:val="center"/>
          </w:tcPr>
          <w:p w14:paraId="5C818251" w14:textId="77777777" w:rsidR="00954983" w:rsidRPr="00015A39" w:rsidRDefault="00954983" w:rsidP="006D313F">
            <w:pPr>
              <w:jc w:val="center"/>
              <w:rPr>
                <w:color w:val="000000" w:themeColor="text1"/>
                <w:sz w:val="24"/>
                <w:szCs w:val="24"/>
              </w:rPr>
            </w:pPr>
            <w:r w:rsidRPr="00015A39">
              <w:rPr>
                <w:color w:val="000000" w:themeColor="text1"/>
                <w:sz w:val="24"/>
                <w:szCs w:val="24"/>
              </w:rPr>
              <w:t>3744 (86.2%)</w:t>
            </w:r>
          </w:p>
        </w:tc>
        <w:tc>
          <w:tcPr>
            <w:tcW w:w="1768" w:type="dxa"/>
            <w:vAlign w:val="center"/>
          </w:tcPr>
          <w:p w14:paraId="6F714067" w14:textId="77777777" w:rsidR="00954983" w:rsidRPr="00015A39" w:rsidRDefault="00954983" w:rsidP="006D313F">
            <w:pPr>
              <w:jc w:val="center"/>
              <w:rPr>
                <w:color w:val="000000" w:themeColor="text1"/>
                <w:sz w:val="24"/>
                <w:szCs w:val="24"/>
              </w:rPr>
            </w:pPr>
            <w:r w:rsidRPr="00015A39">
              <w:rPr>
                <w:color w:val="000000" w:themeColor="text1"/>
                <w:sz w:val="24"/>
                <w:szCs w:val="24"/>
              </w:rPr>
              <w:t>3507 (88.0%)</w:t>
            </w:r>
          </w:p>
        </w:tc>
        <w:tc>
          <w:tcPr>
            <w:tcW w:w="1715" w:type="dxa"/>
            <w:vAlign w:val="center"/>
          </w:tcPr>
          <w:p w14:paraId="66C0AD98" w14:textId="77777777" w:rsidR="00954983" w:rsidRPr="00015A39" w:rsidRDefault="00954983" w:rsidP="006D313F">
            <w:pPr>
              <w:jc w:val="center"/>
              <w:rPr>
                <w:color w:val="000000" w:themeColor="text1"/>
                <w:sz w:val="24"/>
                <w:szCs w:val="24"/>
              </w:rPr>
            </w:pPr>
            <w:r w:rsidRPr="00015A39">
              <w:rPr>
                <w:color w:val="000000" w:themeColor="text1"/>
                <w:sz w:val="24"/>
                <w:szCs w:val="24"/>
              </w:rPr>
              <w:t>4082 (87.6%)</w:t>
            </w:r>
          </w:p>
        </w:tc>
        <w:tc>
          <w:tcPr>
            <w:tcW w:w="1530" w:type="dxa"/>
            <w:vAlign w:val="center"/>
          </w:tcPr>
          <w:p w14:paraId="08D09BEE" w14:textId="77777777" w:rsidR="00954983" w:rsidRPr="00015A39" w:rsidRDefault="00954983" w:rsidP="006D313F">
            <w:pPr>
              <w:jc w:val="center"/>
              <w:rPr>
                <w:color w:val="000000" w:themeColor="text1"/>
                <w:sz w:val="24"/>
                <w:szCs w:val="24"/>
              </w:rPr>
            </w:pPr>
            <w:r w:rsidRPr="00015A39">
              <w:rPr>
                <w:color w:val="000000" w:themeColor="text1"/>
                <w:sz w:val="24"/>
                <w:szCs w:val="24"/>
              </w:rPr>
              <w:t>11,831 (87.2%)</w:t>
            </w:r>
          </w:p>
        </w:tc>
        <w:tc>
          <w:tcPr>
            <w:tcW w:w="1768" w:type="dxa"/>
            <w:vMerge w:val="restart"/>
            <w:vAlign w:val="center"/>
          </w:tcPr>
          <w:p w14:paraId="45FAA8AA"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rPr>
              <w:t>&lt;0.05</w:t>
            </w:r>
          </w:p>
        </w:tc>
        <w:tc>
          <w:tcPr>
            <w:tcW w:w="1768" w:type="dxa"/>
            <w:vMerge w:val="restart"/>
            <w:vAlign w:val="center"/>
          </w:tcPr>
          <w:p w14:paraId="3C256C3B" w14:textId="77777777" w:rsidR="00954983" w:rsidRPr="00015A39" w:rsidRDefault="00954983" w:rsidP="006D313F">
            <w:pPr>
              <w:jc w:val="center"/>
              <w:rPr>
                <w:color w:val="000000" w:themeColor="text1"/>
                <w:sz w:val="24"/>
                <w:szCs w:val="24"/>
              </w:rPr>
            </w:pPr>
            <w:r w:rsidRPr="00015A39">
              <w:rPr>
                <w:color w:val="000000" w:themeColor="text1"/>
                <w:sz w:val="24"/>
                <w:szCs w:val="24"/>
              </w:rPr>
              <w:t>0.343 (ns)</w:t>
            </w:r>
          </w:p>
        </w:tc>
        <w:tc>
          <w:tcPr>
            <w:tcW w:w="1720" w:type="dxa"/>
            <w:vMerge w:val="restart"/>
            <w:vAlign w:val="center"/>
          </w:tcPr>
          <w:p w14:paraId="02B5F18C" w14:textId="77777777" w:rsidR="00954983" w:rsidRPr="00015A39" w:rsidRDefault="00954983" w:rsidP="006D313F">
            <w:pPr>
              <w:jc w:val="center"/>
              <w:rPr>
                <w:color w:val="000000" w:themeColor="text1"/>
                <w:sz w:val="24"/>
                <w:szCs w:val="24"/>
              </w:rPr>
            </w:pPr>
            <w:r w:rsidRPr="00015A39">
              <w:rPr>
                <w:color w:val="000000" w:themeColor="text1"/>
                <w:sz w:val="24"/>
                <w:szCs w:val="24"/>
              </w:rPr>
              <w:t>0.142 (ns)</w:t>
            </w:r>
          </w:p>
        </w:tc>
      </w:tr>
      <w:tr w:rsidR="00015A39" w:rsidRPr="00015A39" w14:paraId="53463F4A" w14:textId="77777777" w:rsidTr="006D313F">
        <w:tc>
          <w:tcPr>
            <w:tcW w:w="1961" w:type="dxa"/>
          </w:tcPr>
          <w:p w14:paraId="39C01A9B" w14:textId="77777777" w:rsidR="00954983" w:rsidRPr="00015A39" w:rsidRDefault="00954983" w:rsidP="00954983">
            <w:pPr>
              <w:pStyle w:val="ListParagraph"/>
              <w:numPr>
                <w:ilvl w:val="0"/>
                <w:numId w:val="52"/>
              </w:numPr>
              <w:rPr>
                <w:rFonts w:cs="Times New Roman"/>
                <w:color w:val="000000" w:themeColor="text1"/>
                <w:sz w:val="24"/>
                <w:szCs w:val="24"/>
              </w:rPr>
            </w:pPr>
            <w:r w:rsidRPr="00015A39">
              <w:rPr>
                <w:rFonts w:cs="Times New Roman"/>
                <w:color w:val="000000" w:themeColor="text1"/>
                <w:sz w:val="24"/>
                <w:szCs w:val="24"/>
              </w:rPr>
              <w:lastRenderedPageBreak/>
              <w:t>Yes</w:t>
            </w:r>
          </w:p>
        </w:tc>
        <w:tc>
          <w:tcPr>
            <w:tcW w:w="1730" w:type="dxa"/>
            <w:vAlign w:val="center"/>
          </w:tcPr>
          <w:p w14:paraId="19C98088" w14:textId="77777777" w:rsidR="00954983" w:rsidRPr="00015A39" w:rsidRDefault="00954983" w:rsidP="006D313F">
            <w:pPr>
              <w:jc w:val="center"/>
              <w:rPr>
                <w:color w:val="000000" w:themeColor="text1"/>
                <w:sz w:val="24"/>
                <w:szCs w:val="24"/>
              </w:rPr>
            </w:pPr>
            <w:r w:rsidRPr="00015A39">
              <w:rPr>
                <w:color w:val="000000" w:themeColor="text1"/>
                <w:sz w:val="24"/>
                <w:szCs w:val="24"/>
              </w:rPr>
              <w:t>538 (12.4%)</w:t>
            </w:r>
          </w:p>
        </w:tc>
        <w:tc>
          <w:tcPr>
            <w:tcW w:w="1768" w:type="dxa"/>
            <w:vAlign w:val="center"/>
          </w:tcPr>
          <w:p w14:paraId="62549B2D" w14:textId="77777777" w:rsidR="00954983" w:rsidRPr="00015A39" w:rsidRDefault="00954983" w:rsidP="006D313F">
            <w:pPr>
              <w:jc w:val="center"/>
              <w:rPr>
                <w:color w:val="000000" w:themeColor="text1"/>
                <w:sz w:val="24"/>
                <w:szCs w:val="24"/>
              </w:rPr>
            </w:pPr>
            <w:r w:rsidRPr="00015A39">
              <w:rPr>
                <w:color w:val="000000" w:themeColor="text1"/>
                <w:sz w:val="24"/>
                <w:szCs w:val="24"/>
              </w:rPr>
              <w:t>429 (10.8%)</w:t>
            </w:r>
          </w:p>
        </w:tc>
        <w:tc>
          <w:tcPr>
            <w:tcW w:w="1715" w:type="dxa"/>
            <w:vAlign w:val="center"/>
          </w:tcPr>
          <w:p w14:paraId="62D1E8E9" w14:textId="77777777" w:rsidR="00954983" w:rsidRPr="00015A39" w:rsidRDefault="00954983" w:rsidP="006D313F">
            <w:pPr>
              <w:jc w:val="center"/>
              <w:rPr>
                <w:color w:val="000000" w:themeColor="text1"/>
                <w:sz w:val="24"/>
                <w:szCs w:val="24"/>
              </w:rPr>
            </w:pPr>
            <w:r w:rsidRPr="00015A39">
              <w:rPr>
                <w:color w:val="000000" w:themeColor="text1"/>
                <w:sz w:val="24"/>
                <w:szCs w:val="24"/>
              </w:rPr>
              <w:t>533 (11.4%)</w:t>
            </w:r>
          </w:p>
        </w:tc>
        <w:tc>
          <w:tcPr>
            <w:tcW w:w="1530" w:type="dxa"/>
            <w:vAlign w:val="center"/>
          </w:tcPr>
          <w:p w14:paraId="29E10B23" w14:textId="77777777" w:rsidR="00954983" w:rsidRPr="00015A39" w:rsidRDefault="00954983" w:rsidP="006D313F">
            <w:pPr>
              <w:jc w:val="center"/>
              <w:rPr>
                <w:color w:val="000000" w:themeColor="text1"/>
                <w:sz w:val="24"/>
                <w:szCs w:val="24"/>
              </w:rPr>
            </w:pPr>
            <w:r w:rsidRPr="00015A39">
              <w:rPr>
                <w:color w:val="000000" w:themeColor="text1"/>
                <w:sz w:val="24"/>
                <w:szCs w:val="24"/>
              </w:rPr>
              <w:t>1558 (11.5%)</w:t>
            </w:r>
          </w:p>
        </w:tc>
        <w:tc>
          <w:tcPr>
            <w:tcW w:w="1768" w:type="dxa"/>
            <w:vMerge/>
          </w:tcPr>
          <w:p w14:paraId="3975050C" w14:textId="77777777" w:rsidR="00954983" w:rsidRPr="00015A39" w:rsidRDefault="00954983" w:rsidP="006D313F">
            <w:pPr>
              <w:jc w:val="both"/>
              <w:rPr>
                <w:color w:val="000000" w:themeColor="text1"/>
                <w:sz w:val="24"/>
                <w:szCs w:val="24"/>
              </w:rPr>
            </w:pPr>
          </w:p>
        </w:tc>
        <w:tc>
          <w:tcPr>
            <w:tcW w:w="1768" w:type="dxa"/>
            <w:vMerge/>
          </w:tcPr>
          <w:p w14:paraId="594F7433" w14:textId="77777777" w:rsidR="00954983" w:rsidRPr="00015A39" w:rsidRDefault="00954983" w:rsidP="006D313F">
            <w:pPr>
              <w:jc w:val="both"/>
              <w:rPr>
                <w:color w:val="000000" w:themeColor="text1"/>
                <w:sz w:val="24"/>
                <w:szCs w:val="24"/>
              </w:rPr>
            </w:pPr>
          </w:p>
        </w:tc>
        <w:tc>
          <w:tcPr>
            <w:tcW w:w="1720" w:type="dxa"/>
            <w:vMerge/>
          </w:tcPr>
          <w:p w14:paraId="5829B65F" w14:textId="77777777" w:rsidR="00954983" w:rsidRPr="00015A39" w:rsidRDefault="00954983" w:rsidP="006D313F">
            <w:pPr>
              <w:jc w:val="both"/>
              <w:rPr>
                <w:color w:val="000000" w:themeColor="text1"/>
                <w:sz w:val="24"/>
                <w:szCs w:val="24"/>
              </w:rPr>
            </w:pPr>
          </w:p>
        </w:tc>
      </w:tr>
      <w:tr w:rsidR="00015A39" w:rsidRPr="00015A39" w14:paraId="0733F209" w14:textId="77777777" w:rsidTr="006D313F">
        <w:tc>
          <w:tcPr>
            <w:tcW w:w="1961" w:type="dxa"/>
            <w:tcBorders>
              <w:bottom w:val="single" w:sz="4" w:space="0" w:color="auto"/>
            </w:tcBorders>
          </w:tcPr>
          <w:p w14:paraId="48F6DF7C" w14:textId="77777777" w:rsidR="00954983" w:rsidRPr="00015A39" w:rsidRDefault="00954983" w:rsidP="006D313F">
            <w:pPr>
              <w:rPr>
                <w:color w:val="000000" w:themeColor="text1"/>
                <w:sz w:val="24"/>
                <w:szCs w:val="24"/>
              </w:rPr>
            </w:pPr>
            <w:r w:rsidRPr="00015A39">
              <w:rPr>
                <w:color w:val="000000" w:themeColor="text1"/>
                <w:sz w:val="24"/>
                <w:szCs w:val="24"/>
              </w:rPr>
              <w:t>NA</w:t>
            </w:r>
          </w:p>
        </w:tc>
        <w:tc>
          <w:tcPr>
            <w:tcW w:w="1730" w:type="dxa"/>
            <w:tcBorders>
              <w:bottom w:val="single" w:sz="4" w:space="0" w:color="auto"/>
            </w:tcBorders>
            <w:vAlign w:val="center"/>
          </w:tcPr>
          <w:p w14:paraId="41E87D93" w14:textId="77777777" w:rsidR="00954983" w:rsidRPr="00015A39" w:rsidRDefault="00954983" w:rsidP="006D313F">
            <w:pPr>
              <w:rPr>
                <w:color w:val="000000" w:themeColor="text1"/>
                <w:sz w:val="24"/>
                <w:szCs w:val="24"/>
              </w:rPr>
            </w:pPr>
            <w:r w:rsidRPr="00015A39">
              <w:rPr>
                <w:color w:val="000000" w:themeColor="text1"/>
                <w:sz w:val="24"/>
                <w:szCs w:val="24"/>
              </w:rPr>
              <w:t>61 (1.4%)</w:t>
            </w:r>
          </w:p>
        </w:tc>
        <w:tc>
          <w:tcPr>
            <w:tcW w:w="1768" w:type="dxa"/>
            <w:tcBorders>
              <w:bottom w:val="single" w:sz="4" w:space="0" w:color="auto"/>
            </w:tcBorders>
            <w:vAlign w:val="center"/>
          </w:tcPr>
          <w:p w14:paraId="0F264EF7" w14:textId="77777777" w:rsidR="00954983" w:rsidRPr="00015A39" w:rsidRDefault="00954983" w:rsidP="006D313F">
            <w:pPr>
              <w:rPr>
                <w:color w:val="000000" w:themeColor="text1"/>
                <w:sz w:val="24"/>
                <w:szCs w:val="24"/>
              </w:rPr>
            </w:pPr>
            <w:r w:rsidRPr="00015A39">
              <w:rPr>
                <w:color w:val="000000" w:themeColor="text1"/>
                <w:sz w:val="24"/>
                <w:szCs w:val="24"/>
              </w:rPr>
              <w:t>48 (1.2%)</w:t>
            </w:r>
          </w:p>
        </w:tc>
        <w:tc>
          <w:tcPr>
            <w:tcW w:w="1715" w:type="dxa"/>
            <w:tcBorders>
              <w:bottom w:val="single" w:sz="4" w:space="0" w:color="auto"/>
            </w:tcBorders>
            <w:vAlign w:val="center"/>
          </w:tcPr>
          <w:p w14:paraId="4BB0160C" w14:textId="77777777" w:rsidR="00954983" w:rsidRPr="00015A39" w:rsidRDefault="00954983" w:rsidP="006D313F">
            <w:pPr>
              <w:rPr>
                <w:color w:val="000000" w:themeColor="text1"/>
                <w:sz w:val="24"/>
                <w:szCs w:val="24"/>
              </w:rPr>
            </w:pPr>
            <w:r w:rsidRPr="00015A39">
              <w:rPr>
                <w:color w:val="000000" w:themeColor="text1"/>
                <w:sz w:val="24"/>
                <w:szCs w:val="24"/>
              </w:rPr>
              <w:t>43 (0.9%)</w:t>
            </w:r>
          </w:p>
        </w:tc>
        <w:tc>
          <w:tcPr>
            <w:tcW w:w="1530" w:type="dxa"/>
            <w:tcBorders>
              <w:bottom w:val="single" w:sz="4" w:space="0" w:color="auto"/>
            </w:tcBorders>
            <w:vAlign w:val="center"/>
          </w:tcPr>
          <w:p w14:paraId="3D4AACAA" w14:textId="77777777" w:rsidR="00954983" w:rsidRPr="00015A39" w:rsidRDefault="00954983" w:rsidP="006D313F">
            <w:pPr>
              <w:rPr>
                <w:color w:val="000000" w:themeColor="text1"/>
                <w:sz w:val="24"/>
                <w:szCs w:val="24"/>
              </w:rPr>
            </w:pPr>
            <w:r w:rsidRPr="00015A39">
              <w:rPr>
                <w:color w:val="000000" w:themeColor="text1"/>
                <w:sz w:val="24"/>
                <w:szCs w:val="24"/>
              </w:rPr>
              <w:t>172</w:t>
            </w:r>
          </w:p>
        </w:tc>
        <w:tc>
          <w:tcPr>
            <w:tcW w:w="1768" w:type="dxa"/>
            <w:tcBorders>
              <w:bottom w:val="single" w:sz="4" w:space="0" w:color="auto"/>
            </w:tcBorders>
          </w:tcPr>
          <w:p w14:paraId="74CEDB95"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68" w:type="dxa"/>
            <w:tcBorders>
              <w:bottom w:val="single" w:sz="4" w:space="0" w:color="auto"/>
            </w:tcBorders>
          </w:tcPr>
          <w:p w14:paraId="3ECADD90"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20" w:type="dxa"/>
            <w:tcBorders>
              <w:bottom w:val="single" w:sz="4" w:space="0" w:color="auto"/>
            </w:tcBorders>
          </w:tcPr>
          <w:p w14:paraId="07A2AF83"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r>
      <w:tr w:rsidR="00015A39" w:rsidRPr="00015A39" w14:paraId="142E52AF" w14:textId="77777777" w:rsidTr="006D313F">
        <w:tc>
          <w:tcPr>
            <w:tcW w:w="13960" w:type="dxa"/>
            <w:gridSpan w:val="8"/>
            <w:tcBorders>
              <w:top w:val="single" w:sz="4" w:space="0" w:color="auto"/>
            </w:tcBorders>
            <w:shd w:val="clear" w:color="auto" w:fill="D0CECE" w:themeFill="background2" w:themeFillShade="E6"/>
          </w:tcPr>
          <w:p w14:paraId="6ED8F4A5" w14:textId="77777777" w:rsidR="00954983" w:rsidRPr="00015A39" w:rsidRDefault="00954983" w:rsidP="006D313F">
            <w:pPr>
              <w:jc w:val="both"/>
              <w:rPr>
                <w:b/>
                <w:bCs/>
                <w:color w:val="000000" w:themeColor="text1"/>
                <w:sz w:val="24"/>
                <w:szCs w:val="24"/>
              </w:rPr>
            </w:pPr>
            <w:r w:rsidRPr="00015A39">
              <w:rPr>
                <w:b/>
                <w:bCs/>
                <w:color w:val="000000" w:themeColor="text1"/>
                <w:sz w:val="24"/>
                <w:szCs w:val="24"/>
              </w:rPr>
              <w:t>Tobacco Smoking Status (</w:t>
            </w:r>
            <w:r w:rsidRPr="00015A39">
              <w:rPr>
                <w:b/>
                <w:bCs/>
                <w:i/>
                <w:iCs/>
                <w:color w:val="000000" w:themeColor="text1"/>
                <w:sz w:val="24"/>
                <w:szCs w:val="24"/>
              </w:rPr>
              <w:t>n</w:t>
            </w:r>
            <w:r w:rsidRPr="00015A39">
              <w:rPr>
                <w:b/>
                <w:bCs/>
                <w:color w:val="000000" w:themeColor="text1"/>
                <w:sz w:val="24"/>
                <w:szCs w:val="24"/>
              </w:rPr>
              <w:t>, %)</w:t>
            </w:r>
          </w:p>
        </w:tc>
      </w:tr>
      <w:tr w:rsidR="00015A39" w:rsidRPr="00015A39" w14:paraId="4F0852FC" w14:textId="77777777" w:rsidTr="006D313F">
        <w:tc>
          <w:tcPr>
            <w:tcW w:w="1961" w:type="dxa"/>
            <w:vAlign w:val="center"/>
          </w:tcPr>
          <w:p w14:paraId="5026B6E6" w14:textId="77777777" w:rsidR="00954983" w:rsidRPr="00015A39" w:rsidRDefault="00954983" w:rsidP="00954983">
            <w:pPr>
              <w:pStyle w:val="ListParagraph"/>
              <w:numPr>
                <w:ilvl w:val="0"/>
                <w:numId w:val="53"/>
              </w:numPr>
              <w:spacing w:line="240" w:lineRule="auto"/>
              <w:jc w:val="left"/>
              <w:rPr>
                <w:rFonts w:cs="Times New Roman"/>
                <w:color w:val="000000" w:themeColor="text1"/>
                <w:sz w:val="24"/>
                <w:szCs w:val="24"/>
              </w:rPr>
            </w:pPr>
            <w:r w:rsidRPr="00015A39">
              <w:rPr>
                <w:rFonts w:cs="Times New Roman"/>
                <w:color w:val="000000" w:themeColor="text1"/>
                <w:sz w:val="24"/>
                <w:szCs w:val="24"/>
              </w:rPr>
              <w:t>Non-smoker</w:t>
            </w:r>
          </w:p>
        </w:tc>
        <w:tc>
          <w:tcPr>
            <w:tcW w:w="1730" w:type="dxa"/>
            <w:vAlign w:val="center"/>
          </w:tcPr>
          <w:p w14:paraId="78437FA6" w14:textId="77777777" w:rsidR="00954983" w:rsidRPr="00015A39" w:rsidRDefault="00954983" w:rsidP="006D313F">
            <w:pPr>
              <w:jc w:val="center"/>
              <w:rPr>
                <w:color w:val="000000" w:themeColor="text1"/>
                <w:sz w:val="24"/>
                <w:szCs w:val="24"/>
              </w:rPr>
            </w:pPr>
            <w:r w:rsidRPr="00015A39">
              <w:rPr>
                <w:color w:val="000000" w:themeColor="text1"/>
                <w:sz w:val="24"/>
                <w:szCs w:val="24"/>
              </w:rPr>
              <w:t>3982 (91.7%)</w:t>
            </w:r>
          </w:p>
        </w:tc>
        <w:tc>
          <w:tcPr>
            <w:tcW w:w="1768" w:type="dxa"/>
            <w:vAlign w:val="center"/>
          </w:tcPr>
          <w:p w14:paraId="50850B4D" w14:textId="77777777" w:rsidR="00954983" w:rsidRPr="00015A39" w:rsidRDefault="00954983" w:rsidP="006D313F">
            <w:pPr>
              <w:jc w:val="center"/>
              <w:rPr>
                <w:color w:val="000000" w:themeColor="text1"/>
                <w:sz w:val="24"/>
                <w:szCs w:val="24"/>
              </w:rPr>
            </w:pPr>
            <w:r w:rsidRPr="00015A39">
              <w:rPr>
                <w:color w:val="000000" w:themeColor="text1"/>
                <w:sz w:val="24"/>
                <w:szCs w:val="24"/>
              </w:rPr>
              <w:t>3663 (91.9%)</w:t>
            </w:r>
          </w:p>
        </w:tc>
        <w:tc>
          <w:tcPr>
            <w:tcW w:w="1715" w:type="dxa"/>
            <w:vAlign w:val="center"/>
          </w:tcPr>
          <w:p w14:paraId="1B0F5687" w14:textId="77777777" w:rsidR="00954983" w:rsidRPr="00015A39" w:rsidRDefault="00954983" w:rsidP="006D313F">
            <w:pPr>
              <w:jc w:val="center"/>
              <w:rPr>
                <w:color w:val="000000" w:themeColor="text1"/>
                <w:sz w:val="24"/>
                <w:szCs w:val="24"/>
              </w:rPr>
            </w:pPr>
            <w:r w:rsidRPr="00015A39">
              <w:rPr>
                <w:color w:val="000000" w:themeColor="text1"/>
                <w:sz w:val="24"/>
                <w:szCs w:val="24"/>
              </w:rPr>
              <w:t>4258 (91.4%)</w:t>
            </w:r>
          </w:p>
        </w:tc>
        <w:tc>
          <w:tcPr>
            <w:tcW w:w="1530" w:type="dxa"/>
            <w:vAlign w:val="center"/>
          </w:tcPr>
          <w:p w14:paraId="36772C72" w14:textId="77777777" w:rsidR="00954983" w:rsidRPr="00015A39" w:rsidRDefault="00954983" w:rsidP="006D313F">
            <w:pPr>
              <w:jc w:val="center"/>
              <w:rPr>
                <w:color w:val="000000" w:themeColor="text1"/>
                <w:sz w:val="24"/>
                <w:szCs w:val="24"/>
              </w:rPr>
            </w:pPr>
            <w:r w:rsidRPr="00015A39">
              <w:rPr>
                <w:color w:val="000000" w:themeColor="text1"/>
                <w:sz w:val="24"/>
                <w:szCs w:val="24"/>
              </w:rPr>
              <w:t>12,395 (91.4%)</w:t>
            </w:r>
          </w:p>
        </w:tc>
        <w:tc>
          <w:tcPr>
            <w:tcW w:w="1768" w:type="dxa"/>
            <w:vMerge w:val="restart"/>
            <w:vAlign w:val="center"/>
          </w:tcPr>
          <w:p w14:paraId="14F0DC1F"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 xml:space="preserve">&lt;0.05 </w:t>
            </w:r>
          </w:p>
        </w:tc>
        <w:tc>
          <w:tcPr>
            <w:tcW w:w="1768" w:type="dxa"/>
            <w:vMerge w:val="restart"/>
            <w:vAlign w:val="center"/>
          </w:tcPr>
          <w:p w14:paraId="77394868"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rPr>
              <w:t>&lt;0.05</w:t>
            </w:r>
          </w:p>
        </w:tc>
        <w:tc>
          <w:tcPr>
            <w:tcW w:w="1720" w:type="dxa"/>
            <w:vMerge w:val="restart"/>
            <w:vAlign w:val="center"/>
          </w:tcPr>
          <w:p w14:paraId="6B9BB1FE" w14:textId="77777777" w:rsidR="00954983" w:rsidRPr="00015A39" w:rsidRDefault="00954983" w:rsidP="006D313F">
            <w:pPr>
              <w:jc w:val="center"/>
              <w:rPr>
                <w:b/>
                <w:bCs/>
                <w:color w:val="000000" w:themeColor="text1"/>
                <w:sz w:val="24"/>
                <w:szCs w:val="24"/>
              </w:rPr>
            </w:pPr>
            <w:r w:rsidRPr="00015A39">
              <w:rPr>
                <w:b/>
                <w:bCs/>
                <w:color w:val="000000" w:themeColor="text1"/>
                <w:sz w:val="24"/>
                <w:szCs w:val="24"/>
              </w:rPr>
              <w:t>&lt;0.0001</w:t>
            </w:r>
          </w:p>
        </w:tc>
      </w:tr>
      <w:tr w:rsidR="00015A39" w:rsidRPr="00015A39" w14:paraId="029E5C5C" w14:textId="77777777" w:rsidTr="006D313F">
        <w:tc>
          <w:tcPr>
            <w:tcW w:w="1961" w:type="dxa"/>
            <w:vAlign w:val="center"/>
          </w:tcPr>
          <w:p w14:paraId="0D64752D" w14:textId="77777777" w:rsidR="00954983" w:rsidRPr="00015A39" w:rsidRDefault="00954983" w:rsidP="00954983">
            <w:pPr>
              <w:pStyle w:val="ListParagraph"/>
              <w:numPr>
                <w:ilvl w:val="0"/>
                <w:numId w:val="53"/>
              </w:numPr>
              <w:spacing w:line="240" w:lineRule="auto"/>
              <w:jc w:val="left"/>
              <w:rPr>
                <w:rFonts w:cs="Times New Roman"/>
                <w:color w:val="000000" w:themeColor="text1"/>
                <w:sz w:val="24"/>
                <w:szCs w:val="24"/>
              </w:rPr>
            </w:pPr>
            <w:r w:rsidRPr="00015A39">
              <w:rPr>
                <w:rFonts w:cs="Times New Roman"/>
                <w:color w:val="000000" w:themeColor="text1"/>
                <w:sz w:val="24"/>
                <w:szCs w:val="24"/>
              </w:rPr>
              <w:t>Ex-smoker</w:t>
            </w:r>
          </w:p>
        </w:tc>
        <w:tc>
          <w:tcPr>
            <w:tcW w:w="1730" w:type="dxa"/>
            <w:vAlign w:val="center"/>
          </w:tcPr>
          <w:p w14:paraId="61EFFAD7" w14:textId="77777777" w:rsidR="00954983" w:rsidRPr="00015A39" w:rsidRDefault="00954983" w:rsidP="006D313F">
            <w:pPr>
              <w:jc w:val="center"/>
              <w:rPr>
                <w:color w:val="000000" w:themeColor="text1"/>
                <w:sz w:val="24"/>
                <w:szCs w:val="24"/>
              </w:rPr>
            </w:pPr>
            <w:r w:rsidRPr="00015A39">
              <w:rPr>
                <w:color w:val="000000" w:themeColor="text1"/>
                <w:sz w:val="24"/>
                <w:szCs w:val="24"/>
              </w:rPr>
              <w:t>23 (0.5%)</w:t>
            </w:r>
          </w:p>
        </w:tc>
        <w:tc>
          <w:tcPr>
            <w:tcW w:w="1768" w:type="dxa"/>
            <w:vAlign w:val="center"/>
          </w:tcPr>
          <w:p w14:paraId="4E76EC7C" w14:textId="77777777" w:rsidR="00954983" w:rsidRPr="00015A39" w:rsidRDefault="00954983" w:rsidP="006D313F">
            <w:pPr>
              <w:jc w:val="center"/>
              <w:rPr>
                <w:color w:val="000000" w:themeColor="text1"/>
                <w:sz w:val="24"/>
                <w:szCs w:val="24"/>
              </w:rPr>
            </w:pPr>
            <w:r w:rsidRPr="00015A39">
              <w:rPr>
                <w:color w:val="000000" w:themeColor="text1"/>
                <w:sz w:val="24"/>
                <w:szCs w:val="24"/>
              </w:rPr>
              <w:t>42 (1.1%)</w:t>
            </w:r>
          </w:p>
        </w:tc>
        <w:tc>
          <w:tcPr>
            <w:tcW w:w="1715" w:type="dxa"/>
            <w:vAlign w:val="center"/>
          </w:tcPr>
          <w:p w14:paraId="435B3DD8" w14:textId="77777777" w:rsidR="00954983" w:rsidRPr="00015A39" w:rsidRDefault="00954983" w:rsidP="006D313F">
            <w:pPr>
              <w:jc w:val="center"/>
              <w:rPr>
                <w:color w:val="000000" w:themeColor="text1"/>
                <w:sz w:val="24"/>
                <w:szCs w:val="24"/>
              </w:rPr>
            </w:pPr>
            <w:r w:rsidRPr="00015A39">
              <w:rPr>
                <w:color w:val="000000" w:themeColor="text1"/>
                <w:sz w:val="24"/>
                <w:szCs w:val="24"/>
              </w:rPr>
              <w:t>63 (1.4%)</w:t>
            </w:r>
          </w:p>
        </w:tc>
        <w:tc>
          <w:tcPr>
            <w:tcW w:w="1530" w:type="dxa"/>
            <w:vAlign w:val="center"/>
          </w:tcPr>
          <w:p w14:paraId="1E60576B" w14:textId="77777777" w:rsidR="00954983" w:rsidRPr="00015A39" w:rsidRDefault="00954983" w:rsidP="006D313F">
            <w:pPr>
              <w:jc w:val="center"/>
              <w:rPr>
                <w:color w:val="000000" w:themeColor="text1"/>
                <w:sz w:val="24"/>
                <w:szCs w:val="24"/>
              </w:rPr>
            </w:pPr>
            <w:r w:rsidRPr="00015A39">
              <w:rPr>
                <w:color w:val="000000" w:themeColor="text1"/>
                <w:sz w:val="24"/>
                <w:szCs w:val="24"/>
              </w:rPr>
              <w:t>135 (1.00%)</w:t>
            </w:r>
          </w:p>
        </w:tc>
        <w:tc>
          <w:tcPr>
            <w:tcW w:w="1768" w:type="dxa"/>
            <w:vMerge/>
          </w:tcPr>
          <w:p w14:paraId="71067670" w14:textId="77777777" w:rsidR="00954983" w:rsidRPr="00015A39" w:rsidRDefault="00954983" w:rsidP="006D313F">
            <w:pPr>
              <w:jc w:val="both"/>
              <w:rPr>
                <w:color w:val="000000" w:themeColor="text1"/>
                <w:sz w:val="24"/>
                <w:szCs w:val="24"/>
              </w:rPr>
            </w:pPr>
          </w:p>
        </w:tc>
        <w:tc>
          <w:tcPr>
            <w:tcW w:w="1768" w:type="dxa"/>
            <w:vMerge/>
          </w:tcPr>
          <w:p w14:paraId="1FFAAD56" w14:textId="77777777" w:rsidR="00954983" w:rsidRPr="00015A39" w:rsidRDefault="00954983" w:rsidP="006D313F">
            <w:pPr>
              <w:jc w:val="both"/>
              <w:rPr>
                <w:color w:val="000000" w:themeColor="text1"/>
                <w:sz w:val="24"/>
                <w:szCs w:val="24"/>
              </w:rPr>
            </w:pPr>
          </w:p>
        </w:tc>
        <w:tc>
          <w:tcPr>
            <w:tcW w:w="1720" w:type="dxa"/>
            <w:vMerge/>
          </w:tcPr>
          <w:p w14:paraId="6ED87F73" w14:textId="77777777" w:rsidR="00954983" w:rsidRPr="00015A39" w:rsidRDefault="00954983" w:rsidP="006D313F">
            <w:pPr>
              <w:jc w:val="both"/>
              <w:rPr>
                <w:color w:val="000000" w:themeColor="text1"/>
                <w:sz w:val="24"/>
                <w:szCs w:val="24"/>
              </w:rPr>
            </w:pPr>
          </w:p>
        </w:tc>
      </w:tr>
      <w:tr w:rsidR="00015A39" w:rsidRPr="00015A39" w14:paraId="5E233FAC" w14:textId="77777777" w:rsidTr="006D313F">
        <w:tc>
          <w:tcPr>
            <w:tcW w:w="1961" w:type="dxa"/>
            <w:vAlign w:val="center"/>
          </w:tcPr>
          <w:p w14:paraId="1049F963" w14:textId="77777777" w:rsidR="00954983" w:rsidRPr="00015A39" w:rsidRDefault="00954983" w:rsidP="00954983">
            <w:pPr>
              <w:pStyle w:val="ListParagraph"/>
              <w:numPr>
                <w:ilvl w:val="0"/>
                <w:numId w:val="53"/>
              </w:numPr>
              <w:spacing w:line="240" w:lineRule="auto"/>
              <w:jc w:val="left"/>
              <w:rPr>
                <w:rFonts w:cs="Times New Roman"/>
                <w:color w:val="000000" w:themeColor="text1"/>
                <w:sz w:val="24"/>
                <w:szCs w:val="24"/>
              </w:rPr>
            </w:pPr>
            <w:r w:rsidRPr="00015A39">
              <w:rPr>
                <w:rFonts w:cs="Times New Roman"/>
                <w:color w:val="000000" w:themeColor="text1"/>
                <w:sz w:val="24"/>
                <w:szCs w:val="24"/>
              </w:rPr>
              <w:t>Smoker</w:t>
            </w:r>
          </w:p>
        </w:tc>
        <w:tc>
          <w:tcPr>
            <w:tcW w:w="1730" w:type="dxa"/>
            <w:vAlign w:val="center"/>
          </w:tcPr>
          <w:p w14:paraId="00F0F4C8" w14:textId="77777777" w:rsidR="00954983" w:rsidRPr="00015A39" w:rsidRDefault="00954983" w:rsidP="006D313F">
            <w:pPr>
              <w:jc w:val="center"/>
              <w:rPr>
                <w:color w:val="000000" w:themeColor="text1"/>
                <w:sz w:val="24"/>
                <w:szCs w:val="24"/>
              </w:rPr>
            </w:pPr>
            <w:r w:rsidRPr="00015A39">
              <w:rPr>
                <w:color w:val="000000" w:themeColor="text1"/>
                <w:sz w:val="24"/>
                <w:szCs w:val="24"/>
              </w:rPr>
              <w:t>50 (1.2%)</w:t>
            </w:r>
          </w:p>
        </w:tc>
        <w:tc>
          <w:tcPr>
            <w:tcW w:w="1768" w:type="dxa"/>
            <w:vAlign w:val="center"/>
          </w:tcPr>
          <w:p w14:paraId="36EB4E69" w14:textId="77777777" w:rsidR="00954983" w:rsidRPr="00015A39" w:rsidRDefault="00954983" w:rsidP="006D313F">
            <w:pPr>
              <w:jc w:val="center"/>
              <w:rPr>
                <w:color w:val="000000" w:themeColor="text1"/>
                <w:sz w:val="24"/>
                <w:szCs w:val="24"/>
              </w:rPr>
            </w:pPr>
            <w:r w:rsidRPr="00015A39">
              <w:rPr>
                <w:color w:val="000000" w:themeColor="text1"/>
                <w:sz w:val="24"/>
                <w:szCs w:val="24"/>
              </w:rPr>
              <w:t>44 (1.1%)</w:t>
            </w:r>
          </w:p>
        </w:tc>
        <w:tc>
          <w:tcPr>
            <w:tcW w:w="1715" w:type="dxa"/>
            <w:vAlign w:val="center"/>
          </w:tcPr>
          <w:p w14:paraId="7C2BDCFF" w14:textId="77777777" w:rsidR="00954983" w:rsidRPr="00015A39" w:rsidRDefault="00954983" w:rsidP="006D313F">
            <w:pPr>
              <w:jc w:val="center"/>
              <w:rPr>
                <w:color w:val="000000" w:themeColor="text1"/>
                <w:sz w:val="24"/>
                <w:szCs w:val="24"/>
              </w:rPr>
            </w:pPr>
            <w:r w:rsidRPr="00015A39">
              <w:rPr>
                <w:color w:val="000000" w:themeColor="text1"/>
                <w:sz w:val="24"/>
                <w:szCs w:val="24"/>
              </w:rPr>
              <w:t>81 (1.7%)</w:t>
            </w:r>
          </w:p>
        </w:tc>
        <w:tc>
          <w:tcPr>
            <w:tcW w:w="1530" w:type="dxa"/>
            <w:vAlign w:val="center"/>
          </w:tcPr>
          <w:p w14:paraId="39CA198C" w14:textId="77777777" w:rsidR="00954983" w:rsidRPr="00015A39" w:rsidRDefault="00954983" w:rsidP="006D313F">
            <w:pPr>
              <w:jc w:val="center"/>
              <w:rPr>
                <w:color w:val="000000" w:themeColor="text1"/>
                <w:sz w:val="24"/>
                <w:szCs w:val="24"/>
              </w:rPr>
            </w:pPr>
            <w:r w:rsidRPr="00015A39">
              <w:rPr>
                <w:color w:val="000000" w:themeColor="text1"/>
                <w:sz w:val="24"/>
                <w:szCs w:val="24"/>
              </w:rPr>
              <w:t>183 (1.35%)</w:t>
            </w:r>
          </w:p>
        </w:tc>
        <w:tc>
          <w:tcPr>
            <w:tcW w:w="1768" w:type="dxa"/>
            <w:vMerge/>
          </w:tcPr>
          <w:p w14:paraId="1942F3E4" w14:textId="77777777" w:rsidR="00954983" w:rsidRPr="00015A39" w:rsidRDefault="00954983" w:rsidP="006D313F">
            <w:pPr>
              <w:jc w:val="both"/>
              <w:rPr>
                <w:color w:val="000000" w:themeColor="text1"/>
                <w:sz w:val="24"/>
                <w:szCs w:val="24"/>
              </w:rPr>
            </w:pPr>
          </w:p>
        </w:tc>
        <w:tc>
          <w:tcPr>
            <w:tcW w:w="1768" w:type="dxa"/>
            <w:vMerge/>
          </w:tcPr>
          <w:p w14:paraId="3893381D" w14:textId="77777777" w:rsidR="00954983" w:rsidRPr="00015A39" w:rsidRDefault="00954983" w:rsidP="006D313F">
            <w:pPr>
              <w:jc w:val="both"/>
              <w:rPr>
                <w:color w:val="000000" w:themeColor="text1"/>
                <w:sz w:val="24"/>
                <w:szCs w:val="24"/>
              </w:rPr>
            </w:pPr>
          </w:p>
        </w:tc>
        <w:tc>
          <w:tcPr>
            <w:tcW w:w="1720" w:type="dxa"/>
            <w:vMerge/>
          </w:tcPr>
          <w:p w14:paraId="02DC728D" w14:textId="77777777" w:rsidR="00954983" w:rsidRPr="00015A39" w:rsidRDefault="00954983" w:rsidP="006D313F">
            <w:pPr>
              <w:jc w:val="both"/>
              <w:rPr>
                <w:color w:val="000000" w:themeColor="text1"/>
                <w:sz w:val="24"/>
                <w:szCs w:val="24"/>
              </w:rPr>
            </w:pPr>
          </w:p>
        </w:tc>
      </w:tr>
      <w:tr w:rsidR="00015A39" w:rsidRPr="00015A39" w14:paraId="0215D306" w14:textId="77777777" w:rsidTr="006D313F">
        <w:tc>
          <w:tcPr>
            <w:tcW w:w="1961" w:type="dxa"/>
            <w:tcBorders>
              <w:bottom w:val="single" w:sz="4" w:space="0" w:color="auto"/>
            </w:tcBorders>
          </w:tcPr>
          <w:p w14:paraId="094E8906" w14:textId="77777777" w:rsidR="00954983" w:rsidRPr="00015A39" w:rsidRDefault="00954983" w:rsidP="006D313F">
            <w:pPr>
              <w:jc w:val="both"/>
              <w:rPr>
                <w:color w:val="000000" w:themeColor="text1"/>
                <w:sz w:val="24"/>
                <w:szCs w:val="24"/>
              </w:rPr>
            </w:pPr>
            <w:r w:rsidRPr="00015A39">
              <w:rPr>
                <w:color w:val="000000" w:themeColor="text1"/>
                <w:sz w:val="24"/>
                <w:szCs w:val="24"/>
              </w:rPr>
              <w:t>NA</w:t>
            </w:r>
          </w:p>
        </w:tc>
        <w:tc>
          <w:tcPr>
            <w:tcW w:w="1730" w:type="dxa"/>
            <w:tcBorders>
              <w:bottom w:val="single" w:sz="4" w:space="0" w:color="auto"/>
            </w:tcBorders>
            <w:vAlign w:val="center"/>
          </w:tcPr>
          <w:p w14:paraId="24EB6600" w14:textId="77777777" w:rsidR="00954983" w:rsidRPr="00015A39" w:rsidRDefault="00954983" w:rsidP="006D313F">
            <w:pPr>
              <w:rPr>
                <w:color w:val="000000" w:themeColor="text1"/>
                <w:sz w:val="24"/>
                <w:szCs w:val="24"/>
              </w:rPr>
            </w:pPr>
            <w:r w:rsidRPr="00015A39">
              <w:rPr>
                <w:color w:val="000000" w:themeColor="text1"/>
                <w:sz w:val="24"/>
                <w:szCs w:val="24"/>
              </w:rPr>
              <w:t>288 (6.6%)</w:t>
            </w:r>
          </w:p>
        </w:tc>
        <w:tc>
          <w:tcPr>
            <w:tcW w:w="1768" w:type="dxa"/>
            <w:tcBorders>
              <w:bottom w:val="single" w:sz="4" w:space="0" w:color="auto"/>
            </w:tcBorders>
            <w:vAlign w:val="center"/>
          </w:tcPr>
          <w:p w14:paraId="75B4D807" w14:textId="77777777" w:rsidR="00954983" w:rsidRPr="00015A39" w:rsidRDefault="00954983" w:rsidP="006D313F">
            <w:pPr>
              <w:rPr>
                <w:color w:val="000000" w:themeColor="text1"/>
                <w:sz w:val="24"/>
                <w:szCs w:val="24"/>
              </w:rPr>
            </w:pPr>
            <w:r w:rsidRPr="00015A39">
              <w:rPr>
                <w:color w:val="000000" w:themeColor="text1"/>
                <w:sz w:val="24"/>
                <w:szCs w:val="24"/>
              </w:rPr>
              <w:t>235 (5.9%)</w:t>
            </w:r>
          </w:p>
        </w:tc>
        <w:tc>
          <w:tcPr>
            <w:tcW w:w="1715" w:type="dxa"/>
            <w:tcBorders>
              <w:bottom w:val="single" w:sz="4" w:space="0" w:color="auto"/>
            </w:tcBorders>
            <w:vAlign w:val="center"/>
          </w:tcPr>
          <w:p w14:paraId="35D07011" w14:textId="77777777" w:rsidR="00954983" w:rsidRPr="00015A39" w:rsidRDefault="00954983" w:rsidP="006D313F">
            <w:pPr>
              <w:rPr>
                <w:color w:val="000000" w:themeColor="text1"/>
                <w:sz w:val="24"/>
                <w:szCs w:val="24"/>
              </w:rPr>
            </w:pPr>
            <w:r w:rsidRPr="00015A39">
              <w:rPr>
                <w:color w:val="000000" w:themeColor="text1"/>
                <w:sz w:val="24"/>
                <w:szCs w:val="24"/>
              </w:rPr>
              <w:t>256 (5.5%)</w:t>
            </w:r>
          </w:p>
        </w:tc>
        <w:tc>
          <w:tcPr>
            <w:tcW w:w="1530" w:type="dxa"/>
            <w:tcBorders>
              <w:bottom w:val="single" w:sz="4" w:space="0" w:color="auto"/>
            </w:tcBorders>
            <w:vAlign w:val="center"/>
          </w:tcPr>
          <w:p w14:paraId="186808D5" w14:textId="77777777" w:rsidR="00954983" w:rsidRPr="00015A39" w:rsidRDefault="00954983" w:rsidP="006D313F">
            <w:pPr>
              <w:rPr>
                <w:color w:val="000000" w:themeColor="text1"/>
                <w:sz w:val="24"/>
                <w:szCs w:val="24"/>
              </w:rPr>
            </w:pPr>
            <w:r w:rsidRPr="00015A39">
              <w:rPr>
                <w:color w:val="000000" w:themeColor="text1"/>
                <w:sz w:val="24"/>
                <w:szCs w:val="24"/>
              </w:rPr>
              <w:t>848</w:t>
            </w:r>
          </w:p>
        </w:tc>
        <w:tc>
          <w:tcPr>
            <w:tcW w:w="1768" w:type="dxa"/>
            <w:tcBorders>
              <w:bottom w:val="single" w:sz="4" w:space="0" w:color="auto"/>
            </w:tcBorders>
            <w:vAlign w:val="center"/>
          </w:tcPr>
          <w:p w14:paraId="6A277FE2"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68" w:type="dxa"/>
            <w:tcBorders>
              <w:bottom w:val="single" w:sz="4" w:space="0" w:color="auto"/>
            </w:tcBorders>
            <w:vAlign w:val="center"/>
          </w:tcPr>
          <w:p w14:paraId="0861FD43"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20" w:type="dxa"/>
            <w:tcBorders>
              <w:bottom w:val="single" w:sz="4" w:space="0" w:color="auto"/>
            </w:tcBorders>
            <w:vAlign w:val="center"/>
          </w:tcPr>
          <w:p w14:paraId="323DA5FE"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r>
      <w:tr w:rsidR="00015A39" w:rsidRPr="00015A39" w14:paraId="21B05375" w14:textId="77777777" w:rsidTr="006D313F">
        <w:tc>
          <w:tcPr>
            <w:tcW w:w="13960" w:type="dxa"/>
            <w:gridSpan w:val="8"/>
            <w:tcBorders>
              <w:top w:val="single" w:sz="4" w:space="0" w:color="auto"/>
            </w:tcBorders>
            <w:shd w:val="clear" w:color="auto" w:fill="D0CECE" w:themeFill="background2" w:themeFillShade="E6"/>
          </w:tcPr>
          <w:p w14:paraId="1A4D472D" w14:textId="77777777" w:rsidR="00954983" w:rsidRPr="00015A39" w:rsidRDefault="00954983" w:rsidP="006D313F">
            <w:pPr>
              <w:jc w:val="both"/>
              <w:rPr>
                <w:b/>
                <w:bCs/>
                <w:color w:val="000000" w:themeColor="text1"/>
                <w:sz w:val="24"/>
                <w:szCs w:val="24"/>
              </w:rPr>
            </w:pPr>
            <w:r w:rsidRPr="00015A39">
              <w:rPr>
                <w:b/>
                <w:bCs/>
                <w:color w:val="000000" w:themeColor="text1"/>
                <w:sz w:val="24"/>
                <w:szCs w:val="24"/>
              </w:rPr>
              <w:t>Use of Alcohol (</w:t>
            </w:r>
            <w:r w:rsidRPr="00015A39">
              <w:rPr>
                <w:b/>
                <w:bCs/>
                <w:i/>
                <w:iCs/>
                <w:color w:val="000000" w:themeColor="text1"/>
                <w:sz w:val="24"/>
                <w:szCs w:val="24"/>
              </w:rPr>
              <w:t>n</w:t>
            </w:r>
            <w:r w:rsidRPr="00015A39">
              <w:rPr>
                <w:b/>
                <w:bCs/>
                <w:color w:val="000000" w:themeColor="text1"/>
                <w:sz w:val="24"/>
                <w:szCs w:val="24"/>
              </w:rPr>
              <w:t>, %)</w:t>
            </w:r>
          </w:p>
        </w:tc>
      </w:tr>
      <w:tr w:rsidR="00015A39" w:rsidRPr="00015A39" w14:paraId="766DD2AA" w14:textId="77777777" w:rsidTr="006D313F">
        <w:tc>
          <w:tcPr>
            <w:tcW w:w="1961" w:type="dxa"/>
          </w:tcPr>
          <w:p w14:paraId="047E6C46" w14:textId="77777777" w:rsidR="00954983" w:rsidRPr="00015A39" w:rsidRDefault="00954983" w:rsidP="00954983">
            <w:pPr>
              <w:pStyle w:val="ListParagraph"/>
              <w:numPr>
                <w:ilvl w:val="0"/>
                <w:numId w:val="54"/>
              </w:numPr>
              <w:spacing w:line="240" w:lineRule="auto"/>
              <w:rPr>
                <w:rFonts w:cs="Times New Roman"/>
                <w:color w:val="000000" w:themeColor="text1"/>
                <w:sz w:val="24"/>
                <w:szCs w:val="24"/>
              </w:rPr>
            </w:pPr>
            <w:r w:rsidRPr="00015A39">
              <w:rPr>
                <w:rFonts w:cs="Times New Roman"/>
                <w:color w:val="000000" w:themeColor="text1"/>
                <w:sz w:val="24"/>
                <w:szCs w:val="24"/>
              </w:rPr>
              <w:t>Non-drinker</w:t>
            </w:r>
          </w:p>
        </w:tc>
        <w:tc>
          <w:tcPr>
            <w:tcW w:w="1730" w:type="dxa"/>
            <w:vAlign w:val="bottom"/>
          </w:tcPr>
          <w:p w14:paraId="010C78D3" w14:textId="77777777" w:rsidR="00954983" w:rsidRPr="00015A39" w:rsidRDefault="00954983" w:rsidP="006D313F">
            <w:pPr>
              <w:jc w:val="center"/>
              <w:rPr>
                <w:color w:val="000000" w:themeColor="text1"/>
                <w:sz w:val="24"/>
                <w:szCs w:val="24"/>
              </w:rPr>
            </w:pPr>
            <w:r w:rsidRPr="00015A39">
              <w:rPr>
                <w:color w:val="000000" w:themeColor="text1"/>
                <w:sz w:val="24"/>
                <w:szCs w:val="24"/>
              </w:rPr>
              <w:t>2114 (48.7%)</w:t>
            </w:r>
          </w:p>
        </w:tc>
        <w:tc>
          <w:tcPr>
            <w:tcW w:w="1768" w:type="dxa"/>
            <w:vAlign w:val="bottom"/>
          </w:tcPr>
          <w:p w14:paraId="5683DD64" w14:textId="77777777" w:rsidR="00954983" w:rsidRPr="00015A39" w:rsidRDefault="00954983" w:rsidP="006D313F">
            <w:pPr>
              <w:jc w:val="center"/>
              <w:rPr>
                <w:color w:val="000000" w:themeColor="text1"/>
                <w:sz w:val="24"/>
                <w:szCs w:val="24"/>
              </w:rPr>
            </w:pPr>
            <w:r w:rsidRPr="00015A39">
              <w:rPr>
                <w:color w:val="000000" w:themeColor="text1"/>
                <w:sz w:val="24"/>
                <w:szCs w:val="24"/>
              </w:rPr>
              <w:t>1688 (42.4%)</w:t>
            </w:r>
          </w:p>
        </w:tc>
        <w:tc>
          <w:tcPr>
            <w:tcW w:w="1715" w:type="dxa"/>
            <w:vAlign w:val="bottom"/>
          </w:tcPr>
          <w:p w14:paraId="1BD11BA6" w14:textId="77777777" w:rsidR="00954983" w:rsidRPr="00015A39" w:rsidRDefault="00954983" w:rsidP="006D313F">
            <w:pPr>
              <w:jc w:val="center"/>
              <w:rPr>
                <w:color w:val="000000" w:themeColor="text1"/>
                <w:sz w:val="24"/>
                <w:szCs w:val="24"/>
              </w:rPr>
            </w:pPr>
            <w:r w:rsidRPr="00015A39">
              <w:rPr>
                <w:color w:val="000000" w:themeColor="text1"/>
                <w:sz w:val="24"/>
                <w:szCs w:val="24"/>
              </w:rPr>
              <w:t>2499 (53.6%)</w:t>
            </w:r>
          </w:p>
        </w:tc>
        <w:tc>
          <w:tcPr>
            <w:tcW w:w="1530" w:type="dxa"/>
            <w:vAlign w:val="center"/>
          </w:tcPr>
          <w:p w14:paraId="401E77D6" w14:textId="77777777" w:rsidR="00954983" w:rsidRPr="00015A39" w:rsidRDefault="00954983" w:rsidP="006D313F">
            <w:pPr>
              <w:jc w:val="center"/>
              <w:rPr>
                <w:color w:val="000000" w:themeColor="text1"/>
                <w:sz w:val="24"/>
                <w:szCs w:val="24"/>
              </w:rPr>
            </w:pPr>
            <w:r w:rsidRPr="00015A39">
              <w:rPr>
                <w:color w:val="000000" w:themeColor="text1"/>
                <w:sz w:val="24"/>
                <w:szCs w:val="24"/>
              </w:rPr>
              <w:t>5830 (43.0%)</w:t>
            </w:r>
          </w:p>
        </w:tc>
        <w:tc>
          <w:tcPr>
            <w:tcW w:w="1768" w:type="dxa"/>
            <w:vMerge w:val="restart"/>
            <w:vAlign w:val="center"/>
          </w:tcPr>
          <w:p w14:paraId="6BE81FFC"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&lt;0.0001</w:t>
            </w:r>
          </w:p>
        </w:tc>
        <w:tc>
          <w:tcPr>
            <w:tcW w:w="1768" w:type="dxa"/>
            <w:vMerge w:val="restart"/>
            <w:vAlign w:val="center"/>
          </w:tcPr>
          <w:p w14:paraId="431FFF2E"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&lt;0.0001</w:t>
            </w:r>
          </w:p>
        </w:tc>
        <w:tc>
          <w:tcPr>
            <w:tcW w:w="1720" w:type="dxa"/>
            <w:vMerge w:val="restart"/>
            <w:vAlign w:val="center"/>
          </w:tcPr>
          <w:p w14:paraId="3D8D727C" w14:textId="77777777" w:rsidR="00954983" w:rsidRPr="00015A39" w:rsidRDefault="00954983" w:rsidP="006D313F">
            <w:pPr>
              <w:jc w:val="center"/>
              <w:rPr>
                <w:color w:val="000000" w:themeColor="text1"/>
                <w:sz w:val="24"/>
                <w:szCs w:val="24"/>
              </w:rPr>
            </w:pPr>
            <w:r w:rsidRPr="00015A39">
              <w:rPr>
                <w:b/>
                <w:bCs/>
                <w:color w:val="000000" w:themeColor="text1"/>
                <w:sz w:val="24"/>
                <w:szCs w:val="24"/>
              </w:rPr>
              <w:t>&lt;0.0001</w:t>
            </w:r>
          </w:p>
        </w:tc>
      </w:tr>
      <w:tr w:rsidR="00015A39" w:rsidRPr="00015A39" w14:paraId="676A2522" w14:textId="77777777" w:rsidTr="006D313F">
        <w:tc>
          <w:tcPr>
            <w:tcW w:w="1961" w:type="dxa"/>
          </w:tcPr>
          <w:p w14:paraId="6E37B8DE" w14:textId="77777777" w:rsidR="00954983" w:rsidRPr="00015A39" w:rsidRDefault="00954983" w:rsidP="00954983">
            <w:pPr>
              <w:pStyle w:val="ListParagraph"/>
              <w:numPr>
                <w:ilvl w:val="0"/>
                <w:numId w:val="54"/>
              </w:numPr>
              <w:spacing w:line="240" w:lineRule="auto"/>
              <w:rPr>
                <w:rFonts w:cs="Times New Roman"/>
                <w:color w:val="000000" w:themeColor="text1"/>
                <w:sz w:val="24"/>
                <w:szCs w:val="24"/>
              </w:rPr>
            </w:pPr>
            <w:r w:rsidRPr="00015A39">
              <w:rPr>
                <w:rFonts w:cs="Times New Roman"/>
                <w:color w:val="000000" w:themeColor="text1"/>
                <w:sz w:val="24"/>
                <w:szCs w:val="24"/>
              </w:rPr>
              <w:t xml:space="preserve">Occasionally </w:t>
            </w:r>
          </w:p>
        </w:tc>
        <w:tc>
          <w:tcPr>
            <w:tcW w:w="1730" w:type="dxa"/>
            <w:vAlign w:val="bottom"/>
          </w:tcPr>
          <w:p w14:paraId="6ABC1940" w14:textId="77777777" w:rsidR="00954983" w:rsidRPr="00015A39" w:rsidRDefault="00954983" w:rsidP="006D313F">
            <w:pPr>
              <w:jc w:val="center"/>
              <w:rPr>
                <w:color w:val="000000" w:themeColor="text1"/>
                <w:sz w:val="24"/>
                <w:szCs w:val="24"/>
              </w:rPr>
            </w:pPr>
            <w:r w:rsidRPr="00015A39">
              <w:rPr>
                <w:color w:val="000000" w:themeColor="text1"/>
                <w:sz w:val="24"/>
                <w:szCs w:val="24"/>
              </w:rPr>
              <w:t>1897 (43.7%)</w:t>
            </w:r>
          </w:p>
        </w:tc>
        <w:tc>
          <w:tcPr>
            <w:tcW w:w="1768" w:type="dxa"/>
            <w:vAlign w:val="bottom"/>
          </w:tcPr>
          <w:p w14:paraId="4D21AF26" w14:textId="77777777" w:rsidR="00954983" w:rsidRPr="00015A39" w:rsidRDefault="00954983" w:rsidP="006D313F">
            <w:pPr>
              <w:jc w:val="center"/>
              <w:rPr>
                <w:color w:val="000000" w:themeColor="text1"/>
                <w:sz w:val="24"/>
                <w:szCs w:val="24"/>
              </w:rPr>
            </w:pPr>
            <w:r w:rsidRPr="00015A39">
              <w:rPr>
                <w:color w:val="000000" w:themeColor="text1"/>
                <w:sz w:val="24"/>
                <w:szCs w:val="24"/>
              </w:rPr>
              <w:t>1990 (49.9%)</w:t>
            </w:r>
          </w:p>
        </w:tc>
        <w:tc>
          <w:tcPr>
            <w:tcW w:w="1715" w:type="dxa"/>
            <w:vAlign w:val="bottom"/>
          </w:tcPr>
          <w:p w14:paraId="20492B29" w14:textId="77777777" w:rsidR="00954983" w:rsidRPr="00015A39" w:rsidRDefault="00954983" w:rsidP="006D313F">
            <w:pPr>
              <w:jc w:val="center"/>
              <w:rPr>
                <w:color w:val="000000" w:themeColor="text1"/>
                <w:sz w:val="24"/>
                <w:szCs w:val="24"/>
              </w:rPr>
            </w:pPr>
            <w:r w:rsidRPr="00015A39">
              <w:rPr>
                <w:color w:val="000000" w:themeColor="text1"/>
                <w:sz w:val="24"/>
                <w:szCs w:val="24"/>
              </w:rPr>
              <w:t>1785 (38.3%)</w:t>
            </w:r>
          </w:p>
        </w:tc>
        <w:tc>
          <w:tcPr>
            <w:tcW w:w="1530" w:type="dxa"/>
            <w:vAlign w:val="center"/>
          </w:tcPr>
          <w:p w14:paraId="32097C04" w14:textId="77777777" w:rsidR="00954983" w:rsidRPr="00015A39" w:rsidRDefault="00954983" w:rsidP="006D313F">
            <w:pPr>
              <w:jc w:val="center"/>
              <w:rPr>
                <w:color w:val="000000" w:themeColor="text1"/>
                <w:sz w:val="24"/>
                <w:szCs w:val="24"/>
              </w:rPr>
            </w:pPr>
            <w:r w:rsidRPr="00015A39">
              <w:rPr>
                <w:color w:val="000000" w:themeColor="text1"/>
                <w:sz w:val="24"/>
                <w:szCs w:val="24"/>
              </w:rPr>
              <w:t>6643 (49.0%)</w:t>
            </w:r>
          </w:p>
        </w:tc>
        <w:tc>
          <w:tcPr>
            <w:tcW w:w="1768" w:type="dxa"/>
            <w:vMerge/>
          </w:tcPr>
          <w:p w14:paraId="30E7812B" w14:textId="77777777" w:rsidR="00954983" w:rsidRPr="00015A39" w:rsidRDefault="00954983" w:rsidP="006D313F">
            <w:pPr>
              <w:jc w:val="both"/>
              <w:rPr>
                <w:color w:val="000000" w:themeColor="text1"/>
                <w:sz w:val="24"/>
                <w:szCs w:val="24"/>
              </w:rPr>
            </w:pPr>
          </w:p>
        </w:tc>
        <w:tc>
          <w:tcPr>
            <w:tcW w:w="1768" w:type="dxa"/>
            <w:vMerge/>
          </w:tcPr>
          <w:p w14:paraId="3C530EAF" w14:textId="77777777" w:rsidR="00954983" w:rsidRPr="00015A39" w:rsidRDefault="00954983" w:rsidP="006D313F">
            <w:pPr>
              <w:jc w:val="both"/>
              <w:rPr>
                <w:color w:val="000000" w:themeColor="text1"/>
                <w:sz w:val="24"/>
                <w:szCs w:val="24"/>
              </w:rPr>
            </w:pPr>
          </w:p>
        </w:tc>
        <w:tc>
          <w:tcPr>
            <w:tcW w:w="1720" w:type="dxa"/>
            <w:vMerge/>
          </w:tcPr>
          <w:p w14:paraId="59673507" w14:textId="77777777" w:rsidR="00954983" w:rsidRPr="00015A39" w:rsidRDefault="00954983" w:rsidP="006D313F">
            <w:pPr>
              <w:jc w:val="both"/>
              <w:rPr>
                <w:color w:val="000000" w:themeColor="text1"/>
                <w:sz w:val="24"/>
                <w:szCs w:val="24"/>
              </w:rPr>
            </w:pPr>
          </w:p>
        </w:tc>
      </w:tr>
      <w:tr w:rsidR="00015A39" w:rsidRPr="00015A39" w14:paraId="085E896C" w14:textId="77777777" w:rsidTr="006D313F">
        <w:tc>
          <w:tcPr>
            <w:tcW w:w="1961" w:type="dxa"/>
          </w:tcPr>
          <w:p w14:paraId="6E1F7027" w14:textId="77777777" w:rsidR="00954983" w:rsidRPr="00015A39" w:rsidRDefault="00954983" w:rsidP="00954983">
            <w:pPr>
              <w:pStyle w:val="ListParagraph"/>
              <w:numPr>
                <w:ilvl w:val="0"/>
                <w:numId w:val="54"/>
              </w:numPr>
              <w:spacing w:line="240" w:lineRule="auto"/>
              <w:rPr>
                <w:rFonts w:cs="Times New Roman"/>
                <w:color w:val="000000" w:themeColor="text1"/>
                <w:sz w:val="24"/>
                <w:szCs w:val="24"/>
              </w:rPr>
            </w:pPr>
            <w:r w:rsidRPr="00015A39">
              <w:rPr>
                <w:rFonts w:cs="Times New Roman"/>
                <w:color w:val="000000" w:themeColor="text1"/>
                <w:sz w:val="24"/>
                <w:szCs w:val="24"/>
              </w:rPr>
              <w:t>Frequent</w:t>
            </w:r>
          </w:p>
        </w:tc>
        <w:tc>
          <w:tcPr>
            <w:tcW w:w="1730" w:type="dxa"/>
            <w:vAlign w:val="bottom"/>
          </w:tcPr>
          <w:p w14:paraId="471E6A19" w14:textId="77777777" w:rsidR="00954983" w:rsidRPr="00015A39" w:rsidRDefault="00954983" w:rsidP="006D313F">
            <w:pPr>
              <w:jc w:val="center"/>
              <w:rPr>
                <w:color w:val="000000" w:themeColor="text1"/>
                <w:sz w:val="24"/>
                <w:szCs w:val="24"/>
              </w:rPr>
            </w:pPr>
            <w:r w:rsidRPr="00015A39">
              <w:rPr>
                <w:color w:val="000000" w:themeColor="text1"/>
                <w:sz w:val="24"/>
                <w:szCs w:val="24"/>
              </w:rPr>
              <w:t>58 (1.3%)</w:t>
            </w:r>
          </w:p>
        </w:tc>
        <w:tc>
          <w:tcPr>
            <w:tcW w:w="1768" w:type="dxa"/>
            <w:vAlign w:val="bottom"/>
          </w:tcPr>
          <w:p w14:paraId="74D92A81" w14:textId="77777777" w:rsidR="00954983" w:rsidRPr="00015A39" w:rsidRDefault="00954983" w:rsidP="006D313F">
            <w:pPr>
              <w:jc w:val="center"/>
              <w:rPr>
                <w:color w:val="000000" w:themeColor="text1"/>
                <w:sz w:val="24"/>
                <w:szCs w:val="24"/>
              </w:rPr>
            </w:pPr>
            <w:r w:rsidRPr="00015A39">
              <w:rPr>
                <w:color w:val="000000" w:themeColor="text1"/>
                <w:sz w:val="24"/>
                <w:szCs w:val="24"/>
              </w:rPr>
              <w:t>77 (1.9%)</w:t>
            </w:r>
          </w:p>
        </w:tc>
        <w:tc>
          <w:tcPr>
            <w:tcW w:w="1715" w:type="dxa"/>
            <w:vAlign w:val="bottom"/>
          </w:tcPr>
          <w:p w14:paraId="4A408682" w14:textId="77777777" w:rsidR="00954983" w:rsidRPr="00015A39" w:rsidRDefault="00954983" w:rsidP="006D313F">
            <w:pPr>
              <w:jc w:val="center"/>
              <w:rPr>
                <w:color w:val="000000" w:themeColor="text1"/>
                <w:sz w:val="24"/>
                <w:szCs w:val="24"/>
              </w:rPr>
            </w:pPr>
            <w:r w:rsidRPr="00015A39">
              <w:rPr>
                <w:color w:val="000000" w:themeColor="text1"/>
                <w:sz w:val="24"/>
                <w:szCs w:val="24"/>
              </w:rPr>
              <w:t>132 (2.8%)</w:t>
            </w:r>
          </w:p>
        </w:tc>
        <w:tc>
          <w:tcPr>
            <w:tcW w:w="1530" w:type="dxa"/>
            <w:vAlign w:val="center"/>
          </w:tcPr>
          <w:p w14:paraId="2874F56E" w14:textId="77777777" w:rsidR="00954983" w:rsidRPr="00015A39" w:rsidRDefault="00954983" w:rsidP="006D313F">
            <w:pPr>
              <w:jc w:val="center"/>
              <w:rPr>
                <w:color w:val="000000" w:themeColor="text1"/>
                <w:sz w:val="24"/>
                <w:szCs w:val="24"/>
              </w:rPr>
            </w:pPr>
            <w:r w:rsidRPr="00015A39">
              <w:rPr>
                <w:color w:val="000000" w:themeColor="text1"/>
                <w:sz w:val="24"/>
                <w:szCs w:val="24"/>
              </w:rPr>
              <w:t>277 (2.04%)</w:t>
            </w:r>
          </w:p>
        </w:tc>
        <w:tc>
          <w:tcPr>
            <w:tcW w:w="1768" w:type="dxa"/>
            <w:vMerge/>
          </w:tcPr>
          <w:p w14:paraId="29F84C63" w14:textId="77777777" w:rsidR="00954983" w:rsidRPr="00015A39" w:rsidRDefault="00954983" w:rsidP="006D313F">
            <w:pPr>
              <w:jc w:val="both"/>
              <w:rPr>
                <w:color w:val="000000" w:themeColor="text1"/>
                <w:sz w:val="24"/>
                <w:szCs w:val="24"/>
              </w:rPr>
            </w:pPr>
          </w:p>
        </w:tc>
        <w:tc>
          <w:tcPr>
            <w:tcW w:w="1768" w:type="dxa"/>
            <w:vMerge/>
          </w:tcPr>
          <w:p w14:paraId="35973A1F" w14:textId="77777777" w:rsidR="00954983" w:rsidRPr="00015A39" w:rsidRDefault="00954983" w:rsidP="006D313F">
            <w:pPr>
              <w:jc w:val="both"/>
              <w:rPr>
                <w:color w:val="000000" w:themeColor="text1"/>
                <w:sz w:val="24"/>
                <w:szCs w:val="24"/>
              </w:rPr>
            </w:pPr>
          </w:p>
        </w:tc>
        <w:tc>
          <w:tcPr>
            <w:tcW w:w="1720" w:type="dxa"/>
            <w:vMerge/>
          </w:tcPr>
          <w:p w14:paraId="059D8E08" w14:textId="77777777" w:rsidR="00954983" w:rsidRPr="00015A39" w:rsidRDefault="00954983" w:rsidP="006D313F">
            <w:pPr>
              <w:jc w:val="both"/>
              <w:rPr>
                <w:color w:val="000000" w:themeColor="text1"/>
                <w:sz w:val="24"/>
                <w:szCs w:val="24"/>
              </w:rPr>
            </w:pPr>
          </w:p>
        </w:tc>
      </w:tr>
      <w:tr w:rsidR="00015A39" w:rsidRPr="00015A39" w14:paraId="31363B40" w14:textId="77777777" w:rsidTr="006D313F">
        <w:tc>
          <w:tcPr>
            <w:tcW w:w="1961" w:type="dxa"/>
            <w:tcBorders>
              <w:bottom w:val="single" w:sz="4" w:space="0" w:color="auto"/>
            </w:tcBorders>
          </w:tcPr>
          <w:p w14:paraId="2DCAB6C6" w14:textId="77777777" w:rsidR="00954983" w:rsidRPr="00015A39" w:rsidRDefault="00954983" w:rsidP="006D313F">
            <w:pPr>
              <w:jc w:val="both"/>
              <w:rPr>
                <w:color w:val="000000" w:themeColor="text1"/>
                <w:sz w:val="24"/>
                <w:szCs w:val="24"/>
              </w:rPr>
            </w:pPr>
            <w:r w:rsidRPr="00015A39">
              <w:rPr>
                <w:color w:val="000000" w:themeColor="text1"/>
                <w:sz w:val="24"/>
                <w:szCs w:val="24"/>
              </w:rPr>
              <w:t>NA</w:t>
            </w:r>
          </w:p>
        </w:tc>
        <w:tc>
          <w:tcPr>
            <w:tcW w:w="1730" w:type="dxa"/>
            <w:tcBorders>
              <w:bottom w:val="single" w:sz="4" w:space="0" w:color="auto"/>
            </w:tcBorders>
            <w:vAlign w:val="bottom"/>
          </w:tcPr>
          <w:p w14:paraId="54D288CB" w14:textId="77777777" w:rsidR="00954983" w:rsidRPr="00015A39" w:rsidRDefault="00954983" w:rsidP="006D313F">
            <w:pPr>
              <w:rPr>
                <w:color w:val="000000" w:themeColor="text1"/>
                <w:sz w:val="24"/>
                <w:szCs w:val="24"/>
              </w:rPr>
            </w:pPr>
            <w:r w:rsidRPr="00015A39">
              <w:rPr>
                <w:color w:val="000000" w:themeColor="text1"/>
                <w:sz w:val="24"/>
                <w:szCs w:val="24"/>
              </w:rPr>
              <w:t>274 (6.3%)</w:t>
            </w:r>
          </w:p>
        </w:tc>
        <w:tc>
          <w:tcPr>
            <w:tcW w:w="1768" w:type="dxa"/>
            <w:tcBorders>
              <w:bottom w:val="single" w:sz="4" w:space="0" w:color="auto"/>
            </w:tcBorders>
            <w:vAlign w:val="bottom"/>
          </w:tcPr>
          <w:p w14:paraId="2BD6BCCC" w14:textId="77777777" w:rsidR="00954983" w:rsidRPr="00015A39" w:rsidRDefault="00954983" w:rsidP="006D313F">
            <w:pPr>
              <w:rPr>
                <w:color w:val="000000" w:themeColor="text1"/>
                <w:sz w:val="24"/>
                <w:szCs w:val="24"/>
              </w:rPr>
            </w:pPr>
            <w:r w:rsidRPr="00015A39">
              <w:rPr>
                <w:color w:val="000000" w:themeColor="text1"/>
                <w:sz w:val="24"/>
                <w:szCs w:val="24"/>
              </w:rPr>
              <w:t>229 (5.7%)</w:t>
            </w:r>
          </w:p>
        </w:tc>
        <w:tc>
          <w:tcPr>
            <w:tcW w:w="1715" w:type="dxa"/>
            <w:tcBorders>
              <w:bottom w:val="single" w:sz="4" w:space="0" w:color="auto"/>
            </w:tcBorders>
            <w:vAlign w:val="bottom"/>
          </w:tcPr>
          <w:p w14:paraId="6815AAE9" w14:textId="77777777" w:rsidR="00954983" w:rsidRPr="00015A39" w:rsidRDefault="00954983" w:rsidP="006D313F">
            <w:pPr>
              <w:rPr>
                <w:color w:val="000000" w:themeColor="text1"/>
                <w:sz w:val="24"/>
                <w:szCs w:val="24"/>
              </w:rPr>
            </w:pPr>
            <w:r w:rsidRPr="00015A39">
              <w:rPr>
                <w:color w:val="000000" w:themeColor="text1"/>
                <w:sz w:val="24"/>
                <w:szCs w:val="24"/>
              </w:rPr>
              <w:t>242 (5.2%)</w:t>
            </w:r>
          </w:p>
        </w:tc>
        <w:tc>
          <w:tcPr>
            <w:tcW w:w="1530" w:type="dxa"/>
            <w:tcBorders>
              <w:bottom w:val="single" w:sz="4" w:space="0" w:color="auto"/>
            </w:tcBorders>
            <w:vAlign w:val="center"/>
          </w:tcPr>
          <w:p w14:paraId="224A8D74" w14:textId="77777777" w:rsidR="00954983" w:rsidRPr="00015A39" w:rsidRDefault="00954983" w:rsidP="006D313F">
            <w:pPr>
              <w:rPr>
                <w:color w:val="000000" w:themeColor="text1"/>
                <w:sz w:val="24"/>
                <w:szCs w:val="24"/>
              </w:rPr>
            </w:pPr>
            <w:r w:rsidRPr="00015A39">
              <w:rPr>
                <w:color w:val="000000" w:themeColor="text1"/>
                <w:sz w:val="24"/>
                <w:szCs w:val="24"/>
              </w:rPr>
              <w:t>811</w:t>
            </w:r>
          </w:p>
        </w:tc>
        <w:tc>
          <w:tcPr>
            <w:tcW w:w="1768" w:type="dxa"/>
            <w:tcBorders>
              <w:bottom w:val="single" w:sz="4" w:space="0" w:color="auto"/>
            </w:tcBorders>
            <w:vAlign w:val="center"/>
          </w:tcPr>
          <w:p w14:paraId="212168B2"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68" w:type="dxa"/>
            <w:tcBorders>
              <w:bottom w:val="single" w:sz="4" w:space="0" w:color="auto"/>
            </w:tcBorders>
            <w:vAlign w:val="center"/>
          </w:tcPr>
          <w:p w14:paraId="19BA2811"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c>
          <w:tcPr>
            <w:tcW w:w="1720" w:type="dxa"/>
            <w:tcBorders>
              <w:bottom w:val="single" w:sz="4" w:space="0" w:color="auto"/>
            </w:tcBorders>
            <w:vAlign w:val="center"/>
          </w:tcPr>
          <w:p w14:paraId="159FDEE2" w14:textId="77777777" w:rsidR="00954983" w:rsidRPr="00015A39" w:rsidRDefault="00954983" w:rsidP="006D313F">
            <w:pPr>
              <w:jc w:val="center"/>
              <w:rPr>
                <w:color w:val="000000" w:themeColor="text1"/>
                <w:sz w:val="24"/>
                <w:szCs w:val="24"/>
              </w:rPr>
            </w:pPr>
            <w:r w:rsidRPr="00015A39">
              <w:rPr>
                <w:color w:val="000000" w:themeColor="text1"/>
                <w:sz w:val="24"/>
                <w:szCs w:val="24"/>
              </w:rPr>
              <w:t>-</w:t>
            </w:r>
          </w:p>
        </w:tc>
      </w:tr>
    </w:tbl>
    <w:p w14:paraId="088BD41B" w14:textId="77777777" w:rsidR="00954983" w:rsidRPr="00015A39" w:rsidRDefault="00954983" w:rsidP="00954983">
      <w:pPr>
        <w:jc w:val="both"/>
        <w:rPr>
          <w:color w:val="000000" w:themeColor="text1"/>
        </w:rPr>
      </w:pPr>
      <w:r w:rsidRPr="00015A39">
        <w:rPr>
          <w:color w:val="000000" w:themeColor="text1"/>
          <w:vertAlign w:val="superscript"/>
        </w:rPr>
        <w:t xml:space="preserve">1 </w:t>
      </w:r>
      <w:r w:rsidRPr="00015A39">
        <w:rPr>
          <w:color w:val="000000" w:themeColor="text1"/>
        </w:rPr>
        <w:t>A total of 576 participants were excluded because they did not fit into any of the DQDFS categories.</w:t>
      </w:r>
    </w:p>
    <w:p w14:paraId="7754B8B7" w14:textId="77777777" w:rsidR="00954983" w:rsidRPr="00015A39" w:rsidRDefault="00954983" w:rsidP="00954983">
      <w:pPr>
        <w:jc w:val="both"/>
        <w:rPr>
          <w:color w:val="000000" w:themeColor="text1"/>
        </w:rPr>
      </w:pPr>
      <w:r w:rsidRPr="00015A39">
        <w:rPr>
          <w:color w:val="000000" w:themeColor="text1"/>
          <w:vertAlign w:val="superscript"/>
        </w:rPr>
        <w:t>2</w:t>
      </w:r>
      <w:r w:rsidRPr="00015A39">
        <w:rPr>
          <w:color w:val="000000" w:themeColor="text1"/>
        </w:rPr>
        <w:t xml:space="preserve"> A chi-square </w:t>
      </w:r>
      <w:r w:rsidRPr="00015A39">
        <w:rPr>
          <w:i/>
          <w:iCs/>
          <w:color w:val="000000" w:themeColor="text1"/>
        </w:rPr>
        <w:t>p-</w:t>
      </w:r>
      <w:r w:rsidRPr="00015A39">
        <w:rPr>
          <w:color w:val="000000" w:themeColor="text1"/>
        </w:rPr>
        <w:t xml:space="preserve">value &lt; 0.05 was adjusted by False Discovery Rate (FDR) for multiple comparisons. Statistically significant p-values were bolded.  </w:t>
      </w:r>
    </w:p>
    <w:p w14:paraId="083F4B6E" w14:textId="77777777" w:rsidR="00954983" w:rsidRPr="00015A39" w:rsidRDefault="00954983" w:rsidP="00954983">
      <w:pPr>
        <w:jc w:val="both"/>
        <w:rPr>
          <w:color w:val="000000" w:themeColor="text1"/>
        </w:rPr>
      </w:pPr>
    </w:p>
    <w:p w14:paraId="7B22DE95" w14:textId="77777777" w:rsidR="00803C44" w:rsidRPr="00015A39" w:rsidRDefault="00803C44" w:rsidP="007E7175">
      <w:pPr>
        <w:jc w:val="both"/>
        <w:rPr>
          <w:color w:val="000000" w:themeColor="text1"/>
        </w:rPr>
      </w:pPr>
    </w:p>
    <w:p w14:paraId="765C85FA" w14:textId="77777777" w:rsidR="00C74AAE" w:rsidRPr="00015A39" w:rsidRDefault="00C74AAE" w:rsidP="007E7175">
      <w:pPr>
        <w:jc w:val="both"/>
        <w:rPr>
          <w:color w:val="000000" w:themeColor="text1"/>
        </w:rPr>
      </w:pPr>
    </w:p>
    <w:p w14:paraId="5854873C" w14:textId="77777777" w:rsidR="00C74AAE" w:rsidRPr="00015A39" w:rsidRDefault="00C74AAE" w:rsidP="007E7175">
      <w:pPr>
        <w:jc w:val="both"/>
        <w:rPr>
          <w:color w:val="000000" w:themeColor="text1"/>
        </w:rPr>
      </w:pPr>
    </w:p>
    <w:p w14:paraId="7790ADA4" w14:textId="77777777" w:rsidR="00C74AAE" w:rsidRPr="00015A39" w:rsidRDefault="00C74AAE" w:rsidP="007E7175">
      <w:pPr>
        <w:jc w:val="both"/>
        <w:rPr>
          <w:color w:val="000000" w:themeColor="text1"/>
        </w:rPr>
      </w:pPr>
    </w:p>
    <w:p w14:paraId="0942AC8D" w14:textId="77777777" w:rsidR="00C74AAE" w:rsidRPr="00015A39" w:rsidRDefault="00C74AAE" w:rsidP="007E7175">
      <w:pPr>
        <w:jc w:val="both"/>
        <w:rPr>
          <w:color w:val="000000" w:themeColor="text1"/>
        </w:rPr>
      </w:pPr>
    </w:p>
    <w:p w14:paraId="5D39B6EB" w14:textId="77777777" w:rsidR="00C74AAE" w:rsidRPr="00015A39" w:rsidRDefault="00C74AAE" w:rsidP="007E7175">
      <w:pPr>
        <w:jc w:val="both"/>
        <w:rPr>
          <w:color w:val="000000" w:themeColor="text1"/>
        </w:rPr>
      </w:pPr>
    </w:p>
    <w:p w14:paraId="53A411AC" w14:textId="77777777" w:rsidR="00C74AAE" w:rsidRPr="00015A39" w:rsidRDefault="00C74AAE" w:rsidP="007E7175">
      <w:pPr>
        <w:jc w:val="both"/>
        <w:rPr>
          <w:color w:val="000000" w:themeColor="text1"/>
        </w:rPr>
      </w:pPr>
    </w:p>
    <w:p w14:paraId="2435433A" w14:textId="77777777" w:rsidR="00C74AAE" w:rsidRPr="00015A39" w:rsidRDefault="00C74AAE" w:rsidP="007E7175">
      <w:pPr>
        <w:jc w:val="both"/>
        <w:rPr>
          <w:color w:val="000000" w:themeColor="text1"/>
        </w:rPr>
      </w:pPr>
    </w:p>
    <w:p w14:paraId="3811C9F6" w14:textId="77777777" w:rsidR="00C74AAE" w:rsidRPr="00015A39" w:rsidRDefault="00C74AAE" w:rsidP="007E7175">
      <w:pPr>
        <w:jc w:val="both"/>
        <w:rPr>
          <w:color w:val="000000" w:themeColor="text1"/>
        </w:rPr>
      </w:pPr>
    </w:p>
    <w:p w14:paraId="2090B9E1" w14:textId="77777777" w:rsidR="00C74AAE" w:rsidRDefault="00C74AAE" w:rsidP="007E7175">
      <w:pPr>
        <w:jc w:val="both"/>
        <w:rPr>
          <w:color w:val="000000" w:themeColor="text1"/>
        </w:rPr>
      </w:pPr>
    </w:p>
    <w:p w14:paraId="741951B9" w14:textId="77777777" w:rsidR="00B31D79" w:rsidRDefault="00B31D79" w:rsidP="007E7175">
      <w:pPr>
        <w:jc w:val="both"/>
        <w:rPr>
          <w:color w:val="000000" w:themeColor="text1"/>
        </w:rPr>
      </w:pPr>
    </w:p>
    <w:p w14:paraId="4C324E87" w14:textId="77777777" w:rsidR="00C74AAE" w:rsidRPr="00015A39" w:rsidRDefault="00C74AAE" w:rsidP="00C74AAE">
      <w:pPr>
        <w:jc w:val="both"/>
        <w:rPr>
          <w:color w:val="000000" w:themeColor="text1"/>
          <w:lang w:val="en-US"/>
        </w:rPr>
      </w:pPr>
      <w:r w:rsidRPr="00015A39">
        <w:rPr>
          <w:b/>
          <w:bCs/>
          <w:color w:val="000000" w:themeColor="text1"/>
          <w:lang w:val="en-US"/>
        </w:rPr>
        <w:lastRenderedPageBreak/>
        <w:t xml:space="preserve">Table 2. </w:t>
      </w:r>
      <w:r w:rsidRPr="00015A39">
        <w:rPr>
          <w:color w:val="000000" w:themeColor="text1"/>
          <w:lang w:val="en-US"/>
        </w:rPr>
        <w:t xml:space="preserve">Association between the intake frequency of high-fat foods, as assessed by the frequency-based dietary index – Diet Quality based on Dietary Fat Score (DQDFS), and various outcomes among 13,561 young Chinese adults from the Singapore/Malaysia Cross-sectional Genetics Epidemiology Study (SMCGES) cohort. </w:t>
      </w:r>
    </w:p>
    <w:tbl>
      <w:tblPr>
        <w:tblStyle w:val="TableGrid"/>
        <w:tblW w:w="9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8"/>
        <w:gridCol w:w="1206"/>
        <w:gridCol w:w="3357"/>
        <w:gridCol w:w="1457"/>
      </w:tblGrid>
      <w:tr w:rsidR="00015A39" w:rsidRPr="00015A39" w14:paraId="2A54D136" w14:textId="77777777" w:rsidTr="00F43DA4">
        <w:trPr>
          <w:trHeight w:val="272"/>
        </w:trPr>
        <w:tc>
          <w:tcPr>
            <w:tcW w:w="3228" w:type="dxa"/>
            <w:tcBorders>
              <w:top w:val="single" w:sz="4" w:space="0" w:color="auto"/>
              <w:bottom w:val="single" w:sz="4" w:space="0" w:color="auto"/>
            </w:tcBorders>
            <w:shd w:val="clear" w:color="auto" w:fill="D0CECE" w:themeFill="background2" w:themeFillShade="E6"/>
          </w:tcPr>
          <w:p w14:paraId="40FB78E5" w14:textId="77777777" w:rsidR="00C74AAE" w:rsidRPr="00015A39" w:rsidRDefault="00C74AAE" w:rsidP="00A7003E">
            <w:pPr>
              <w:rPr>
                <w:color w:val="000000" w:themeColor="text1"/>
                <w:sz w:val="24"/>
                <w:szCs w:val="24"/>
                <w:lang w:val="en-US"/>
              </w:rPr>
            </w:pPr>
            <w:r w:rsidRPr="00015A39">
              <w:rPr>
                <w:color w:val="000000" w:themeColor="text1"/>
                <w:sz w:val="24"/>
                <w:szCs w:val="24"/>
                <w:lang w:val="en-US"/>
              </w:rPr>
              <w:t>Outcome</w:t>
            </w:r>
          </w:p>
        </w:tc>
        <w:tc>
          <w:tcPr>
            <w:tcW w:w="1206" w:type="dxa"/>
            <w:tcBorders>
              <w:top w:val="single" w:sz="4" w:space="0" w:color="auto"/>
              <w:bottom w:val="single" w:sz="4" w:space="0" w:color="auto"/>
            </w:tcBorders>
            <w:shd w:val="clear" w:color="auto" w:fill="D0CECE" w:themeFill="background2" w:themeFillShade="E6"/>
            <w:vAlign w:val="center"/>
          </w:tcPr>
          <w:p w14:paraId="0A59B998" w14:textId="77777777" w:rsidR="00C74AAE" w:rsidRPr="00015A39" w:rsidRDefault="00C74AAE" w:rsidP="00A7003E">
            <w:pPr>
              <w:jc w:val="center"/>
              <w:rPr>
                <w:b/>
                <w:bCs/>
                <w:color w:val="000000" w:themeColor="text1"/>
                <w:sz w:val="24"/>
                <w:szCs w:val="24"/>
                <w:lang w:val="en-US"/>
              </w:rPr>
            </w:pPr>
            <w:r w:rsidRPr="00015A39">
              <w:rPr>
                <w:b/>
                <w:bCs/>
                <w:color w:val="000000" w:themeColor="text1"/>
                <w:sz w:val="24"/>
                <w:szCs w:val="24"/>
                <w:lang w:val="en-US"/>
              </w:rPr>
              <w:t>AOR</w:t>
            </w:r>
          </w:p>
        </w:tc>
        <w:tc>
          <w:tcPr>
            <w:tcW w:w="3357" w:type="dxa"/>
            <w:tcBorders>
              <w:top w:val="single" w:sz="4" w:space="0" w:color="auto"/>
              <w:bottom w:val="single" w:sz="4" w:space="0" w:color="auto"/>
            </w:tcBorders>
            <w:shd w:val="clear" w:color="auto" w:fill="D0CECE" w:themeFill="background2" w:themeFillShade="E6"/>
            <w:vAlign w:val="center"/>
          </w:tcPr>
          <w:p w14:paraId="2F31ABE0" w14:textId="77777777" w:rsidR="00C74AAE" w:rsidRPr="00015A39" w:rsidRDefault="00C74AAE" w:rsidP="00A7003E">
            <w:pPr>
              <w:jc w:val="center"/>
              <w:rPr>
                <w:b/>
                <w:bCs/>
                <w:color w:val="000000" w:themeColor="text1"/>
                <w:sz w:val="24"/>
                <w:szCs w:val="24"/>
                <w:lang w:val="en-US"/>
              </w:rPr>
            </w:pPr>
            <w:r w:rsidRPr="00015A39">
              <w:rPr>
                <w:b/>
                <w:bCs/>
                <w:color w:val="000000" w:themeColor="text1"/>
                <w:sz w:val="24"/>
                <w:szCs w:val="24"/>
                <w:lang w:val="en-US"/>
              </w:rPr>
              <w:t>95% CI</w:t>
            </w:r>
          </w:p>
        </w:tc>
        <w:tc>
          <w:tcPr>
            <w:tcW w:w="1457" w:type="dxa"/>
            <w:tcBorders>
              <w:top w:val="single" w:sz="4" w:space="0" w:color="auto"/>
              <w:bottom w:val="single" w:sz="4" w:space="0" w:color="auto"/>
            </w:tcBorders>
            <w:shd w:val="clear" w:color="auto" w:fill="D0CECE" w:themeFill="background2" w:themeFillShade="E6"/>
            <w:vAlign w:val="center"/>
          </w:tcPr>
          <w:p w14:paraId="1F9B77EF" w14:textId="77777777" w:rsidR="00C74AAE" w:rsidRPr="00015A39" w:rsidRDefault="00C74AAE" w:rsidP="00A7003E">
            <w:pPr>
              <w:jc w:val="center"/>
              <w:rPr>
                <w:b/>
                <w:bCs/>
                <w:color w:val="000000" w:themeColor="text1"/>
                <w:sz w:val="24"/>
                <w:szCs w:val="24"/>
                <w:lang w:val="en-US"/>
              </w:rPr>
            </w:pPr>
            <w:r w:rsidRPr="00015A39">
              <w:rPr>
                <w:b/>
                <w:bCs/>
                <w:color w:val="000000" w:themeColor="text1"/>
                <w:sz w:val="24"/>
                <w:szCs w:val="24"/>
                <w:lang w:val="en-US"/>
              </w:rPr>
              <w:t>p</w:t>
            </w:r>
          </w:p>
        </w:tc>
      </w:tr>
      <w:tr w:rsidR="00015A39" w:rsidRPr="00015A39" w14:paraId="52CA7533" w14:textId="77777777" w:rsidTr="00A7003E">
        <w:trPr>
          <w:trHeight w:val="290"/>
        </w:trPr>
        <w:tc>
          <w:tcPr>
            <w:tcW w:w="9248" w:type="dxa"/>
            <w:gridSpan w:val="4"/>
            <w:tcBorders>
              <w:top w:val="single" w:sz="4" w:space="0" w:color="auto"/>
            </w:tcBorders>
            <w:shd w:val="clear" w:color="auto" w:fill="D0CECE" w:themeFill="background2" w:themeFillShade="E6"/>
            <w:vAlign w:val="center"/>
          </w:tcPr>
          <w:p w14:paraId="12EABFBD" w14:textId="00DD9F63" w:rsidR="00C74AAE" w:rsidRPr="00015A39" w:rsidRDefault="00C74AAE" w:rsidP="00C74AAE">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Ever Atopic Dermatitis (AD)</w:t>
            </w:r>
            <w:r w:rsidR="005E3402" w:rsidRPr="00015A39">
              <w:rPr>
                <w:rFonts w:cs="Times New Roman"/>
                <w:b/>
                <w:bCs/>
                <w:color w:val="000000" w:themeColor="text1"/>
                <w:sz w:val="24"/>
                <w:szCs w:val="24"/>
                <w:lang w:val="en-US"/>
              </w:rPr>
              <w:t xml:space="preserve"> (Non-allergic non-eczema vs. AD cases)</w:t>
            </w:r>
          </w:p>
        </w:tc>
      </w:tr>
      <w:tr w:rsidR="00015A39" w:rsidRPr="00015A39" w14:paraId="090F1259" w14:textId="77777777" w:rsidTr="00F43DA4">
        <w:trPr>
          <w:trHeight w:val="272"/>
        </w:trPr>
        <w:tc>
          <w:tcPr>
            <w:tcW w:w="3228" w:type="dxa"/>
          </w:tcPr>
          <w:p w14:paraId="3BFF0091" w14:textId="77777777" w:rsidR="00C74AAE" w:rsidRPr="00015A39" w:rsidRDefault="00C74AAE" w:rsidP="00A7003E">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40C588C0" w14:textId="77777777" w:rsidR="00C74AAE" w:rsidRPr="00015A39" w:rsidRDefault="00C74AAE" w:rsidP="00A7003E">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751C11ED" w14:textId="77777777" w:rsidR="00C74AAE" w:rsidRPr="00015A39" w:rsidRDefault="00C74AAE" w:rsidP="00A7003E">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50E8ABAE" w14:textId="77777777" w:rsidR="00C74AAE" w:rsidRPr="00015A39" w:rsidRDefault="00C74AAE" w:rsidP="00A7003E">
            <w:pPr>
              <w:jc w:val="center"/>
              <w:rPr>
                <w:color w:val="000000" w:themeColor="text1"/>
                <w:sz w:val="24"/>
                <w:szCs w:val="24"/>
                <w:lang w:val="en-US"/>
              </w:rPr>
            </w:pPr>
            <w:r w:rsidRPr="00015A39">
              <w:rPr>
                <w:color w:val="000000" w:themeColor="text1"/>
                <w:sz w:val="24"/>
                <w:szCs w:val="24"/>
                <w:lang w:val="en-US"/>
              </w:rPr>
              <w:t>-</w:t>
            </w:r>
          </w:p>
        </w:tc>
      </w:tr>
      <w:tr w:rsidR="00015A39" w:rsidRPr="00015A39" w14:paraId="0C879D2F" w14:textId="77777777" w:rsidTr="00F43DA4">
        <w:trPr>
          <w:trHeight w:val="290"/>
        </w:trPr>
        <w:tc>
          <w:tcPr>
            <w:tcW w:w="3228" w:type="dxa"/>
          </w:tcPr>
          <w:p w14:paraId="223F9589"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7C585AE5" w14:textId="629659F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1.245</w:t>
            </w:r>
          </w:p>
        </w:tc>
        <w:tc>
          <w:tcPr>
            <w:tcW w:w="3357" w:type="dxa"/>
            <w:vAlign w:val="center"/>
          </w:tcPr>
          <w:p w14:paraId="64A3F0E2" w14:textId="3D069AB8"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1.068-1.452</w:t>
            </w:r>
          </w:p>
        </w:tc>
        <w:tc>
          <w:tcPr>
            <w:tcW w:w="1457" w:type="dxa"/>
            <w:vAlign w:val="center"/>
          </w:tcPr>
          <w:p w14:paraId="005D0B50" w14:textId="416A68F3" w:rsidR="00F43DA4" w:rsidRPr="00015A39" w:rsidRDefault="00F43DA4" w:rsidP="00F43DA4">
            <w:pPr>
              <w:jc w:val="center"/>
              <w:rPr>
                <w:color w:val="000000" w:themeColor="text1"/>
                <w:sz w:val="24"/>
                <w:szCs w:val="24"/>
                <w:lang w:val="en-US"/>
              </w:rPr>
            </w:pPr>
            <w:r w:rsidRPr="00015A39">
              <w:rPr>
                <w:b/>
                <w:bCs/>
                <w:color w:val="000000" w:themeColor="text1"/>
                <w:sz w:val="24"/>
                <w:szCs w:val="24"/>
                <w:lang w:val="en-US"/>
              </w:rPr>
              <w:t>0.005</w:t>
            </w:r>
          </w:p>
        </w:tc>
      </w:tr>
      <w:tr w:rsidR="00015A39" w:rsidRPr="00015A39" w14:paraId="2B4BDCC1" w14:textId="77777777" w:rsidTr="00F43DA4">
        <w:trPr>
          <w:trHeight w:val="272"/>
        </w:trPr>
        <w:tc>
          <w:tcPr>
            <w:tcW w:w="3228" w:type="dxa"/>
            <w:tcBorders>
              <w:bottom w:val="single" w:sz="4" w:space="0" w:color="auto"/>
            </w:tcBorders>
          </w:tcPr>
          <w:p w14:paraId="49A5D27E"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7988F963" w14:textId="2A48FF88"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1.554</w:t>
            </w:r>
          </w:p>
        </w:tc>
        <w:tc>
          <w:tcPr>
            <w:tcW w:w="3357" w:type="dxa"/>
            <w:tcBorders>
              <w:bottom w:val="single" w:sz="4" w:space="0" w:color="auto"/>
            </w:tcBorders>
            <w:vAlign w:val="center"/>
          </w:tcPr>
          <w:p w14:paraId="16D442C7" w14:textId="4D7FC24C"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1.340-1.802</w:t>
            </w:r>
          </w:p>
        </w:tc>
        <w:tc>
          <w:tcPr>
            <w:tcW w:w="1457" w:type="dxa"/>
            <w:tcBorders>
              <w:bottom w:val="single" w:sz="4" w:space="0" w:color="auto"/>
            </w:tcBorders>
            <w:vAlign w:val="center"/>
          </w:tcPr>
          <w:p w14:paraId="681290DA" w14:textId="394DB8CC" w:rsidR="00F43DA4" w:rsidRPr="00015A39" w:rsidRDefault="00F43DA4" w:rsidP="00F43DA4">
            <w:pPr>
              <w:jc w:val="center"/>
              <w:rPr>
                <w:b/>
                <w:bCs/>
                <w:color w:val="000000" w:themeColor="text1"/>
                <w:sz w:val="24"/>
                <w:szCs w:val="24"/>
                <w:lang w:val="en-US"/>
              </w:rPr>
            </w:pPr>
            <w:r w:rsidRPr="00015A39">
              <w:rPr>
                <w:b/>
                <w:bCs/>
                <w:color w:val="000000" w:themeColor="text1"/>
                <w:sz w:val="24"/>
                <w:szCs w:val="24"/>
                <w:lang w:val="en-US"/>
              </w:rPr>
              <w:t>&lt;0.001</w:t>
            </w:r>
          </w:p>
        </w:tc>
      </w:tr>
      <w:tr w:rsidR="00015A39" w:rsidRPr="00015A39" w14:paraId="4DB210AE"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18609EA0" w14:textId="662A1582"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Ever Allergic Rhinitis (AR)</w:t>
            </w:r>
            <w:r w:rsidR="00A940B8" w:rsidRPr="00015A39">
              <w:rPr>
                <w:rFonts w:cs="Times New Roman"/>
                <w:b/>
                <w:bCs/>
                <w:color w:val="000000" w:themeColor="text1"/>
                <w:sz w:val="24"/>
                <w:szCs w:val="24"/>
                <w:lang w:val="en-US"/>
              </w:rPr>
              <w:t xml:space="preserve"> (Non-allergic non-rhinitis vs. AR cases)</w:t>
            </w:r>
          </w:p>
        </w:tc>
      </w:tr>
      <w:tr w:rsidR="00015A39" w:rsidRPr="00015A39" w14:paraId="76B50139" w14:textId="77777777" w:rsidTr="00F43DA4">
        <w:trPr>
          <w:trHeight w:val="272"/>
        </w:trPr>
        <w:tc>
          <w:tcPr>
            <w:tcW w:w="3228" w:type="dxa"/>
          </w:tcPr>
          <w:p w14:paraId="4336B1A9"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244A810E"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5945B5B3"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62587608"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0A7E942C" w14:textId="77777777" w:rsidTr="00F43DA4">
        <w:trPr>
          <w:trHeight w:val="272"/>
        </w:trPr>
        <w:tc>
          <w:tcPr>
            <w:tcW w:w="3228" w:type="dxa"/>
          </w:tcPr>
          <w:p w14:paraId="18FCCC43"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3534F730" w14:textId="75B7461E"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1.214</w:t>
            </w:r>
          </w:p>
        </w:tc>
        <w:tc>
          <w:tcPr>
            <w:tcW w:w="3357" w:type="dxa"/>
            <w:vAlign w:val="center"/>
          </w:tcPr>
          <w:p w14:paraId="4BFBC5E7" w14:textId="1309EF34"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1.051-1.403</w:t>
            </w:r>
          </w:p>
        </w:tc>
        <w:tc>
          <w:tcPr>
            <w:tcW w:w="1457" w:type="dxa"/>
            <w:vAlign w:val="center"/>
          </w:tcPr>
          <w:p w14:paraId="14E4041D" w14:textId="7F2A4C91" w:rsidR="00F43DA4" w:rsidRPr="00015A39" w:rsidRDefault="00F43DA4" w:rsidP="00F43DA4">
            <w:pPr>
              <w:jc w:val="center"/>
              <w:rPr>
                <w:color w:val="000000" w:themeColor="text1"/>
                <w:sz w:val="24"/>
                <w:szCs w:val="24"/>
                <w:lang w:val="en-US"/>
              </w:rPr>
            </w:pPr>
            <w:r w:rsidRPr="00015A39">
              <w:rPr>
                <w:b/>
                <w:bCs/>
                <w:color w:val="000000" w:themeColor="text1"/>
                <w:sz w:val="24"/>
                <w:szCs w:val="24"/>
                <w:lang w:val="en-US"/>
              </w:rPr>
              <w:t>0.008</w:t>
            </w:r>
          </w:p>
        </w:tc>
      </w:tr>
      <w:tr w:rsidR="00015A39" w:rsidRPr="00015A39" w14:paraId="52F8F99D" w14:textId="77777777" w:rsidTr="00F43DA4">
        <w:trPr>
          <w:trHeight w:val="272"/>
        </w:trPr>
        <w:tc>
          <w:tcPr>
            <w:tcW w:w="3228" w:type="dxa"/>
            <w:tcBorders>
              <w:bottom w:val="single" w:sz="4" w:space="0" w:color="auto"/>
            </w:tcBorders>
          </w:tcPr>
          <w:p w14:paraId="350701F9"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68E38AD1" w14:textId="14C85D1A"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1.255</w:t>
            </w:r>
          </w:p>
        </w:tc>
        <w:tc>
          <w:tcPr>
            <w:tcW w:w="3357" w:type="dxa"/>
            <w:tcBorders>
              <w:bottom w:val="single" w:sz="4" w:space="0" w:color="auto"/>
            </w:tcBorders>
            <w:vAlign w:val="center"/>
          </w:tcPr>
          <w:p w14:paraId="7C515A33" w14:textId="65A85CAD"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1.092-1.442</w:t>
            </w:r>
          </w:p>
        </w:tc>
        <w:tc>
          <w:tcPr>
            <w:tcW w:w="1457" w:type="dxa"/>
            <w:tcBorders>
              <w:bottom w:val="single" w:sz="4" w:space="0" w:color="auto"/>
            </w:tcBorders>
            <w:vAlign w:val="center"/>
          </w:tcPr>
          <w:p w14:paraId="57FE5468" w14:textId="06F83576" w:rsidR="00F43DA4" w:rsidRPr="00015A39" w:rsidRDefault="00F43DA4" w:rsidP="00F43DA4">
            <w:pPr>
              <w:jc w:val="center"/>
              <w:rPr>
                <w:color w:val="000000" w:themeColor="text1"/>
                <w:sz w:val="24"/>
                <w:szCs w:val="24"/>
                <w:lang w:val="en-US"/>
              </w:rPr>
            </w:pPr>
            <w:r w:rsidRPr="00015A39">
              <w:rPr>
                <w:b/>
                <w:bCs/>
                <w:color w:val="000000" w:themeColor="text1"/>
                <w:sz w:val="24"/>
                <w:szCs w:val="24"/>
                <w:lang w:val="en-US"/>
              </w:rPr>
              <w:t>0.001</w:t>
            </w:r>
          </w:p>
        </w:tc>
      </w:tr>
      <w:tr w:rsidR="00015A39" w:rsidRPr="00015A39" w14:paraId="1BCA4EF8"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348CE217" w14:textId="047F2AD4"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Ever Allergic Asthma (AS)</w:t>
            </w:r>
            <w:r w:rsidR="009108C7" w:rsidRPr="00015A39">
              <w:rPr>
                <w:rFonts w:cs="Times New Roman"/>
                <w:b/>
                <w:bCs/>
                <w:color w:val="000000" w:themeColor="text1"/>
                <w:sz w:val="24"/>
                <w:szCs w:val="24"/>
                <w:lang w:val="en-US"/>
              </w:rPr>
              <w:t xml:space="preserve"> (Non-allergic non-asthma vs. AS cases)</w:t>
            </w:r>
          </w:p>
        </w:tc>
      </w:tr>
      <w:tr w:rsidR="00015A39" w:rsidRPr="00015A39" w14:paraId="36F0444C" w14:textId="77777777" w:rsidTr="00F43DA4">
        <w:trPr>
          <w:trHeight w:val="272"/>
        </w:trPr>
        <w:tc>
          <w:tcPr>
            <w:tcW w:w="3228" w:type="dxa"/>
          </w:tcPr>
          <w:p w14:paraId="3B4445ED"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453B7A07"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15C52BB9"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482B0F21"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552AE371" w14:textId="77777777" w:rsidTr="00F43DA4">
        <w:trPr>
          <w:trHeight w:val="272"/>
        </w:trPr>
        <w:tc>
          <w:tcPr>
            <w:tcW w:w="3228" w:type="dxa"/>
          </w:tcPr>
          <w:p w14:paraId="3A78F33F"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4D189758" w14:textId="7B27B6D2"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1.187</w:t>
            </w:r>
          </w:p>
        </w:tc>
        <w:tc>
          <w:tcPr>
            <w:tcW w:w="3357" w:type="dxa"/>
            <w:vAlign w:val="center"/>
          </w:tcPr>
          <w:p w14:paraId="4372F48B" w14:textId="3D9D9704"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1.006-1.400</w:t>
            </w:r>
          </w:p>
        </w:tc>
        <w:tc>
          <w:tcPr>
            <w:tcW w:w="1457" w:type="dxa"/>
            <w:vAlign w:val="center"/>
          </w:tcPr>
          <w:p w14:paraId="2C1C4FB7" w14:textId="61B7508A"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0.043</w:t>
            </w:r>
          </w:p>
        </w:tc>
      </w:tr>
      <w:tr w:rsidR="00015A39" w:rsidRPr="00015A39" w14:paraId="7854AD3C" w14:textId="77777777" w:rsidTr="00F43DA4">
        <w:trPr>
          <w:trHeight w:val="272"/>
        </w:trPr>
        <w:tc>
          <w:tcPr>
            <w:tcW w:w="3228" w:type="dxa"/>
            <w:tcBorders>
              <w:bottom w:val="single" w:sz="4" w:space="0" w:color="auto"/>
            </w:tcBorders>
          </w:tcPr>
          <w:p w14:paraId="69643639"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4481102F" w14:textId="5099A10A"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1.279</w:t>
            </w:r>
          </w:p>
        </w:tc>
        <w:tc>
          <w:tcPr>
            <w:tcW w:w="3357" w:type="dxa"/>
            <w:tcBorders>
              <w:bottom w:val="single" w:sz="4" w:space="0" w:color="auto"/>
            </w:tcBorders>
            <w:vAlign w:val="center"/>
          </w:tcPr>
          <w:p w14:paraId="2656AEFF" w14:textId="30C3CD7B"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1.089-1.503</w:t>
            </w:r>
          </w:p>
        </w:tc>
        <w:tc>
          <w:tcPr>
            <w:tcW w:w="1457" w:type="dxa"/>
            <w:tcBorders>
              <w:bottom w:val="single" w:sz="4" w:space="0" w:color="auto"/>
            </w:tcBorders>
            <w:vAlign w:val="center"/>
          </w:tcPr>
          <w:p w14:paraId="668430E5" w14:textId="62AEC125" w:rsidR="00F43DA4" w:rsidRPr="00015A39" w:rsidRDefault="00F43DA4" w:rsidP="00F43DA4">
            <w:pPr>
              <w:jc w:val="center"/>
              <w:rPr>
                <w:color w:val="000000" w:themeColor="text1"/>
                <w:sz w:val="24"/>
                <w:szCs w:val="24"/>
                <w:lang w:val="en-US"/>
              </w:rPr>
            </w:pPr>
            <w:r w:rsidRPr="00015A39">
              <w:rPr>
                <w:b/>
                <w:bCs/>
                <w:color w:val="000000" w:themeColor="text1"/>
                <w:sz w:val="24"/>
                <w:szCs w:val="24"/>
                <w:lang w:val="en-US"/>
              </w:rPr>
              <w:t>0.003</w:t>
            </w:r>
          </w:p>
        </w:tc>
      </w:tr>
      <w:tr w:rsidR="00015A39" w:rsidRPr="00015A39" w14:paraId="4685B1A9"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6386D426" w14:textId="6182D072"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House Dust Mites (HDMs) Allergy</w:t>
            </w:r>
            <w:r w:rsidR="004B606F" w:rsidRPr="00015A39">
              <w:rPr>
                <w:rFonts w:cs="Times New Roman"/>
                <w:b/>
                <w:bCs/>
                <w:color w:val="000000" w:themeColor="text1"/>
                <w:sz w:val="24"/>
                <w:szCs w:val="24"/>
                <w:lang w:val="en-US"/>
              </w:rPr>
              <w:t xml:space="preserve"> (Skin prick test [SPT] negative individuals vs. </w:t>
            </w:r>
            <w:r w:rsidR="005D32ED" w:rsidRPr="00015A39">
              <w:rPr>
                <w:rFonts w:cs="Times New Roman"/>
                <w:b/>
                <w:bCs/>
                <w:color w:val="000000" w:themeColor="text1"/>
                <w:sz w:val="24"/>
                <w:szCs w:val="24"/>
                <w:lang w:val="en-US"/>
              </w:rPr>
              <w:t>SPT positive individuals)</w:t>
            </w:r>
          </w:p>
        </w:tc>
      </w:tr>
      <w:tr w:rsidR="00015A39" w:rsidRPr="00015A39" w14:paraId="28FFC449" w14:textId="77777777" w:rsidTr="00F43DA4">
        <w:trPr>
          <w:trHeight w:val="272"/>
        </w:trPr>
        <w:tc>
          <w:tcPr>
            <w:tcW w:w="3228" w:type="dxa"/>
          </w:tcPr>
          <w:p w14:paraId="11FD83E7"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45B9F0C9"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09572DE2"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7087E8ED"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2F598115" w14:textId="77777777" w:rsidTr="00F43DA4">
        <w:trPr>
          <w:trHeight w:val="272"/>
        </w:trPr>
        <w:tc>
          <w:tcPr>
            <w:tcW w:w="3228" w:type="dxa"/>
          </w:tcPr>
          <w:p w14:paraId="7719E57B"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37858C08" w14:textId="6534A3FF"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1.175</w:t>
            </w:r>
          </w:p>
        </w:tc>
        <w:tc>
          <w:tcPr>
            <w:tcW w:w="3357" w:type="dxa"/>
            <w:vAlign w:val="center"/>
          </w:tcPr>
          <w:p w14:paraId="1959DB90" w14:textId="2F845BA2"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1.062-1.300</w:t>
            </w:r>
          </w:p>
        </w:tc>
        <w:tc>
          <w:tcPr>
            <w:tcW w:w="1457" w:type="dxa"/>
            <w:vAlign w:val="center"/>
          </w:tcPr>
          <w:p w14:paraId="2748CFD2" w14:textId="03BC2235" w:rsidR="00F43DA4" w:rsidRPr="00015A39" w:rsidRDefault="00F43DA4" w:rsidP="00F43DA4">
            <w:pPr>
              <w:jc w:val="center"/>
              <w:rPr>
                <w:color w:val="000000" w:themeColor="text1"/>
                <w:sz w:val="24"/>
                <w:szCs w:val="24"/>
                <w:lang w:val="en-US"/>
              </w:rPr>
            </w:pPr>
            <w:r w:rsidRPr="00015A39">
              <w:rPr>
                <w:b/>
                <w:bCs/>
                <w:color w:val="000000" w:themeColor="text1"/>
                <w:sz w:val="24"/>
                <w:szCs w:val="24"/>
                <w:lang w:val="en-US"/>
              </w:rPr>
              <w:t>0.002</w:t>
            </w:r>
          </w:p>
        </w:tc>
      </w:tr>
      <w:tr w:rsidR="00015A39" w:rsidRPr="00015A39" w14:paraId="08DC539C" w14:textId="77777777" w:rsidTr="00F43DA4">
        <w:trPr>
          <w:trHeight w:val="272"/>
        </w:trPr>
        <w:tc>
          <w:tcPr>
            <w:tcW w:w="3228" w:type="dxa"/>
            <w:tcBorders>
              <w:bottom w:val="single" w:sz="4" w:space="0" w:color="auto"/>
            </w:tcBorders>
          </w:tcPr>
          <w:p w14:paraId="17B9DBA6"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502C1AB0" w14:textId="63790240"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1.376</w:t>
            </w:r>
          </w:p>
        </w:tc>
        <w:tc>
          <w:tcPr>
            <w:tcW w:w="3357" w:type="dxa"/>
            <w:tcBorders>
              <w:bottom w:val="single" w:sz="4" w:space="0" w:color="auto"/>
            </w:tcBorders>
            <w:vAlign w:val="center"/>
          </w:tcPr>
          <w:p w14:paraId="4708B24C" w14:textId="3458378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1.246-1.519</w:t>
            </w:r>
          </w:p>
        </w:tc>
        <w:tc>
          <w:tcPr>
            <w:tcW w:w="1457" w:type="dxa"/>
            <w:tcBorders>
              <w:bottom w:val="single" w:sz="4" w:space="0" w:color="auto"/>
            </w:tcBorders>
            <w:vAlign w:val="center"/>
          </w:tcPr>
          <w:p w14:paraId="33ACD7B7" w14:textId="37570D8F" w:rsidR="00F43DA4" w:rsidRPr="00015A39" w:rsidRDefault="00F43DA4" w:rsidP="00F43DA4">
            <w:pPr>
              <w:jc w:val="center"/>
              <w:rPr>
                <w:b/>
                <w:bCs/>
                <w:color w:val="000000" w:themeColor="text1"/>
                <w:sz w:val="24"/>
                <w:szCs w:val="24"/>
                <w:lang w:val="en-US"/>
              </w:rPr>
            </w:pPr>
            <w:r w:rsidRPr="00015A39">
              <w:rPr>
                <w:b/>
                <w:bCs/>
                <w:color w:val="000000" w:themeColor="text1"/>
                <w:sz w:val="24"/>
                <w:szCs w:val="24"/>
                <w:lang w:val="en-US"/>
              </w:rPr>
              <w:t>&lt;0.001</w:t>
            </w:r>
          </w:p>
        </w:tc>
      </w:tr>
      <w:tr w:rsidR="00015A39" w:rsidRPr="00015A39" w14:paraId="608ECE43"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07805022" w14:textId="24B56CF0"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Acne Vulgaris</w:t>
            </w:r>
            <w:r w:rsidR="00863A5B" w:rsidRPr="00015A39">
              <w:rPr>
                <w:rFonts w:cs="Times New Roman"/>
                <w:b/>
                <w:bCs/>
                <w:color w:val="000000" w:themeColor="text1"/>
                <w:sz w:val="24"/>
                <w:szCs w:val="24"/>
                <w:lang w:val="en-US"/>
              </w:rPr>
              <w:t xml:space="preserve"> (non-acne vs. acne cases)</w:t>
            </w:r>
          </w:p>
        </w:tc>
      </w:tr>
      <w:tr w:rsidR="00015A39" w:rsidRPr="00015A39" w14:paraId="38D7DA35" w14:textId="77777777" w:rsidTr="00F43DA4">
        <w:trPr>
          <w:trHeight w:val="272"/>
        </w:trPr>
        <w:tc>
          <w:tcPr>
            <w:tcW w:w="3228" w:type="dxa"/>
          </w:tcPr>
          <w:p w14:paraId="618BDD18"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4DADCC1E"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1F7C720B"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042FCCFE"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6C77C2AD" w14:textId="77777777" w:rsidTr="00F43DA4">
        <w:trPr>
          <w:trHeight w:val="272"/>
        </w:trPr>
        <w:tc>
          <w:tcPr>
            <w:tcW w:w="3228" w:type="dxa"/>
          </w:tcPr>
          <w:p w14:paraId="4BDAE3FE"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27695EB7" w14:textId="21B006C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1.081</w:t>
            </w:r>
          </w:p>
        </w:tc>
        <w:tc>
          <w:tcPr>
            <w:tcW w:w="3357" w:type="dxa"/>
            <w:vAlign w:val="center"/>
          </w:tcPr>
          <w:p w14:paraId="10636B59" w14:textId="79010CB5"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0.946-1.235</w:t>
            </w:r>
          </w:p>
        </w:tc>
        <w:tc>
          <w:tcPr>
            <w:tcW w:w="1457" w:type="dxa"/>
            <w:vAlign w:val="center"/>
          </w:tcPr>
          <w:p w14:paraId="5119F924" w14:textId="385164BB"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0.252</w:t>
            </w:r>
          </w:p>
        </w:tc>
      </w:tr>
      <w:tr w:rsidR="00015A39" w:rsidRPr="00015A39" w14:paraId="5F05E655" w14:textId="77777777" w:rsidTr="00F43DA4">
        <w:trPr>
          <w:trHeight w:val="272"/>
        </w:trPr>
        <w:tc>
          <w:tcPr>
            <w:tcW w:w="3228" w:type="dxa"/>
            <w:tcBorders>
              <w:bottom w:val="single" w:sz="4" w:space="0" w:color="auto"/>
            </w:tcBorders>
          </w:tcPr>
          <w:p w14:paraId="49745691"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0F29CBED" w14:textId="25921FD8"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0.978</w:t>
            </w:r>
          </w:p>
        </w:tc>
        <w:tc>
          <w:tcPr>
            <w:tcW w:w="3357" w:type="dxa"/>
            <w:tcBorders>
              <w:bottom w:val="single" w:sz="4" w:space="0" w:color="auto"/>
            </w:tcBorders>
            <w:vAlign w:val="center"/>
          </w:tcPr>
          <w:p w14:paraId="5180EF01" w14:textId="71DC6700"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0.961-1.111</w:t>
            </w:r>
          </w:p>
        </w:tc>
        <w:tc>
          <w:tcPr>
            <w:tcW w:w="1457" w:type="dxa"/>
            <w:tcBorders>
              <w:bottom w:val="single" w:sz="4" w:space="0" w:color="auto"/>
            </w:tcBorders>
            <w:vAlign w:val="center"/>
          </w:tcPr>
          <w:p w14:paraId="5A5DE423" w14:textId="2F685A6B"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0.731</w:t>
            </w:r>
          </w:p>
        </w:tc>
      </w:tr>
      <w:tr w:rsidR="00015A39" w:rsidRPr="00015A39" w14:paraId="543DC971"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00623FFF" w14:textId="19A7FED9"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Dry Skin</w:t>
            </w:r>
            <w:r w:rsidR="00863A5B" w:rsidRPr="00015A39">
              <w:rPr>
                <w:rFonts w:cs="Times New Roman"/>
                <w:b/>
                <w:bCs/>
                <w:color w:val="000000" w:themeColor="text1"/>
                <w:sz w:val="24"/>
                <w:szCs w:val="24"/>
                <w:lang w:val="en-US"/>
              </w:rPr>
              <w:t xml:space="preserve"> (non-dry skin vs. dry skin cases)</w:t>
            </w:r>
          </w:p>
        </w:tc>
      </w:tr>
      <w:tr w:rsidR="00015A39" w:rsidRPr="00015A39" w14:paraId="21937D5F" w14:textId="77777777" w:rsidTr="00F43DA4">
        <w:trPr>
          <w:trHeight w:val="272"/>
        </w:trPr>
        <w:tc>
          <w:tcPr>
            <w:tcW w:w="3228" w:type="dxa"/>
          </w:tcPr>
          <w:p w14:paraId="6165C98B"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18F1CB64"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0F147267"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1E75A04D"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5CC5025A" w14:textId="77777777" w:rsidTr="00F43DA4">
        <w:trPr>
          <w:trHeight w:val="272"/>
        </w:trPr>
        <w:tc>
          <w:tcPr>
            <w:tcW w:w="3228" w:type="dxa"/>
          </w:tcPr>
          <w:p w14:paraId="323D5F5C"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77800896" w14:textId="5161989B"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1.206</w:t>
            </w:r>
          </w:p>
        </w:tc>
        <w:tc>
          <w:tcPr>
            <w:tcW w:w="3357" w:type="dxa"/>
            <w:vAlign w:val="center"/>
          </w:tcPr>
          <w:p w14:paraId="05D65D3B" w14:textId="157705C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1.021-1.425</w:t>
            </w:r>
          </w:p>
        </w:tc>
        <w:tc>
          <w:tcPr>
            <w:tcW w:w="1457" w:type="dxa"/>
            <w:vAlign w:val="center"/>
          </w:tcPr>
          <w:p w14:paraId="0BC341EE" w14:textId="28285511"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0.027</w:t>
            </w:r>
          </w:p>
        </w:tc>
      </w:tr>
      <w:tr w:rsidR="00015A39" w:rsidRPr="00015A39" w14:paraId="66AC64ED" w14:textId="77777777" w:rsidTr="00F43DA4">
        <w:trPr>
          <w:trHeight w:val="272"/>
        </w:trPr>
        <w:tc>
          <w:tcPr>
            <w:tcW w:w="3228" w:type="dxa"/>
            <w:tcBorders>
              <w:bottom w:val="single" w:sz="4" w:space="0" w:color="auto"/>
            </w:tcBorders>
          </w:tcPr>
          <w:p w14:paraId="0CF82E0F"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280BB67D" w14:textId="2E54301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1.169</w:t>
            </w:r>
          </w:p>
        </w:tc>
        <w:tc>
          <w:tcPr>
            <w:tcW w:w="3357" w:type="dxa"/>
            <w:tcBorders>
              <w:bottom w:val="single" w:sz="4" w:space="0" w:color="auto"/>
            </w:tcBorders>
            <w:vAlign w:val="center"/>
          </w:tcPr>
          <w:p w14:paraId="6464A65C" w14:textId="6EC59DB2"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0.998-1.371</w:t>
            </w:r>
          </w:p>
        </w:tc>
        <w:tc>
          <w:tcPr>
            <w:tcW w:w="1457" w:type="dxa"/>
            <w:tcBorders>
              <w:bottom w:val="single" w:sz="4" w:space="0" w:color="auto"/>
            </w:tcBorders>
            <w:vAlign w:val="center"/>
          </w:tcPr>
          <w:p w14:paraId="044F062B" w14:textId="2E3FB07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0.053</w:t>
            </w:r>
          </w:p>
        </w:tc>
      </w:tr>
      <w:tr w:rsidR="00015A39" w:rsidRPr="00015A39" w14:paraId="2E98B27B"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7EA8D8F9" w14:textId="4FDAB038"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Chronic Rhinosinusitis</w:t>
            </w:r>
            <w:r w:rsidR="00E043CA" w:rsidRPr="00015A39">
              <w:rPr>
                <w:rFonts w:cs="Times New Roman"/>
                <w:b/>
                <w:bCs/>
                <w:color w:val="000000" w:themeColor="text1"/>
                <w:sz w:val="24"/>
                <w:szCs w:val="24"/>
                <w:lang w:val="en-US"/>
              </w:rPr>
              <w:t xml:space="preserve"> (non-chronic rhinosinusitis vs. chronic rhinosinusitis cases)</w:t>
            </w:r>
          </w:p>
        </w:tc>
      </w:tr>
      <w:tr w:rsidR="00015A39" w:rsidRPr="00015A39" w14:paraId="506B5086" w14:textId="77777777" w:rsidTr="00F43DA4">
        <w:trPr>
          <w:trHeight w:val="272"/>
        </w:trPr>
        <w:tc>
          <w:tcPr>
            <w:tcW w:w="3228" w:type="dxa"/>
          </w:tcPr>
          <w:p w14:paraId="3303F36C"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399E4ECD"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0941DCC7"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3EBF6AA7"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439AE5E3" w14:textId="77777777" w:rsidTr="00F43DA4">
        <w:trPr>
          <w:trHeight w:val="272"/>
        </w:trPr>
        <w:tc>
          <w:tcPr>
            <w:tcW w:w="3228" w:type="dxa"/>
          </w:tcPr>
          <w:p w14:paraId="3FFD05F0"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lastRenderedPageBreak/>
              <w:t>Moderate Dietary Fat Score</w:t>
            </w:r>
          </w:p>
        </w:tc>
        <w:tc>
          <w:tcPr>
            <w:tcW w:w="1206" w:type="dxa"/>
            <w:vAlign w:val="center"/>
          </w:tcPr>
          <w:p w14:paraId="68D9992F" w14:textId="5C61E0B5"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1.141</w:t>
            </w:r>
          </w:p>
        </w:tc>
        <w:tc>
          <w:tcPr>
            <w:tcW w:w="3357" w:type="dxa"/>
            <w:vAlign w:val="center"/>
          </w:tcPr>
          <w:p w14:paraId="7ED68779" w14:textId="31F655EC"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0.917-1.420</w:t>
            </w:r>
          </w:p>
        </w:tc>
        <w:tc>
          <w:tcPr>
            <w:tcW w:w="1457" w:type="dxa"/>
            <w:vAlign w:val="center"/>
          </w:tcPr>
          <w:p w14:paraId="07182047" w14:textId="524B143A"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0.237</w:t>
            </w:r>
          </w:p>
        </w:tc>
      </w:tr>
      <w:tr w:rsidR="00015A39" w:rsidRPr="00015A39" w14:paraId="3AA2E997" w14:textId="77777777" w:rsidTr="00F43DA4">
        <w:trPr>
          <w:trHeight w:val="272"/>
        </w:trPr>
        <w:tc>
          <w:tcPr>
            <w:tcW w:w="3228" w:type="dxa"/>
            <w:tcBorders>
              <w:bottom w:val="single" w:sz="4" w:space="0" w:color="auto"/>
            </w:tcBorders>
          </w:tcPr>
          <w:p w14:paraId="287201BE"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38B9AC6B" w14:textId="2553D894"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1.072</w:t>
            </w:r>
          </w:p>
        </w:tc>
        <w:tc>
          <w:tcPr>
            <w:tcW w:w="3357" w:type="dxa"/>
            <w:tcBorders>
              <w:bottom w:val="single" w:sz="4" w:space="0" w:color="auto"/>
            </w:tcBorders>
            <w:vAlign w:val="center"/>
          </w:tcPr>
          <w:p w14:paraId="461848E8" w14:textId="1CA861A3"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0.869-1.321</w:t>
            </w:r>
          </w:p>
        </w:tc>
        <w:tc>
          <w:tcPr>
            <w:tcW w:w="1457" w:type="dxa"/>
            <w:tcBorders>
              <w:bottom w:val="single" w:sz="4" w:space="0" w:color="auto"/>
            </w:tcBorders>
            <w:vAlign w:val="center"/>
          </w:tcPr>
          <w:p w14:paraId="2CB1C36D" w14:textId="02B662B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0.517</w:t>
            </w:r>
          </w:p>
        </w:tc>
      </w:tr>
      <w:tr w:rsidR="00015A39" w:rsidRPr="00015A39" w14:paraId="61400AE8"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16E81A27" w14:textId="2AA2E133"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Tooth Decay</w:t>
            </w:r>
            <w:r w:rsidR="00DD0044" w:rsidRPr="00015A39">
              <w:rPr>
                <w:rFonts w:cs="Times New Roman"/>
                <w:b/>
                <w:bCs/>
                <w:color w:val="000000" w:themeColor="text1"/>
                <w:sz w:val="24"/>
                <w:szCs w:val="24"/>
                <w:lang w:val="en-US"/>
              </w:rPr>
              <w:t xml:space="preserve"> (no tooth decay vs. tooth decay)</w:t>
            </w:r>
          </w:p>
        </w:tc>
      </w:tr>
      <w:tr w:rsidR="00015A39" w:rsidRPr="00015A39" w14:paraId="1A4608FC" w14:textId="77777777" w:rsidTr="00F43DA4">
        <w:trPr>
          <w:trHeight w:val="272"/>
        </w:trPr>
        <w:tc>
          <w:tcPr>
            <w:tcW w:w="3228" w:type="dxa"/>
          </w:tcPr>
          <w:p w14:paraId="70EF3DB8"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251FBB13"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4D588BDD"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58FA6D75"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3B3DD672" w14:textId="77777777" w:rsidTr="00F43DA4">
        <w:trPr>
          <w:trHeight w:val="272"/>
        </w:trPr>
        <w:tc>
          <w:tcPr>
            <w:tcW w:w="3228" w:type="dxa"/>
          </w:tcPr>
          <w:p w14:paraId="0BD3591B"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460E2511" w14:textId="29F5B84F"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1.093</w:t>
            </w:r>
          </w:p>
        </w:tc>
        <w:tc>
          <w:tcPr>
            <w:tcW w:w="3357" w:type="dxa"/>
            <w:vAlign w:val="center"/>
          </w:tcPr>
          <w:p w14:paraId="27B0E939" w14:textId="52AC8086"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0.811-1.475</w:t>
            </w:r>
          </w:p>
        </w:tc>
        <w:tc>
          <w:tcPr>
            <w:tcW w:w="1457" w:type="dxa"/>
            <w:vAlign w:val="center"/>
          </w:tcPr>
          <w:p w14:paraId="48F006B3" w14:textId="3ECB6CA5"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0.559</w:t>
            </w:r>
          </w:p>
        </w:tc>
      </w:tr>
      <w:tr w:rsidR="00015A39" w:rsidRPr="00015A39" w14:paraId="13AD310D" w14:textId="77777777" w:rsidTr="00F43DA4">
        <w:trPr>
          <w:trHeight w:val="272"/>
        </w:trPr>
        <w:tc>
          <w:tcPr>
            <w:tcW w:w="3228" w:type="dxa"/>
            <w:tcBorders>
              <w:bottom w:val="single" w:sz="4" w:space="0" w:color="auto"/>
            </w:tcBorders>
          </w:tcPr>
          <w:p w14:paraId="4E58AFF3"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3B62E3A1" w14:textId="1D13D93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0.891</w:t>
            </w:r>
          </w:p>
        </w:tc>
        <w:tc>
          <w:tcPr>
            <w:tcW w:w="3357" w:type="dxa"/>
            <w:tcBorders>
              <w:bottom w:val="single" w:sz="4" w:space="0" w:color="auto"/>
            </w:tcBorders>
            <w:vAlign w:val="center"/>
          </w:tcPr>
          <w:p w14:paraId="5BC375F9" w14:textId="1D812D0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0.669-1.187</w:t>
            </w:r>
          </w:p>
        </w:tc>
        <w:tc>
          <w:tcPr>
            <w:tcW w:w="1457" w:type="dxa"/>
            <w:tcBorders>
              <w:bottom w:val="single" w:sz="4" w:space="0" w:color="auto"/>
            </w:tcBorders>
            <w:vAlign w:val="center"/>
          </w:tcPr>
          <w:p w14:paraId="7491AD2B" w14:textId="7FA97720"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0.432</w:t>
            </w:r>
          </w:p>
        </w:tc>
      </w:tr>
      <w:tr w:rsidR="00015A39" w:rsidRPr="00015A39" w14:paraId="7CF3A905"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763F7EE2" w14:textId="47746E7C"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Hepatitis A Virus (HAV) Infection</w:t>
            </w:r>
            <w:r w:rsidR="00DD0044" w:rsidRPr="00015A39">
              <w:rPr>
                <w:rFonts w:cs="Times New Roman"/>
                <w:b/>
                <w:bCs/>
                <w:color w:val="000000" w:themeColor="text1"/>
                <w:sz w:val="24"/>
                <w:szCs w:val="24"/>
                <w:lang w:val="en-US"/>
              </w:rPr>
              <w:t xml:space="preserve"> (non-infected vs. infected cases)</w:t>
            </w:r>
          </w:p>
        </w:tc>
      </w:tr>
      <w:tr w:rsidR="00015A39" w:rsidRPr="00015A39" w14:paraId="5450CF43" w14:textId="77777777" w:rsidTr="00F43DA4">
        <w:trPr>
          <w:trHeight w:val="272"/>
        </w:trPr>
        <w:tc>
          <w:tcPr>
            <w:tcW w:w="3228" w:type="dxa"/>
          </w:tcPr>
          <w:p w14:paraId="2AA82E03"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10F9F30C"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5FEDD18C"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418CDEEC"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378F1EF7" w14:textId="77777777" w:rsidTr="00F43DA4">
        <w:trPr>
          <w:trHeight w:val="272"/>
        </w:trPr>
        <w:tc>
          <w:tcPr>
            <w:tcW w:w="3228" w:type="dxa"/>
          </w:tcPr>
          <w:p w14:paraId="3B2C1AC7"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260C0B2D" w14:textId="234C040F"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0.666</w:t>
            </w:r>
          </w:p>
        </w:tc>
        <w:tc>
          <w:tcPr>
            <w:tcW w:w="3357" w:type="dxa"/>
            <w:vAlign w:val="center"/>
          </w:tcPr>
          <w:p w14:paraId="371590BE" w14:textId="3644697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0.136-2.727</w:t>
            </w:r>
          </w:p>
        </w:tc>
        <w:tc>
          <w:tcPr>
            <w:tcW w:w="1457" w:type="dxa"/>
            <w:vAlign w:val="center"/>
          </w:tcPr>
          <w:p w14:paraId="515EA93B" w14:textId="798F1F5F"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0.580</w:t>
            </w:r>
          </w:p>
        </w:tc>
      </w:tr>
      <w:tr w:rsidR="00015A39" w:rsidRPr="00015A39" w14:paraId="19194CF6" w14:textId="77777777" w:rsidTr="00F43DA4">
        <w:trPr>
          <w:trHeight w:val="272"/>
        </w:trPr>
        <w:tc>
          <w:tcPr>
            <w:tcW w:w="3228" w:type="dxa"/>
            <w:tcBorders>
              <w:bottom w:val="single" w:sz="4" w:space="0" w:color="auto"/>
            </w:tcBorders>
          </w:tcPr>
          <w:p w14:paraId="08A3BE1A"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0CC0B328" w14:textId="02B3663E"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1.020</w:t>
            </w:r>
          </w:p>
        </w:tc>
        <w:tc>
          <w:tcPr>
            <w:tcW w:w="3357" w:type="dxa"/>
            <w:tcBorders>
              <w:bottom w:val="single" w:sz="4" w:space="0" w:color="auto"/>
            </w:tcBorders>
            <w:vAlign w:val="center"/>
          </w:tcPr>
          <w:p w14:paraId="57A5B27D" w14:textId="37660D33"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0.279-3.732</w:t>
            </w:r>
          </w:p>
        </w:tc>
        <w:tc>
          <w:tcPr>
            <w:tcW w:w="1457" w:type="dxa"/>
            <w:tcBorders>
              <w:bottom w:val="single" w:sz="4" w:space="0" w:color="auto"/>
            </w:tcBorders>
            <w:vAlign w:val="center"/>
          </w:tcPr>
          <w:p w14:paraId="0ABD3EA7" w14:textId="61152B9A"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0.975</w:t>
            </w:r>
          </w:p>
        </w:tc>
      </w:tr>
      <w:tr w:rsidR="00015A39" w:rsidRPr="00015A39" w14:paraId="6CA6F63A"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7AAA26FF" w14:textId="0AA0C647"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Emotional Discomfort</w:t>
            </w:r>
            <w:r w:rsidR="006A2F01" w:rsidRPr="00015A39">
              <w:rPr>
                <w:rFonts w:cs="Times New Roman"/>
                <w:b/>
                <w:bCs/>
                <w:color w:val="000000" w:themeColor="text1"/>
                <w:sz w:val="24"/>
                <w:szCs w:val="24"/>
                <w:lang w:val="en-US"/>
              </w:rPr>
              <w:t xml:space="preserve"> (control vs. cases)</w:t>
            </w:r>
          </w:p>
        </w:tc>
      </w:tr>
      <w:tr w:rsidR="00015A39" w:rsidRPr="00015A39" w14:paraId="5A12AD91" w14:textId="77777777" w:rsidTr="00F43DA4">
        <w:trPr>
          <w:trHeight w:val="272"/>
        </w:trPr>
        <w:tc>
          <w:tcPr>
            <w:tcW w:w="3228" w:type="dxa"/>
          </w:tcPr>
          <w:p w14:paraId="5C40F6FF"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43506C14"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7F4F1421"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17C4202A"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0C0AB888" w14:textId="77777777" w:rsidTr="00F43DA4">
        <w:trPr>
          <w:trHeight w:val="272"/>
        </w:trPr>
        <w:tc>
          <w:tcPr>
            <w:tcW w:w="3228" w:type="dxa"/>
          </w:tcPr>
          <w:p w14:paraId="19998A5D"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325DE0D6" w14:textId="0436AE22"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1.012</w:t>
            </w:r>
          </w:p>
        </w:tc>
        <w:tc>
          <w:tcPr>
            <w:tcW w:w="3357" w:type="dxa"/>
            <w:vAlign w:val="center"/>
          </w:tcPr>
          <w:p w14:paraId="56873D6B" w14:textId="40C2F324"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0.740-1.385</w:t>
            </w:r>
          </w:p>
        </w:tc>
        <w:tc>
          <w:tcPr>
            <w:tcW w:w="1457" w:type="dxa"/>
            <w:vAlign w:val="center"/>
          </w:tcPr>
          <w:p w14:paraId="1D4C1D3F" w14:textId="11F68D0A"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0.941</w:t>
            </w:r>
          </w:p>
        </w:tc>
      </w:tr>
      <w:tr w:rsidR="00015A39" w:rsidRPr="00015A39" w14:paraId="7049B129" w14:textId="77777777" w:rsidTr="00F43DA4">
        <w:trPr>
          <w:trHeight w:val="272"/>
        </w:trPr>
        <w:tc>
          <w:tcPr>
            <w:tcW w:w="3228" w:type="dxa"/>
            <w:tcBorders>
              <w:bottom w:val="single" w:sz="4" w:space="0" w:color="auto"/>
            </w:tcBorders>
          </w:tcPr>
          <w:p w14:paraId="1255E731"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0492F59B" w14:textId="3A8D6DC2"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1.056</w:t>
            </w:r>
          </w:p>
        </w:tc>
        <w:tc>
          <w:tcPr>
            <w:tcW w:w="3357" w:type="dxa"/>
            <w:tcBorders>
              <w:bottom w:val="single" w:sz="4" w:space="0" w:color="auto"/>
            </w:tcBorders>
            <w:vAlign w:val="center"/>
          </w:tcPr>
          <w:p w14:paraId="14E4F4A2" w14:textId="5EB87CFF"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0.783-1.427</w:t>
            </w:r>
          </w:p>
        </w:tc>
        <w:tc>
          <w:tcPr>
            <w:tcW w:w="1457" w:type="dxa"/>
            <w:tcBorders>
              <w:bottom w:val="single" w:sz="4" w:space="0" w:color="auto"/>
            </w:tcBorders>
            <w:vAlign w:val="center"/>
          </w:tcPr>
          <w:p w14:paraId="2E899C9B" w14:textId="66A03473"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0.720</w:t>
            </w:r>
          </w:p>
        </w:tc>
      </w:tr>
      <w:tr w:rsidR="00015A39" w:rsidRPr="00015A39" w14:paraId="65EFBEBA"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561E5D57" w14:textId="5A18DF66"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Drug Allergy</w:t>
            </w:r>
            <w:r w:rsidR="006A2F01" w:rsidRPr="00015A39">
              <w:rPr>
                <w:rFonts w:cs="Times New Roman"/>
                <w:b/>
                <w:bCs/>
                <w:color w:val="000000" w:themeColor="text1"/>
                <w:sz w:val="24"/>
                <w:szCs w:val="24"/>
                <w:lang w:val="en-US"/>
              </w:rPr>
              <w:t xml:space="preserve"> (no drug allergy vs. drug allergy)</w:t>
            </w:r>
          </w:p>
        </w:tc>
      </w:tr>
      <w:tr w:rsidR="00015A39" w:rsidRPr="00015A39" w14:paraId="67D617B7" w14:textId="77777777" w:rsidTr="00F43DA4">
        <w:trPr>
          <w:trHeight w:val="272"/>
        </w:trPr>
        <w:tc>
          <w:tcPr>
            <w:tcW w:w="3228" w:type="dxa"/>
          </w:tcPr>
          <w:p w14:paraId="3974C388"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4F7E09B4"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31471B4E"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0FEF3BCE"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6B421117" w14:textId="77777777" w:rsidTr="00F43DA4">
        <w:trPr>
          <w:trHeight w:val="272"/>
        </w:trPr>
        <w:tc>
          <w:tcPr>
            <w:tcW w:w="3228" w:type="dxa"/>
          </w:tcPr>
          <w:p w14:paraId="1B58A512"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32C151FF" w14:textId="2B091C9C"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0.985</w:t>
            </w:r>
          </w:p>
        </w:tc>
        <w:tc>
          <w:tcPr>
            <w:tcW w:w="3357" w:type="dxa"/>
            <w:vAlign w:val="center"/>
          </w:tcPr>
          <w:p w14:paraId="3D736ECA" w14:textId="179B57AE"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0.856-1.135</w:t>
            </w:r>
          </w:p>
        </w:tc>
        <w:tc>
          <w:tcPr>
            <w:tcW w:w="1457" w:type="dxa"/>
            <w:vAlign w:val="center"/>
          </w:tcPr>
          <w:p w14:paraId="106E1C58" w14:textId="3D7F5ADE"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0.838</w:t>
            </w:r>
          </w:p>
        </w:tc>
      </w:tr>
      <w:tr w:rsidR="00015A39" w:rsidRPr="00015A39" w14:paraId="5721B97C" w14:textId="77777777" w:rsidTr="00F43DA4">
        <w:trPr>
          <w:trHeight w:val="272"/>
        </w:trPr>
        <w:tc>
          <w:tcPr>
            <w:tcW w:w="3228" w:type="dxa"/>
            <w:tcBorders>
              <w:bottom w:val="single" w:sz="4" w:space="0" w:color="auto"/>
            </w:tcBorders>
          </w:tcPr>
          <w:p w14:paraId="6096973D"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0C34F0FB" w14:textId="59CDDA60"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0.921</w:t>
            </w:r>
          </w:p>
        </w:tc>
        <w:tc>
          <w:tcPr>
            <w:tcW w:w="3357" w:type="dxa"/>
            <w:tcBorders>
              <w:bottom w:val="single" w:sz="4" w:space="0" w:color="auto"/>
            </w:tcBorders>
            <w:vAlign w:val="center"/>
          </w:tcPr>
          <w:p w14:paraId="660D7D49" w14:textId="493F8C03"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0.802-1.057</w:t>
            </w:r>
          </w:p>
        </w:tc>
        <w:tc>
          <w:tcPr>
            <w:tcW w:w="1457" w:type="dxa"/>
            <w:tcBorders>
              <w:bottom w:val="single" w:sz="4" w:space="0" w:color="auto"/>
            </w:tcBorders>
            <w:vAlign w:val="center"/>
          </w:tcPr>
          <w:p w14:paraId="2E8C4AE3" w14:textId="25EB2196"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0.240</w:t>
            </w:r>
          </w:p>
        </w:tc>
      </w:tr>
      <w:tr w:rsidR="00015A39" w:rsidRPr="00015A39" w14:paraId="77787C10" w14:textId="77777777" w:rsidTr="00A7003E">
        <w:trPr>
          <w:trHeight w:val="272"/>
        </w:trPr>
        <w:tc>
          <w:tcPr>
            <w:tcW w:w="9248" w:type="dxa"/>
            <w:gridSpan w:val="4"/>
            <w:tcBorders>
              <w:top w:val="single" w:sz="4" w:space="0" w:color="auto"/>
            </w:tcBorders>
            <w:shd w:val="clear" w:color="auto" w:fill="D0CECE" w:themeFill="background2" w:themeFillShade="E6"/>
            <w:vAlign w:val="center"/>
          </w:tcPr>
          <w:p w14:paraId="43D5ADC7" w14:textId="3CA3B8D3" w:rsidR="00F43DA4" w:rsidRPr="00015A39" w:rsidRDefault="00F43DA4" w:rsidP="00F43DA4">
            <w:pPr>
              <w:pStyle w:val="ListParagraph"/>
              <w:numPr>
                <w:ilvl w:val="0"/>
                <w:numId w:val="50"/>
              </w:numPr>
              <w:spacing w:after="0" w:line="240" w:lineRule="auto"/>
              <w:jc w:val="left"/>
              <w:rPr>
                <w:rFonts w:cs="Times New Roman"/>
                <w:b/>
                <w:bCs/>
                <w:color w:val="000000" w:themeColor="text1"/>
                <w:sz w:val="24"/>
                <w:szCs w:val="24"/>
                <w:lang w:val="en-US"/>
              </w:rPr>
            </w:pPr>
            <w:r w:rsidRPr="00015A39">
              <w:rPr>
                <w:rFonts w:cs="Times New Roman"/>
                <w:b/>
                <w:bCs/>
                <w:color w:val="000000" w:themeColor="text1"/>
                <w:sz w:val="24"/>
                <w:szCs w:val="24"/>
                <w:lang w:val="en-US"/>
              </w:rPr>
              <w:t>Pain Medication Allergy</w:t>
            </w:r>
            <w:r w:rsidR="006A2F01" w:rsidRPr="00015A39">
              <w:rPr>
                <w:rFonts w:cs="Times New Roman"/>
                <w:b/>
                <w:bCs/>
                <w:color w:val="000000" w:themeColor="text1"/>
                <w:sz w:val="24"/>
                <w:szCs w:val="24"/>
                <w:lang w:val="en-US"/>
              </w:rPr>
              <w:t xml:space="preserve"> (no pain drug allergy vs. pain drug allergy)</w:t>
            </w:r>
          </w:p>
        </w:tc>
      </w:tr>
      <w:tr w:rsidR="00015A39" w:rsidRPr="00015A39" w14:paraId="63C6DE01" w14:textId="77777777" w:rsidTr="00F43DA4">
        <w:trPr>
          <w:trHeight w:val="272"/>
        </w:trPr>
        <w:tc>
          <w:tcPr>
            <w:tcW w:w="3228" w:type="dxa"/>
          </w:tcPr>
          <w:p w14:paraId="643C6AAC"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Low Dietary Fat Score</w:t>
            </w:r>
          </w:p>
        </w:tc>
        <w:tc>
          <w:tcPr>
            <w:tcW w:w="1206" w:type="dxa"/>
            <w:vAlign w:val="center"/>
          </w:tcPr>
          <w:p w14:paraId="7CD521DF"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1.000</w:t>
            </w:r>
          </w:p>
        </w:tc>
        <w:tc>
          <w:tcPr>
            <w:tcW w:w="3357" w:type="dxa"/>
            <w:vAlign w:val="center"/>
          </w:tcPr>
          <w:p w14:paraId="17815C9A"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REF</w:t>
            </w:r>
          </w:p>
        </w:tc>
        <w:tc>
          <w:tcPr>
            <w:tcW w:w="1457" w:type="dxa"/>
            <w:vAlign w:val="center"/>
          </w:tcPr>
          <w:p w14:paraId="58CA4BB2" w14:textId="77777777"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w:t>
            </w:r>
          </w:p>
        </w:tc>
      </w:tr>
      <w:tr w:rsidR="00015A39" w:rsidRPr="00015A39" w14:paraId="2EB8FFD7" w14:textId="77777777" w:rsidTr="00F43DA4">
        <w:trPr>
          <w:trHeight w:val="272"/>
        </w:trPr>
        <w:tc>
          <w:tcPr>
            <w:tcW w:w="3228" w:type="dxa"/>
          </w:tcPr>
          <w:p w14:paraId="5F3FAD3E"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Moderate Dietary Fat Score</w:t>
            </w:r>
          </w:p>
        </w:tc>
        <w:tc>
          <w:tcPr>
            <w:tcW w:w="1206" w:type="dxa"/>
            <w:vAlign w:val="center"/>
          </w:tcPr>
          <w:p w14:paraId="28E61E68" w14:textId="487450CE"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1.298</w:t>
            </w:r>
          </w:p>
        </w:tc>
        <w:tc>
          <w:tcPr>
            <w:tcW w:w="3357" w:type="dxa"/>
            <w:vAlign w:val="center"/>
          </w:tcPr>
          <w:p w14:paraId="1F29516D" w14:textId="314CDC75"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0.721-2.347</w:t>
            </w:r>
          </w:p>
        </w:tc>
        <w:tc>
          <w:tcPr>
            <w:tcW w:w="1457" w:type="dxa"/>
            <w:vAlign w:val="center"/>
          </w:tcPr>
          <w:p w14:paraId="0F258DAE" w14:textId="6CB24460"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0.383</w:t>
            </w:r>
          </w:p>
        </w:tc>
      </w:tr>
      <w:tr w:rsidR="00015A39" w:rsidRPr="00015A39" w14:paraId="04D270C2" w14:textId="77777777" w:rsidTr="00F43DA4">
        <w:trPr>
          <w:trHeight w:val="272"/>
        </w:trPr>
        <w:tc>
          <w:tcPr>
            <w:tcW w:w="3228" w:type="dxa"/>
            <w:tcBorders>
              <w:bottom w:val="single" w:sz="4" w:space="0" w:color="auto"/>
            </w:tcBorders>
          </w:tcPr>
          <w:p w14:paraId="0A3B945B" w14:textId="77777777" w:rsidR="00F43DA4" w:rsidRPr="00015A39" w:rsidRDefault="00F43DA4" w:rsidP="00F43DA4">
            <w:pPr>
              <w:rPr>
                <w:color w:val="000000" w:themeColor="text1"/>
                <w:sz w:val="24"/>
                <w:szCs w:val="24"/>
                <w:lang w:val="en-US"/>
              </w:rPr>
            </w:pPr>
            <w:r w:rsidRPr="00015A39">
              <w:rPr>
                <w:color w:val="000000" w:themeColor="text1"/>
                <w:sz w:val="24"/>
                <w:szCs w:val="24"/>
                <w:lang w:val="en-US"/>
              </w:rPr>
              <w:t>High Dietary Fat Score</w:t>
            </w:r>
          </w:p>
        </w:tc>
        <w:tc>
          <w:tcPr>
            <w:tcW w:w="1206" w:type="dxa"/>
            <w:tcBorders>
              <w:bottom w:val="single" w:sz="4" w:space="0" w:color="auto"/>
            </w:tcBorders>
            <w:vAlign w:val="center"/>
          </w:tcPr>
          <w:p w14:paraId="2AB711D8" w14:textId="0DF608D8"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1.124</w:t>
            </w:r>
          </w:p>
        </w:tc>
        <w:tc>
          <w:tcPr>
            <w:tcW w:w="3357" w:type="dxa"/>
            <w:tcBorders>
              <w:bottom w:val="single" w:sz="4" w:space="0" w:color="auto"/>
            </w:tcBorders>
            <w:vAlign w:val="center"/>
          </w:tcPr>
          <w:p w14:paraId="4C345A71" w14:textId="32BE0496"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0.626-2.032</w:t>
            </w:r>
          </w:p>
        </w:tc>
        <w:tc>
          <w:tcPr>
            <w:tcW w:w="1457" w:type="dxa"/>
            <w:tcBorders>
              <w:bottom w:val="single" w:sz="4" w:space="0" w:color="auto"/>
            </w:tcBorders>
            <w:vAlign w:val="center"/>
          </w:tcPr>
          <w:p w14:paraId="0F7E8C20" w14:textId="3EC2B839" w:rsidR="00F43DA4" w:rsidRPr="00015A39" w:rsidRDefault="00F43DA4" w:rsidP="00F43DA4">
            <w:pPr>
              <w:jc w:val="center"/>
              <w:rPr>
                <w:color w:val="000000" w:themeColor="text1"/>
                <w:sz w:val="24"/>
                <w:szCs w:val="24"/>
                <w:lang w:val="en-US"/>
              </w:rPr>
            </w:pPr>
            <w:r w:rsidRPr="00015A39">
              <w:rPr>
                <w:color w:val="000000" w:themeColor="text1"/>
                <w:sz w:val="24"/>
                <w:szCs w:val="24"/>
                <w:lang w:val="en-US"/>
              </w:rPr>
              <w:t>0.695</w:t>
            </w:r>
          </w:p>
        </w:tc>
      </w:tr>
    </w:tbl>
    <w:p w14:paraId="19A7CD8A" w14:textId="47B30D95" w:rsidR="001B372B" w:rsidRPr="00015A39" w:rsidRDefault="00C74AAE" w:rsidP="006F7352">
      <w:pPr>
        <w:jc w:val="both"/>
        <w:rPr>
          <w:color w:val="000000" w:themeColor="text1"/>
        </w:rPr>
      </w:pPr>
      <w:r w:rsidRPr="00015A39">
        <w:rPr>
          <w:color w:val="000000" w:themeColor="text1"/>
        </w:rPr>
        <w:t xml:space="preserve">Results are from multivariable logistic regression analysis on the variables associated with various outcomes as indicated. Values are presented as adjusted odds ratio (AOR), 95% confidence intervals (CI), and </w:t>
      </w:r>
      <w:r w:rsidRPr="00015A39">
        <w:rPr>
          <w:i/>
          <w:iCs/>
          <w:color w:val="000000" w:themeColor="text1"/>
        </w:rPr>
        <w:t>p</w:t>
      </w:r>
      <w:r w:rsidRPr="00015A39">
        <w:rPr>
          <w:color w:val="000000" w:themeColor="text1"/>
        </w:rPr>
        <w:t>-value. P-value was adjusted by False Discovery Rate (FDR) for multiple comparisons and p-value &lt; 0.05 was statistically significant and written in bold. P-values &gt; 0.05 was not statistically significant (ns). Multivariable analysis was adjusted for age, sex, body mass index, parental eczema, tobacco smoking, and use of alc</w:t>
      </w:r>
      <w:r w:rsidR="008009D4">
        <w:rPr>
          <w:color w:val="000000" w:themeColor="text1"/>
        </w:rPr>
        <w:t>ohol</w:t>
      </w:r>
    </w:p>
    <w:sectPr w:rsidR="001B372B" w:rsidRPr="00015A39" w:rsidSect="00FA1514">
      <w:pgSz w:w="16840" w:h="1190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15CAE" w14:textId="77777777" w:rsidR="000527B4" w:rsidRDefault="000527B4" w:rsidP="00964F8B">
      <w:r>
        <w:separator/>
      </w:r>
    </w:p>
  </w:endnote>
  <w:endnote w:type="continuationSeparator" w:id="0">
    <w:p w14:paraId="7A8D03DA" w14:textId="77777777" w:rsidR="000527B4" w:rsidRDefault="000527B4" w:rsidP="00964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inion Pro">
    <w:altName w:val="Cambria"/>
    <w:panose1 w:val="020B0604020202020204"/>
    <w:charset w:val="00"/>
    <w:family w:val="roman"/>
    <w:notTrueType/>
    <w:pitch w:val="default"/>
    <w:sig w:usb0="00000003" w:usb1="00000000" w:usb2="00000000" w:usb3="00000000" w:csb0="00000001" w:csb1="00000000"/>
  </w:font>
  <w:font w:name="ITC Symbol Std Book">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77661310"/>
      <w:docPartObj>
        <w:docPartGallery w:val="Page Numbers (Bottom of Page)"/>
        <w:docPartUnique/>
      </w:docPartObj>
    </w:sdtPr>
    <w:sdtContent>
      <w:p w14:paraId="221FBB86" w14:textId="429FBB7F" w:rsidR="00964F8B" w:rsidRDefault="00964F8B" w:rsidP="00AA010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73F4309" w14:textId="77777777" w:rsidR="00964F8B" w:rsidRDefault="00964F8B" w:rsidP="00493D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75045874"/>
      <w:docPartObj>
        <w:docPartGallery w:val="Page Numbers (Bottom of Page)"/>
        <w:docPartUnique/>
      </w:docPartObj>
    </w:sdtPr>
    <w:sdtContent>
      <w:p w14:paraId="7416EFE2" w14:textId="0750665A" w:rsidR="00AA010A" w:rsidRDefault="00AA010A" w:rsidP="0045635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004A248" w14:textId="77777777" w:rsidR="00964F8B" w:rsidRDefault="00964F8B" w:rsidP="00493D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6A14DB" w14:textId="77777777" w:rsidR="000527B4" w:rsidRDefault="000527B4" w:rsidP="00964F8B">
      <w:r>
        <w:separator/>
      </w:r>
    </w:p>
  </w:footnote>
  <w:footnote w:type="continuationSeparator" w:id="0">
    <w:p w14:paraId="332296B5" w14:textId="77777777" w:rsidR="000527B4" w:rsidRDefault="000527B4" w:rsidP="00964F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97947061"/>
      <w:docPartObj>
        <w:docPartGallery w:val="Page Numbers (Top of Page)"/>
        <w:docPartUnique/>
      </w:docPartObj>
    </w:sdtPr>
    <w:sdtContent>
      <w:p w14:paraId="78DFBE4B" w14:textId="61434EAF" w:rsidR="004D248A" w:rsidRDefault="004D248A" w:rsidP="00F40160">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262191349"/>
      <w:docPartObj>
        <w:docPartGallery w:val="Page Numbers (Top of Page)"/>
        <w:docPartUnique/>
      </w:docPartObj>
    </w:sdtPr>
    <w:sdtContent>
      <w:p w14:paraId="3378AB77" w14:textId="19180F9C" w:rsidR="008D6BA0" w:rsidRDefault="008D6BA0" w:rsidP="00F40160">
        <w:pPr>
          <w:pStyle w:val="Header"/>
          <w:framePr w:wrap="none" w:vAnchor="text" w:hAnchor="margin" w:xAlign="center"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743B3B" w14:textId="77777777" w:rsidR="008D6BA0" w:rsidRDefault="008D6BA0" w:rsidP="008D6BA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FFB67" w14:textId="77777777" w:rsidR="008D6BA0" w:rsidRDefault="008D6BA0" w:rsidP="008D6BA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D2DCC"/>
    <w:multiLevelType w:val="hybridMultilevel"/>
    <w:tmpl w:val="2A9AC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DE411D"/>
    <w:multiLevelType w:val="hybridMultilevel"/>
    <w:tmpl w:val="6ED6924A"/>
    <w:lvl w:ilvl="0" w:tplc="97B690A0">
      <w:start w:val="1"/>
      <w:numFmt w:val="bullet"/>
      <w:lvlText w:val="•"/>
      <w:lvlJc w:val="left"/>
      <w:pPr>
        <w:tabs>
          <w:tab w:val="num" w:pos="720"/>
        </w:tabs>
        <w:ind w:left="720" w:hanging="360"/>
      </w:pPr>
      <w:rPr>
        <w:rFonts w:ascii="Arial" w:hAnsi="Arial" w:hint="default"/>
      </w:rPr>
    </w:lvl>
    <w:lvl w:ilvl="1" w:tplc="EF7AA776" w:tentative="1">
      <w:start w:val="1"/>
      <w:numFmt w:val="bullet"/>
      <w:lvlText w:val="•"/>
      <w:lvlJc w:val="left"/>
      <w:pPr>
        <w:tabs>
          <w:tab w:val="num" w:pos="1440"/>
        </w:tabs>
        <w:ind w:left="1440" w:hanging="360"/>
      </w:pPr>
      <w:rPr>
        <w:rFonts w:ascii="Arial" w:hAnsi="Arial" w:hint="default"/>
      </w:rPr>
    </w:lvl>
    <w:lvl w:ilvl="2" w:tplc="F02A1FA2" w:tentative="1">
      <w:start w:val="1"/>
      <w:numFmt w:val="bullet"/>
      <w:lvlText w:val="•"/>
      <w:lvlJc w:val="left"/>
      <w:pPr>
        <w:tabs>
          <w:tab w:val="num" w:pos="2160"/>
        </w:tabs>
        <w:ind w:left="2160" w:hanging="360"/>
      </w:pPr>
      <w:rPr>
        <w:rFonts w:ascii="Arial" w:hAnsi="Arial" w:hint="default"/>
      </w:rPr>
    </w:lvl>
    <w:lvl w:ilvl="3" w:tplc="E29C2686" w:tentative="1">
      <w:start w:val="1"/>
      <w:numFmt w:val="bullet"/>
      <w:lvlText w:val="•"/>
      <w:lvlJc w:val="left"/>
      <w:pPr>
        <w:tabs>
          <w:tab w:val="num" w:pos="2880"/>
        </w:tabs>
        <w:ind w:left="2880" w:hanging="360"/>
      </w:pPr>
      <w:rPr>
        <w:rFonts w:ascii="Arial" w:hAnsi="Arial" w:hint="default"/>
      </w:rPr>
    </w:lvl>
    <w:lvl w:ilvl="4" w:tplc="3B36D0DA" w:tentative="1">
      <w:start w:val="1"/>
      <w:numFmt w:val="bullet"/>
      <w:lvlText w:val="•"/>
      <w:lvlJc w:val="left"/>
      <w:pPr>
        <w:tabs>
          <w:tab w:val="num" w:pos="3600"/>
        </w:tabs>
        <w:ind w:left="3600" w:hanging="360"/>
      </w:pPr>
      <w:rPr>
        <w:rFonts w:ascii="Arial" w:hAnsi="Arial" w:hint="default"/>
      </w:rPr>
    </w:lvl>
    <w:lvl w:ilvl="5" w:tplc="CD3C356E" w:tentative="1">
      <w:start w:val="1"/>
      <w:numFmt w:val="bullet"/>
      <w:lvlText w:val="•"/>
      <w:lvlJc w:val="left"/>
      <w:pPr>
        <w:tabs>
          <w:tab w:val="num" w:pos="4320"/>
        </w:tabs>
        <w:ind w:left="4320" w:hanging="360"/>
      </w:pPr>
      <w:rPr>
        <w:rFonts w:ascii="Arial" w:hAnsi="Arial" w:hint="default"/>
      </w:rPr>
    </w:lvl>
    <w:lvl w:ilvl="6" w:tplc="08700E22" w:tentative="1">
      <w:start w:val="1"/>
      <w:numFmt w:val="bullet"/>
      <w:lvlText w:val="•"/>
      <w:lvlJc w:val="left"/>
      <w:pPr>
        <w:tabs>
          <w:tab w:val="num" w:pos="5040"/>
        </w:tabs>
        <w:ind w:left="5040" w:hanging="360"/>
      </w:pPr>
      <w:rPr>
        <w:rFonts w:ascii="Arial" w:hAnsi="Arial" w:hint="default"/>
      </w:rPr>
    </w:lvl>
    <w:lvl w:ilvl="7" w:tplc="837CCFA4" w:tentative="1">
      <w:start w:val="1"/>
      <w:numFmt w:val="bullet"/>
      <w:lvlText w:val="•"/>
      <w:lvlJc w:val="left"/>
      <w:pPr>
        <w:tabs>
          <w:tab w:val="num" w:pos="5760"/>
        </w:tabs>
        <w:ind w:left="5760" w:hanging="360"/>
      </w:pPr>
      <w:rPr>
        <w:rFonts w:ascii="Arial" w:hAnsi="Arial" w:hint="default"/>
      </w:rPr>
    </w:lvl>
    <w:lvl w:ilvl="8" w:tplc="5C4A06A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4C23FB"/>
    <w:multiLevelType w:val="hybridMultilevel"/>
    <w:tmpl w:val="F6187868"/>
    <w:lvl w:ilvl="0" w:tplc="BA62E410">
      <w:start w:val="1"/>
      <w:numFmt w:val="bullet"/>
      <w:lvlText w:val="•"/>
      <w:lvlJc w:val="left"/>
      <w:pPr>
        <w:tabs>
          <w:tab w:val="num" w:pos="720"/>
        </w:tabs>
        <w:ind w:left="720" w:hanging="360"/>
      </w:pPr>
      <w:rPr>
        <w:rFonts w:ascii="Arial" w:hAnsi="Arial" w:hint="default"/>
      </w:rPr>
    </w:lvl>
    <w:lvl w:ilvl="1" w:tplc="CC5C5CFA" w:tentative="1">
      <w:start w:val="1"/>
      <w:numFmt w:val="bullet"/>
      <w:lvlText w:val="•"/>
      <w:lvlJc w:val="left"/>
      <w:pPr>
        <w:tabs>
          <w:tab w:val="num" w:pos="1440"/>
        </w:tabs>
        <w:ind w:left="1440" w:hanging="360"/>
      </w:pPr>
      <w:rPr>
        <w:rFonts w:ascii="Arial" w:hAnsi="Arial" w:hint="default"/>
      </w:rPr>
    </w:lvl>
    <w:lvl w:ilvl="2" w:tplc="3A88F3C2" w:tentative="1">
      <w:start w:val="1"/>
      <w:numFmt w:val="bullet"/>
      <w:lvlText w:val="•"/>
      <w:lvlJc w:val="left"/>
      <w:pPr>
        <w:tabs>
          <w:tab w:val="num" w:pos="2160"/>
        </w:tabs>
        <w:ind w:left="2160" w:hanging="360"/>
      </w:pPr>
      <w:rPr>
        <w:rFonts w:ascii="Arial" w:hAnsi="Arial" w:hint="default"/>
      </w:rPr>
    </w:lvl>
    <w:lvl w:ilvl="3" w:tplc="1C66EB40" w:tentative="1">
      <w:start w:val="1"/>
      <w:numFmt w:val="bullet"/>
      <w:lvlText w:val="•"/>
      <w:lvlJc w:val="left"/>
      <w:pPr>
        <w:tabs>
          <w:tab w:val="num" w:pos="2880"/>
        </w:tabs>
        <w:ind w:left="2880" w:hanging="360"/>
      </w:pPr>
      <w:rPr>
        <w:rFonts w:ascii="Arial" w:hAnsi="Arial" w:hint="default"/>
      </w:rPr>
    </w:lvl>
    <w:lvl w:ilvl="4" w:tplc="77904708" w:tentative="1">
      <w:start w:val="1"/>
      <w:numFmt w:val="bullet"/>
      <w:lvlText w:val="•"/>
      <w:lvlJc w:val="left"/>
      <w:pPr>
        <w:tabs>
          <w:tab w:val="num" w:pos="3600"/>
        </w:tabs>
        <w:ind w:left="3600" w:hanging="360"/>
      </w:pPr>
      <w:rPr>
        <w:rFonts w:ascii="Arial" w:hAnsi="Arial" w:hint="default"/>
      </w:rPr>
    </w:lvl>
    <w:lvl w:ilvl="5" w:tplc="6274537C" w:tentative="1">
      <w:start w:val="1"/>
      <w:numFmt w:val="bullet"/>
      <w:lvlText w:val="•"/>
      <w:lvlJc w:val="left"/>
      <w:pPr>
        <w:tabs>
          <w:tab w:val="num" w:pos="4320"/>
        </w:tabs>
        <w:ind w:left="4320" w:hanging="360"/>
      </w:pPr>
      <w:rPr>
        <w:rFonts w:ascii="Arial" w:hAnsi="Arial" w:hint="default"/>
      </w:rPr>
    </w:lvl>
    <w:lvl w:ilvl="6" w:tplc="3ADC95B8" w:tentative="1">
      <w:start w:val="1"/>
      <w:numFmt w:val="bullet"/>
      <w:lvlText w:val="•"/>
      <w:lvlJc w:val="left"/>
      <w:pPr>
        <w:tabs>
          <w:tab w:val="num" w:pos="5040"/>
        </w:tabs>
        <w:ind w:left="5040" w:hanging="360"/>
      </w:pPr>
      <w:rPr>
        <w:rFonts w:ascii="Arial" w:hAnsi="Arial" w:hint="default"/>
      </w:rPr>
    </w:lvl>
    <w:lvl w:ilvl="7" w:tplc="214E2A64" w:tentative="1">
      <w:start w:val="1"/>
      <w:numFmt w:val="bullet"/>
      <w:lvlText w:val="•"/>
      <w:lvlJc w:val="left"/>
      <w:pPr>
        <w:tabs>
          <w:tab w:val="num" w:pos="5760"/>
        </w:tabs>
        <w:ind w:left="5760" w:hanging="360"/>
      </w:pPr>
      <w:rPr>
        <w:rFonts w:ascii="Arial" w:hAnsi="Arial" w:hint="default"/>
      </w:rPr>
    </w:lvl>
    <w:lvl w:ilvl="8" w:tplc="86C019F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742EF2"/>
    <w:multiLevelType w:val="hybridMultilevel"/>
    <w:tmpl w:val="73E8053E"/>
    <w:lvl w:ilvl="0" w:tplc="827676B8">
      <w:start w:val="1"/>
      <w:numFmt w:val="bullet"/>
      <w:lvlText w:val="•"/>
      <w:lvlJc w:val="left"/>
      <w:pPr>
        <w:tabs>
          <w:tab w:val="num" w:pos="720"/>
        </w:tabs>
        <w:ind w:left="720" w:hanging="360"/>
      </w:pPr>
      <w:rPr>
        <w:rFonts w:ascii="Arial" w:hAnsi="Arial" w:hint="default"/>
      </w:rPr>
    </w:lvl>
    <w:lvl w:ilvl="1" w:tplc="02666A54" w:tentative="1">
      <w:start w:val="1"/>
      <w:numFmt w:val="bullet"/>
      <w:lvlText w:val="•"/>
      <w:lvlJc w:val="left"/>
      <w:pPr>
        <w:tabs>
          <w:tab w:val="num" w:pos="1440"/>
        </w:tabs>
        <w:ind w:left="1440" w:hanging="360"/>
      </w:pPr>
      <w:rPr>
        <w:rFonts w:ascii="Arial" w:hAnsi="Arial" w:hint="default"/>
      </w:rPr>
    </w:lvl>
    <w:lvl w:ilvl="2" w:tplc="A5567D38" w:tentative="1">
      <w:start w:val="1"/>
      <w:numFmt w:val="bullet"/>
      <w:lvlText w:val="•"/>
      <w:lvlJc w:val="left"/>
      <w:pPr>
        <w:tabs>
          <w:tab w:val="num" w:pos="2160"/>
        </w:tabs>
        <w:ind w:left="2160" w:hanging="360"/>
      </w:pPr>
      <w:rPr>
        <w:rFonts w:ascii="Arial" w:hAnsi="Arial" w:hint="default"/>
      </w:rPr>
    </w:lvl>
    <w:lvl w:ilvl="3" w:tplc="6EE47B3C" w:tentative="1">
      <w:start w:val="1"/>
      <w:numFmt w:val="bullet"/>
      <w:lvlText w:val="•"/>
      <w:lvlJc w:val="left"/>
      <w:pPr>
        <w:tabs>
          <w:tab w:val="num" w:pos="2880"/>
        </w:tabs>
        <w:ind w:left="2880" w:hanging="360"/>
      </w:pPr>
      <w:rPr>
        <w:rFonts w:ascii="Arial" w:hAnsi="Arial" w:hint="default"/>
      </w:rPr>
    </w:lvl>
    <w:lvl w:ilvl="4" w:tplc="47341182" w:tentative="1">
      <w:start w:val="1"/>
      <w:numFmt w:val="bullet"/>
      <w:lvlText w:val="•"/>
      <w:lvlJc w:val="left"/>
      <w:pPr>
        <w:tabs>
          <w:tab w:val="num" w:pos="3600"/>
        </w:tabs>
        <w:ind w:left="3600" w:hanging="360"/>
      </w:pPr>
      <w:rPr>
        <w:rFonts w:ascii="Arial" w:hAnsi="Arial" w:hint="default"/>
      </w:rPr>
    </w:lvl>
    <w:lvl w:ilvl="5" w:tplc="21168ECC" w:tentative="1">
      <w:start w:val="1"/>
      <w:numFmt w:val="bullet"/>
      <w:lvlText w:val="•"/>
      <w:lvlJc w:val="left"/>
      <w:pPr>
        <w:tabs>
          <w:tab w:val="num" w:pos="4320"/>
        </w:tabs>
        <w:ind w:left="4320" w:hanging="360"/>
      </w:pPr>
      <w:rPr>
        <w:rFonts w:ascii="Arial" w:hAnsi="Arial" w:hint="default"/>
      </w:rPr>
    </w:lvl>
    <w:lvl w:ilvl="6" w:tplc="BE74E6E6" w:tentative="1">
      <w:start w:val="1"/>
      <w:numFmt w:val="bullet"/>
      <w:lvlText w:val="•"/>
      <w:lvlJc w:val="left"/>
      <w:pPr>
        <w:tabs>
          <w:tab w:val="num" w:pos="5040"/>
        </w:tabs>
        <w:ind w:left="5040" w:hanging="360"/>
      </w:pPr>
      <w:rPr>
        <w:rFonts w:ascii="Arial" w:hAnsi="Arial" w:hint="default"/>
      </w:rPr>
    </w:lvl>
    <w:lvl w:ilvl="7" w:tplc="C70CAB1A" w:tentative="1">
      <w:start w:val="1"/>
      <w:numFmt w:val="bullet"/>
      <w:lvlText w:val="•"/>
      <w:lvlJc w:val="left"/>
      <w:pPr>
        <w:tabs>
          <w:tab w:val="num" w:pos="5760"/>
        </w:tabs>
        <w:ind w:left="5760" w:hanging="360"/>
      </w:pPr>
      <w:rPr>
        <w:rFonts w:ascii="Arial" w:hAnsi="Arial" w:hint="default"/>
      </w:rPr>
    </w:lvl>
    <w:lvl w:ilvl="8" w:tplc="A7BEC3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DA7CB5"/>
    <w:multiLevelType w:val="hybridMultilevel"/>
    <w:tmpl w:val="23549EF4"/>
    <w:lvl w:ilvl="0" w:tplc="7B4A4F78">
      <w:start w:val="1"/>
      <w:numFmt w:val="bullet"/>
      <w:lvlText w:val="•"/>
      <w:lvlJc w:val="left"/>
      <w:pPr>
        <w:tabs>
          <w:tab w:val="num" w:pos="720"/>
        </w:tabs>
        <w:ind w:left="720" w:hanging="360"/>
      </w:pPr>
      <w:rPr>
        <w:rFonts w:ascii="Arial" w:hAnsi="Arial" w:hint="default"/>
      </w:rPr>
    </w:lvl>
    <w:lvl w:ilvl="1" w:tplc="1A9E886C" w:tentative="1">
      <w:start w:val="1"/>
      <w:numFmt w:val="bullet"/>
      <w:lvlText w:val="•"/>
      <w:lvlJc w:val="left"/>
      <w:pPr>
        <w:tabs>
          <w:tab w:val="num" w:pos="1440"/>
        </w:tabs>
        <w:ind w:left="1440" w:hanging="360"/>
      </w:pPr>
      <w:rPr>
        <w:rFonts w:ascii="Arial" w:hAnsi="Arial" w:hint="default"/>
      </w:rPr>
    </w:lvl>
    <w:lvl w:ilvl="2" w:tplc="4224DDE2" w:tentative="1">
      <w:start w:val="1"/>
      <w:numFmt w:val="bullet"/>
      <w:lvlText w:val="•"/>
      <w:lvlJc w:val="left"/>
      <w:pPr>
        <w:tabs>
          <w:tab w:val="num" w:pos="2160"/>
        </w:tabs>
        <w:ind w:left="2160" w:hanging="360"/>
      </w:pPr>
      <w:rPr>
        <w:rFonts w:ascii="Arial" w:hAnsi="Arial" w:hint="default"/>
      </w:rPr>
    </w:lvl>
    <w:lvl w:ilvl="3" w:tplc="BCD00206" w:tentative="1">
      <w:start w:val="1"/>
      <w:numFmt w:val="bullet"/>
      <w:lvlText w:val="•"/>
      <w:lvlJc w:val="left"/>
      <w:pPr>
        <w:tabs>
          <w:tab w:val="num" w:pos="2880"/>
        </w:tabs>
        <w:ind w:left="2880" w:hanging="360"/>
      </w:pPr>
      <w:rPr>
        <w:rFonts w:ascii="Arial" w:hAnsi="Arial" w:hint="default"/>
      </w:rPr>
    </w:lvl>
    <w:lvl w:ilvl="4" w:tplc="F1DAC9FA" w:tentative="1">
      <w:start w:val="1"/>
      <w:numFmt w:val="bullet"/>
      <w:lvlText w:val="•"/>
      <w:lvlJc w:val="left"/>
      <w:pPr>
        <w:tabs>
          <w:tab w:val="num" w:pos="3600"/>
        </w:tabs>
        <w:ind w:left="3600" w:hanging="360"/>
      </w:pPr>
      <w:rPr>
        <w:rFonts w:ascii="Arial" w:hAnsi="Arial" w:hint="default"/>
      </w:rPr>
    </w:lvl>
    <w:lvl w:ilvl="5" w:tplc="2F949F40" w:tentative="1">
      <w:start w:val="1"/>
      <w:numFmt w:val="bullet"/>
      <w:lvlText w:val="•"/>
      <w:lvlJc w:val="left"/>
      <w:pPr>
        <w:tabs>
          <w:tab w:val="num" w:pos="4320"/>
        </w:tabs>
        <w:ind w:left="4320" w:hanging="360"/>
      </w:pPr>
      <w:rPr>
        <w:rFonts w:ascii="Arial" w:hAnsi="Arial" w:hint="default"/>
      </w:rPr>
    </w:lvl>
    <w:lvl w:ilvl="6" w:tplc="F3BE82AE" w:tentative="1">
      <w:start w:val="1"/>
      <w:numFmt w:val="bullet"/>
      <w:lvlText w:val="•"/>
      <w:lvlJc w:val="left"/>
      <w:pPr>
        <w:tabs>
          <w:tab w:val="num" w:pos="5040"/>
        </w:tabs>
        <w:ind w:left="5040" w:hanging="360"/>
      </w:pPr>
      <w:rPr>
        <w:rFonts w:ascii="Arial" w:hAnsi="Arial" w:hint="default"/>
      </w:rPr>
    </w:lvl>
    <w:lvl w:ilvl="7" w:tplc="B07628A0" w:tentative="1">
      <w:start w:val="1"/>
      <w:numFmt w:val="bullet"/>
      <w:lvlText w:val="•"/>
      <w:lvlJc w:val="left"/>
      <w:pPr>
        <w:tabs>
          <w:tab w:val="num" w:pos="5760"/>
        </w:tabs>
        <w:ind w:left="5760" w:hanging="360"/>
      </w:pPr>
      <w:rPr>
        <w:rFonts w:ascii="Arial" w:hAnsi="Arial" w:hint="default"/>
      </w:rPr>
    </w:lvl>
    <w:lvl w:ilvl="8" w:tplc="C7E059A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5A1BA3"/>
    <w:multiLevelType w:val="hybridMultilevel"/>
    <w:tmpl w:val="F5045550"/>
    <w:lvl w:ilvl="0" w:tplc="3F3C387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5812A86"/>
    <w:multiLevelType w:val="hybridMultilevel"/>
    <w:tmpl w:val="177C51AA"/>
    <w:lvl w:ilvl="0" w:tplc="4B5A5374">
      <w:start w:val="1"/>
      <w:numFmt w:val="bullet"/>
      <w:lvlText w:val="•"/>
      <w:lvlJc w:val="left"/>
      <w:pPr>
        <w:tabs>
          <w:tab w:val="num" w:pos="720"/>
        </w:tabs>
        <w:ind w:left="720" w:hanging="360"/>
      </w:pPr>
      <w:rPr>
        <w:rFonts w:ascii="Arial" w:hAnsi="Arial" w:hint="default"/>
      </w:rPr>
    </w:lvl>
    <w:lvl w:ilvl="1" w:tplc="16EA8DEC" w:tentative="1">
      <w:start w:val="1"/>
      <w:numFmt w:val="bullet"/>
      <w:lvlText w:val="•"/>
      <w:lvlJc w:val="left"/>
      <w:pPr>
        <w:tabs>
          <w:tab w:val="num" w:pos="1440"/>
        </w:tabs>
        <w:ind w:left="1440" w:hanging="360"/>
      </w:pPr>
      <w:rPr>
        <w:rFonts w:ascii="Arial" w:hAnsi="Arial" w:hint="default"/>
      </w:rPr>
    </w:lvl>
    <w:lvl w:ilvl="2" w:tplc="04E0414C" w:tentative="1">
      <w:start w:val="1"/>
      <w:numFmt w:val="bullet"/>
      <w:lvlText w:val="•"/>
      <w:lvlJc w:val="left"/>
      <w:pPr>
        <w:tabs>
          <w:tab w:val="num" w:pos="2160"/>
        </w:tabs>
        <w:ind w:left="2160" w:hanging="360"/>
      </w:pPr>
      <w:rPr>
        <w:rFonts w:ascii="Arial" w:hAnsi="Arial" w:hint="default"/>
      </w:rPr>
    </w:lvl>
    <w:lvl w:ilvl="3" w:tplc="6054D794" w:tentative="1">
      <w:start w:val="1"/>
      <w:numFmt w:val="bullet"/>
      <w:lvlText w:val="•"/>
      <w:lvlJc w:val="left"/>
      <w:pPr>
        <w:tabs>
          <w:tab w:val="num" w:pos="2880"/>
        </w:tabs>
        <w:ind w:left="2880" w:hanging="360"/>
      </w:pPr>
      <w:rPr>
        <w:rFonts w:ascii="Arial" w:hAnsi="Arial" w:hint="default"/>
      </w:rPr>
    </w:lvl>
    <w:lvl w:ilvl="4" w:tplc="03E8377E" w:tentative="1">
      <w:start w:val="1"/>
      <w:numFmt w:val="bullet"/>
      <w:lvlText w:val="•"/>
      <w:lvlJc w:val="left"/>
      <w:pPr>
        <w:tabs>
          <w:tab w:val="num" w:pos="3600"/>
        </w:tabs>
        <w:ind w:left="3600" w:hanging="360"/>
      </w:pPr>
      <w:rPr>
        <w:rFonts w:ascii="Arial" w:hAnsi="Arial" w:hint="default"/>
      </w:rPr>
    </w:lvl>
    <w:lvl w:ilvl="5" w:tplc="62027728" w:tentative="1">
      <w:start w:val="1"/>
      <w:numFmt w:val="bullet"/>
      <w:lvlText w:val="•"/>
      <w:lvlJc w:val="left"/>
      <w:pPr>
        <w:tabs>
          <w:tab w:val="num" w:pos="4320"/>
        </w:tabs>
        <w:ind w:left="4320" w:hanging="360"/>
      </w:pPr>
      <w:rPr>
        <w:rFonts w:ascii="Arial" w:hAnsi="Arial" w:hint="default"/>
      </w:rPr>
    </w:lvl>
    <w:lvl w:ilvl="6" w:tplc="DE087278" w:tentative="1">
      <w:start w:val="1"/>
      <w:numFmt w:val="bullet"/>
      <w:lvlText w:val="•"/>
      <w:lvlJc w:val="left"/>
      <w:pPr>
        <w:tabs>
          <w:tab w:val="num" w:pos="5040"/>
        </w:tabs>
        <w:ind w:left="5040" w:hanging="360"/>
      </w:pPr>
      <w:rPr>
        <w:rFonts w:ascii="Arial" w:hAnsi="Arial" w:hint="default"/>
      </w:rPr>
    </w:lvl>
    <w:lvl w:ilvl="7" w:tplc="C89ECB3C" w:tentative="1">
      <w:start w:val="1"/>
      <w:numFmt w:val="bullet"/>
      <w:lvlText w:val="•"/>
      <w:lvlJc w:val="left"/>
      <w:pPr>
        <w:tabs>
          <w:tab w:val="num" w:pos="5760"/>
        </w:tabs>
        <w:ind w:left="5760" w:hanging="360"/>
      </w:pPr>
      <w:rPr>
        <w:rFonts w:ascii="Arial" w:hAnsi="Arial" w:hint="default"/>
      </w:rPr>
    </w:lvl>
    <w:lvl w:ilvl="8" w:tplc="75C692E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64B6AAF"/>
    <w:multiLevelType w:val="hybridMultilevel"/>
    <w:tmpl w:val="03A64F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6B56594"/>
    <w:multiLevelType w:val="hybridMultilevel"/>
    <w:tmpl w:val="7F80E8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5B439A"/>
    <w:multiLevelType w:val="hybridMultilevel"/>
    <w:tmpl w:val="341226FC"/>
    <w:lvl w:ilvl="0" w:tplc="EC0C1F0E">
      <w:start w:val="1"/>
      <w:numFmt w:val="decimal"/>
      <w:lvlText w:val="%1."/>
      <w:lvlJc w:val="left"/>
      <w:pPr>
        <w:ind w:left="720" w:hanging="360"/>
      </w:pPr>
      <w:rPr>
        <w:rFonts w:ascii="Times New Roman" w:hAnsi="Times New Roman" w:cs="Times New Roman" w:hint="default"/>
        <w:b w:val="0"/>
        <w:bCs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4C761E"/>
    <w:multiLevelType w:val="hybridMultilevel"/>
    <w:tmpl w:val="4B267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DA514B"/>
    <w:multiLevelType w:val="hybridMultilevel"/>
    <w:tmpl w:val="90A20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82C3F"/>
    <w:multiLevelType w:val="hybridMultilevel"/>
    <w:tmpl w:val="4C7243DC"/>
    <w:lvl w:ilvl="0" w:tplc="A33CA7C6">
      <w:start w:val="1"/>
      <w:numFmt w:val="bullet"/>
      <w:lvlText w:val="•"/>
      <w:lvlJc w:val="left"/>
      <w:pPr>
        <w:tabs>
          <w:tab w:val="num" w:pos="720"/>
        </w:tabs>
        <w:ind w:left="720" w:hanging="360"/>
      </w:pPr>
      <w:rPr>
        <w:rFonts w:ascii="Arial" w:hAnsi="Arial" w:hint="default"/>
      </w:rPr>
    </w:lvl>
    <w:lvl w:ilvl="1" w:tplc="DF126D0A" w:tentative="1">
      <w:start w:val="1"/>
      <w:numFmt w:val="bullet"/>
      <w:lvlText w:val="•"/>
      <w:lvlJc w:val="left"/>
      <w:pPr>
        <w:tabs>
          <w:tab w:val="num" w:pos="1440"/>
        </w:tabs>
        <w:ind w:left="1440" w:hanging="360"/>
      </w:pPr>
      <w:rPr>
        <w:rFonts w:ascii="Arial" w:hAnsi="Arial" w:hint="default"/>
      </w:rPr>
    </w:lvl>
    <w:lvl w:ilvl="2" w:tplc="9D60E006" w:tentative="1">
      <w:start w:val="1"/>
      <w:numFmt w:val="bullet"/>
      <w:lvlText w:val="•"/>
      <w:lvlJc w:val="left"/>
      <w:pPr>
        <w:tabs>
          <w:tab w:val="num" w:pos="2160"/>
        </w:tabs>
        <w:ind w:left="2160" w:hanging="360"/>
      </w:pPr>
      <w:rPr>
        <w:rFonts w:ascii="Arial" w:hAnsi="Arial" w:hint="default"/>
      </w:rPr>
    </w:lvl>
    <w:lvl w:ilvl="3" w:tplc="0A10731E" w:tentative="1">
      <w:start w:val="1"/>
      <w:numFmt w:val="bullet"/>
      <w:lvlText w:val="•"/>
      <w:lvlJc w:val="left"/>
      <w:pPr>
        <w:tabs>
          <w:tab w:val="num" w:pos="2880"/>
        </w:tabs>
        <w:ind w:left="2880" w:hanging="360"/>
      </w:pPr>
      <w:rPr>
        <w:rFonts w:ascii="Arial" w:hAnsi="Arial" w:hint="default"/>
      </w:rPr>
    </w:lvl>
    <w:lvl w:ilvl="4" w:tplc="DFFA0336" w:tentative="1">
      <w:start w:val="1"/>
      <w:numFmt w:val="bullet"/>
      <w:lvlText w:val="•"/>
      <w:lvlJc w:val="left"/>
      <w:pPr>
        <w:tabs>
          <w:tab w:val="num" w:pos="3600"/>
        </w:tabs>
        <w:ind w:left="3600" w:hanging="360"/>
      </w:pPr>
      <w:rPr>
        <w:rFonts w:ascii="Arial" w:hAnsi="Arial" w:hint="default"/>
      </w:rPr>
    </w:lvl>
    <w:lvl w:ilvl="5" w:tplc="8F12413C" w:tentative="1">
      <w:start w:val="1"/>
      <w:numFmt w:val="bullet"/>
      <w:lvlText w:val="•"/>
      <w:lvlJc w:val="left"/>
      <w:pPr>
        <w:tabs>
          <w:tab w:val="num" w:pos="4320"/>
        </w:tabs>
        <w:ind w:left="4320" w:hanging="360"/>
      </w:pPr>
      <w:rPr>
        <w:rFonts w:ascii="Arial" w:hAnsi="Arial" w:hint="default"/>
      </w:rPr>
    </w:lvl>
    <w:lvl w:ilvl="6" w:tplc="07209D94" w:tentative="1">
      <w:start w:val="1"/>
      <w:numFmt w:val="bullet"/>
      <w:lvlText w:val="•"/>
      <w:lvlJc w:val="left"/>
      <w:pPr>
        <w:tabs>
          <w:tab w:val="num" w:pos="5040"/>
        </w:tabs>
        <w:ind w:left="5040" w:hanging="360"/>
      </w:pPr>
      <w:rPr>
        <w:rFonts w:ascii="Arial" w:hAnsi="Arial" w:hint="default"/>
      </w:rPr>
    </w:lvl>
    <w:lvl w:ilvl="7" w:tplc="A4805002" w:tentative="1">
      <w:start w:val="1"/>
      <w:numFmt w:val="bullet"/>
      <w:lvlText w:val="•"/>
      <w:lvlJc w:val="left"/>
      <w:pPr>
        <w:tabs>
          <w:tab w:val="num" w:pos="5760"/>
        </w:tabs>
        <w:ind w:left="5760" w:hanging="360"/>
      </w:pPr>
      <w:rPr>
        <w:rFonts w:ascii="Arial" w:hAnsi="Arial" w:hint="default"/>
      </w:rPr>
    </w:lvl>
    <w:lvl w:ilvl="8" w:tplc="EF90177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0A4719"/>
    <w:multiLevelType w:val="hybridMultilevel"/>
    <w:tmpl w:val="B170AE6C"/>
    <w:lvl w:ilvl="0" w:tplc="F38AB64C">
      <w:start w:val="1"/>
      <w:numFmt w:val="bullet"/>
      <w:lvlText w:val="•"/>
      <w:lvlJc w:val="left"/>
      <w:pPr>
        <w:tabs>
          <w:tab w:val="num" w:pos="720"/>
        </w:tabs>
        <w:ind w:left="720" w:hanging="360"/>
      </w:pPr>
      <w:rPr>
        <w:rFonts w:ascii="Arial" w:hAnsi="Arial" w:hint="default"/>
      </w:rPr>
    </w:lvl>
    <w:lvl w:ilvl="1" w:tplc="043A9894" w:tentative="1">
      <w:start w:val="1"/>
      <w:numFmt w:val="bullet"/>
      <w:lvlText w:val="•"/>
      <w:lvlJc w:val="left"/>
      <w:pPr>
        <w:tabs>
          <w:tab w:val="num" w:pos="1440"/>
        </w:tabs>
        <w:ind w:left="1440" w:hanging="360"/>
      </w:pPr>
      <w:rPr>
        <w:rFonts w:ascii="Arial" w:hAnsi="Arial" w:hint="default"/>
      </w:rPr>
    </w:lvl>
    <w:lvl w:ilvl="2" w:tplc="0228F758" w:tentative="1">
      <w:start w:val="1"/>
      <w:numFmt w:val="bullet"/>
      <w:lvlText w:val="•"/>
      <w:lvlJc w:val="left"/>
      <w:pPr>
        <w:tabs>
          <w:tab w:val="num" w:pos="2160"/>
        </w:tabs>
        <w:ind w:left="2160" w:hanging="360"/>
      </w:pPr>
      <w:rPr>
        <w:rFonts w:ascii="Arial" w:hAnsi="Arial" w:hint="default"/>
      </w:rPr>
    </w:lvl>
    <w:lvl w:ilvl="3" w:tplc="84CC266E" w:tentative="1">
      <w:start w:val="1"/>
      <w:numFmt w:val="bullet"/>
      <w:lvlText w:val="•"/>
      <w:lvlJc w:val="left"/>
      <w:pPr>
        <w:tabs>
          <w:tab w:val="num" w:pos="2880"/>
        </w:tabs>
        <w:ind w:left="2880" w:hanging="360"/>
      </w:pPr>
      <w:rPr>
        <w:rFonts w:ascii="Arial" w:hAnsi="Arial" w:hint="default"/>
      </w:rPr>
    </w:lvl>
    <w:lvl w:ilvl="4" w:tplc="D1A0751E" w:tentative="1">
      <w:start w:val="1"/>
      <w:numFmt w:val="bullet"/>
      <w:lvlText w:val="•"/>
      <w:lvlJc w:val="left"/>
      <w:pPr>
        <w:tabs>
          <w:tab w:val="num" w:pos="3600"/>
        </w:tabs>
        <w:ind w:left="3600" w:hanging="360"/>
      </w:pPr>
      <w:rPr>
        <w:rFonts w:ascii="Arial" w:hAnsi="Arial" w:hint="default"/>
      </w:rPr>
    </w:lvl>
    <w:lvl w:ilvl="5" w:tplc="78B4340A" w:tentative="1">
      <w:start w:val="1"/>
      <w:numFmt w:val="bullet"/>
      <w:lvlText w:val="•"/>
      <w:lvlJc w:val="left"/>
      <w:pPr>
        <w:tabs>
          <w:tab w:val="num" w:pos="4320"/>
        </w:tabs>
        <w:ind w:left="4320" w:hanging="360"/>
      </w:pPr>
      <w:rPr>
        <w:rFonts w:ascii="Arial" w:hAnsi="Arial" w:hint="default"/>
      </w:rPr>
    </w:lvl>
    <w:lvl w:ilvl="6" w:tplc="E64A4748" w:tentative="1">
      <w:start w:val="1"/>
      <w:numFmt w:val="bullet"/>
      <w:lvlText w:val="•"/>
      <w:lvlJc w:val="left"/>
      <w:pPr>
        <w:tabs>
          <w:tab w:val="num" w:pos="5040"/>
        </w:tabs>
        <w:ind w:left="5040" w:hanging="360"/>
      </w:pPr>
      <w:rPr>
        <w:rFonts w:ascii="Arial" w:hAnsi="Arial" w:hint="default"/>
      </w:rPr>
    </w:lvl>
    <w:lvl w:ilvl="7" w:tplc="2CF40932" w:tentative="1">
      <w:start w:val="1"/>
      <w:numFmt w:val="bullet"/>
      <w:lvlText w:val="•"/>
      <w:lvlJc w:val="left"/>
      <w:pPr>
        <w:tabs>
          <w:tab w:val="num" w:pos="5760"/>
        </w:tabs>
        <w:ind w:left="5760" w:hanging="360"/>
      </w:pPr>
      <w:rPr>
        <w:rFonts w:ascii="Arial" w:hAnsi="Arial" w:hint="default"/>
      </w:rPr>
    </w:lvl>
    <w:lvl w:ilvl="8" w:tplc="091CDBB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1CD5DC7"/>
    <w:multiLevelType w:val="hybridMultilevel"/>
    <w:tmpl w:val="E9388CE0"/>
    <w:lvl w:ilvl="0" w:tplc="D3DAF666">
      <w:start w:val="1"/>
      <w:numFmt w:val="bullet"/>
      <w:lvlText w:val="•"/>
      <w:lvlJc w:val="left"/>
      <w:pPr>
        <w:tabs>
          <w:tab w:val="num" w:pos="720"/>
        </w:tabs>
        <w:ind w:left="720" w:hanging="360"/>
      </w:pPr>
      <w:rPr>
        <w:rFonts w:ascii="Arial" w:hAnsi="Arial" w:hint="default"/>
      </w:rPr>
    </w:lvl>
    <w:lvl w:ilvl="1" w:tplc="51FEF8FE" w:tentative="1">
      <w:start w:val="1"/>
      <w:numFmt w:val="bullet"/>
      <w:lvlText w:val="•"/>
      <w:lvlJc w:val="left"/>
      <w:pPr>
        <w:tabs>
          <w:tab w:val="num" w:pos="1440"/>
        </w:tabs>
        <w:ind w:left="1440" w:hanging="360"/>
      </w:pPr>
      <w:rPr>
        <w:rFonts w:ascii="Arial" w:hAnsi="Arial" w:hint="default"/>
      </w:rPr>
    </w:lvl>
    <w:lvl w:ilvl="2" w:tplc="C11CD5A0" w:tentative="1">
      <w:start w:val="1"/>
      <w:numFmt w:val="bullet"/>
      <w:lvlText w:val="•"/>
      <w:lvlJc w:val="left"/>
      <w:pPr>
        <w:tabs>
          <w:tab w:val="num" w:pos="2160"/>
        </w:tabs>
        <w:ind w:left="2160" w:hanging="360"/>
      </w:pPr>
      <w:rPr>
        <w:rFonts w:ascii="Arial" w:hAnsi="Arial" w:hint="default"/>
      </w:rPr>
    </w:lvl>
    <w:lvl w:ilvl="3" w:tplc="F51CB64C" w:tentative="1">
      <w:start w:val="1"/>
      <w:numFmt w:val="bullet"/>
      <w:lvlText w:val="•"/>
      <w:lvlJc w:val="left"/>
      <w:pPr>
        <w:tabs>
          <w:tab w:val="num" w:pos="2880"/>
        </w:tabs>
        <w:ind w:left="2880" w:hanging="360"/>
      </w:pPr>
      <w:rPr>
        <w:rFonts w:ascii="Arial" w:hAnsi="Arial" w:hint="default"/>
      </w:rPr>
    </w:lvl>
    <w:lvl w:ilvl="4" w:tplc="105C1EA0" w:tentative="1">
      <w:start w:val="1"/>
      <w:numFmt w:val="bullet"/>
      <w:lvlText w:val="•"/>
      <w:lvlJc w:val="left"/>
      <w:pPr>
        <w:tabs>
          <w:tab w:val="num" w:pos="3600"/>
        </w:tabs>
        <w:ind w:left="3600" w:hanging="360"/>
      </w:pPr>
      <w:rPr>
        <w:rFonts w:ascii="Arial" w:hAnsi="Arial" w:hint="default"/>
      </w:rPr>
    </w:lvl>
    <w:lvl w:ilvl="5" w:tplc="39DE41AA" w:tentative="1">
      <w:start w:val="1"/>
      <w:numFmt w:val="bullet"/>
      <w:lvlText w:val="•"/>
      <w:lvlJc w:val="left"/>
      <w:pPr>
        <w:tabs>
          <w:tab w:val="num" w:pos="4320"/>
        </w:tabs>
        <w:ind w:left="4320" w:hanging="360"/>
      </w:pPr>
      <w:rPr>
        <w:rFonts w:ascii="Arial" w:hAnsi="Arial" w:hint="default"/>
      </w:rPr>
    </w:lvl>
    <w:lvl w:ilvl="6" w:tplc="70DADBC6" w:tentative="1">
      <w:start w:val="1"/>
      <w:numFmt w:val="bullet"/>
      <w:lvlText w:val="•"/>
      <w:lvlJc w:val="left"/>
      <w:pPr>
        <w:tabs>
          <w:tab w:val="num" w:pos="5040"/>
        </w:tabs>
        <w:ind w:left="5040" w:hanging="360"/>
      </w:pPr>
      <w:rPr>
        <w:rFonts w:ascii="Arial" w:hAnsi="Arial" w:hint="default"/>
      </w:rPr>
    </w:lvl>
    <w:lvl w:ilvl="7" w:tplc="D2FEE65A" w:tentative="1">
      <w:start w:val="1"/>
      <w:numFmt w:val="bullet"/>
      <w:lvlText w:val="•"/>
      <w:lvlJc w:val="left"/>
      <w:pPr>
        <w:tabs>
          <w:tab w:val="num" w:pos="5760"/>
        </w:tabs>
        <w:ind w:left="5760" w:hanging="360"/>
      </w:pPr>
      <w:rPr>
        <w:rFonts w:ascii="Arial" w:hAnsi="Arial" w:hint="default"/>
      </w:rPr>
    </w:lvl>
    <w:lvl w:ilvl="8" w:tplc="9AD69A6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4685E72"/>
    <w:multiLevelType w:val="hybridMultilevel"/>
    <w:tmpl w:val="BA4A1AC2"/>
    <w:lvl w:ilvl="0" w:tplc="04090005">
      <w:start w:val="1"/>
      <w:numFmt w:val="bullet"/>
      <w:lvlText w:val=""/>
      <w:lvlJc w:val="left"/>
      <w:pPr>
        <w:ind w:left="502" w:hanging="360"/>
      </w:pPr>
      <w:rPr>
        <w:rFonts w:ascii="Wingdings" w:hAnsi="Wingding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6BD5EC8"/>
    <w:multiLevelType w:val="hybridMultilevel"/>
    <w:tmpl w:val="B030CB5A"/>
    <w:lvl w:ilvl="0" w:tplc="DA8237EC">
      <w:start w:val="1"/>
      <w:numFmt w:val="bullet"/>
      <w:lvlText w:val="•"/>
      <w:lvlJc w:val="left"/>
      <w:pPr>
        <w:tabs>
          <w:tab w:val="num" w:pos="720"/>
        </w:tabs>
        <w:ind w:left="720" w:hanging="360"/>
      </w:pPr>
      <w:rPr>
        <w:rFonts w:ascii="Arial" w:hAnsi="Arial" w:hint="default"/>
      </w:rPr>
    </w:lvl>
    <w:lvl w:ilvl="1" w:tplc="CDB63812" w:tentative="1">
      <w:start w:val="1"/>
      <w:numFmt w:val="bullet"/>
      <w:lvlText w:val="•"/>
      <w:lvlJc w:val="left"/>
      <w:pPr>
        <w:tabs>
          <w:tab w:val="num" w:pos="1440"/>
        </w:tabs>
        <w:ind w:left="1440" w:hanging="360"/>
      </w:pPr>
      <w:rPr>
        <w:rFonts w:ascii="Arial" w:hAnsi="Arial" w:hint="default"/>
      </w:rPr>
    </w:lvl>
    <w:lvl w:ilvl="2" w:tplc="6ABAF3A8" w:tentative="1">
      <w:start w:val="1"/>
      <w:numFmt w:val="bullet"/>
      <w:lvlText w:val="•"/>
      <w:lvlJc w:val="left"/>
      <w:pPr>
        <w:tabs>
          <w:tab w:val="num" w:pos="2160"/>
        </w:tabs>
        <w:ind w:left="2160" w:hanging="360"/>
      </w:pPr>
      <w:rPr>
        <w:rFonts w:ascii="Arial" w:hAnsi="Arial" w:hint="default"/>
      </w:rPr>
    </w:lvl>
    <w:lvl w:ilvl="3" w:tplc="25661DE2" w:tentative="1">
      <w:start w:val="1"/>
      <w:numFmt w:val="bullet"/>
      <w:lvlText w:val="•"/>
      <w:lvlJc w:val="left"/>
      <w:pPr>
        <w:tabs>
          <w:tab w:val="num" w:pos="2880"/>
        </w:tabs>
        <w:ind w:left="2880" w:hanging="360"/>
      </w:pPr>
      <w:rPr>
        <w:rFonts w:ascii="Arial" w:hAnsi="Arial" w:hint="default"/>
      </w:rPr>
    </w:lvl>
    <w:lvl w:ilvl="4" w:tplc="C9B84984" w:tentative="1">
      <w:start w:val="1"/>
      <w:numFmt w:val="bullet"/>
      <w:lvlText w:val="•"/>
      <w:lvlJc w:val="left"/>
      <w:pPr>
        <w:tabs>
          <w:tab w:val="num" w:pos="3600"/>
        </w:tabs>
        <w:ind w:left="3600" w:hanging="360"/>
      </w:pPr>
      <w:rPr>
        <w:rFonts w:ascii="Arial" w:hAnsi="Arial" w:hint="default"/>
      </w:rPr>
    </w:lvl>
    <w:lvl w:ilvl="5" w:tplc="CEC01274" w:tentative="1">
      <w:start w:val="1"/>
      <w:numFmt w:val="bullet"/>
      <w:lvlText w:val="•"/>
      <w:lvlJc w:val="left"/>
      <w:pPr>
        <w:tabs>
          <w:tab w:val="num" w:pos="4320"/>
        </w:tabs>
        <w:ind w:left="4320" w:hanging="360"/>
      </w:pPr>
      <w:rPr>
        <w:rFonts w:ascii="Arial" w:hAnsi="Arial" w:hint="default"/>
      </w:rPr>
    </w:lvl>
    <w:lvl w:ilvl="6" w:tplc="517ED502" w:tentative="1">
      <w:start w:val="1"/>
      <w:numFmt w:val="bullet"/>
      <w:lvlText w:val="•"/>
      <w:lvlJc w:val="left"/>
      <w:pPr>
        <w:tabs>
          <w:tab w:val="num" w:pos="5040"/>
        </w:tabs>
        <w:ind w:left="5040" w:hanging="360"/>
      </w:pPr>
      <w:rPr>
        <w:rFonts w:ascii="Arial" w:hAnsi="Arial" w:hint="default"/>
      </w:rPr>
    </w:lvl>
    <w:lvl w:ilvl="7" w:tplc="4C945DA6" w:tentative="1">
      <w:start w:val="1"/>
      <w:numFmt w:val="bullet"/>
      <w:lvlText w:val="•"/>
      <w:lvlJc w:val="left"/>
      <w:pPr>
        <w:tabs>
          <w:tab w:val="num" w:pos="5760"/>
        </w:tabs>
        <w:ind w:left="5760" w:hanging="360"/>
      </w:pPr>
      <w:rPr>
        <w:rFonts w:ascii="Arial" w:hAnsi="Arial" w:hint="default"/>
      </w:rPr>
    </w:lvl>
    <w:lvl w:ilvl="8" w:tplc="047666E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8BC6625"/>
    <w:multiLevelType w:val="hybridMultilevel"/>
    <w:tmpl w:val="C04A6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3B21D4"/>
    <w:multiLevelType w:val="multilevel"/>
    <w:tmpl w:val="1AA4721A"/>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420304"/>
    <w:multiLevelType w:val="hybridMultilevel"/>
    <w:tmpl w:val="ADAE5DB6"/>
    <w:lvl w:ilvl="0" w:tplc="A9F6ADB6">
      <w:start w:val="1"/>
      <w:numFmt w:val="bullet"/>
      <w:lvlText w:val="•"/>
      <w:lvlJc w:val="left"/>
      <w:pPr>
        <w:tabs>
          <w:tab w:val="num" w:pos="720"/>
        </w:tabs>
        <w:ind w:left="720" w:hanging="360"/>
      </w:pPr>
      <w:rPr>
        <w:rFonts w:ascii="Arial" w:hAnsi="Arial" w:hint="default"/>
      </w:rPr>
    </w:lvl>
    <w:lvl w:ilvl="1" w:tplc="9E84BEA4" w:tentative="1">
      <w:start w:val="1"/>
      <w:numFmt w:val="bullet"/>
      <w:lvlText w:val="•"/>
      <w:lvlJc w:val="left"/>
      <w:pPr>
        <w:tabs>
          <w:tab w:val="num" w:pos="1440"/>
        </w:tabs>
        <w:ind w:left="1440" w:hanging="360"/>
      </w:pPr>
      <w:rPr>
        <w:rFonts w:ascii="Arial" w:hAnsi="Arial" w:hint="default"/>
      </w:rPr>
    </w:lvl>
    <w:lvl w:ilvl="2" w:tplc="32684A5C" w:tentative="1">
      <w:start w:val="1"/>
      <w:numFmt w:val="bullet"/>
      <w:lvlText w:val="•"/>
      <w:lvlJc w:val="left"/>
      <w:pPr>
        <w:tabs>
          <w:tab w:val="num" w:pos="2160"/>
        </w:tabs>
        <w:ind w:left="2160" w:hanging="360"/>
      </w:pPr>
      <w:rPr>
        <w:rFonts w:ascii="Arial" w:hAnsi="Arial" w:hint="default"/>
      </w:rPr>
    </w:lvl>
    <w:lvl w:ilvl="3" w:tplc="32D0D636" w:tentative="1">
      <w:start w:val="1"/>
      <w:numFmt w:val="bullet"/>
      <w:lvlText w:val="•"/>
      <w:lvlJc w:val="left"/>
      <w:pPr>
        <w:tabs>
          <w:tab w:val="num" w:pos="2880"/>
        </w:tabs>
        <w:ind w:left="2880" w:hanging="360"/>
      </w:pPr>
      <w:rPr>
        <w:rFonts w:ascii="Arial" w:hAnsi="Arial" w:hint="default"/>
      </w:rPr>
    </w:lvl>
    <w:lvl w:ilvl="4" w:tplc="7B4ED14C" w:tentative="1">
      <w:start w:val="1"/>
      <w:numFmt w:val="bullet"/>
      <w:lvlText w:val="•"/>
      <w:lvlJc w:val="left"/>
      <w:pPr>
        <w:tabs>
          <w:tab w:val="num" w:pos="3600"/>
        </w:tabs>
        <w:ind w:left="3600" w:hanging="360"/>
      </w:pPr>
      <w:rPr>
        <w:rFonts w:ascii="Arial" w:hAnsi="Arial" w:hint="default"/>
      </w:rPr>
    </w:lvl>
    <w:lvl w:ilvl="5" w:tplc="DD0A8C40" w:tentative="1">
      <w:start w:val="1"/>
      <w:numFmt w:val="bullet"/>
      <w:lvlText w:val="•"/>
      <w:lvlJc w:val="left"/>
      <w:pPr>
        <w:tabs>
          <w:tab w:val="num" w:pos="4320"/>
        </w:tabs>
        <w:ind w:left="4320" w:hanging="360"/>
      </w:pPr>
      <w:rPr>
        <w:rFonts w:ascii="Arial" w:hAnsi="Arial" w:hint="default"/>
      </w:rPr>
    </w:lvl>
    <w:lvl w:ilvl="6" w:tplc="D402F7EE" w:tentative="1">
      <w:start w:val="1"/>
      <w:numFmt w:val="bullet"/>
      <w:lvlText w:val="•"/>
      <w:lvlJc w:val="left"/>
      <w:pPr>
        <w:tabs>
          <w:tab w:val="num" w:pos="5040"/>
        </w:tabs>
        <w:ind w:left="5040" w:hanging="360"/>
      </w:pPr>
      <w:rPr>
        <w:rFonts w:ascii="Arial" w:hAnsi="Arial" w:hint="default"/>
      </w:rPr>
    </w:lvl>
    <w:lvl w:ilvl="7" w:tplc="F29004B2" w:tentative="1">
      <w:start w:val="1"/>
      <w:numFmt w:val="bullet"/>
      <w:lvlText w:val="•"/>
      <w:lvlJc w:val="left"/>
      <w:pPr>
        <w:tabs>
          <w:tab w:val="num" w:pos="5760"/>
        </w:tabs>
        <w:ind w:left="5760" w:hanging="360"/>
      </w:pPr>
      <w:rPr>
        <w:rFonts w:ascii="Arial" w:hAnsi="Arial" w:hint="default"/>
      </w:rPr>
    </w:lvl>
    <w:lvl w:ilvl="8" w:tplc="99C22C7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EEC4650"/>
    <w:multiLevelType w:val="hybridMultilevel"/>
    <w:tmpl w:val="C6F4F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265D7A"/>
    <w:multiLevelType w:val="hybridMultilevel"/>
    <w:tmpl w:val="DB8070FC"/>
    <w:lvl w:ilvl="0" w:tplc="04743818">
      <w:start w:val="1"/>
      <w:numFmt w:val="bullet"/>
      <w:lvlText w:val="•"/>
      <w:lvlJc w:val="left"/>
      <w:pPr>
        <w:tabs>
          <w:tab w:val="num" w:pos="720"/>
        </w:tabs>
        <w:ind w:left="720" w:hanging="360"/>
      </w:pPr>
      <w:rPr>
        <w:rFonts w:ascii="Arial" w:hAnsi="Arial" w:hint="default"/>
      </w:rPr>
    </w:lvl>
    <w:lvl w:ilvl="1" w:tplc="443046EC" w:tentative="1">
      <w:start w:val="1"/>
      <w:numFmt w:val="bullet"/>
      <w:lvlText w:val="•"/>
      <w:lvlJc w:val="left"/>
      <w:pPr>
        <w:tabs>
          <w:tab w:val="num" w:pos="1440"/>
        </w:tabs>
        <w:ind w:left="1440" w:hanging="360"/>
      </w:pPr>
      <w:rPr>
        <w:rFonts w:ascii="Arial" w:hAnsi="Arial" w:hint="default"/>
      </w:rPr>
    </w:lvl>
    <w:lvl w:ilvl="2" w:tplc="2528C1BA" w:tentative="1">
      <w:start w:val="1"/>
      <w:numFmt w:val="bullet"/>
      <w:lvlText w:val="•"/>
      <w:lvlJc w:val="left"/>
      <w:pPr>
        <w:tabs>
          <w:tab w:val="num" w:pos="2160"/>
        </w:tabs>
        <w:ind w:left="2160" w:hanging="360"/>
      </w:pPr>
      <w:rPr>
        <w:rFonts w:ascii="Arial" w:hAnsi="Arial" w:hint="default"/>
      </w:rPr>
    </w:lvl>
    <w:lvl w:ilvl="3" w:tplc="9C9CA68A" w:tentative="1">
      <w:start w:val="1"/>
      <w:numFmt w:val="bullet"/>
      <w:lvlText w:val="•"/>
      <w:lvlJc w:val="left"/>
      <w:pPr>
        <w:tabs>
          <w:tab w:val="num" w:pos="2880"/>
        </w:tabs>
        <w:ind w:left="2880" w:hanging="360"/>
      </w:pPr>
      <w:rPr>
        <w:rFonts w:ascii="Arial" w:hAnsi="Arial" w:hint="default"/>
      </w:rPr>
    </w:lvl>
    <w:lvl w:ilvl="4" w:tplc="91E6A76A" w:tentative="1">
      <w:start w:val="1"/>
      <w:numFmt w:val="bullet"/>
      <w:lvlText w:val="•"/>
      <w:lvlJc w:val="left"/>
      <w:pPr>
        <w:tabs>
          <w:tab w:val="num" w:pos="3600"/>
        </w:tabs>
        <w:ind w:left="3600" w:hanging="360"/>
      </w:pPr>
      <w:rPr>
        <w:rFonts w:ascii="Arial" w:hAnsi="Arial" w:hint="default"/>
      </w:rPr>
    </w:lvl>
    <w:lvl w:ilvl="5" w:tplc="1F8CB848" w:tentative="1">
      <w:start w:val="1"/>
      <w:numFmt w:val="bullet"/>
      <w:lvlText w:val="•"/>
      <w:lvlJc w:val="left"/>
      <w:pPr>
        <w:tabs>
          <w:tab w:val="num" w:pos="4320"/>
        </w:tabs>
        <w:ind w:left="4320" w:hanging="360"/>
      </w:pPr>
      <w:rPr>
        <w:rFonts w:ascii="Arial" w:hAnsi="Arial" w:hint="default"/>
      </w:rPr>
    </w:lvl>
    <w:lvl w:ilvl="6" w:tplc="4694E90A" w:tentative="1">
      <w:start w:val="1"/>
      <w:numFmt w:val="bullet"/>
      <w:lvlText w:val="•"/>
      <w:lvlJc w:val="left"/>
      <w:pPr>
        <w:tabs>
          <w:tab w:val="num" w:pos="5040"/>
        </w:tabs>
        <w:ind w:left="5040" w:hanging="360"/>
      </w:pPr>
      <w:rPr>
        <w:rFonts w:ascii="Arial" w:hAnsi="Arial" w:hint="default"/>
      </w:rPr>
    </w:lvl>
    <w:lvl w:ilvl="7" w:tplc="A296F964" w:tentative="1">
      <w:start w:val="1"/>
      <w:numFmt w:val="bullet"/>
      <w:lvlText w:val="•"/>
      <w:lvlJc w:val="left"/>
      <w:pPr>
        <w:tabs>
          <w:tab w:val="num" w:pos="5760"/>
        </w:tabs>
        <w:ind w:left="5760" w:hanging="360"/>
      </w:pPr>
      <w:rPr>
        <w:rFonts w:ascii="Arial" w:hAnsi="Arial" w:hint="default"/>
      </w:rPr>
    </w:lvl>
    <w:lvl w:ilvl="8" w:tplc="1BC4854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07714D6"/>
    <w:multiLevelType w:val="hybridMultilevel"/>
    <w:tmpl w:val="933E3292"/>
    <w:lvl w:ilvl="0" w:tplc="B686DD1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1793453"/>
    <w:multiLevelType w:val="multilevel"/>
    <w:tmpl w:val="2806C34A"/>
    <w:lvl w:ilvl="0">
      <w:start w:val="1"/>
      <w:numFmt w:val="decimal"/>
      <w:pStyle w:val="Heading1"/>
      <w:lvlText w:val="%1"/>
      <w:lvlJc w:val="left"/>
      <w:pPr>
        <w:ind w:left="432" w:hanging="432"/>
      </w:pPr>
      <w:rPr>
        <w:sz w:val="24"/>
        <w:szCs w:val="24"/>
      </w:rPr>
    </w:lvl>
    <w:lvl w:ilvl="1">
      <w:start w:val="1"/>
      <w:numFmt w:val="decimal"/>
      <w:pStyle w:val="Heading2"/>
      <w:lvlText w:val="%1.%2"/>
      <w:lvlJc w:val="left"/>
      <w:pPr>
        <w:ind w:left="576" w:hanging="576"/>
      </w:pPr>
      <w:rPr>
        <w:sz w:val="24"/>
        <w:szCs w:val="24"/>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4" w15:restartNumberingAfterBreak="0">
    <w:nsid w:val="320E020B"/>
    <w:multiLevelType w:val="hybridMultilevel"/>
    <w:tmpl w:val="02F032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34124F86"/>
    <w:multiLevelType w:val="hybridMultilevel"/>
    <w:tmpl w:val="268AFF16"/>
    <w:lvl w:ilvl="0" w:tplc="A4EA1460">
      <w:start w:val="1"/>
      <w:numFmt w:val="bullet"/>
      <w:lvlText w:val="•"/>
      <w:lvlJc w:val="left"/>
      <w:pPr>
        <w:tabs>
          <w:tab w:val="num" w:pos="720"/>
        </w:tabs>
        <w:ind w:left="720" w:hanging="360"/>
      </w:pPr>
      <w:rPr>
        <w:rFonts w:ascii="Arial" w:hAnsi="Arial" w:hint="default"/>
      </w:rPr>
    </w:lvl>
    <w:lvl w:ilvl="1" w:tplc="2EB8A3A2" w:tentative="1">
      <w:start w:val="1"/>
      <w:numFmt w:val="bullet"/>
      <w:lvlText w:val="•"/>
      <w:lvlJc w:val="left"/>
      <w:pPr>
        <w:tabs>
          <w:tab w:val="num" w:pos="1440"/>
        </w:tabs>
        <w:ind w:left="1440" w:hanging="360"/>
      </w:pPr>
      <w:rPr>
        <w:rFonts w:ascii="Arial" w:hAnsi="Arial" w:hint="default"/>
      </w:rPr>
    </w:lvl>
    <w:lvl w:ilvl="2" w:tplc="2CAADBAC" w:tentative="1">
      <w:start w:val="1"/>
      <w:numFmt w:val="bullet"/>
      <w:lvlText w:val="•"/>
      <w:lvlJc w:val="left"/>
      <w:pPr>
        <w:tabs>
          <w:tab w:val="num" w:pos="2160"/>
        </w:tabs>
        <w:ind w:left="2160" w:hanging="360"/>
      </w:pPr>
      <w:rPr>
        <w:rFonts w:ascii="Arial" w:hAnsi="Arial" w:hint="default"/>
      </w:rPr>
    </w:lvl>
    <w:lvl w:ilvl="3" w:tplc="165622DE" w:tentative="1">
      <w:start w:val="1"/>
      <w:numFmt w:val="bullet"/>
      <w:lvlText w:val="•"/>
      <w:lvlJc w:val="left"/>
      <w:pPr>
        <w:tabs>
          <w:tab w:val="num" w:pos="2880"/>
        </w:tabs>
        <w:ind w:left="2880" w:hanging="360"/>
      </w:pPr>
      <w:rPr>
        <w:rFonts w:ascii="Arial" w:hAnsi="Arial" w:hint="default"/>
      </w:rPr>
    </w:lvl>
    <w:lvl w:ilvl="4" w:tplc="257092AA" w:tentative="1">
      <w:start w:val="1"/>
      <w:numFmt w:val="bullet"/>
      <w:lvlText w:val="•"/>
      <w:lvlJc w:val="left"/>
      <w:pPr>
        <w:tabs>
          <w:tab w:val="num" w:pos="3600"/>
        </w:tabs>
        <w:ind w:left="3600" w:hanging="360"/>
      </w:pPr>
      <w:rPr>
        <w:rFonts w:ascii="Arial" w:hAnsi="Arial" w:hint="default"/>
      </w:rPr>
    </w:lvl>
    <w:lvl w:ilvl="5" w:tplc="FCE0C77A" w:tentative="1">
      <w:start w:val="1"/>
      <w:numFmt w:val="bullet"/>
      <w:lvlText w:val="•"/>
      <w:lvlJc w:val="left"/>
      <w:pPr>
        <w:tabs>
          <w:tab w:val="num" w:pos="4320"/>
        </w:tabs>
        <w:ind w:left="4320" w:hanging="360"/>
      </w:pPr>
      <w:rPr>
        <w:rFonts w:ascii="Arial" w:hAnsi="Arial" w:hint="default"/>
      </w:rPr>
    </w:lvl>
    <w:lvl w:ilvl="6" w:tplc="2C6C9F4A" w:tentative="1">
      <w:start w:val="1"/>
      <w:numFmt w:val="bullet"/>
      <w:lvlText w:val="•"/>
      <w:lvlJc w:val="left"/>
      <w:pPr>
        <w:tabs>
          <w:tab w:val="num" w:pos="5040"/>
        </w:tabs>
        <w:ind w:left="5040" w:hanging="360"/>
      </w:pPr>
      <w:rPr>
        <w:rFonts w:ascii="Arial" w:hAnsi="Arial" w:hint="default"/>
      </w:rPr>
    </w:lvl>
    <w:lvl w:ilvl="7" w:tplc="55867AD8" w:tentative="1">
      <w:start w:val="1"/>
      <w:numFmt w:val="bullet"/>
      <w:lvlText w:val="•"/>
      <w:lvlJc w:val="left"/>
      <w:pPr>
        <w:tabs>
          <w:tab w:val="num" w:pos="5760"/>
        </w:tabs>
        <w:ind w:left="5760" w:hanging="360"/>
      </w:pPr>
      <w:rPr>
        <w:rFonts w:ascii="Arial" w:hAnsi="Arial" w:hint="default"/>
      </w:rPr>
    </w:lvl>
    <w:lvl w:ilvl="8" w:tplc="3348BC2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4CE7A2E"/>
    <w:multiLevelType w:val="hybridMultilevel"/>
    <w:tmpl w:val="F6D0381A"/>
    <w:lvl w:ilvl="0" w:tplc="BBD8D394">
      <w:start w:val="1"/>
      <w:numFmt w:val="bullet"/>
      <w:lvlText w:val="•"/>
      <w:lvlJc w:val="left"/>
      <w:pPr>
        <w:tabs>
          <w:tab w:val="num" w:pos="720"/>
        </w:tabs>
        <w:ind w:left="720" w:hanging="360"/>
      </w:pPr>
      <w:rPr>
        <w:rFonts w:ascii="Arial" w:hAnsi="Arial" w:hint="default"/>
      </w:rPr>
    </w:lvl>
    <w:lvl w:ilvl="1" w:tplc="53EC1514" w:tentative="1">
      <w:start w:val="1"/>
      <w:numFmt w:val="bullet"/>
      <w:lvlText w:val="•"/>
      <w:lvlJc w:val="left"/>
      <w:pPr>
        <w:tabs>
          <w:tab w:val="num" w:pos="1440"/>
        </w:tabs>
        <w:ind w:left="1440" w:hanging="360"/>
      </w:pPr>
      <w:rPr>
        <w:rFonts w:ascii="Arial" w:hAnsi="Arial" w:hint="default"/>
      </w:rPr>
    </w:lvl>
    <w:lvl w:ilvl="2" w:tplc="26F61764" w:tentative="1">
      <w:start w:val="1"/>
      <w:numFmt w:val="bullet"/>
      <w:lvlText w:val="•"/>
      <w:lvlJc w:val="left"/>
      <w:pPr>
        <w:tabs>
          <w:tab w:val="num" w:pos="2160"/>
        </w:tabs>
        <w:ind w:left="2160" w:hanging="360"/>
      </w:pPr>
      <w:rPr>
        <w:rFonts w:ascii="Arial" w:hAnsi="Arial" w:hint="default"/>
      </w:rPr>
    </w:lvl>
    <w:lvl w:ilvl="3" w:tplc="DC9AB3A2" w:tentative="1">
      <w:start w:val="1"/>
      <w:numFmt w:val="bullet"/>
      <w:lvlText w:val="•"/>
      <w:lvlJc w:val="left"/>
      <w:pPr>
        <w:tabs>
          <w:tab w:val="num" w:pos="2880"/>
        </w:tabs>
        <w:ind w:left="2880" w:hanging="360"/>
      </w:pPr>
      <w:rPr>
        <w:rFonts w:ascii="Arial" w:hAnsi="Arial" w:hint="default"/>
      </w:rPr>
    </w:lvl>
    <w:lvl w:ilvl="4" w:tplc="E7C4E93A" w:tentative="1">
      <w:start w:val="1"/>
      <w:numFmt w:val="bullet"/>
      <w:lvlText w:val="•"/>
      <w:lvlJc w:val="left"/>
      <w:pPr>
        <w:tabs>
          <w:tab w:val="num" w:pos="3600"/>
        </w:tabs>
        <w:ind w:left="3600" w:hanging="360"/>
      </w:pPr>
      <w:rPr>
        <w:rFonts w:ascii="Arial" w:hAnsi="Arial" w:hint="default"/>
      </w:rPr>
    </w:lvl>
    <w:lvl w:ilvl="5" w:tplc="FA5C292E" w:tentative="1">
      <w:start w:val="1"/>
      <w:numFmt w:val="bullet"/>
      <w:lvlText w:val="•"/>
      <w:lvlJc w:val="left"/>
      <w:pPr>
        <w:tabs>
          <w:tab w:val="num" w:pos="4320"/>
        </w:tabs>
        <w:ind w:left="4320" w:hanging="360"/>
      </w:pPr>
      <w:rPr>
        <w:rFonts w:ascii="Arial" w:hAnsi="Arial" w:hint="default"/>
      </w:rPr>
    </w:lvl>
    <w:lvl w:ilvl="6" w:tplc="0F6A92E0" w:tentative="1">
      <w:start w:val="1"/>
      <w:numFmt w:val="bullet"/>
      <w:lvlText w:val="•"/>
      <w:lvlJc w:val="left"/>
      <w:pPr>
        <w:tabs>
          <w:tab w:val="num" w:pos="5040"/>
        </w:tabs>
        <w:ind w:left="5040" w:hanging="360"/>
      </w:pPr>
      <w:rPr>
        <w:rFonts w:ascii="Arial" w:hAnsi="Arial" w:hint="default"/>
      </w:rPr>
    </w:lvl>
    <w:lvl w:ilvl="7" w:tplc="025283CC" w:tentative="1">
      <w:start w:val="1"/>
      <w:numFmt w:val="bullet"/>
      <w:lvlText w:val="•"/>
      <w:lvlJc w:val="left"/>
      <w:pPr>
        <w:tabs>
          <w:tab w:val="num" w:pos="5760"/>
        </w:tabs>
        <w:ind w:left="5760" w:hanging="360"/>
      </w:pPr>
      <w:rPr>
        <w:rFonts w:ascii="Arial" w:hAnsi="Arial" w:hint="default"/>
      </w:rPr>
    </w:lvl>
    <w:lvl w:ilvl="8" w:tplc="9ADC580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35DC734A"/>
    <w:multiLevelType w:val="hybridMultilevel"/>
    <w:tmpl w:val="607A9D56"/>
    <w:lvl w:ilvl="0" w:tplc="7CFAE988">
      <w:start w:val="1"/>
      <w:numFmt w:val="bullet"/>
      <w:lvlText w:val="•"/>
      <w:lvlJc w:val="left"/>
      <w:pPr>
        <w:tabs>
          <w:tab w:val="num" w:pos="720"/>
        </w:tabs>
        <w:ind w:left="720" w:hanging="360"/>
      </w:pPr>
      <w:rPr>
        <w:rFonts w:ascii="Arial" w:hAnsi="Arial" w:hint="default"/>
      </w:rPr>
    </w:lvl>
    <w:lvl w:ilvl="1" w:tplc="A5CE6D98" w:tentative="1">
      <w:start w:val="1"/>
      <w:numFmt w:val="bullet"/>
      <w:lvlText w:val="•"/>
      <w:lvlJc w:val="left"/>
      <w:pPr>
        <w:tabs>
          <w:tab w:val="num" w:pos="1440"/>
        </w:tabs>
        <w:ind w:left="1440" w:hanging="360"/>
      </w:pPr>
      <w:rPr>
        <w:rFonts w:ascii="Arial" w:hAnsi="Arial" w:hint="default"/>
      </w:rPr>
    </w:lvl>
    <w:lvl w:ilvl="2" w:tplc="F1B2C06C" w:tentative="1">
      <w:start w:val="1"/>
      <w:numFmt w:val="bullet"/>
      <w:lvlText w:val="•"/>
      <w:lvlJc w:val="left"/>
      <w:pPr>
        <w:tabs>
          <w:tab w:val="num" w:pos="2160"/>
        </w:tabs>
        <w:ind w:left="2160" w:hanging="360"/>
      </w:pPr>
      <w:rPr>
        <w:rFonts w:ascii="Arial" w:hAnsi="Arial" w:hint="default"/>
      </w:rPr>
    </w:lvl>
    <w:lvl w:ilvl="3" w:tplc="8006F44C" w:tentative="1">
      <w:start w:val="1"/>
      <w:numFmt w:val="bullet"/>
      <w:lvlText w:val="•"/>
      <w:lvlJc w:val="left"/>
      <w:pPr>
        <w:tabs>
          <w:tab w:val="num" w:pos="2880"/>
        </w:tabs>
        <w:ind w:left="2880" w:hanging="360"/>
      </w:pPr>
      <w:rPr>
        <w:rFonts w:ascii="Arial" w:hAnsi="Arial" w:hint="default"/>
      </w:rPr>
    </w:lvl>
    <w:lvl w:ilvl="4" w:tplc="B3065F8C" w:tentative="1">
      <w:start w:val="1"/>
      <w:numFmt w:val="bullet"/>
      <w:lvlText w:val="•"/>
      <w:lvlJc w:val="left"/>
      <w:pPr>
        <w:tabs>
          <w:tab w:val="num" w:pos="3600"/>
        </w:tabs>
        <w:ind w:left="3600" w:hanging="360"/>
      </w:pPr>
      <w:rPr>
        <w:rFonts w:ascii="Arial" w:hAnsi="Arial" w:hint="default"/>
      </w:rPr>
    </w:lvl>
    <w:lvl w:ilvl="5" w:tplc="EA8EF71C" w:tentative="1">
      <w:start w:val="1"/>
      <w:numFmt w:val="bullet"/>
      <w:lvlText w:val="•"/>
      <w:lvlJc w:val="left"/>
      <w:pPr>
        <w:tabs>
          <w:tab w:val="num" w:pos="4320"/>
        </w:tabs>
        <w:ind w:left="4320" w:hanging="360"/>
      </w:pPr>
      <w:rPr>
        <w:rFonts w:ascii="Arial" w:hAnsi="Arial" w:hint="default"/>
      </w:rPr>
    </w:lvl>
    <w:lvl w:ilvl="6" w:tplc="AD0E8430" w:tentative="1">
      <w:start w:val="1"/>
      <w:numFmt w:val="bullet"/>
      <w:lvlText w:val="•"/>
      <w:lvlJc w:val="left"/>
      <w:pPr>
        <w:tabs>
          <w:tab w:val="num" w:pos="5040"/>
        </w:tabs>
        <w:ind w:left="5040" w:hanging="360"/>
      </w:pPr>
      <w:rPr>
        <w:rFonts w:ascii="Arial" w:hAnsi="Arial" w:hint="default"/>
      </w:rPr>
    </w:lvl>
    <w:lvl w:ilvl="7" w:tplc="8CA413F4" w:tentative="1">
      <w:start w:val="1"/>
      <w:numFmt w:val="bullet"/>
      <w:lvlText w:val="•"/>
      <w:lvlJc w:val="left"/>
      <w:pPr>
        <w:tabs>
          <w:tab w:val="num" w:pos="5760"/>
        </w:tabs>
        <w:ind w:left="5760" w:hanging="360"/>
      </w:pPr>
      <w:rPr>
        <w:rFonts w:ascii="Arial" w:hAnsi="Arial" w:hint="default"/>
      </w:rPr>
    </w:lvl>
    <w:lvl w:ilvl="8" w:tplc="B7745DB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39147EEA"/>
    <w:multiLevelType w:val="hybridMultilevel"/>
    <w:tmpl w:val="45622A3E"/>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9" w15:restartNumberingAfterBreak="0">
    <w:nsid w:val="39B0641F"/>
    <w:multiLevelType w:val="hybridMultilevel"/>
    <w:tmpl w:val="EBDE538E"/>
    <w:lvl w:ilvl="0" w:tplc="08090001">
      <w:start w:val="1"/>
      <w:numFmt w:val="bullet"/>
      <w:lvlText w:val=""/>
      <w:lvlJc w:val="left"/>
      <w:pPr>
        <w:ind w:left="501"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A6873B9"/>
    <w:multiLevelType w:val="hybridMultilevel"/>
    <w:tmpl w:val="B98A5B0E"/>
    <w:lvl w:ilvl="0" w:tplc="9E9A0884">
      <w:start w:val="1"/>
      <w:numFmt w:val="bullet"/>
      <w:lvlText w:val="•"/>
      <w:lvlJc w:val="left"/>
      <w:pPr>
        <w:tabs>
          <w:tab w:val="num" w:pos="720"/>
        </w:tabs>
        <w:ind w:left="720" w:hanging="360"/>
      </w:pPr>
      <w:rPr>
        <w:rFonts w:ascii="Arial" w:hAnsi="Arial" w:hint="default"/>
      </w:rPr>
    </w:lvl>
    <w:lvl w:ilvl="1" w:tplc="2C58B746" w:tentative="1">
      <w:start w:val="1"/>
      <w:numFmt w:val="bullet"/>
      <w:lvlText w:val="•"/>
      <w:lvlJc w:val="left"/>
      <w:pPr>
        <w:tabs>
          <w:tab w:val="num" w:pos="1440"/>
        </w:tabs>
        <w:ind w:left="1440" w:hanging="360"/>
      </w:pPr>
      <w:rPr>
        <w:rFonts w:ascii="Arial" w:hAnsi="Arial" w:hint="default"/>
      </w:rPr>
    </w:lvl>
    <w:lvl w:ilvl="2" w:tplc="6B3C3C82" w:tentative="1">
      <w:start w:val="1"/>
      <w:numFmt w:val="bullet"/>
      <w:lvlText w:val="•"/>
      <w:lvlJc w:val="left"/>
      <w:pPr>
        <w:tabs>
          <w:tab w:val="num" w:pos="2160"/>
        </w:tabs>
        <w:ind w:left="2160" w:hanging="360"/>
      </w:pPr>
      <w:rPr>
        <w:rFonts w:ascii="Arial" w:hAnsi="Arial" w:hint="default"/>
      </w:rPr>
    </w:lvl>
    <w:lvl w:ilvl="3" w:tplc="95BCDC98" w:tentative="1">
      <w:start w:val="1"/>
      <w:numFmt w:val="bullet"/>
      <w:lvlText w:val="•"/>
      <w:lvlJc w:val="left"/>
      <w:pPr>
        <w:tabs>
          <w:tab w:val="num" w:pos="2880"/>
        </w:tabs>
        <w:ind w:left="2880" w:hanging="360"/>
      </w:pPr>
      <w:rPr>
        <w:rFonts w:ascii="Arial" w:hAnsi="Arial" w:hint="default"/>
      </w:rPr>
    </w:lvl>
    <w:lvl w:ilvl="4" w:tplc="33E2D480" w:tentative="1">
      <w:start w:val="1"/>
      <w:numFmt w:val="bullet"/>
      <w:lvlText w:val="•"/>
      <w:lvlJc w:val="left"/>
      <w:pPr>
        <w:tabs>
          <w:tab w:val="num" w:pos="3600"/>
        </w:tabs>
        <w:ind w:left="3600" w:hanging="360"/>
      </w:pPr>
      <w:rPr>
        <w:rFonts w:ascii="Arial" w:hAnsi="Arial" w:hint="default"/>
      </w:rPr>
    </w:lvl>
    <w:lvl w:ilvl="5" w:tplc="DF847336" w:tentative="1">
      <w:start w:val="1"/>
      <w:numFmt w:val="bullet"/>
      <w:lvlText w:val="•"/>
      <w:lvlJc w:val="left"/>
      <w:pPr>
        <w:tabs>
          <w:tab w:val="num" w:pos="4320"/>
        </w:tabs>
        <w:ind w:left="4320" w:hanging="360"/>
      </w:pPr>
      <w:rPr>
        <w:rFonts w:ascii="Arial" w:hAnsi="Arial" w:hint="default"/>
      </w:rPr>
    </w:lvl>
    <w:lvl w:ilvl="6" w:tplc="7812C480" w:tentative="1">
      <w:start w:val="1"/>
      <w:numFmt w:val="bullet"/>
      <w:lvlText w:val="•"/>
      <w:lvlJc w:val="left"/>
      <w:pPr>
        <w:tabs>
          <w:tab w:val="num" w:pos="5040"/>
        </w:tabs>
        <w:ind w:left="5040" w:hanging="360"/>
      </w:pPr>
      <w:rPr>
        <w:rFonts w:ascii="Arial" w:hAnsi="Arial" w:hint="default"/>
      </w:rPr>
    </w:lvl>
    <w:lvl w:ilvl="7" w:tplc="DA1A9BB8" w:tentative="1">
      <w:start w:val="1"/>
      <w:numFmt w:val="bullet"/>
      <w:lvlText w:val="•"/>
      <w:lvlJc w:val="left"/>
      <w:pPr>
        <w:tabs>
          <w:tab w:val="num" w:pos="5760"/>
        </w:tabs>
        <w:ind w:left="5760" w:hanging="360"/>
      </w:pPr>
      <w:rPr>
        <w:rFonts w:ascii="Arial" w:hAnsi="Arial" w:hint="default"/>
      </w:rPr>
    </w:lvl>
    <w:lvl w:ilvl="8" w:tplc="6D1082B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0567679"/>
    <w:multiLevelType w:val="multilevel"/>
    <w:tmpl w:val="D8E2F572"/>
    <w:lvl w:ilvl="0">
      <w:start w:val="1"/>
      <w:numFmt w:val="decimal"/>
      <w:lvlText w:val="%1"/>
      <w:lvlJc w:val="left"/>
      <w:pPr>
        <w:ind w:left="360" w:hanging="360"/>
      </w:pPr>
      <w:rPr>
        <w:rFonts w:hint="default"/>
        <w:b w:val="0"/>
        <w:bCs w:val="0"/>
        <w:sz w:val="24"/>
        <w:szCs w:val="24"/>
      </w:rPr>
    </w:lvl>
    <w:lvl w:ilvl="1">
      <w:start w:val="1"/>
      <w:numFmt w:val="decimal"/>
      <w:lvlText w:val="%1.%2"/>
      <w:lvlJc w:val="left"/>
      <w:pPr>
        <w:ind w:left="360" w:hanging="360"/>
      </w:pPr>
      <w:rPr>
        <w:rFonts w:hint="default"/>
        <w:b/>
        <w:bCs/>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07455DD"/>
    <w:multiLevelType w:val="hybridMultilevel"/>
    <w:tmpl w:val="95BE201E"/>
    <w:lvl w:ilvl="0" w:tplc="9D9C00B2">
      <w:start w:val="1"/>
      <w:numFmt w:val="bullet"/>
      <w:lvlText w:val="•"/>
      <w:lvlJc w:val="left"/>
      <w:pPr>
        <w:tabs>
          <w:tab w:val="num" w:pos="720"/>
        </w:tabs>
        <w:ind w:left="720" w:hanging="360"/>
      </w:pPr>
      <w:rPr>
        <w:rFonts w:ascii="Arial" w:hAnsi="Arial" w:hint="default"/>
      </w:rPr>
    </w:lvl>
    <w:lvl w:ilvl="1" w:tplc="01FEDA06" w:tentative="1">
      <w:start w:val="1"/>
      <w:numFmt w:val="bullet"/>
      <w:lvlText w:val="•"/>
      <w:lvlJc w:val="left"/>
      <w:pPr>
        <w:tabs>
          <w:tab w:val="num" w:pos="1440"/>
        </w:tabs>
        <w:ind w:left="1440" w:hanging="360"/>
      </w:pPr>
      <w:rPr>
        <w:rFonts w:ascii="Arial" w:hAnsi="Arial" w:hint="default"/>
      </w:rPr>
    </w:lvl>
    <w:lvl w:ilvl="2" w:tplc="D116ECD6" w:tentative="1">
      <w:start w:val="1"/>
      <w:numFmt w:val="bullet"/>
      <w:lvlText w:val="•"/>
      <w:lvlJc w:val="left"/>
      <w:pPr>
        <w:tabs>
          <w:tab w:val="num" w:pos="2160"/>
        </w:tabs>
        <w:ind w:left="2160" w:hanging="360"/>
      </w:pPr>
      <w:rPr>
        <w:rFonts w:ascii="Arial" w:hAnsi="Arial" w:hint="default"/>
      </w:rPr>
    </w:lvl>
    <w:lvl w:ilvl="3" w:tplc="8FECEBDE" w:tentative="1">
      <w:start w:val="1"/>
      <w:numFmt w:val="bullet"/>
      <w:lvlText w:val="•"/>
      <w:lvlJc w:val="left"/>
      <w:pPr>
        <w:tabs>
          <w:tab w:val="num" w:pos="2880"/>
        </w:tabs>
        <w:ind w:left="2880" w:hanging="360"/>
      </w:pPr>
      <w:rPr>
        <w:rFonts w:ascii="Arial" w:hAnsi="Arial" w:hint="default"/>
      </w:rPr>
    </w:lvl>
    <w:lvl w:ilvl="4" w:tplc="55F4E112" w:tentative="1">
      <w:start w:val="1"/>
      <w:numFmt w:val="bullet"/>
      <w:lvlText w:val="•"/>
      <w:lvlJc w:val="left"/>
      <w:pPr>
        <w:tabs>
          <w:tab w:val="num" w:pos="3600"/>
        </w:tabs>
        <w:ind w:left="3600" w:hanging="360"/>
      </w:pPr>
      <w:rPr>
        <w:rFonts w:ascii="Arial" w:hAnsi="Arial" w:hint="default"/>
      </w:rPr>
    </w:lvl>
    <w:lvl w:ilvl="5" w:tplc="1E7CDAA0" w:tentative="1">
      <w:start w:val="1"/>
      <w:numFmt w:val="bullet"/>
      <w:lvlText w:val="•"/>
      <w:lvlJc w:val="left"/>
      <w:pPr>
        <w:tabs>
          <w:tab w:val="num" w:pos="4320"/>
        </w:tabs>
        <w:ind w:left="4320" w:hanging="360"/>
      </w:pPr>
      <w:rPr>
        <w:rFonts w:ascii="Arial" w:hAnsi="Arial" w:hint="default"/>
      </w:rPr>
    </w:lvl>
    <w:lvl w:ilvl="6" w:tplc="DDB860A0" w:tentative="1">
      <w:start w:val="1"/>
      <w:numFmt w:val="bullet"/>
      <w:lvlText w:val="•"/>
      <w:lvlJc w:val="left"/>
      <w:pPr>
        <w:tabs>
          <w:tab w:val="num" w:pos="5040"/>
        </w:tabs>
        <w:ind w:left="5040" w:hanging="360"/>
      </w:pPr>
      <w:rPr>
        <w:rFonts w:ascii="Arial" w:hAnsi="Arial" w:hint="default"/>
      </w:rPr>
    </w:lvl>
    <w:lvl w:ilvl="7" w:tplc="694047A2" w:tentative="1">
      <w:start w:val="1"/>
      <w:numFmt w:val="bullet"/>
      <w:lvlText w:val="•"/>
      <w:lvlJc w:val="left"/>
      <w:pPr>
        <w:tabs>
          <w:tab w:val="num" w:pos="5760"/>
        </w:tabs>
        <w:ind w:left="5760" w:hanging="360"/>
      </w:pPr>
      <w:rPr>
        <w:rFonts w:ascii="Arial" w:hAnsi="Arial" w:hint="default"/>
      </w:rPr>
    </w:lvl>
    <w:lvl w:ilvl="8" w:tplc="6C9ACEC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12A39B5"/>
    <w:multiLevelType w:val="hybridMultilevel"/>
    <w:tmpl w:val="1884E5C2"/>
    <w:lvl w:ilvl="0" w:tplc="EDC8AD20">
      <w:start w:val="1"/>
      <w:numFmt w:val="bullet"/>
      <w:lvlText w:val="•"/>
      <w:lvlJc w:val="left"/>
      <w:pPr>
        <w:tabs>
          <w:tab w:val="num" w:pos="720"/>
        </w:tabs>
        <w:ind w:left="720" w:hanging="360"/>
      </w:pPr>
      <w:rPr>
        <w:rFonts w:ascii="Arial" w:hAnsi="Arial" w:hint="default"/>
      </w:rPr>
    </w:lvl>
    <w:lvl w:ilvl="1" w:tplc="14821D88" w:tentative="1">
      <w:start w:val="1"/>
      <w:numFmt w:val="bullet"/>
      <w:lvlText w:val="•"/>
      <w:lvlJc w:val="left"/>
      <w:pPr>
        <w:tabs>
          <w:tab w:val="num" w:pos="1440"/>
        </w:tabs>
        <w:ind w:left="1440" w:hanging="360"/>
      </w:pPr>
      <w:rPr>
        <w:rFonts w:ascii="Arial" w:hAnsi="Arial" w:hint="default"/>
      </w:rPr>
    </w:lvl>
    <w:lvl w:ilvl="2" w:tplc="59D227F4" w:tentative="1">
      <w:start w:val="1"/>
      <w:numFmt w:val="bullet"/>
      <w:lvlText w:val="•"/>
      <w:lvlJc w:val="left"/>
      <w:pPr>
        <w:tabs>
          <w:tab w:val="num" w:pos="2160"/>
        </w:tabs>
        <w:ind w:left="2160" w:hanging="360"/>
      </w:pPr>
      <w:rPr>
        <w:rFonts w:ascii="Arial" w:hAnsi="Arial" w:hint="default"/>
      </w:rPr>
    </w:lvl>
    <w:lvl w:ilvl="3" w:tplc="49189628" w:tentative="1">
      <w:start w:val="1"/>
      <w:numFmt w:val="bullet"/>
      <w:lvlText w:val="•"/>
      <w:lvlJc w:val="left"/>
      <w:pPr>
        <w:tabs>
          <w:tab w:val="num" w:pos="2880"/>
        </w:tabs>
        <w:ind w:left="2880" w:hanging="360"/>
      </w:pPr>
      <w:rPr>
        <w:rFonts w:ascii="Arial" w:hAnsi="Arial" w:hint="default"/>
      </w:rPr>
    </w:lvl>
    <w:lvl w:ilvl="4" w:tplc="ED767022" w:tentative="1">
      <w:start w:val="1"/>
      <w:numFmt w:val="bullet"/>
      <w:lvlText w:val="•"/>
      <w:lvlJc w:val="left"/>
      <w:pPr>
        <w:tabs>
          <w:tab w:val="num" w:pos="3600"/>
        </w:tabs>
        <w:ind w:left="3600" w:hanging="360"/>
      </w:pPr>
      <w:rPr>
        <w:rFonts w:ascii="Arial" w:hAnsi="Arial" w:hint="default"/>
      </w:rPr>
    </w:lvl>
    <w:lvl w:ilvl="5" w:tplc="4EFEF8EC" w:tentative="1">
      <w:start w:val="1"/>
      <w:numFmt w:val="bullet"/>
      <w:lvlText w:val="•"/>
      <w:lvlJc w:val="left"/>
      <w:pPr>
        <w:tabs>
          <w:tab w:val="num" w:pos="4320"/>
        </w:tabs>
        <w:ind w:left="4320" w:hanging="360"/>
      </w:pPr>
      <w:rPr>
        <w:rFonts w:ascii="Arial" w:hAnsi="Arial" w:hint="default"/>
      </w:rPr>
    </w:lvl>
    <w:lvl w:ilvl="6" w:tplc="31B8C2DC" w:tentative="1">
      <w:start w:val="1"/>
      <w:numFmt w:val="bullet"/>
      <w:lvlText w:val="•"/>
      <w:lvlJc w:val="left"/>
      <w:pPr>
        <w:tabs>
          <w:tab w:val="num" w:pos="5040"/>
        </w:tabs>
        <w:ind w:left="5040" w:hanging="360"/>
      </w:pPr>
      <w:rPr>
        <w:rFonts w:ascii="Arial" w:hAnsi="Arial" w:hint="default"/>
      </w:rPr>
    </w:lvl>
    <w:lvl w:ilvl="7" w:tplc="18DE8564" w:tentative="1">
      <w:start w:val="1"/>
      <w:numFmt w:val="bullet"/>
      <w:lvlText w:val="•"/>
      <w:lvlJc w:val="left"/>
      <w:pPr>
        <w:tabs>
          <w:tab w:val="num" w:pos="5760"/>
        </w:tabs>
        <w:ind w:left="5760" w:hanging="360"/>
      </w:pPr>
      <w:rPr>
        <w:rFonts w:ascii="Arial" w:hAnsi="Arial" w:hint="default"/>
      </w:rPr>
    </w:lvl>
    <w:lvl w:ilvl="8" w:tplc="C4D233F8"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438039D7"/>
    <w:multiLevelType w:val="hybridMultilevel"/>
    <w:tmpl w:val="F884A658"/>
    <w:lvl w:ilvl="0" w:tplc="F9B2C258">
      <w:start w:val="1"/>
      <w:numFmt w:val="decimal"/>
      <w:lvlText w:val="%1."/>
      <w:lvlJc w:val="left"/>
      <w:pPr>
        <w:ind w:left="360" w:hanging="360"/>
      </w:pPr>
      <w:rPr>
        <w:rFonts w:hint="default"/>
        <w:color w:val="4472C4" w:themeColor="accen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4F4F3F8C"/>
    <w:multiLevelType w:val="hybridMultilevel"/>
    <w:tmpl w:val="93DE2422"/>
    <w:lvl w:ilvl="0" w:tplc="8A6E2518">
      <w:start w:val="1"/>
      <w:numFmt w:val="upperRoman"/>
      <w:lvlText w:val="%1."/>
      <w:lvlJc w:val="right"/>
      <w:pPr>
        <w:ind w:left="720" w:hanging="360"/>
      </w:pPr>
      <w:rPr>
        <w:rFonts w:hint="default"/>
        <w:b/>
        <w:bCs/>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34250E"/>
    <w:multiLevelType w:val="hybridMultilevel"/>
    <w:tmpl w:val="09649610"/>
    <w:lvl w:ilvl="0" w:tplc="FB385A5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5876DC6"/>
    <w:multiLevelType w:val="hybridMultilevel"/>
    <w:tmpl w:val="3C6A07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59C0C19"/>
    <w:multiLevelType w:val="hybridMultilevel"/>
    <w:tmpl w:val="93F4820A"/>
    <w:lvl w:ilvl="0" w:tplc="18CEDC3C">
      <w:start w:val="1"/>
      <w:numFmt w:val="bullet"/>
      <w:lvlText w:val="•"/>
      <w:lvlJc w:val="left"/>
      <w:pPr>
        <w:tabs>
          <w:tab w:val="num" w:pos="720"/>
        </w:tabs>
        <w:ind w:left="720" w:hanging="360"/>
      </w:pPr>
      <w:rPr>
        <w:rFonts w:ascii="Arial" w:hAnsi="Arial" w:hint="default"/>
      </w:rPr>
    </w:lvl>
    <w:lvl w:ilvl="1" w:tplc="866AF166" w:tentative="1">
      <w:start w:val="1"/>
      <w:numFmt w:val="bullet"/>
      <w:lvlText w:val="•"/>
      <w:lvlJc w:val="left"/>
      <w:pPr>
        <w:tabs>
          <w:tab w:val="num" w:pos="1440"/>
        </w:tabs>
        <w:ind w:left="1440" w:hanging="360"/>
      </w:pPr>
      <w:rPr>
        <w:rFonts w:ascii="Arial" w:hAnsi="Arial" w:hint="default"/>
      </w:rPr>
    </w:lvl>
    <w:lvl w:ilvl="2" w:tplc="805A9096" w:tentative="1">
      <w:start w:val="1"/>
      <w:numFmt w:val="bullet"/>
      <w:lvlText w:val="•"/>
      <w:lvlJc w:val="left"/>
      <w:pPr>
        <w:tabs>
          <w:tab w:val="num" w:pos="2160"/>
        </w:tabs>
        <w:ind w:left="2160" w:hanging="360"/>
      </w:pPr>
      <w:rPr>
        <w:rFonts w:ascii="Arial" w:hAnsi="Arial" w:hint="default"/>
      </w:rPr>
    </w:lvl>
    <w:lvl w:ilvl="3" w:tplc="45A89960" w:tentative="1">
      <w:start w:val="1"/>
      <w:numFmt w:val="bullet"/>
      <w:lvlText w:val="•"/>
      <w:lvlJc w:val="left"/>
      <w:pPr>
        <w:tabs>
          <w:tab w:val="num" w:pos="2880"/>
        </w:tabs>
        <w:ind w:left="2880" w:hanging="360"/>
      </w:pPr>
      <w:rPr>
        <w:rFonts w:ascii="Arial" w:hAnsi="Arial" w:hint="default"/>
      </w:rPr>
    </w:lvl>
    <w:lvl w:ilvl="4" w:tplc="5C1E47C2" w:tentative="1">
      <w:start w:val="1"/>
      <w:numFmt w:val="bullet"/>
      <w:lvlText w:val="•"/>
      <w:lvlJc w:val="left"/>
      <w:pPr>
        <w:tabs>
          <w:tab w:val="num" w:pos="3600"/>
        </w:tabs>
        <w:ind w:left="3600" w:hanging="360"/>
      </w:pPr>
      <w:rPr>
        <w:rFonts w:ascii="Arial" w:hAnsi="Arial" w:hint="default"/>
      </w:rPr>
    </w:lvl>
    <w:lvl w:ilvl="5" w:tplc="31503C18" w:tentative="1">
      <w:start w:val="1"/>
      <w:numFmt w:val="bullet"/>
      <w:lvlText w:val="•"/>
      <w:lvlJc w:val="left"/>
      <w:pPr>
        <w:tabs>
          <w:tab w:val="num" w:pos="4320"/>
        </w:tabs>
        <w:ind w:left="4320" w:hanging="360"/>
      </w:pPr>
      <w:rPr>
        <w:rFonts w:ascii="Arial" w:hAnsi="Arial" w:hint="default"/>
      </w:rPr>
    </w:lvl>
    <w:lvl w:ilvl="6" w:tplc="AE1C0372" w:tentative="1">
      <w:start w:val="1"/>
      <w:numFmt w:val="bullet"/>
      <w:lvlText w:val="•"/>
      <w:lvlJc w:val="left"/>
      <w:pPr>
        <w:tabs>
          <w:tab w:val="num" w:pos="5040"/>
        </w:tabs>
        <w:ind w:left="5040" w:hanging="360"/>
      </w:pPr>
      <w:rPr>
        <w:rFonts w:ascii="Arial" w:hAnsi="Arial" w:hint="default"/>
      </w:rPr>
    </w:lvl>
    <w:lvl w:ilvl="7" w:tplc="9A7AA73E" w:tentative="1">
      <w:start w:val="1"/>
      <w:numFmt w:val="bullet"/>
      <w:lvlText w:val="•"/>
      <w:lvlJc w:val="left"/>
      <w:pPr>
        <w:tabs>
          <w:tab w:val="num" w:pos="5760"/>
        </w:tabs>
        <w:ind w:left="5760" w:hanging="360"/>
      </w:pPr>
      <w:rPr>
        <w:rFonts w:ascii="Arial" w:hAnsi="Arial" w:hint="default"/>
      </w:rPr>
    </w:lvl>
    <w:lvl w:ilvl="8" w:tplc="61569E18"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87974AF"/>
    <w:multiLevelType w:val="hybridMultilevel"/>
    <w:tmpl w:val="39BEB352"/>
    <w:lvl w:ilvl="0" w:tplc="F5D6CB72">
      <w:start w:val="1"/>
      <w:numFmt w:val="bullet"/>
      <w:lvlText w:val="•"/>
      <w:lvlJc w:val="left"/>
      <w:pPr>
        <w:tabs>
          <w:tab w:val="num" w:pos="720"/>
        </w:tabs>
        <w:ind w:left="720" w:hanging="360"/>
      </w:pPr>
      <w:rPr>
        <w:rFonts w:ascii="Arial" w:hAnsi="Arial" w:hint="default"/>
      </w:rPr>
    </w:lvl>
    <w:lvl w:ilvl="1" w:tplc="7902E448" w:tentative="1">
      <w:start w:val="1"/>
      <w:numFmt w:val="bullet"/>
      <w:lvlText w:val="•"/>
      <w:lvlJc w:val="left"/>
      <w:pPr>
        <w:tabs>
          <w:tab w:val="num" w:pos="1440"/>
        </w:tabs>
        <w:ind w:left="1440" w:hanging="360"/>
      </w:pPr>
      <w:rPr>
        <w:rFonts w:ascii="Arial" w:hAnsi="Arial" w:hint="default"/>
      </w:rPr>
    </w:lvl>
    <w:lvl w:ilvl="2" w:tplc="547A1C3C" w:tentative="1">
      <w:start w:val="1"/>
      <w:numFmt w:val="bullet"/>
      <w:lvlText w:val="•"/>
      <w:lvlJc w:val="left"/>
      <w:pPr>
        <w:tabs>
          <w:tab w:val="num" w:pos="2160"/>
        </w:tabs>
        <w:ind w:left="2160" w:hanging="360"/>
      </w:pPr>
      <w:rPr>
        <w:rFonts w:ascii="Arial" w:hAnsi="Arial" w:hint="default"/>
      </w:rPr>
    </w:lvl>
    <w:lvl w:ilvl="3" w:tplc="AC687DD4" w:tentative="1">
      <w:start w:val="1"/>
      <w:numFmt w:val="bullet"/>
      <w:lvlText w:val="•"/>
      <w:lvlJc w:val="left"/>
      <w:pPr>
        <w:tabs>
          <w:tab w:val="num" w:pos="2880"/>
        </w:tabs>
        <w:ind w:left="2880" w:hanging="360"/>
      </w:pPr>
      <w:rPr>
        <w:rFonts w:ascii="Arial" w:hAnsi="Arial" w:hint="default"/>
      </w:rPr>
    </w:lvl>
    <w:lvl w:ilvl="4" w:tplc="A57C2724" w:tentative="1">
      <w:start w:val="1"/>
      <w:numFmt w:val="bullet"/>
      <w:lvlText w:val="•"/>
      <w:lvlJc w:val="left"/>
      <w:pPr>
        <w:tabs>
          <w:tab w:val="num" w:pos="3600"/>
        </w:tabs>
        <w:ind w:left="3600" w:hanging="360"/>
      </w:pPr>
      <w:rPr>
        <w:rFonts w:ascii="Arial" w:hAnsi="Arial" w:hint="default"/>
      </w:rPr>
    </w:lvl>
    <w:lvl w:ilvl="5" w:tplc="FA321ADA" w:tentative="1">
      <w:start w:val="1"/>
      <w:numFmt w:val="bullet"/>
      <w:lvlText w:val="•"/>
      <w:lvlJc w:val="left"/>
      <w:pPr>
        <w:tabs>
          <w:tab w:val="num" w:pos="4320"/>
        </w:tabs>
        <w:ind w:left="4320" w:hanging="360"/>
      </w:pPr>
      <w:rPr>
        <w:rFonts w:ascii="Arial" w:hAnsi="Arial" w:hint="default"/>
      </w:rPr>
    </w:lvl>
    <w:lvl w:ilvl="6" w:tplc="640E057A" w:tentative="1">
      <w:start w:val="1"/>
      <w:numFmt w:val="bullet"/>
      <w:lvlText w:val="•"/>
      <w:lvlJc w:val="left"/>
      <w:pPr>
        <w:tabs>
          <w:tab w:val="num" w:pos="5040"/>
        </w:tabs>
        <w:ind w:left="5040" w:hanging="360"/>
      </w:pPr>
      <w:rPr>
        <w:rFonts w:ascii="Arial" w:hAnsi="Arial" w:hint="default"/>
      </w:rPr>
    </w:lvl>
    <w:lvl w:ilvl="7" w:tplc="6D7A6918" w:tentative="1">
      <w:start w:val="1"/>
      <w:numFmt w:val="bullet"/>
      <w:lvlText w:val="•"/>
      <w:lvlJc w:val="left"/>
      <w:pPr>
        <w:tabs>
          <w:tab w:val="num" w:pos="5760"/>
        </w:tabs>
        <w:ind w:left="5760" w:hanging="360"/>
      </w:pPr>
      <w:rPr>
        <w:rFonts w:ascii="Arial" w:hAnsi="Arial" w:hint="default"/>
      </w:rPr>
    </w:lvl>
    <w:lvl w:ilvl="8" w:tplc="36B048A2"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59891E86"/>
    <w:multiLevelType w:val="hybridMultilevel"/>
    <w:tmpl w:val="0ADAC6CE"/>
    <w:lvl w:ilvl="0" w:tplc="55146808">
      <w:start w:val="1"/>
      <w:numFmt w:val="decimal"/>
      <w:pStyle w:val="TableHeading"/>
      <w:suff w:val="space"/>
      <w:lvlText w:val="Table %1."/>
      <w:lvlJc w:val="left"/>
      <w:pPr>
        <w:ind w:left="0" w:firstLine="0"/>
      </w:pPr>
      <w:rPr>
        <w:rFonts w:cs="Times New Roman" w:hint="default"/>
        <w:szCs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1" w15:restartNumberingAfterBreak="0">
    <w:nsid w:val="5DB064F6"/>
    <w:multiLevelType w:val="hybridMultilevel"/>
    <w:tmpl w:val="FC48DA34"/>
    <w:lvl w:ilvl="0" w:tplc="0809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2" w15:restartNumberingAfterBreak="0">
    <w:nsid w:val="603346BF"/>
    <w:multiLevelType w:val="hybridMultilevel"/>
    <w:tmpl w:val="B8EE1F84"/>
    <w:lvl w:ilvl="0" w:tplc="68947366">
      <w:start w:val="1"/>
      <w:numFmt w:val="bullet"/>
      <w:lvlText w:val="•"/>
      <w:lvlJc w:val="left"/>
      <w:pPr>
        <w:tabs>
          <w:tab w:val="num" w:pos="720"/>
        </w:tabs>
        <w:ind w:left="720" w:hanging="360"/>
      </w:pPr>
      <w:rPr>
        <w:rFonts w:ascii="Arial" w:hAnsi="Arial" w:hint="default"/>
      </w:rPr>
    </w:lvl>
    <w:lvl w:ilvl="1" w:tplc="7B587AF6" w:tentative="1">
      <w:start w:val="1"/>
      <w:numFmt w:val="bullet"/>
      <w:lvlText w:val="•"/>
      <w:lvlJc w:val="left"/>
      <w:pPr>
        <w:tabs>
          <w:tab w:val="num" w:pos="1440"/>
        </w:tabs>
        <w:ind w:left="1440" w:hanging="360"/>
      </w:pPr>
      <w:rPr>
        <w:rFonts w:ascii="Arial" w:hAnsi="Arial" w:hint="default"/>
      </w:rPr>
    </w:lvl>
    <w:lvl w:ilvl="2" w:tplc="B1C44924" w:tentative="1">
      <w:start w:val="1"/>
      <w:numFmt w:val="bullet"/>
      <w:lvlText w:val="•"/>
      <w:lvlJc w:val="left"/>
      <w:pPr>
        <w:tabs>
          <w:tab w:val="num" w:pos="2160"/>
        </w:tabs>
        <w:ind w:left="2160" w:hanging="360"/>
      </w:pPr>
      <w:rPr>
        <w:rFonts w:ascii="Arial" w:hAnsi="Arial" w:hint="default"/>
      </w:rPr>
    </w:lvl>
    <w:lvl w:ilvl="3" w:tplc="7E7A84E0" w:tentative="1">
      <w:start w:val="1"/>
      <w:numFmt w:val="bullet"/>
      <w:lvlText w:val="•"/>
      <w:lvlJc w:val="left"/>
      <w:pPr>
        <w:tabs>
          <w:tab w:val="num" w:pos="2880"/>
        </w:tabs>
        <w:ind w:left="2880" w:hanging="360"/>
      </w:pPr>
      <w:rPr>
        <w:rFonts w:ascii="Arial" w:hAnsi="Arial" w:hint="default"/>
      </w:rPr>
    </w:lvl>
    <w:lvl w:ilvl="4" w:tplc="13A873C6" w:tentative="1">
      <w:start w:val="1"/>
      <w:numFmt w:val="bullet"/>
      <w:lvlText w:val="•"/>
      <w:lvlJc w:val="left"/>
      <w:pPr>
        <w:tabs>
          <w:tab w:val="num" w:pos="3600"/>
        </w:tabs>
        <w:ind w:left="3600" w:hanging="360"/>
      </w:pPr>
      <w:rPr>
        <w:rFonts w:ascii="Arial" w:hAnsi="Arial" w:hint="default"/>
      </w:rPr>
    </w:lvl>
    <w:lvl w:ilvl="5" w:tplc="EB8877E8" w:tentative="1">
      <w:start w:val="1"/>
      <w:numFmt w:val="bullet"/>
      <w:lvlText w:val="•"/>
      <w:lvlJc w:val="left"/>
      <w:pPr>
        <w:tabs>
          <w:tab w:val="num" w:pos="4320"/>
        </w:tabs>
        <w:ind w:left="4320" w:hanging="360"/>
      </w:pPr>
      <w:rPr>
        <w:rFonts w:ascii="Arial" w:hAnsi="Arial" w:hint="default"/>
      </w:rPr>
    </w:lvl>
    <w:lvl w:ilvl="6" w:tplc="9790D4E2" w:tentative="1">
      <w:start w:val="1"/>
      <w:numFmt w:val="bullet"/>
      <w:lvlText w:val="•"/>
      <w:lvlJc w:val="left"/>
      <w:pPr>
        <w:tabs>
          <w:tab w:val="num" w:pos="5040"/>
        </w:tabs>
        <w:ind w:left="5040" w:hanging="360"/>
      </w:pPr>
      <w:rPr>
        <w:rFonts w:ascii="Arial" w:hAnsi="Arial" w:hint="default"/>
      </w:rPr>
    </w:lvl>
    <w:lvl w:ilvl="7" w:tplc="61FEA462" w:tentative="1">
      <w:start w:val="1"/>
      <w:numFmt w:val="bullet"/>
      <w:lvlText w:val="•"/>
      <w:lvlJc w:val="left"/>
      <w:pPr>
        <w:tabs>
          <w:tab w:val="num" w:pos="5760"/>
        </w:tabs>
        <w:ind w:left="5760" w:hanging="360"/>
      </w:pPr>
      <w:rPr>
        <w:rFonts w:ascii="Arial" w:hAnsi="Arial" w:hint="default"/>
      </w:rPr>
    </w:lvl>
    <w:lvl w:ilvl="8" w:tplc="F40405C8"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7810BF5"/>
    <w:multiLevelType w:val="hybridMultilevel"/>
    <w:tmpl w:val="C7CA2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525256"/>
    <w:multiLevelType w:val="hybridMultilevel"/>
    <w:tmpl w:val="4CBAD728"/>
    <w:lvl w:ilvl="0" w:tplc="08090001">
      <w:start w:val="1"/>
      <w:numFmt w:val="bullet"/>
      <w:lvlText w:val=""/>
      <w:lvlJc w:val="left"/>
      <w:pPr>
        <w:ind w:left="86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5" w15:restartNumberingAfterBreak="0">
    <w:nsid w:val="6C6A7F84"/>
    <w:multiLevelType w:val="hybridMultilevel"/>
    <w:tmpl w:val="2DA45638"/>
    <w:lvl w:ilvl="0" w:tplc="3A8EE71C">
      <w:start w:val="1"/>
      <w:numFmt w:val="decimal"/>
      <w:lvlText w:val="%1."/>
      <w:lvlJc w:val="left"/>
      <w:pPr>
        <w:ind w:left="720" w:hanging="360"/>
      </w:pPr>
      <w:rPr>
        <w:rFonts w:ascii="Times New Roman" w:hAnsi="Times New Roman" w:cs="Times New Roman" w:hint="default"/>
        <w:color w:val="111111"/>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E2E1C71"/>
    <w:multiLevelType w:val="hybridMultilevel"/>
    <w:tmpl w:val="2124CBFA"/>
    <w:lvl w:ilvl="0" w:tplc="0809000F">
      <w:start w:val="1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FEB656F"/>
    <w:multiLevelType w:val="hybridMultilevel"/>
    <w:tmpl w:val="49E65CBA"/>
    <w:lvl w:ilvl="0" w:tplc="BE90160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01F2135"/>
    <w:multiLevelType w:val="hybridMultilevel"/>
    <w:tmpl w:val="368ACEE6"/>
    <w:lvl w:ilvl="0" w:tplc="04090005">
      <w:start w:val="1"/>
      <w:numFmt w:val="bullet"/>
      <w:lvlText w:val=""/>
      <w:lvlJc w:val="left"/>
      <w:pPr>
        <w:ind w:left="501"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1202574"/>
    <w:multiLevelType w:val="hybridMultilevel"/>
    <w:tmpl w:val="01A676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73415301"/>
    <w:multiLevelType w:val="hybridMultilevel"/>
    <w:tmpl w:val="07386932"/>
    <w:lvl w:ilvl="0" w:tplc="FC80593A">
      <w:start w:val="1"/>
      <w:numFmt w:val="bullet"/>
      <w:lvlText w:val="•"/>
      <w:lvlJc w:val="left"/>
      <w:pPr>
        <w:tabs>
          <w:tab w:val="num" w:pos="720"/>
        </w:tabs>
        <w:ind w:left="720" w:hanging="360"/>
      </w:pPr>
      <w:rPr>
        <w:rFonts w:ascii="Arial" w:hAnsi="Arial" w:hint="default"/>
      </w:rPr>
    </w:lvl>
    <w:lvl w:ilvl="1" w:tplc="64163AB0" w:tentative="1">
      <w:start w:val="1"/>
      <w:numFmt w:val="bullet"/>
      <w:lvlText w:val="•"/>
      <w:lvlJc w:val="left"/>
      <w:pPr>
        <w:tabs>
          <w:tab w:val="num" w:pos="1440"/>
        </w:tabs>
        <w:ind w:left="1440" w:hanging="360"/>
      </w:pPr>
      <w:rPr>
        <w:rFonts w:ascii="Arial" w:hAnsi="Arial" w:hint="default"/>
      </w:rPr>
    </w:lvl>
    <w:lvl w:ilvl="2" w:tplc="BA70D676" w:tentative="1">
      <w:start w:val="1"/>
      <w:numFmt w:val="bullet"/>
      <w:lvlText w:val="•"/>
      <w:lvlJc w:val="left"/>
      <w:pPr>
        <w:tabs>
          <w:tab w:val="num" w:pos="2160"/>
        </w:tabs>
        <w:ind w:left="2160" w:hanging="360"/>
      </w:pPr>
      <w:rPr>
        <w:rFonts w:ascii="Arial" w:hAnsi="Arial" w:hint="default"/>
      </w:rPr>
    </w:lvl>
    <w:lvl w:ilvl="3" w:tplc="F58CB4AC" w:tentative="1">
      <w:start w:val="1"/>
      <w:numFmt w:val="bullet"/>
      <w:lvlText w:val="•"/>
      <w:lvlJc w:val="left"/>
      <w:pPr>
        <w:tabs>
          <w:tab w:val="num" w:pos="2880"/>
        </w:tabs>
        <w:ind w:left="2880" w:hanging="360"/>
      </w:pPr>
      <w:rPr>
        <w:rFonts w:ascii="Arial" w:hAnsi="Arial" w:hint="default"/>
      </w:rPr>
    </w:lvl>
    <w:lvl w:ilvl="4" w:tplc="CC267C06" w:tentative="1">
      <w:start w:val="1"/>
      <w:numFmt w:val="bullet"/>
      <w:lvlText w:val="•"/>
      <w:lvlJc w:val="left"/>
      <w:pPr>
        <w:tabs>
          <w:tab w:val="num" w:pos="3600"/>
        </w:tabs>
        <w:ind w:left="3600" w:hanging="360"/>
      </w:pPr>
      <w:rPr>
        <w:rFonts w:ascii="Arial" w:hAnsi="Arial" w:hint="default"/>
      </w:rPr>
    </w:lvl>
    <w:lvl w:ilvl="5" w:tplc="6DE0ACC0" w:tentative="1">
      <w:start w:val="1"/>
      <w:numFmt w:val="bullet"/>
      <w:lvlText w:val="•"/>
      <w:lvlJc w:val="left"/>
      <w:pPr>
        <w:tabs>
          <w:tab w:val="num" w:pos="4320"/>
        </w:tabs>
        <w:ind w:left="4320" w:hanging="360"/>
      </w:pPr>
      <w:rPr>
        <w:rFonts w:ascii="Arial" w:hAnsi="Arial" w:hint="default"/>
      </w:rPr>
    </w:lvl>
    <w:lvl w:ilvl="6" w:tplc="C3169E60" w:tentative="1">
      <w:start w:val="1"/>
      <w:numFmt w:val="bullet"/>
      <w:lvlText w:val="•"/>
      <w:lvlJc w:val="left"/>
      <w:pPr>
        <w:tabs>
          <w:tab w:val="num" w:pos="5040"/>
        </w:tabs>
        <w:ind w:left="5040" w:hanging="360"/>
      </w:pPr>
      <w:rPr>
        <w:rFonts w:ascii="Arial" w:hAnsi="Arial" w:hint="default"/>
      </w:rPr>
    </w:lvl>
    <w:lvl w:ilvl="7" w:tplc="362A6218" w:tentative="1">
      <w:start w:val="1"/>
      <w:numFmt w:val="bullet"/>
      <w:lvlText w:val="•"/>
      <w:lvlJc w:val="left"/>
      <w:pPr>
        <w:tabs>
          <w:tab w:val="num" w:pos="5760"/>
        </w:tabs>
        <w:ind w:left="5760" w:hanging="360"/>
      </w:pPr>
      <w:rPr>
        <w:rFonts w:ascii="Arial" w:hAnsi="Arial" w:hint="default"/>
      </w:rPr>
    </w:lvl>
    <w:lvl w:ilvl="8" w:tplc="89DC2FD4" w:tentative="1">
      <w:start w:val="1"/>
      <w:numFmt w:val="bullet"/>
      <w:lvlText w:val="•"/>
      <w:lvlJc w:val="left"/>
      <w:pPr>
        <w:tabs>
          <w:tab w:val="num" w:pos="6480"/>
        </w:tabs>
        <w:ind w:left="6480" w:hanging="360"/>
      </w:pPr>
      <w:rPr>
        <w:rFonts w:ascii="Arial" w:hAnsi="Arial" w:hint="default"/>
      </w:rPr>
    </w:lvl>
  </w:abstractNum>
  <w:abstractNum w:abstractNumId="51" w15:restartNumberingAfterBreak="0">
    <w:nsid w:val="74FC4195"/>
    <w:multiLevelType w:val="hybridMultilevel"/>
    <w:tmpl w:val="704E049E"/>
    <w:lvl w:ilvl="0" w:tplc="99167ADC">
      <w:start w:val="1"/>
      <w:numFmt w:val="bullet"/>
      <w:lvlText w:val="•"/>
      <w:lvlJc w:val="left"/>
      <w:pPr>
        <w:tabs>
          <w:tab w:val="num" w:pos="720"/>
        </w:tabs>
        <w:ind w:left="720" w:hanging="360"/>
      </w:pPr>
      <w:rPr>
        <w:rFonts w:ascii="Arial" w:hAnsi="Arial" w:hint="default"/>
      </w:rPr>
    </w:lvl>
    <w:lvl w:ilvl="1" w:tplc="B0F417EC" w:tentative="1">
      <w:start w:val="1"/>
      <w:numFmt w:val="bullet"/>
      <w:lvlText w:val="•"/>
      <w:lvlJc w:val="left"/>
      <w:pPr>
        <w:tabs>
          <w:tab w:val="num" w:pos="1440"/>
        </w:tabs>
        <w:ind w:left="1440" w:hanging="360"/>
      </w:pPr>
      <w:rPr>
        <w:rFonts w:ascii="Arial" w:hAnsi="Arial" w:hint="default"/>
      </w:rPr>
    </w:lvl>
    <w:lvl w:ilvl="2" w:tplc="33583356" w:tentative="1">
      <w:start w:val="1"/>
      <w:numFmt w:val="bullet"/>
      <w:lvlText w:val="•"/>
      <w:lvlJc w:val="left"/>
      <w:pPr>
        <w:tabs>
          <w:tab w:val="num" w:pos="2160"/>
        </w:tabs>
        <w:ind w:left="2160" w:hanging="360"/>
      </w:pPr>
      <w:rPr>
        <w:rFonts w:ascii="Arial" w:hAnsi="Arial" w:hint="default"/>
      </w:rPr>
    </w:lvl>
    <w:lvl w:ilvl="3" w:tplc="E5B4E2F4" w:tentative="1">
      <w:start w:val="1"/>
      <w:numFmt w:val="bullet"/>
      <w:lvlText w:val="•"/>
      <w:lvlJc w:val="left"/>
      <w:pPr>
        <w:tabs>
          <w:tab w:val="num" w:pos="2880"/>
        </w:tabs>
        <w:ind w:left="2880" w:hanging="360"/>
      </w:pPr>
      <w:rPr>
        <w:rFonts w:ascii="Arial" w:hAnsi="Arial" w:hint="default"/>
      </w:rPr>
    </w:lvl>
    <w:lvl w:ilvl="4" w:tplc="3A3CA246" w:tentative="1">
      <w:start w:val="1"/>
      <w:numFmt w:val="bullet"/>
      <w:lvlText w:val="•"/>
      <w:lvlJc w:val="left"/>
      <w:pPr>
        <w:tabs>
          <w:tab w:val="num" w:pos="3600"/>
        </w:tabs>
        <w:ind w:left="3600" w:hanging="360"/>
      </w:pPr>
      <w:rPr>
        <w:rFonts w:ascii="Arial" w:hAnsi="Arial" w:hint="default"/>
      </w:rPr>
    </w:lvl>
    <w:lvl w:ilvl="5" w:tplc="C7BC0476" w:tentative="1">
      <w:start w:val="1"/>
      <w:numFmt w:val="bullet"/>
      <w:lvlText w:val="•"/>
      <w:lvlJc w:val="left"/>
      <w:pPr>
        <w:tabs>
          <w:tab w:val="num" w:pos="4320"/>
        </w:tabs>
        <w:ind w:left="4320" w:hanging="360"/>
      </w:pPr>
      <w:rPr>
        <w:rFonts w:ascii="Arial" w:hAnsi="Arial" w:hint="default"/>
      </w:rPr>
    </w:lvl>
    <w:lvl w:ilvl="6" w:tplc="88162850" w:tentative="1">
      <w:start w:val="1"/>
      <w:numFmt w:val="bullet"/>
      <w:lvlText w:val="•"/>
      <w:lvlJc w:val="left"/>
      <w:pPr>
        <w:tabs>
          <w:tab w:val="num" w:pos="5040"/>
        </w:tabs>
        <w:ind w:left="5040" w:hanging="360"/>
      </w:pPr>
      <w:rPr>
        <w:rFonts w:ascii="Arial" w:hAnsi="Arial" w:hint="default"/>
      </w:rPr>
    </w:lvl>
    <w:lvl w:ilvl="7" w:tplc="105AA60E" w:tentative="1">
      <w:start w:val="1"/>
      <w:numFmt w:val="bullet"/>
      <w:lvlText w:val="•"/>
      <w:lvlJc w:val="left"/>
      <w:pPr>
        <w:tabs>
          <w:tab w:val="num" w:pos="5760"/>
        </w:tabs>
        <w:ind w:left="5760" w:hanging="360"/>
      </w:pPr>
      <w:rPr>
        <w:rFonts w:ascii="Arial" w:hAnsi="Arial" w:hint="default"/>
      </w:rPr>
    </w:lvl>
    <w:lvl w:ilvl="8" w:tplc="0234D1E4"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75940BE0"/>
    <w:multiLevelType w:val="hybridMultilevel"/>
    <w:tmpl w:val="80E40FC6"/>
    <w:lvl w:ilvl="0" w:tplc="8CE6BC86">
      <w:start w:val="1"/>
      <w:numFmt w:val="bullet"/>
      <w:lvlText w:val="•"/>
      <w:lvlJc w:val="left"/>
      <w:pPr>
        <w:tabs>
          <w:tab w:val="num" w:pos="720"/>
        </w:tabs>
        <w:ind w:left="720" w:hanging="360"/>
      </w:pPr>
      <w:rPr>
        <w:rFonts w:ascii="Arial" w:hAnsi="Arial" w:hint="default"/>
      </w:rPr>
    </w:lvl>
    <w:lvl w:ilvl="1" w:tplc="00588556" w:tentative="1">
      <w:start w:val="1"/>
      <w:numFmt w:val="bullet"/>
      <w:lvlText w:val="•"/>
      <w:lvlJc w:val="left"/>
      <w:pPr>
        <w:tabs>
          <w:tab w:val="num" w:pos="1440"/>
        </w:tabs>
        <w:ind w:left="1440" w:hanging="360"/>
      </w:pPr>
      <w:rPr>
        <w:rFonts w:ascii="Arial" w:hAnsi="Arial" w:hint="default"/>
      </w:rPr>
    </w:lvl>
    <w:lvl w:ilvl="2" w:tplc="DE3C48F2" w:tentative="1">
      <w:start w:val="1"/>
      <w:numFmt w:val="bullet"/>
      <w:lvlText w:val="•"/>
      <w:lvlJc w:val="left"/>
      <w:pPr>
        <w:tabs>
          <w:tab w:val="num" w:pos="2160"/>
        </w:tabs>
        <w:ind w:left="2160" w:hanging="360"/>
      </w:pPr>
      <w:rPr>
        <w:rFonts w:ascii="Arial" w:hAnsi="Arial" w:hint="default"/>
      </w:rPr>
    </w:lvl>
    <w:lvl w:ilvl="3" w:tplc="DC0A1F38" w:tentative="1">
      <w:start w:val="1"/>
      <w:numFmt w:val="bullet"/>
      <w:lvlText w:val="•"/>
      <w:lvlJc w:val="left"/>
      <w:pPr>
        <w:tabs>
          <w:tab w:val="num" w:pos="2880"/>
        </w:tabs>
        <w:ind w:left="2880" w:hanging="360"/>
      </w:pPr>
      <w:rPr>
        <w:rFonts w:ascii="Arial" w:hAnsi="Arial" w:hint="default"/>
      </w:rPr>
    </w:lvl>
    <w:lvl w:ilvl="4" w:tplc="F634BE7A" w:tentative="1">
      <w:start w:val="1"/>
      <w:numFmt w:val="bullet"/>
      <w:lvlText w:val="•"/>
      <w:lvlJc w:val="left"/>
      <w:pPr>
        <w:tabs>
          <w:tab w:val="num" w:pos="3600"/>
        </w:tabs>
        <w:ind w:left="3600" w:hanging="360"/>
      </w:pPr>
      <w:rPr>
        <w:rFonts w:ascii="Arial" w:hAnsi="Arial" w:hint="default"/>
      </w:rPr>
    </w:lvl>
    <w:lvl w:ilvl="5" w:tplc="C0B2DDA8" w:tentative="1">
      <w:start w:val="1"/>
      <w:numFmt w:val="bullet"/>
      <w:lvlText w:val="•"/>
      <w:lvlJc w:val="left"/>
      <w:pPr>
        <w:tabs>
          <w:tab w:val="num" w:pos="4320"/>
        </w:tabs>
        <w:ind w:left="4320" w:hanging="360"/>
      </w:pPr>
      <w:rPr>
        <w:rFonts w:ascii="Arial" w:hAnsi="Arial" w:hint="default"/>
      </w:rPr>
    </w:lvl>
    <w:lvl w:ilvl="6" w:tplc="312CA9D6" w:tentative="1">
      <w:start w:val="1"/>
      <w:numFmt w:val="bullet"/>
      <w:lvlText w:val="•"/>
      <w:lvlJc w:val="left"/>
      <w:pPr>
        <w:tabs>
          <w:tab w:val="num" w:pos="5040"/>
        </w:tabs>
        <w:ind w:left="5040" w:hanging="360"/>
      </w:pPr>
      <w:rPr>
        <w:rFonts w:ascii="Arial" w:hAnsi="Arial" w:hint="default"/>
      </w:rPr>
    </w:lvl>
    <w:lvl w:ilvl="7" w:tplc="244AAD70" w:tentative="1">
      <w:start w:val="1"/>
      <w:numFmt w:val="bullet"/>
      <w:lvlText w:val="•"/>
      <w:lvlJc w:val="left"/>
      <w:pPr>
        <w:tabs>
          <w:tab w:val="num" w:pos="5760"/>
        </w:tabs>
        <w:ind w:left="5760" w:hanging="360"/>
      </w:pPr>
      <w:rPr>
        <w:rFonts w:ascii="Arial" w:hAnsi="Arial" w:hint="default"/>
      </w:rPr>
    </w:lvl>
    <w:lvl w:ilvl="8" w:tplc="4CD28EAA"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76B36FBA"/>
    <w:multiLevelType w:val="hybridMultilevel"/>
    <w:tmpl w:val="126AD2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79DF2536"/>
    <w:multiLevelType w:val="hybridMultilevel"/>
    <w:tmpl w:val="A732A976"/>
    <w:lvl w:ilvl="0" w:tplc="BB98580C">
      <w:start w:val="1"/>
      <w:numFmt w:val="bullet"/>
      <w:lvlText w:val="•"/>
      <w:lvlJc w:val="left"/>
      <w:pPr>
        <w:tabs>
          <w:tab w:val="num" w:pos="720"/>
        </w:tabs>
        <w:ind w:left="720" w:hanging="360"/>
      </w:pPr>
      <w:rPr>
        <w:rFonts w:ascii="Arial" w:hAnsi="Arial" w:hint="default"/>
      </w:rPr>
    </w:lvl>
    <w:lvl w:ilvl="1" w:tplc="25B28E84">
      <w:start w:val="1"/>
      <w:numFmt w:val="bullet"/>
      <w:lvlText w:val="•"/>
      <w:lvlJc w:val="left"/>
      <w:pPr>
        <w:tabs>
          <w:tab w:val="num" w:pos="1440"/>
        </w:tabs>
        <w:ind w:left="1440" w:hanging="360"/>
      </w:pPr>
      <w:rPr>
        <w:rFonts w:ascii="Arial" w:hAnsi="Arial" w:hint="default"/>
      </w:rPr>
    </w:lvl>
    <w:lvl w:ilvl="2" w:tplc="C49E96E4" w:tentative="1">
      <w:start w:val="1"/>
      <w:numFmt w:val="bullet"/>
      <w:lvlText w:val="•"/>
      <w:lvlJc w:val="left"/>
      <w:pPr>
        <w:tabs>
          <w:tab w:val="num" w:pos="2160"/>
        </w:tabs>
        <w:ind w:left="2160" w:hanging="360"/>
      </w:pPr>
      <w:rPr>
        <w:rFonts w:ascii="Arial" w:hAnsi="Arial" w:hint="default"/>
      </w:rPr>
    </w:lvl>
    <w:lvl w:ilvl="3" w:tplc="156AEDF6" w:tentative="1">
      <w:start w:val="1"/>
      <w:numFmt w:val="bullet"/>
      <w:lvlText w:val="•"/>
      <w:lvlJc w:val="left"/>
      <w:pPr>
        <w:tabs>
          <w:tab w:val="num" w:pos="2880"/>
        </w:tabs>
        <w:ind w:left="2880" w:hanging="360"/>
      </w:pPr>
      <w:rPr>
        <w:rFonts w:ascii="Arial" w:hAnsi="Arial" w:hint="default"/>
      </w:rPr>
    </w:lvl>
    <w:lvl w:ilvl="4" w:tplc="B9E8AED6" w:tentative="1">
      <w:start w:val="1"/>
      <w:numFmt w:val="bullet"/>
      <w:lvlText w:val="•"/>
      <w:lvlJc w:val="left"/>
      <w:pPr>
        <w:tabs>
          <w:tab w:val="num" w:pos="3600"/>
        </w:tabs>
        <w:ind w:left="3600" w:hanging="360"/>
      </w:pPr>
      <w:rPr>
        <w:rFonts w:ascii="Arial" w:hAnsi="Arial" w:hint="default"/>
      </w:rPr>
    </w:lvl>
    <w:lvl w:ilvl="5" w:tplc="F6CCACCA" w:tentative="1">
      <w:start w:val="1"/>
      <w:numFmt w:val="bullet"/>
      <w:lvlText w:val="•"/>
      <w:lvlJc w:val="left"/>
      <w:pPr>
        <w:tabs>
          <w:tab w:val="num" w:pos="4320"/>
        </w:tabs>
        <w:ind w:left="4320" w:hanging="360"/>
      </w:pPr>
      <w:rPr>
        <w:rFonts w:ascii="Arial" w:hAnsi="Arial" w:hint="default"/>
      </w:rPr>
    </w:lvl>
    <w:lvl w:ilvl="6" w:tplc="4BF0C9B8" w:tentative="1">
      <w:start w:val="1"/>
      <w:numFmt w:val="bullet"/>
      <w:lvlText w:val="•"/>
      <w:lvlJc w:val="left"/>
      <w:pPr>
        <w:tabs>
          <w:tab w:val="num" w:pos="5040"/>
        </w:tabs>
        <w:ind w:left="5040" w:hanging="360"/>
      </w:pPr>
      <w:rPr>
        <w:rFonts w:ascii="Arial" w:hAnsi="Arial" w:hint="default"/>
      </w:rPr>
    </w:lvl>
    <w:lvl w:ilvl="7" w:tplc="4126A8D4" w:tentative="1">
      <w:start w:val="1"/>
      <w:numFmt w:val="bullet"/>
      <w:lvlText w:val="•"/>
      <w:lvlJc w:val="left"/>
      <w:pPr>
        <w:tabs>
          <w:tab w:val="num" w:pos="5760"/>
        </w:tabs>
        <w:ind w:left="5760" w:hanging="360"/>
      </w:pPr>
      <w:rPr>
        <w:rFonts w:ascii="Arial" w:hAnsi="Arial" w:hint="default"/>
      </w:rPr>
    </w:lvl>
    <w:lvl w:ilvl="8" w:tplc="51F6D3E8" w:tentative="1">
      <w:start w:val="1"/>
      <w:numFmt w:val="bullet"/>
      <w:lvlText w:val="•"/>
      <w:lvlJc w:val="left"/>
      <w:pPr>
        <w:tabs>
          <w:tab w:val="num" w:pos="6480"/>
        </w:tabs>
        <w:ind w:left="6480" w:hanging="360"/>
      </w:pPr>
      <w:rPr>
        <w:rFonts w:ascii="Arial" w:hAnsi="Arial" w:hint="default"/>
      </w:rPr>
    </w:lvl>
  </w:abstractNum>
  <w:num w:numId="1" w16cid:durableId="1257859215">
    <w:abstractNumId w:val="23"/>
  </w:num>
  <w:num w:numId="2" w16cid:durableId="2016570851">
    <w:abstractNumId w:val="40"/>
  </w:num>
  <w:num w:numId="3" w16cid:durableId="1669600327">
    <w:abstractNumId w:val="9"/>
  </w:num>
  <w:num w:numId="4" w16cid:durableId="520631619">
    <w:abstractNumId w:val="14"/>
  </w:num>
  <w:num w:numId="5" w16cid:durableId="99494747">
    <w:abstractNumId w:val="51"/>
  </w:num>
  <w:num w:numId="6" w16cid:durableId="1796217917">
    <w:abstractNumId w:val="30"/>
  </w:num>
  <w:num w:numId="7" w16cid:durableId="144321630">
    <w:abstractNumId w:val="4"/>
  </w:num>
  <w:num w:numId="8" w16cid:durableId="1409886965">
    <w:abstractNumId w:val="1"/>
  </w:num>
  <w:num w:numId="9" w16cid:durableId="973024067">
    <w:abstractNumId w:val="3"/>
  </w:num>
  <w:num w:numId="10" w16cid:durableId="1549487417">
    <w:abstractNumId w:val="42"/>
  </w:num>
  <w:num w:numId="11" w16cid:durableId="1192844489">
    <w:abstractNumId w:val="25"/>
  </w:num>
  <w:num w:numId="12" w16cid:durableId="1607421639">
    <w:abstractNumId w:val="2"/>
  </w:num>
  <w:num w:numId="13" w16cid:durableId="1913395499">
    <w:abstractNumId w:val="32"/>
  </w:num>
  <w:num w:numId="14" w16cid:durableId="973173853">
    <w:abstractNumId w:val="19"/>
  </w:num>
  <w:num w:numId="15" w16cid:durableId="2012022623">
    <w:abstractNumId w:val="52"/>
  </w:num>
  <w:num w:numId="16" w16cid:durableId="1801653783">
    <w:abstractNumId w:val="21"/>
  </w:num>
  <w:num w:numId="17" w16cid:durableId="945774495">
    <w:abstractNumId w:val="39"/>
  </w:num>
  <w:num w:numId="18" w16cid:durableId="748967816">
    <w:abstractNumId w:val="13"/>
  </w:num>
  <w:num w:numId="19" w16cid:durableId="1264337807">
    <w:abstractNumId w:val="16"/>
  </w:num>
  <w:num w:numId="20" w16cid:durableId="22676619">
    <w:abstractNumId w:val="6"/>
  </w:num>
  <w:num w:numId="21" w16cid:durableId="1737119246">
    <w:abstractNumId w:val="27"/>
  </w:num>
  <w:num w:numId="22" w16cid:durableId="839929081">
    <w:abstractNumId w:val="50"/>
  </w:num>
  <w:num w:numId="23" w16cid:durableId="553784009">
    <w:abstractNumId w:val="38"/>
  </w:num>
  <w:num w:numId="24" w16cid:durableId="1460875248">
    <w:abstractNumId w:val="26"/>
  </w:num>
  <w:num w:numId="25" w16cid:durableId="1372264300">
    <w:abstractNumId w:val="12"/>
  </w:num>
  <w:num w:numId="26" w16cid:durableId="1306008619">
    <w:abstractNumId w:val="33"/>
  </w:num>
  <w:num w:numId="27" w16cid:durableId="1098597537">
    <w:abstractNumId w:val="54"/>
  </w:num>
  <w:num w:numId="28" w16cid:durableId="623735296">
    <w:abstractNumId w:val="53"/>
  </w:num>
  <w:num w:numId="29" w16cid:durableId="850146204">
    <w:abstractNumId w:val="49"/>
  </w:num>
  <w:num w:numId="30" w16cid:durableId="470947287">
    <w:abstractNumId w:val="24"/>
  </w:num>
  <w:num w:numId="31" w16cid:durableId="2098792615">
    <w:abstractNumId w:val="7"/>
  </w:num>
  <w:num w:numId="32" w16cid:durableId="360514246">
    <w:abstractNumId w:val="47"/>
  </w:num>
  <w:num w:numId="33" w16cid:durableId="614941972">
    <w:abstractNumId w:val="5"/>
  </w:num>
  <w:num w:numId="34" w16cid:durableId="1455556778">
    <w:abstractNumId w:val="22"/>
  </w:num>
  <w:num w:numId="35" w16cid:durableId="514728759">
    <w:abstractNumId w:val="45"/>
  </w:num>
  <w:num w:numId="36" w16cid:durableId="886530360">
    <w:abstractNumId w:val="11"/>
  </w:num>
  <w:num w:numId="37" w16cid:durableId="2005236586">
    <w:abstractNumId w:val="10"/>
  </w:num>
  <w:num w:numId="38" w16cid:durableId="1452935576">
    <w:abstractNumId w:val="20"/>
  </w:num>
  <w:num w:numId="39" w16cid:durableId="1102146287">
    <w:abstractNumId w:val="17"/>
  </w:num>
  <w:num w:numId="40" w16cid:durableId="564492368">
    <w:abstractNumId w:val="43"/>
  </w:num>
  <w:num w:numId="41" w16cid:durableId="1707097927">
    <w:abstractNumId w:val="37"/>
  </w:num>
  <w:num w:numId="42" w16cid:durableId="922183663">
    <w:abstractNumId w:val="0"/>
  </w:num>
  <w:num w:numId="43" w16cid:durableId="633633285">
    <w:abstractNumId w:val="18"/>
  </w:num>
  <w:num w:numId="44" w16cid:durableId="1921136778">
    <w:abstractNumId w:val="8"/>
  </w:num>
  <w:num w:numId="45" w16cid:durableId="548613650">
    <w:abstractNumId w:val="34"/>
  </w:num>
  <w:num w:numId="46" w16cid:durableId="938221546">
    <w:abstractNumId w:val="36"/>
  </w:num>
  <w:num w:numId="47" w16cid:durableId="1242375403">
    <w:abstractNumId w:val="46"/>
  </w:num>
  <w:num w:numId="48" w16cid:durableId="320431174">
    <w:abstractNumId w:val="15"/>
  </w:num>
  <w:num w:numId="49" w16cid:durableId="2049917335">
    <w:abstractNumId w:val="48"/>
  </w:num>
  <w:num w:numId="50" w16cid:durableId="1245408735">
    <w:abstractNumId w:val="35"/>
  </w:num>
  <w:num w:numId="51" w16cid:durableId="1073432306">
    <w:abstractNumId w:val="29"/>
  </w:num>
  <w:num w:numId="52" w16cid:durableId="142040054">
    <w:abstractNumId w:val="28"/>
  </w:num>
  <w:num w:numId="53" w16cid:durableId="1937051685">
    <w:abstractNumId w:val="41"/>
  </w:num>
  <w:num w:numId="54" w16cid:durableId="68238167">
    <w:abstractNumId w:val="44"/>
  </w:num>
  <w:num w:numId="55" w16cid:durableId="105901236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211"/>
    <w:rsid w:val="0000039F"/>
    <w:rsid w:val="0000095A"/>
    <w:rsid w:val="00002E1A"/>
    <w:rsid w:val="00003888"/>
    <w:rsid w:val="000039E6"/>
    <w:rsid w:val="00003E60"/>
    <w:rsid w:val="00004E11"/>
    <w:rsid w:val="0000517D"/>
    <w:rsid w:val="00005E40"/>
    <w:rsid w:val="00006072"/>
    <w:rsid w:val="00006834"/>
    <w:rsid w:val="00007583"/>
    <w:rsid w:val="00007BD6"/>
    <w:rsid w:val="000101AA"/>
    <w:rsid w:val="00010AB7"/>
    <w:rsid w:val="00010D01"/>
    <w:rsid w:val="000113EA"/>
    <w:rsid w:val="000118A0"/>
    <w:rsid w:val="00012062"/>
    <w:rsid w:val="00012A8A"/>
    <w:rsid w:val="00013343"/>
    <w:rsid w:val="000142AF"/>
    <w:rsid w:val="00014AD3"/>
    <w:rsid w:val="00015A39"/>
    <w:rsid w:val="00015F84"/>
    <w:rsid w:val="00016054"/>
    <w:rsid w:val="000163B0"/>
    <w:rsid w:val="00017363"/>
    <w:rsid w:val="0001762D"/>
    <w:rsid w:val="00017A5A"/>
    <w:rsid w:val="00017D4A"/>
    <w:rsid w:val="00020D25"/>
    <w:rsid w:val="00021A4D"/>
    <w:rsid w:val="00021C6C"/>
    <w:rsid w:val="00022557"/>
    <w:rsid w:val="0002359E"/>
    <w:rsid w:val="0002410B"/>
    <w:rsid w:val="0002447F"/>
    <w:rsid w:val="000244AE"/>
    <w:rsid w:val="000244CD"/>
    <w:rsid w:val="000249A2"/>
    <w:rsid w:val="00024F77"/>
    <w:rsid w:val="000257AF"/>
    <w:rsid w:val="00026082"/>
    <w:rsid w:val="00026ABB"/>
    <w:rsid w:val="0002796B"/>
    <w:rsid w:val="0003019D"/>
    <w:rsid w:val="00031009"/>
    <w:rsid w:val="000318ED"/>
    <w:rsid w:val="00032791"/>
    <w:rsid w:val="00032D64"/>
    <w:rsid w:val="000330A5"/>
    <w:rsid w:val="00033C1A"/>
    <w:rsid w:val="00034934"/>
    <w:rsid w:val="00034C84"/>
    <w:rsid w:val="000356B9"/>
    <w:rsid w:val="000358DB"/>
    <w:rsid w:val="00036D4B"/>
    <w:rsid w:val="000372A9"/>
    <w:rsid w:val="000373C0"/>
    <w:rsid w:val="0003794E"/>
    <w:rsid w:val="00037D58"/>
    <w:rsid w:val="00037E68"/>
    <w:rsid w:val="00037FCE"/>
    <w:rsid w:val="00040101"/>
    <w:rsid w:val="000403F1"/>
    <w:rsid w:val="000404EB"/>
    <w:rsid w:val="0004070E"/>
    <w:rsid w:val="0004150B"/>
    <w:rsid w:val="00041537"/>
    <w:rsid w:val="0004258D"/>
    <w:rsid w:val="000428FE"/>
    <w:rsid w:val="00042F16"/>
    <w:rsid w:val="00043349"/>
    <w:rsid w:val="00043802"/>
    <w:rsid w:val="0004387F"/>
    <w:rsid w:val="00043972"/>
    <w:rsid w:val="00044F79"/>
    <w:rsid w:val="000451BD"/>
    <w:rsid w:val="00046088"/>
    <w:rsid w:val="000468A5"/>
    <w:rsid w:val="000468B0"/>
    <w:rsid w:val="00046A94"/>
    <w:rsid w:val="00047795"/>
    <w:rsid w:val="00047CF6"/>
    <w:rsid w:val="0005047B"/>
    <w:rsid w:val="000505FD"/>
    <w:rsid w:val="0005088A"/>
    <w:rsid w:val="00051336"/>
    <w:rsid w:val="00051E8E"/>
    <w:rsid w:val="000527B4"/>
    <w:rsid w:val="00053132"/>
    <w:rsid w:val="0005313A"/>
    <w:rsid w:val="00053521"/>
    <w:rsid w:val="00054C7F"/>
    <w:rsid w:val="00055C1E"/>
    <w:rsid w:val="00057611"/>
    <w:rsid w:val="00057AFE"/>
    <w:rsid w:val="00060024"/>
    <w:rsid w:val="000605A0"/>
    <w:rsid w:val="00061014"/>
    <w:rsid w:val="00061047"/>
    <w:rsid w:val="00061183"/>
    <w:rsid w:val="000616CD"/>
    <w:rsid w:val="00061C2E"/>
    <w:rsid w:val="0006218F"/>
    <w:rsid w:val="000628EA"/>
    <w:rsid w:val="00062B33"/>
    <w:rsid w:val="00062D7F"/>
    <w:rsid w:val="00064AE2"/>
    <w:rsid w:val="00065376"/>
    <w:rsid w:val="00065474"/>
    <w:rsid w:val="000654AD"/>
    <w:rsid w:val="00065CD9"/>
    <w:rsid w:val="00065D22"/>
    <w:rsid w:val="0006641D"/>
    <w:rsid w:val="00066A47"/>
    <w:rsid w:val="00066FC6"/>
    <w:rsid w:val="00067296"/>
    <w:rsid w:val="00067D0B"/>
    <w:rsid w:val="00070020"/>
    <w:rsid w:val="00070F67"/>
    <w:rsid w:val="0007156F"/>
    <w:rsid w:val="00071812"/>
    <w:rsid w:val="00072845"/>
    <w:rsid w:val="00072FC0"/>
    <w:rsid w:val="00073BE2"/>
    <w:rsid w:val="00074BE3"/>
    <w:rsid w:val="000758F6"/>
    <w:rsid w:val="00075E11"/>
    <w:rsid w:val="000761AD"/>
    <w:rsid w:val="000764F4"/>
    <w:rsid w:val="00076707"/>
    <w:rsid w:val="00076830"/>
    <w:rsid w:val="00076E96"/>
    <w:rsid w:val="00076EAB"/>
    <w:rsid w:val="00077B4C"/>
    <w:rsid w:val="000805F7"/>
    <w:rsid w:val="000811A5"/>
    <w:rsid w:val="000816EA"/>
    <w:rsid w:val="00082AA7"/>
    <w:rsid w:val="00083E8F"/>
    <w:rsid w:val="00085829"/>
    <w:rsid w:val="00085CCA"/>
    <w:rsid w:val="00085D29"/>
    <w:rsid w:val="00086064"/>
    <w:rsid w:val="00086F87"/>
    <w:rsid w:val="00087551"/>
    <w:rsid w:val="00090154"/>
    <w:rsid w:val="00090849"/>
    <w:rsid w:val="000917CE"/>
    <w:rsid w:val="00091837"/>
    <w:rsid w:val="00091B47"/>
    <w:rsid w:val="000920F3"/>
    <w:rsid w:val="00092A71"/>
    <w:rsid w:val="00092AE9"/>
    <w:rsid w:val="0009420C"/>
    <w:rsid w:val="00094E17"/>
    <w:rsid w:val="000954FF"/>
    <w:rsid w:val="00095A22"/>
    <w:rsid w:val="00095B62"/>
    <w:rsid w:val="00097002"/>
    <w:rsid w:val="000A0B8D"/>
    <w:rsid w:val="000A1475"/>
    <w:rsid w:val="000A156B"/>
    <w:rsid w:val="000A2097"/>
    <w:rsid w:val="000A28F8"/>
    <w:rsid w:val="000A3F1D"/>
    <w:rsid w:val="000A415F"/>
    <w:rsid w:val="000A4E03"/>
    <w:rsid w:val="000A5DA0"/>
    <w:rsid w:val="000A65DE"/>
    <w:rsid w:val="000A68D8"/>
    <w:rsid w:val="000A6B58"/>
    <w:rsid w:val="000B0113"/>
    <w:rsid w:val="000B0292"/>
    <w:rsid w:val="000B273D"/>
    <w:rsid w:val="000B2B1C"/>
    <w:rsid w:val="000B2FAF"/>
    <w:rsid w:val="000B348A"/>
    <w:rsid w:val="000B422C"/>
    <w:rsid w:val="000B463D"/>
    <w:rsid w:val="000B57FC"/>
    <w:rsid w:val="000B64C8"/>
    <w:rsid w:val="000B78AA"/>
    <w:rsid w:val="000B7D9D"/>
    <w:rsid w:val="000C0294"/>
    <w:rsid w:val="000C0EA4"/>
    <w:rsid w:val="000C1815"/>
    <w:rsid w:val="000C206E"/>
    <w:rsid w:val="000C2788"/>
    <w:rsid w:val="000C27FD"/>
    <w:rsid w:val="000C32FC"/>
    <w:rsid w:val="000C3480"/>
    <w:rsid w:val="000C6AC8"/>
    <w:rsid w:val="000C77F1"/>
    <w:rsid w:val="000C7A97"/>
    <w:rsid w:val="000D08F3"/>
    <w:rsid w:val="000D1346"/>
    <w:rsid w:val="000D13B1"/>
    <w:rsid w:val="000D25B0"/>
    <w:rsid w:val="000D2923"/>
    <w:rsid w:val="000D337D"/>
    <w:rsid w:val="000D3A96"/>
    <w:rsid w:val="000D433E"/>
    <w:rsid w:val="000D496B"/>
    <w:rsid w:val="000D4B27"/>
    <w:rsid w:val="000D76B3"/>
    <w:rsid w:val="000D771A"/>
    <w:rsid w:val="000D7B85"/>
    <w:rsid w:val="000D7EEC"/>
    <w:rsid w:val="000E0D25"/>
    <w:rsid w:val="000E1179"/>
    <w:rsid w:val="000E245D"/>
    <w:rsid w:val="000E2798"/>
    <w:rsid w:val="000E2B2E"/>
    <w:rsid w:val="000E2F10"/>
    <w:rsid w:val="000E31E6"/>
    <w:rsid w:val="000E38CC"/>
    <w:rsid w:val="000E500E"/>
    <w:rsid w:val="000E50D3"/>
    <w:rsid w:val="000E59C1"/>
    <w:rsid w:val="000E5CB6"/>
    <w:rsid w:val="000E6446"/>
    <w:rsid w:val="000E6D6D"/>
    <w:rsid w:val="000E6EB3"/>
    <w:rsid w:val="000E7C23"/>
    <w:rsid w:val="000E7F64"/>
    <w:rsid w:val="000F02B0"/>
    <w:rsid w:val="000F073D"/>
    <w:rsid w:val="000F2DB1"/>
    <w:rsid w:val="000F341D"/>
    <w:rsid w:val="000F3EE5"/>
    <w:rsid w:val="000F5287"/>
    <w:rsid w:val="000F533A"/>
    <w:rsid w:val="000F5F37"/>
    <w:rsid w:val="000F636A"/>
    <w:rsid w:val="000F656C"/>
    <w:rsid w:val="000F7530"/>
    <w:rsid w:val="000F7741"/>
    <w:rsid w:val="000F7ED8"/>
    <w:rsid w:val="001004C3"/>
    <w:rsid w:val="001006FD"/>
    <w:rsid w:val="00100B7A"/>
    <w:rsid w:val="00101613"/>
    <w:rsid w:val="00102358"/>
    <w:rsid w:val="00104AA5"/>
    <w:rsid w:val="00106AAB"/>
    <w:rsid w:val="00107EF3"/>
    <w:rsid w:val="00110332"/>
    <w:rsid w:val="00110B9E"/>
    <w:rsid w:val="00110ED0"/>
    <w:rsid w:val="001114C4"/>
    <w:rsid w:val="00111573"/>
    <w:rsid w:val="0011179C"/>
    <w:rsid w:val="00111ACB"/>
    <w:rsid w:val="00111C84"/>
    <w:rsid w:val="001123E7"/>
    <w:rsid w:val="001126B4"/>
    <w:rsid w:val="001134DA"/>
    <w:rsid w:val="001138EE"/>
    <w:rsid w:val="0011392F"/>
    <w:rsid w:val="00113C43"/>
    <w:rsid w:val="00113FF4"/>
    <w:rsid w:val="00114615"/>
    <w:rsid w:val="00114876"/>
    <w:rsid w:val="001150AF"/>
    <w:rsid w:val="001168D9"/>
    <w:rsid w:val="0011721F"/>
    <w:rsid w:val="00117970"/>
    <w:rsid w:val="00117CB2"/>
    <w:rsid w:val="00117DB2"/>
    <w:rsid w:val="001211A1"/>
    <w:rsid w:val="00121ABF"/>
    <w:rsid w:val="00122A16"/>
    <w:rsid w:val="001235A5"/>
    <w:rsid w:val="00125D39"/>
    <w:rsid w:val="001279B1"/>
    <w:rsid w:val="00127F53"/>
    <w:rsid w:val="00130703"/>
    <w:rsid w:val="00130ADC"/>
    <w:rsid w:val="00132E4C"/>
    <w:rsid w:val="001332AD"/>
    <w:rsid w:val="0013346A"/>
    <w:rsid w:val="00133D5B"/>
    <w:rsid w:val="00134750"/>
    <w:rsid w:val="0013576B"/>
    <w:rsid w:val="00135A32"/>
    <w:rsid w:val="0013618F"/>
    <w:rsid w:val="00137422"/>
    <w:rsid w:val="0014035F"/>
    <w:rsid w:val="00140A6B"/>
    <w:rsid w:val="001413E1"/>
    <w:rsid w:val="0014186A"/>
    <w:rsid w:val="00142908"/>
    <w:rsid w:val="00142BD4"/>
    <w:rsid w:val="00144BA3"/>
    <w:rsid w:val="00146061"/>
    <w:rsid w:val="001468F1"/>
    <w:rsid w:val="00150EB6"/>
    <w:rsid w:val="00150EC2"/>
    <w:rsid w:val="00151D35"/>
    <w:rsid w:val="00151E91"/>
    <w:rsid w:val="0015249F"/>
    <w:rsid w:val="00152ED5"/>
    <w:rsid w:val="001537E5"/>
    <w:rsid w:val="0015428D"/>
    <w:rsid w:val="0015493D"/>
    <w:rsid w:val="00154964"/>
    <w:rsid w:val="001550B0"/>
    <w:rsid w:val="00155AEB"/>
    <w:rsid w:val="00155D34"/>
    <w:rsid w:val="001567F3"/>
    <w:rsid w:val="00156DA7"/>
    <w:rsid w:val="00156F57"/>
    <w:rsid w:val="00157715"/>
    <w:rsid w:val="00157842"/>
    <w:rsid w:val="00157C95"/>
    <w:rsid w:val="00157DFD"/>
    <w:rsid w:val="0016023B"/>
    <w:rsid w:val="0016023C"/>
    <w:rsid w:val="00161ECB"/>
    <w:rsid w:val="0016240B"/>
    <w:rsid w:val="001627C7"/>
    <w:rsid w:val="0016321C"/>
    <w:rsid w:val="0016338E"/>
    <w:rsid w:val="00163A0C"/>
    <w:rsid w:val="00163EA4"/>
    <w:rsid w:val="001649C5"/>
    <w:rsid w:val="00167179"/>
    <w:rsid w:val="001671D2"/>
    <w:rsid w:val="00167EC8"/>
    <w:rsid w:val="00170036"/>
    <w:rsid w:val="00171CB3"/>
    <w:rsid w:val="00171E19"/>
    <w:rsid w:val="0017253E"/>
    <w:rsid w:val="00172A34"/>
    <w:rsid w:val="001734F8"/>
    <w:rsid w:val="00173894"/>
    <w:rsid w:val="00173A4D"/>
    <w:rsid w:val="001757E9"/>
    <w:rsid w:val="0017588D"/>
    <w:rsid w:val="001763F2"/>
    <w:rsid w:val="00176DDE"/>
    <w:rsid w:val="00176FB5"/>
    <w:rsid w:val="00177027"/>
    <w:rsid w:val="001774A4"/>
    <w:rsid w:val="001803AF"/>
    <w:rsid w:val="001803C6"/>
    <w:rsid w:val="00180A3A"/>
    <w:rsid w:val="00180AB0"/>
    <w:rsid w:val="00181463"/>
    <w:rsid w:val="00181CD5"/>
    <w:rsid w:val="00181DE9"/>
    <w:rsid w:val="0018293D"/>
    <w:rsid w:val="00182977"/>
    <w:rsid w:val="00182D90"/>
    <w:rsid w:val="00183096"/>
    <w:rsid w:val="00183273"/>
    <w:rsid w:val="00183794"/>
    <w:rsid w:val="00184A35"/>
    <w:rsid w:val="001853F8"/>
    <w:rsid w:val="001858F1"/>
    <w:rsid w:val="001859A8"/>
    <w:rsid w:val="00185F10"/>
    <w:rsid w:val="00186021"/>
    <w:rsid w:val="0018624A"/>
    <w:rsid w:val="001878A1"/>
    <w:rsid w:val="00187C59"/>
    <w:rsid w:val="00187E9B"/>
    <w:rsid w:val="0019006D"/>
    <w:rsid w:val="0019076C"/>
    <w:rsid w:val="00190D17"/>
    <w:rsid w:val="0019116A"/>
    <w:rsid w:val="0019154A"/>
    <w:rsid w:val="00191931"/>
    <w:rsid w:val="00191C17"/>
    <w:rsid w:val="00192FBE"/>
    <w:rsid w:val="00193728"/>
    <w:rsid w:val="00193823"/>
    <w:rsid w:val="0019419B"/>
    <w:rsid w:val="00194A2D"/>
    <w:rsid w:val="00195171"/>
    <w:rsid w:val="00195175"/>
    <w:rsid w:val="001955C3"/>
    <w:rsid w:val="00195885"/>
    <w:rsid w:val="001958F2"/>
    <w:rsid w:val="00196352"/>
    <w:rsid w:val="00196357"/>
    <w:rsid w:val="00196C6A"/>
    <w:rsid w:val="00197F00"/>
    <w:rsid w:val="001A1983"/>
    <w:rsid w:val="001A2099"/>
    <w:rsid w:val="001A20CA"/>
    <w:rsid w:val="001A2EB5"/>
    <w:rsid w:val="001A355E"/>
    <w:rsid w:val="001A3A3F"/>
    <w:rsid w:val="001A44FA"/>
    <w:rsid w:val="001A516F"/>
    <w:rsid w:val="001A65A6"/>
    <w:rsid w:val="001A7578"/>
    <w:rsid w:val="001A7BC0"/>
    <w:rsid w:val="001A7EE7"/>
    <w:rsid w:val="001B0101"/>
    <w:rsid w:val="001B1059"/>
    <w:rsid w:val="001B27CF"/>
    <w:rsid w:val="001B2A01"/>
    <w:rsid w:val="001B372B"/>
    <w:rsid w:val="001B3ABA"/>
    <w:rsid w:val="001B4D25"/>
    <w:rsid w:val="001B4F6D"/>
    <w:rsid w:val="001B5217"/>
    <w:rsid w:val="001B5D3D"/>
    <w:rsid w:val="001B5EF8"/>
    <w:rsid w:val="001B66E1"/>
    <w:rsid w:val="001B6765"/>
    <w:rsid w:val="001B6D28"/>
    <w:rsid w:val="001B7617"/>
    <w:rsid w:val="001B7CE1"/>
    <w:rsid w:val="001B7E62"/>
    <w:rsid w:val="001C099C"/>
    <w:rsid w:val="001C1AD4"/>
    <w:rsid w:val="001C1C45"/>
    <w:rsid w:val="001C2688"/>
    <w:rsid w:val="001C2C53"/>
    <w:rsid w:val="001C2E7C"/>
    <w:rsid w:val="001C4ABF"/>
    <w:rsid w:val="001C4FA6"/>
    <w:rsid w:val="001C5329"/>
    <w:rsid w:val="001C6734"/>
    <w:rsid w:val="001C6CEA"/>
    <w:rsid w:val="001C76A2"/>
    <w:rsid w:val="001D0109"/>
    <w:rsid w:val="001D0385"/>
    <w:rsid w:val="001D09DF"/>
    <w:rsid w:val="001D0D15"/>
    <w:rsid w:val="001D1E3C"/>
    <w:rsid w:val="001D1FC8"/>
    <w:rsid w:val="001D2F4C"/>
    <w:rsid w:val="001D34E3"/>
    <w:rsid w:val="001D3701"/>
    <w:rsid w:val="001D4C74"/>
    <w:rsid w:val="001D513B"/>
    <w:rsid w:val="001D5E17"/>
    <w:rsid w:val="001D5EDC"/>
    <w:rsid w:val="001D6135"/>
    <w:rsid w:val="001D6348"/>
    <w:rsid w:val="001D6495"/>
    <w:rsid w:val="001D6825"/>
    <w:rsid w:val="001D712E"/>
    <w:rsid w:val="001E0B4B"/>
    <w:rsid w:val="001E122A"/>
    <w:rsid w:val="001E1547"/>
    <w:rsid w:val="001E1DF1"/>
    <w:rsid w:val="001E3F93"/>
    <w:rsid w:val="001E4100"/>
    <w:rsid w:val="001E4908"/>
    <w:rsid w:val="001E606A"/>
    <w:rsid w:val="001E6546"/>
    <w:rsid w:val="001E6D85"/>
    <w:rsid w:val="001E6D90"/>
    <w:rsid w:val="001E7F76"/>
    <w:rsid w:val="001F00CE"/>
    <w:rsid w:val="001F0EDE"/>
    <w:rsid w:val="001F134F"/>
    <w:rsid w:val="001F1711"/>
    <w:rsid w:val="001F17B0"/>
    <w:rsid w:val="001F1C94"/>
    <w:rsid w:val="001F2AE8"/>
    <w:rsid w:val="001F3B8D"/>
    <w:rsid w:val="001F446F"/>
    <w:rsid w:val="001F4768"/>
    <w:rsid w:val="001F48E4"/>
    <w:rsid w:val="001F4C2C"/>
    <w:rsid w:val="001F58FE"/>
    <w:rsid w:val="001F5C03"/>
    <w:rsid w:val="001F616E"/>
    <w:rsid w:val="001F6337"/>
    <w:rsid w:val="001F68E6"/>
    <w:rsid w:val="001F6FB4"/>
    <w:rsid w:val="001F7035"/>
    <w:rsid w:val="001F7428"/>
    <w:rsid w:val="00200895"/>
    <w:rsid w:val="002018FB"/>
    <w:rsid w:val="00201BF9"/>
    <w:rsid w:val="00201CE9"/>
    <w:rsid w:val="0020259F"/>
    <w:rsid w:val="002027DD"/>
    <w:rsid w:val="00202D93"/>
    <w:rsid w:val="002035F4"/>
    <w:rsid w:val="0020379E"/>
    <w:rsid w:val="00203AB7"/>
    <w:rsid w:val="002065CE"/>
    <w:rsid w:val="002073D1"/>
    <w:rsid w:val="00210835"/>
    <w:rsid w:val="00211718"/>
    <w:rsid w:val="002120B9"/>
    <w:rsid w:val="00213CB4"/>
    <w:rsid w:val="00213DF4"/>
    <w:rsid w:val="0021496C"/>
    <w:rsid w:val="00214ABB"/>
    <w:rsid w:val="00214E6B"/>
    <w:rsid w:val="0021512E"/>
    <w:rsid w:val="00216960"/>
    <w:rsid w:val="0021796C"/>
    <w:rsid w:val="00220D72"/>
    <w:rsid w:val="0022109D"/>
    <w:rsid w:val="0022195D"/>
    <w:rsid w:val="0022204B"/>
    <w:rsid w:val="002220AB"/>
    <w:rsid w:val="002236AE"/>
    <w:rsid w:val="002236F6"/>
    <w:rsid w:val="0022412B"/>
    <w:rsid w:val="00224401"/>
    <w:rsid w:val="00224B4F"/>
    <w:rsid w:val="00224ED3"/>
    <w:rsid w:val="0022552A"/>
    <w:rsid w:val="00225AFC"/>
    <w:rsid w:val="002260FC"/>
    <w:rsid w:val="00226C84"/>
    <w:rsid w:val="00226E79"/>
    <w:rsid w:val="002270F8"/>
    <w:rsid w:val="002273AF"/>
    <w:rsid w:val="0022767C"/>
    <w:rsid w:val="00227C17"/>
    <w:rsid w:val="00230133"/>
    <w:rsid w:val="0023124E"/>
    <w:rsid w:val="0023190A"/>
    <w:rsid w:val="00231DB3"/>
    <w:rsid w:val="00232984"/>
    <w:rsid w:val="00232A9C"/>
    <w:rsid w:val="00232D73"/>
    <w:rsid w:val="002330B8"/>
    <w:rsid w:val="002333D6"/>
    <w:rsid w:val="00233819"/>
    <w:rsid w:val="00233B6A"/>
    <w:rsid w:val="00233C2C"/>
    <w:rsid w:val="00234C10"/>
    <w:rsid w:val="00235726"/>
    <w:rsid w:val="0023635D"/>
    <w:rsid w:val="0023678A"/>
    <w:rsid w:val="00236B1C"/>
    <w:rsid w:val="00236E78"/>
    <w:rsid w:val="00237A16"/>
    <w:rsid w:val="002409FA"/>
    <w:rsid w:val="00241A50"/>
    <w:rsid w:val="0024261B"/>
    <w:rsid w:val="00242E73"/>
    <w:rsid w:val="0024341E"/>
    <w:rsid w:val="00243785"/>
    <w:rsid w:val="00243CBF"/>
    <w:rsid w:val="0024463B"/>
    <w:rsid w:val="00244956"/>
    <w:rsid w:val="00244ECC"/>
    <w:rsid w:val="002462C7"/>
    <w:rsid w:val="002466C0"/>
    <w:rsid w:val="002471D4"/>
    <w:rsid w:val="00247FC3"/>
    <w:rsid w:val="002502A9"/>
    <w:rsid w:val="00250AED"/>
    <w:rsid w:val="002511A0"/>
    <w:rsid w:val="002511E7"/>
    <w:rsid w:val="00251670"/>
    <w:rsid w:val="00252ACE"/>
    <w:rsid w:val="002534F7"/>
    <w:rsid w:val="0025375B"/>
    <w:rsid w:val="0025419B"/>
    <w:rsid w:val="002542CE"/>
    <w:rsid w:val="002546C7"/>
    <w:rsid w:val="0025526D"/>
    <w:rsid w:val="00255314"/>
    <w:rsid w:val="00255D0E"/>
    <w:rsid w:val="00255EDD"/>
    <w:rsid w:val="002574BF"/>
    <w:rsid w:val="002577EB"/>
    <w:rsid w:val="00261134"/>
    <w:rsid w:val="00261AEF"/>
    <w:rsid w:val="00261AFF"/>
    <w:rsid w:val="00262115"/>
    <w:rsid w:val="0026240B"/>
    <w:rsid w:val="00262736"/>
    <w:rsid w:val="002639BD"/>
    <w:rsid w:val="00263E48"/>
    <w:rsid w:val="00263EFE"/>
    <w:rsid w:val="00264560"/>
    <w:rsid w:val="00264726"/>
    <w:rsid w:val="0026494F"/>
    <w:rsid w:val="00264BD0"/>
    <w:rsid w:val="00264E06"/>
    <w:rsid w:val="00264E5F"/>
    <w:rsid w:val="00265662"/>
    <w:rsid w:val="00265A04"/>
    <w:rsid w:val="00265EEE"/>
    <w:rsid w:val="00266040"/>
    <w:rsid w:val="00266703"/>
    <w:rsid w:val="00267D52"/>
    <w:rsid w:val="00267F96"/>
    <w:rsid w:val="00270C7A"/>
    <w:rsid w:val="00271474"/>
    <w:rsid w:val="002716C0"/>
    <w:rsid w:val="00271F99"/>
    <w:rsid w:val="002726D1"/>
    <w:rsid w:val="0027362D"/>
    <w:rsid w:val="00273E41"/>
    <w:rsid w:val="00273E67"/>
    <w:rsid w:val="00274FE5"/>
    <w:rsid w:val="002770DE"/>
    <w:rsid w:val="00277F6C"/>
    <w:rsid w:val="00280EBB"/>
    <w:rsid w:val="00280FA1"/>
    <w:rsid w:val="002811C5"/>
    <w:rsid w:val="002815A6"/>
    <w:rsid w:val="00281B2A"/>
    <w:rsid w:val="00281C06"/>
    <w:rsid w:val="002823C8"/>
    <w:rsid w:val="002823D4"/>
    <w:rsid w:val="0028383E"/>
    <w:rsid w:val="00283A73"/>
    <w:rsid w:val="00283E78"/>
    <w:rsid w:val="002842AA"/>
    <w:rsid w:val="002853EA"/>
    <w:rsid w:val="00286681"/>
    <w:rsid w:val="00286729"/>
    <w:rsid w:val="002867B8"/>
    <w:rsid w:val="002869DA"/>
    <w:rsid w:val="00286BAA"/>
    <w:rsid w:val="002871FE"/>
    <w:rsid w:val="00287322"/>
    <w:rsid w:val="00287CD2"/>
    <w:rsid w:val="00290EC9"/>
    <w:rsid w:val="00291806"/>
    <w:rsid w:val="00293F7F"/>
    <w:rsid w:val="0029425A"/>
    <w:rsid w:val="002944BE"/>
    <w:rsid w:val="002947B2"/>
    <w:rsid w:val="00295015"/>
    <w:rsid w:val="00295391"/>
    <w:rsid w:val="00295871"/>
    <w:rsid w:val="00295F1A"/>
    <w:rsid w:val="002965E3"/>
    <w:rsid w:val="002A039D"/>
    <w:rsid w:val="002A17E7"/>
    <w:rsid w:val="002A1836"/>
    <w:rsid w:val="002A1D9D"/>
    <w:rsid w:val="002A1FFF"/>
    <w:rsid w:val="002A35EE"/>
    <w:rsid w:val="002A3B4C"/>
    <w:rsid w:val="002A3F39"/>
    <w:rsid w:val="002A4A08"/>
    <w:rsid w:val="002A5062"/>
    <w:rsid w:val="002A54C5"/>
    <w:rsid w:val="002A567E"/>
    <w:rsid w:val="002A5E53"/>
    <w:rsid w:val="002A69DD"/>
    <w:rsid w:val="002A744D"/>
    <w:rsid w:val="002A74E4"/>
    <w:rsid w:val="002B032D"/>
    <w:rsid w:val="002B07E4"/>
    <w:rsid w:val="002B1080"/>
    <w:rsid w:val="002B1D9B"/>
    <w:rsid w:val="002B22F6"/>
    <w:rsid w:val="002B3406"/>
    <w:rsid w:val="002B3416"/>
    <w:rsid w:val="002B4310"/>
    <w:rsid w:val="002B4AB0"/>
    <w:rsid w:val="002B5052"/>
    <w:rsid w:val="002B50B6"/>
    <w:rsid w:val="002B5253"/>
    <w:rsid w:val="002B5258"/>
    <w:rsid w:val="002B5739"/>
    <w:rsid w:val="002B587E"/>
    <w:rsid w:val="002B588E"/>
    <w:rsid w:val="002B5B53"/>
    <w:rsid w:val="002B5D03"/>
    <w:rsid w:val="002B5D5B"/>
    <w:rsid w:val="002B5FD5"/>
    <w:rsid w:val="002B72F7"/>
    <w:rsid w:val="002B740D"/>
    <w:rsid w:val="002B74E8"/>
    <w:rsid w:val="002B74F1"/>
    <w:rsid w:val="002B79A7"/>
    <w:rsid w:val="002B7E38"/>
    <w:rsid w:val="002C030A"/>
    <w:rsid w:val="002C112D"/>
    <w:rsid w:val="002C14CD"/>
    <w:rsid w:val="002C17EB"/>
    <w:rsid w:val="002C1892"/>
    <w:rsid w:val="002C231B"/>
    <w:rsid w:val="002C2632"/>
    <w:rsid w:val="002C274B"/>
    <w:rsid w:val="002C275D"/>
    <w:rsid w:val="002C28B2"/>
    <w:rsid w:val="002C2AF7"/>
    <w:rsid w:val="002C338D"/>
    <w:rsid w:val="002C3F3F"/>
    <w:rsid w:val="002C6027"/>
    <w:rsid w:val="002C6C80"/>
    <w:rsid w:val="002C6D75"/>
    <w:rsid w:val="002D031C"/>
    <w:rsid w:val="002D1435"/>
    <w:rsid w:val="002D2172"/>
    <w:rsid w:val="002D2859"/>
    <w:rsid w:val="002D2FAD"/>
    <w:rsid w:val="002D41D8"/>
    <w:rsid w:val="002D45C7"/>
    <w:rsid w:val="002D5027"/>
    <w:rsid w:val="002D6A98"/>
    <w:rsid w:val="002D74BA"/>
    <w:rsid w:val="002D76A1"/>
    <w:rsid w:val="002D77C2"/>
    <w:rsid w:val="002E008D"/>
    <w:rsid w:val="002E0331"/>
    <w:rsid w:val="002E0B64"/>
    <w:rsid w:val="002E1434"/>
    <w:rsid w:val="002E26B6"/>
    <w:rsid w:val="002E2D99"/>
    <w:rsid w:val="002E3453"/>
    <w:rsid w:val="002E3738"/>
    <w:rsid w:val="002E3AB6"/>
    <w:rsid w:val="002E4246"/>
    <w:rsid w:val="002E43B0"/>
    <w:rsid w:val="002E5899"/>
    <w:rsid w:val="002E7082"/>
    <w:rsid w:val="002E7477"/>
    <w:rsid w:val="002E79E2"/>
    <w:rsid w:val="002F0893"/>
    <w:rsid w:val="002F0AED"/>
    <w:rsid w:val="002F0D19"/>
    <w:rsid w:val="002F161B"/>
    <w:rsid w:val="002F182D"/>
    <w:rsid w:val="002F23BE"/>
    <w:rsid w:val="002F2B54"/>
    <w:rsid w:val="002F3202"/>
    <w:rsid w:val="002F3454"/>
    <w:rsid w:val="002F398C"/>
    <w:rsid w:val="002F498B"/>
    <w:rsid w:val="002F50C2"/>
    <w:rsid w:val="002F52AD"/>
    <w:rsid w:val="002F53FA"/>
    <w:rsid w:val="002F694A"/>
    <w:rsid w:val="002F7766"/>
    <w:rsid w:val="002F79DF"/>
    <w:rsid w:val="00300BE6"/>
    <w:rsid w:val="00300C7B"/>
    <w:rsid w:val="0030136C"/>
    <w:rsid w:val="003027AB"/>
    <w:rsid w:val="00302908"/>
    <w:rsid w:val="00302B8A"/>
    <w:rsid w:val="00302C8E"/>
    <w:rsid w:val="00302EBC"/>
    <w:rsid w:val="00302F72"/>
    <w:rsid w:val="003033D9"/>
    <w:rsid w:val="00303E01"/>
    <w:rsid w:val="00304398"/>
    <w:rsid w:val="00304BFB"/>
    <w:rsid w:val="003059E9"/>
    <w:rsid w:val="00305DB7"/>
    <w:rsid w:val="00305ED2"/>
    <w:rsid w:val="003067FE"/>
    <w:rsid w:val="00306E57"/>
    <w:rsid w:val="00306FBD"/>
    <w:rsid w:val="00307BC9"/>
    <w:rsid w:val="00310265"/>
    <w:rsid w:val="00310903"/>
    <w:rsid w:val="00310E66"/>
    <w:rsid w:val="00311033"/>
    <w:rsid w:val="0031109E"/>
    <w:rsid w:val="003113E9"/>
    <w:rsid w:val="003116EC"/>
    <w:rsid w:val="00311916"/>
    <w:rsid w:val="003124F0"/>
    <w:rsid w:val="003127CF"/>
    <w:rsid w:val="0031287A"/>
    <w:rsid w:val="00313425"/>
    <w:rsid w:val="00313CC3"/>
    <w:rsid w:val="0031463D"/>
    <w:rsid w:val="00315BA6"/>
    <w:rsid w:val="00316880"/>
    <w:rsid w:val="00316AC5"/>
    <w:rsid w:val="003171A7"/>
    <w:rsid w:val="00317513"/>
    <w:rsid w:val="00317548"/>
    <w:rsid w:val="00317A76"/>
    <w:rsid w:val="00317B62"/>
    <w:rsid w:val="00320807"/>
    <w:rsid w:val="003209F4"/>
    <w:rsid w:val="00321F0D"/>
    <w:rsid w:val="003247A6"/>
    <w:rsid w:val="0032492E"/>
    <w:rsid w:val="00324E93"/>
    <w:rsid w:val="00325835"/>
    <w:rsid w:val="003259A4"/>
    <w:rsid w:val="00325E9C"/>
    <w:rsid w:val="00326B91"/>
    <w:rsid w:val="00327B67"/>
    <w:rsid w:val="0033001D"/>
    <w:rsid w:val="003308AE"/>
    <w:rsid w:val="003315B6"/>
    <w:rsid w:val="003316F5"/>
    <w:rsid w:val="00331A11"/>
    <w:rsid w:val="00331E2C"/>
    <w:rsid w:val="00332045"/>
    <w:rsid w:val="003320D6"/>
    <w:rsid w:val="0033295A"/>
    <w:rsid w:val="00332D25"/>
    <w:rsid w:val="00334A98"/>
    <w:rsid w:val="00334B2C"/>
    <w:rsid w:val="00335B57"/>
    <w:rsid w:val="0033623A"/>
    <w:rsid w:val="00336326"/>
    <w:rsid w:val="003369E1"/>
    <w:rsid w:val="00336BF8"/>
    <w:rsid w:val="003375A2"/>
    <w:rsid w:val="0033775C"/>
    <w:rsid w:val="00337A4E"/>
    <w:rsid w:val="0034017D"/>
    <w:rsid w:val="003401E5"/>
    <w:rsid w:val="0034069F"/>
    <w:rsid w:val="0034182A"/>
    <w:rsid w:val="00342307"/>
    <w:rsid w:val="00342BF7"/>
    <w:rsid w:val="0034300D"/>
    <w:rsid w:val="00343336"/>
    <w:rsid w:val="0034380E"/>
    <w:rsid w:val="003455D8"/>
    <w:rsid w:val="00345A49"/>
    <w:rsid w:val="0034631A"/>
    <w:rsid w:val="00346530"/>
    <w:rsid w:val="00346F1D"/>
    <w:rsid w:val="003520E2"/>
    <w:rsid w:val="0035220E"/>
    <w:rsid w:val="00352CC2"/>
    <w:rsid w:val="00352D07"/>
    <w:rsid w:val="00352DF5"/>
    <w:rsid w:val="00353DC4"/>
    <w:rsid w:val="00353F83"/>
    <w:rsid w:val="003547BD"/>
    <w:rsid w:val="00354F95"/>
    <w:rsid w:val="00355B89"/>
    <w:rsid w:val="003568C8"/>
    <w:rsid w:val="00357BDA"/>
    <w:rsid w:val="003601FB"/>
    <w:rsid w:val="0036053A"/>
    <w:rsid w:val="00360742"/>
    <w:rsid w:val="00361BF6"/>
    <w:rsid w:val="0036271F"/>
    <w:rsid w:val="0036282B"/>
    <w:rsid w:val="00363BCF"/>
    <w:rsid w:val="00363E45"/>
    <w:rsid w:val="00364397"/>
    <w:rsid w:val="0036492C"/>
    <w:rsid w:val="00365B12"/>
    <w:rsid w:val="00365DF8"/>
    <w:rsid w:val="00365ECA"/>
    <w:rsid w:val="00365F48"/>
    <w:rsid w:val="003660F2"/>
    <w:rsid w:val="0036680E"/>
    <w:rsid w:val="0036680F"/>
    <w:rsid w:val="00366DBB"/>
    <w:rsid w:val="003679AC"/>
    <w:rsid w:val="003716D7"/>
    <w:rsid w:val="003716DE"/>
    <w:rsid w:val="00371AB0"/>
    <w:rsid w:val="00372453"/>
    <w:rsid w:val="00373247"/>
    <w:rsid w:val="00374672"/>
    <w:rsid w:val="00374796"/>
    <w:rsid w:val="00374FB3"/>
    <w:rsid w:val="00375537"/>
    <w:rsid w:val="00375AD5"/>
    <w:rsid w:val="00375FD3"/>
    <w:rsid w:val="0037675F"/>
    <w:rsid w:val="00376F13"/>
    <w:rsid w:val="00377357"/>
    <w:rsid w:val="0037746C"/>
    <w:rsid w:val="00377E28"/>
    <w:rsid w:val="00380113"/>
    <w:rsid w:val="00380613"/>
    <w:rsid w:val="003814FA"/>
    <w:rsid w:val="00381AB2"/>
    <w:rsid w:val="00381C01"/>
    <w:rsid w:val="00382063"/>
    <w:rsid w:val="0038214B"/>
    <w:rsid w:val="003829D1"/>
    <w:rsid w:val="00382F00"/>
    <w:rsid w:val="003851BD"/>
    <w:rsid w:val="0038566B"/>
    <w:rsid w:val="00385FA8"/>
    <w:rsid w:val="0038666E"/>
    <w:rsid w:val="003866B7"/>
    <w:rsid w:val="00386AB9"/>
    <w:rsid w:val="00386F54"/>
    <w:rsid w:val="003870AA"/>
    <w:rsid w:val="00390680"/>
    <w:rsid w:val="00390814"/>
    <w:rsid w:val="00390CC9"/>
    <w:rsid w:val="003910B3"/>
    <w:rsid w:val="003910C7"/>
    <w:rsid w:val="00391386"/>
    <w:rsid w:val="00392A0E"/>
    <w:rsid w:val="00393259"/>
    <w:rsid w:val="003935A1"/>
    <w:rsid w:val="00393DBA"/>
    <w:rsid w:val="00393F48"/>
    <w:rsid w:val="003945C2"/>
    <w:rsid w:val="00395101"/>
    <w:rsid w:val="003951C6"/>
    <w:rsid w:val="00395860"/>
    <w:rsid w:val="00395D39"/>
    <w:rsid w:val="00396371"/>
    <w:rsid w:val="003963E7"/>
    <w:rsid w:val="00396419"/>
    <w:rsid w:val="003964D9"/>
    <w:rsid w:val="003979C7"/>
    <w:rsid w:val="00397D18"/>
    <w:rsid w:val="003A0313"/>
    <w:rsid w:val="003A0329"/>
    <w:rsid w:val="003A06F1"/>
    <w:rsid w:val="003A206A"/>
    <w:rsid w:val="003A2DC4"/>
    <w:rsid w:val="003A3602"/>
    <w:rsid w:val="003A530B"/>
    <w:rsid w:val="003A62B3"/>
    <w:rsid w:val="003A63CE"/>
    <w:rsid w:val="003A7369"/>
    <w:rsid w:val="003A78D8"/>
    <w:rsid w:val="003A7AED"/>
    <w:rsid w:val="003A7EC0"/>
    <w:rsid w:val="003B0A1F"/>
    <w:rsid w:val="003B0A5B"/>
    <w:rsid w:val="003B0B3B"/>
    <w:rsid w:val="003B0BF8"/>
    <w:rsid w:val="003B13F9"/>
    <w:rsid w:val="003B1668"/>
    <w:rsid w:val="003B1E2C"/>
    <w:rsid w:val="003B2341"/>
    <w:rsid w:val="003B3294"/>
    <w:rsid w:val="003B359B"/>
    <w:rsid w:val="003B3A73"/>
    <w:rsid w:val="003B4847"/>
    <w:rsid w:val="003B5330"/>
    <w:rsid w:val="003B58CA"/>
    <w:rsid w:val="003B5B20"/>
    <w:rsid w:val="003B5F35"/>
    <w:rsid w:val="003B7257"/>
    <w:rsid w:val="003B78A9"/>
    <w:rsid w:val="003B7B5D"/>
    <w:rsid w:val="003C0162"/>
    <w:rsid w:val="003C016D"/>
    <w:rsid w:val="003C0E03"/>
    <w:rsid w:val="003C26CC"/>
    <w:rsid w:val="003C383D"/>
    <w:rsid w:val="003C3F2E"/>
    <w:rsid w:val="003C4114"/>
    <w:rsid w:val="003C489B"/>
    <w:rsid w:val="003C5018"/>
    <w:rsid w:val="003C50A4"/>
    <w:rsid w:val="003C538A"/>
    <w:rsid w:val="003C6221"/>
    <w:rsid w:val="003C6CE3"/>
    <w:rsid w:val="003C701F"/>
    <w:rsid w:val="003C74D7"/>
    <w:rsid w:val="003C7958"/>
    <w:rsid w:val="003D027C"/>
    <w:rsid w:val="003D2377"/>
    <w:rsid w:val="003D23AD"/>
    <w:rsid w:val="003D370B"/>
    <w:rsid w:val="003D46EC"/>
    <w:rsid w:val="003D5688"/>
    <w:rsid w:val="003D5994"/>
    <w:rsid w:val="003D6696"/>
    <w:rsid w:val="003D68E3"/>
    <w:rsid w:val="003D6C00"/>
    <w:rsid w:val="003D7008"/>
    <w:rsid w:val="003E0673"/>
    <w:rsid w:val="003E06DD"/>
    <w:rsid w:val="003E287B"/>
    <w:rsid w:val="003E28E8"/>
    <w:rsid w:val="003E30B4"/>
    <w:rsid w:val="003E341B"/>
    <w:rsid w:val="003E34E9"/>
    <w:rsid w:val="003E3997"/>
    <w:rsid w:val="003E4F11"/>
    <w:rsid w:val="003E57AF"/>
    <w:rsid w:val="003E608C"/>
    <w:rsid w:val="003E6579"/>
    <w:rsid w:val="003E66B2"/>
    <w:rsid w:val="003E7386"/>
    <w:rsid w:val="003E746F"/>
    <w:rsid w:val="003E7580"/>
    <w:rsid w:val="003E76D3"/>
    <w:rsid w:val="003E7C76"/>
    <w:rsid w:val="003E7F05"/>
    <w:rsid w:val="003F0D28"/>
    <w:rsid w:val="003F11AE"/>
    <w:rsid w:val="003F1DF5"/>
    <w:rsid w:val="003F1F57"/>
    <w:rsid w:val="003F2BFB"/>
    <w:rsid w:val="003F37A8"/>
    <w:rsid w:val="003F3F02"/>
    <w:rsid w:val="003F4F9D"/>
    <w:rsid w:val="003F5A44"/>
    <w:rsid w:val="003F5B6D"/>
    <w:rsid w:val="003F5FBD"/>
    <w:rsid w:val="003F693C"/>
    <w:rsid w:val="003F7584"/>
    <w:rsid w:val="00400540"/>
    <w:rsid w:val="00400D8D"/>
    <w:rsid w:val="004016DA"/>
    <w:rsid w:val="00402006"/>
    <w:rsid w:val="004031E1"/>
    <w:rsid w:val="00403EA7"/>
    <w:rsid w:val="00404668"/>
    <w:rsid w:val="00405AD8"/>
    <w:rsid w:val="0040628E"/>
    <w:rsid w:val="00406E94"/>
    <w:rsid w:val="004108C2"/>
    <w:rsid w:val="0041116E"/>
    <w:rsid w:val="0041164B"/>
    <w:rsid w:val="00411D28"/>
    <w:rsid w:val="00412C75"/>
    <w:rsid w:val="00413201"/>
    <w:rsid w:val="0041372E"/>
    <w:rsid w:val="0041376E"/>
    <w:rsid w:val="0041395D"/>
    <w:rsid w:val="00413DDE"/>
    <w:rsid w:val="004142AA"/>
    <w:rsid w:val="00414A94"/>
    <w:rsid w:val="00415639"/>
    <w:rsid w:val="00415B05"/>
    <w:rsid w:val="00415C65"/>
    <w:rsid w:val="004164FA"/>
    <w:rsid w:val="00416781"/>
    <w:rsid w:val="0041753B"/>
    <w:rsid w:val="0041783D"/>
    <w:rsid w:val="004204E3"/>
    <w:rsid w:val="004206F9"/>
    <w:rsid w:val="00421535"/>
    <w:rsid w:val="0042182F"/>
    <w:rsid w:val="004222E9"/>
    <w:rsid w:val="004229EC"/>
    <w:rsid w:val="00422A41"/>
    <w:rsid w:val="00422BC3"/>
    <w:rsid w:val="00422DC6"/>
    <w:rsid w:val="00423069"/>
    <w:rsid w:val="00423339"/>
    <w:rsid w:val="00423864"/>
    <w:rsid w:val="00424110"/>
    <w:rsid w:val="00424157"/>
    <w:rsid w:val="00426B4D"/>
    <w:rsid w:val="00427063"/>
    <w:rsid w:val="00431229"/>
    <w:rsid w:val="00432982"/>
    <w:rsid w:val="00432AD4"/>
    <w:rsid w:val="00433784"/>
    <w:rsid w:val="00433A9F"/>
    <w:rsid w:val="00436213"/>
    <w:rsid w:val="00436F8D"/>
    <w:rsid w:val="00437618"/>
    <w:rsid w:val="00437A1C"/>
    <w:rsid w:val="00440359"/>
    <w:rsid w:val="004409BA"/>
    <w:rsid w:val="00440B31"/>
    <w:rsid w:val="00441A59"/>
    <w:rsid w:val="00442B93"/>
    <w:rsid w:val="00442FD4"/>
    <w:rsid w:val="00443194"/>
    <w:rsid w:val="004438F7"/>
    <w:rsid w:val="00444D7A"/>
    <w:rsid w:val="00445691"/>
    <w:rsid w:val="00445779"/>
    <w:rsid w:val="00445E56"/>
    <w:rsid w:val="00446464"/>
    <w:rsid w:val="0044680D"/>
    <w:rsid w:val="00446DB0"/>
    <w:rsid w:val="00446EF3"/>
    <w:rsid w:val="00447D1C"/>
    <w:rsid w:val="0045000D"/>
    <w:rsid w:val="004516A9"/>
    <w:rsid w:val="00451C6E"/>
    <w:rsid w:val="00451D3A"/>
    <w:rsid w:val="00452577"/>
    <w:rsid w:val="00452CCC"/>
    <w:rsid w:val="004532E2"/>
    <w:rsid w:val="004535B6"/>
    <w:rsid w:val="00455643"/>
    <w:rsid w:val="00455822"/>
    <w:rsid w:val="00455A47"/>
    <w:rsid w:val="00456097"/>
    <w:rsid w:val="00456259"/>
    <w:rsid w:val="0045626A"/>
    <w:rsid w:val="004563EA"/>
    <w:rsid w:val="00456ACE"/>
    <w:rsid w:val="00460769"/>
    <w:rsid w:val="00460A02"/>
    <w:rsid w:val="00460E9B"/>
    <w:rsid w:val="00461820"/>
    <w:rsid w:val="004622C6"/>
    <w:rsid w:val="0046348B"/>
    <w:rsid w:val="00463C49"/>
    <w:rsid w:val="00463E78"/>
    <w:rsid w:val="00464D97"/>
    <w:rsid w:val="00464E91"/>
    <w:rsid w:val="004656DE"/>
    <w:rsid w:val="00465850"/>
    <w:rsid w:val="00466151"/>
    <w:rsid w:val="004668E6"/>
    <w:rsid w:val="00466FBC"/>
    <w:rsid w:val="0046744B"/>
    <w:rsid w:val="00470072"/>
    <w:rsid w:val="00470105"/>
    <w:rsid w:val="004704B6"/>
    <w:rsid w:val="0047055A"/>
    <w:rsid w:val="004707FD"/>
    <w:rsid w:val="00470E4C"/>
    <w:rsid w:val="00471028"/>
    <w:rsid w:val="004710E1"/>
    <w:rsid w:val="00471BF9"/>
    <w:rsid w:val="00471D33"/>
    <w:rsid w:val="00471D4B"/>
    <w:rsid w:val="00471DCA"/>
    <w:rsid w:val="00472167"/>
    <w:rsid w:val="0047226D"/>
    <w:rsid w:val="004726A1"/>
    <w:rsid w:val="004728C4"/>
    <w:rsid w:val="00473093"/>
    <w:rsid w:val="004737F0"/>
    <w:rsid w:val="00473908"/>
    <w:rsid w:val="00473A38"/>
    <w:rsid w:val="00473A59"/>
    <w:rsid w:val="0047442A"/>
    <w:rsid w:val="004754E2"/>
    <w:rsid w:val="0047553C"/>
    <w:rsid w:val="00475C9C"/>
    <w:rsid w:val="0047605E"/>
    <w:rsid w:val="00476229"/>
    <w:rsid w:val="00476394"/>
    <w:rsid w:val="004764D1"/>
    <w:rsid w:val="004806D1"/>
    <w:rsid w:val="004812C4"/>
    <w:rsid w:val="00481370"/>
    <w:rsid w:val="004823E2"/>
    <w:rsid w:val="00482851"/>
    <w:rsid w:val="00482BA1"/>
    <w:rsid w:val="00483CD9"/>
    <w:rsid w:val="0048432F"/>
    <w:rsid w:val="00484D4E"/>
    <w:rsid w:val="00484DE3"/>
    <w:rsid w:val="0048566A"/>
    <w:rsid w:val="00486E9B"/>
    <w:rsid w:val="00487390"/>
    <w:rsid w:val="0048769B"/>
    <w:rsid w:val="004878F3"/>
    <w:rsid w:val="00490444"/>
    <w:rsid w:val="0049093E"/>
    <w:rsid w:val="00491006"/>
    <w:rsid w:val="0049103C"/>
    <w:rsid w:val="00491491"/>
    <w:rsid w:val="00491A48"/>
    <w:rsid w:val="0049293A"/>
    <w:rsid w:val="00492EAF"/>
    <w:rsid w:val="00493D4D"/>
    <w:rsid w:val="00493DFF"/>
    <w:rsid w:val="004946DC"/>
    <w:rsid w:val="0049490F"/>
    <w:rsid w:val="00494C3F"/>
    <w:rsid w:val="0049536E"/>
    <w:rsid w:val="004955FD"/>
    <w:rsid w:val="00496975"/>
    <w:rsid w:val="004A1733"/>
    <w:rsid w:val="004A2460"/>
    <w:rsid w:val="004A2512"/>
    <w:rsid w:val="004A2845"/>
    <w:rsid w:val="004A2CC3"/>
    <w:rsid w:val="004A364A"/>
    <w:rsid w:val="004A3F52"/>
    <w:rsid w:val="004A45AD"/>
    <w:rsid w:val="004A470E"/>
    <w:rsid w:val="004A51EC"/>
    <w:rsid w:val="004A5F23"/>
    <w:rsid w:val="004A6249"/>
    <w:rsid w:val="004A655F"/>
    <w:rsid w:val="004A7340"/>
    <w:rsid w:val="004A7D2E"/>
    <w:rsid w:val="004B0129"/>
    <w:rsid w:val="004B0E39"/>
    <w:rsid w:val="004B18E4"/>
    <w:rsid w:val="004B30BA"/>
    <w:rsid w:val="004B3AAB"/>
    <w:rsid w:val="004B3B0B"/>
    <w:rsid w:val="004B43A3"/>
    <w:rsid w:val="004B49D2"/>
    <w:rsid w:val="004B4A3E"/>
    <w:rsid w:val="004B4C38"/>
    <w:rsid w:val="004B4CE7"/>
    <w:rsid w:val="004B4D49"/>
    <w:rsid w:val="004B606F"/>
    <w:rsid w:val="004B6247"/>
    <w:rsid w:val="004B6961"/>
    <w:rsid w:val="004B7C90"/>
    <w:rsid w:val="004C03AA"/>
    <w:rsid w:val="004C0664"/>
    <w:rsid w:val="004C0EDA"/>
    <w:rsid w:val="004C180A"/>
    <w:rsid w:val="004C1A17"/>
    <w:rsid w:val="004C1AC0"/>
    <w:rsid w:val="004C1C9D"/>
    <w:rsid w:val="004C35A1"/>
    <w:rsid w:val="004C449C"/>
    <w:rsid w:val="004C5E90"/>
    <w:rsid w:val="004C6F83"/>
    <w:rsid w:val="004C75C6"/>
    <w:rsid w:val="004C7920"/>
    <w:rsid w:val="004C7A03"/>
    <w:rsid w:val="004C7C8A"/>
    <w:rsid w:val="004D05EE"/>
    <w:rsid w:val="004D06C5"/>
    <w:rsid w:val="004D100F"/>
    <w:rsid w:val="004D1533"/>
    <w:rsid w:val="004D164C"/>
    <w:rsid w:val="004D1A64"/>
    <w:rsid w:val="004D248A"/>
    <w:rsid w:val="004D2BE5"/>
    <w:rsid w:val="004D3494"/>
    <w:rsid w:val="004D36B7"/>
    <w:rsid w:val="004D38CB"/>
    <w:rsid w:val="004D3A52"/>
    <w:rsid w:val="004D4027"/>
    <w:rsid w:val="004D422B"/>
    <w:rsid w:val="004D4316"/>
    <w:rsid w:val="004D527A"/>
    <w:rsid w:val="004D66E5"/>
    <w:rsid w:val="004D6B9D"/>
    <w:rsid w:val="004E0245"/>
    <w:rsid w:val="004E0882"/>
    <w:rsid w:val="004E118C"/>
    <w:rsid w:val="004E1226"/>
    <w:rsid w:val="004E1BE6"/>
    <w:rsid w:val="004E2A62"/>
    <w:rsid w:val="004E529C"/>
    <w:rsid w:val="004E5363"/>
    <w:rsid w:val="004E5534"/>
    <w:rsid w:val="004E5BFF"/>
    <w:rsid w:val="004E60FE"/>
    <w:rsid w:val="004E6AB5"/>
    <w:rsid w:val="004E7868"/>
    <w:rsid w:val="004E7E76"/>
    <w:rsid w:val="004F05D8"/>
    <w:rsid w:val="004F0E5C"/>
    <w:rsid w:val="004F152A"/>
    <w:rsid w:val="004F174D"/>
    <w:rsid w:val="004F24EA"/>
    <w:rsid w:val="004F2F82"/>
    <w:rsid w:val="004F3328"/>
    <w:rsid w:val="004F410B"/>
    <w:rsid w:val="004F42B4"/>
    <w:rsid w:val="004F43CF"/>
    <w:rsid w:val="004F454E"/>
    <w:rsid w:val="004F4933"/>
    <w:rsid w:val="004F4D92"/>
    <w:rsid w:val="004F51F5"/>
    <w:rsid w:val="004F5816"/>
    <w:rsid w:val="004F5CE5"/>
    <w:rsid w:val="004F5F3E"/>
    <w:rsid w:val="004F6168"/>
    <w:rsid w:val="004F6D43"/>
    <w:rsid w:val="004F77E2"/>
    <w:rsid w:val="004F7812"/>
    <w:rsid w:val="004F7E96"/>
    <w:rsid w:val="004F7F2F"/>
    <w:rsid w:val="005001D7"/>
    <w:rsid w:val="0050085A"/>
    <w:rsid w:val="0050355F"/>
    <w:rsid w:val="005044D3"/>
    <w:rsid w:val="0050462B"/>
    <w:rsid w:val="00504BC0"/>
    <w:rsid w:val="0050521B"/>
    <w:rsid w:val="005055F3"/>
    <w:rsid w:val="00505955"/>
    <w:rsid w:val="00506064"/>
    <w:rsid w:val="005060A5"/>
    <w:rsid w:val="0050616B"/>
    <w:rsid w:val="00506744"/>
    <w:rsid w:val="00510744"/>
    <w:rsid w:val="0051194A"/>
    <w:rsid w:val="00512078"/>
    <w:rsid w:val="00512412"/>
    <w:rsid w:val="0051265C"/>
    <w:rsid w:val="005131A8"/>
    <w:rsid w:val="00513279"/>
    <w:rsid w:val="0051361E"/>
    <w:rsid w:val="005139CE"/>
    <w:rsid w:val="00513D70"/>
    <w:rsid w:val="00514135"/>
    <w:rsid w:val="00514C9B"/>
    <w:rsid w:val="00514D0D"/>
    <w:rsid w:val="00515572"/>
    <w:rsid w:val="005158DA"/>
    <w:rsid w:val="005173E8"/>
    <w:rsid w:val="00517628"/>
    <w:rsid w:val="00520CC2"/>
    <w:rsid w:val="00520FB1"/>
    <w:rsid w:val="005221A9"/>
    <w:rsid w:val="00522463"/>
    <w:rsid w:val="00522BEC"/>
    <w:rsid w:val="00522C43"/>
    <w:rsid w:val="00522FAB"/>
    <w:rsid w:val="00523619"/>
    <w:rsid w:val="00523905"/>
    <w:rsid w:val="00523F3A"/>
    <w:rsid w:val="00524337"/>
    <w:rsid w:val="0052445D"/>
    <w:rsid w:val="005245AC"/>
    <w:rsid w:val="005249FA"/>
    <w:rsid w:val="00524CFF"/>
    <w:rsid w:val="0052583A"/>
    <w:rsid w:val="00525FBF"/>
    <w:rsid w:val="00526DDD"/>
    <w:rsid w:val="005300E9"/>
    <w:rsid w:val="0053033C"/>
    <w:rsid w:val="0053033E"/>
    <w:rsid w:val="00530383"/>
    <w:rsid w:val="005307F4"/>
    <w:rsid w:val="00531BE0"/>
    <w:rsid w:val="00531CCF"/>
    <w:rsid w:val="00532922"/>
    <w:rsid w:val="00532DEA"/>
    <w:rsid w:val="00532FB8"/>
    <w:rsid w:val="005338B8"/>
    <w:rsid w:val="00533E6D"/>
    <w:rsid w:val="00534025"/>
    <w:rsid w:val="00534515"/>
    <w:rsid w:val="005348D0"/>
    <w:rsid w:val="005364E2"/>
    <w:rsid w:val="00536626"/>
    <w:rsid w:val="00536BD1"/>
    <w:rsid w:val="00536D7D"/>
    <w:rsid w:val="0053791A"/>
    <w:rsid w:val="00537981"/>
    <w:rsid w:val="00540C1F"/>
    <w:rsid w:val="0054103D"/>
    <w:rsid w:val="005427ED"/>
    <w:rsid w:val="0054291C"/>
    <w:rsid w:val="00542E10"/>
    <w:rsid w:val="00542E88"/>
    <w:rsid w:val="00542F3F"/>
    <w:rsid w:val="0054325D"/>
    <w:rsid w:val="00543578"/>
    <w:rsid w:val="00543792"/>
    <w:rsid w:val="00543A49"/>
    <w:rsid w:val="00543E43"/>
    <w:rsid w:val="005458E7"/>
    <w:rsid w:val="00545B6F"/>
    <w:rsid w:val="005463C0"/>
    <w:rsid w:val="00550466"/>
    <w:rsid w:val="00550D7C"/>
    <w:rsid w:val="00550DF3"/>
    <w:rsid w:val="00550DF5"/>
    <w:rsid w:val="00551258"/>
    <w:rsid w:val="005514AF"/>
    <w:rsid w:val="00551D50"/>
    <w:rsid w:val="00552094"/>
    <w:rsid w:val="0055212A"/>
    <w:rsid w:val="00552691"/>
    <w:rsid w:val="00552A0D"/>
    <w:rsid w:val="00552EB7"/>
    <w:rsid w:val="0055473F"/>
    <w:rsid w:val="00554CAE"/>
    <w:rsid w:val="00556B5D"/>
    <w:rsid w:val="00557204"/>
    <w:rsid w:val="0055768E"/>
    <w:rsid w:val="00557AAA"/>
    <w:rsid w:val="00561A0B"/>
    <w:rsid w:val="005620B5"/>
    <w:rsid w:val="005627D6"/>
    <w:rsid w:val="00562D79"/>
    <w:rsid w:val="00563020"/>
    <w:rsid w:val="00563C20"/>
    <w:rsid w:val="00563EAF"/>
    <w:rsid w:val="00564108"/>
    <w:rsid w:val="00564AA3"/>
    <w:rsid w:val="00564DCF"/>
    <w:rsid w:val="00565624"/>
    <w:rsid w:val="0056575D"/>
    <w:rsid w:val="00565D59"/>
    <w:rsid w:val="00566650"/>
    <w:rsid w:val="005666FA"/>
    <w:rsid w:val="00567119"/>
    <w:rsid w:val="00567B0C"/>
    <w:rsid w:val="00567F30"/>
    <w:rsid w:val="00570226"/>
    <w:rsid w:val="00571A2B"/>
    <w:rsid w:val="0057225A"/>
    <w:rsid w:val="00572D72"/>
    <w:rsid w:val="00574087"/>
    <w:rsid w:val="0057588E"/>
    <w:rsid w:val="00575E07"/>
    <w:rsid w:val="00576282"/>
    <w:rsid w:val="0057761D"/>
    <w:rsid w:val="00580AC1"/>
    <w:rsid w:val="00580AD0"/>
    <w:rsid w:val="005810B7"/>
    <w:rsid w:val="005817A8"/>
    <w:rsid w:val="00581F38"/>
    <w:rsid w:val="0058233A"/>
    <w:rsid w:val="00582741"/>
    <w:rsid w:val="00583110"/>
    <w:rsid w:val="005832E4"/>
    <w:rsid w:val="005842DE"/>
    <w:rsid w:val="00584E22"/>
    <w:rsid w:val="00585E73"/>
    <w:rsid w:val="0058624D"/>
    <w:rsid w:val="0058631B"/>
    <w:rsid w:val="00587069"/>
    <w:rsid w:val="00587093"/>
    <w:rsid w:val="00590371"/>
    <w:rsid w:val="00590697"/>
    <w:rsid w:val="00590B4B"/>
    <w:rsid w:val="0059154D"/>
    <w:rsid w:val="005916A7"/>
    <w:rsid w:val="00592839"/>
    <w:rsid w:val="00593229"/>
    <w:rsid w:val="005935CE"/>
    <w:rsid w:val="00593982"/>
    <w:rsid w:val="00593B7C"/>
    <w:rsid w:val="00593F3A"/>
    <w:rsid w:val="0059400C"/>
    <w:rsid w:val="005949C0"/>
    <w:rsid w:val="00594FA7"/>
    <w:rsid w:val="00595938"/>
    <w:rsid w:val="00595A23"/>
    <w:rsid w:val="00596409"/>
    <w:rsid w:val="00596731"/>
    <w:rsid w:val="00596D36"/>
    <w:rsid w:val="005971FC"/>
    <w:rsid w:val="005973EB"/>
    <w:rsid w:val="005976C5"/>
    <w:rsid w:val="005A09D8"/>
    <w:rsid w:val="005A0AA1"/>
    <w:rsid w:val="005A0E55"/>
    <w:rsid w:val="005A1435"/>
    <w:rsid w:val="005A14DD"/>
    <w:rsid w:val="005A1BC3"/>
    <w:rsid w:val="005A1C70"/>
    <w:rsid w:val="005A36E7"/>
    <w:rsid w:val="005A4405"/>
    <w:rsid w:val="005A495B"/>
    <w:rsid w:val="005A4D62"/>
    <w:rsid w:val="005A4FFD"/>
    <w:rsid w:val="005A50F2"/>
    <w:rsid w:val="005A5641"/>
    <w:rsid w:val="005A56BA"/>
    <w:rsid w:val="005A5936"/>
    <w:rsid w:val="005A5A6B"/>
    <w:rsid w:val="005A5C99"/>
    <w:rsid w:val="005A6295"/>
    <w:rsid w:val="005A79DE"/>
    <w:rsid w:val="005B03D1"/>
    <w:rsid w:val="005B0DDB"/>
    <w:rsid w:val="005B2C4F"/>
    <w:rsid w:val="005B2C9A"/>
    <w:rsid w:val="005B3150"/>
    <w:rsid w:val="005B3421"/>
    <w:rsid w:val="005B3AE3"/>
    <w:rsid w:val="005B48C1"/>
    <w:rsid w:val="005B505E"/>
    <w:rsid w:val="005B56D7"/>
    <w:rsid w:val="005B60E0"/>
    <w:rsid w:val="005B6BFC"/>
    <w:rsid w:val="005B772F"/>
    <w:rsid w:val="005C197A"/>
    <w:rsid w:val="005C1E18"/>
    <w:rsid w:val="005C23B8"/>
    <w:rsid w:val="005C3347"/>
    <w:rsid w:val="005C3897"/>
    <w:rsid w:val="005C439F"/>
    <w:rsid w:val="005C57E3"/>
    <w:rsid w:val="005C594D"/>
    <w:rsid w:val="005C69F2"/>
    <w:rsid w:val="005C7110"/>
    <w:rsid w:val="005C7257"/>
    <w:rsid w:val="005C74FE"/>
    <w:rsid w:val="005C75DD"/>
    <w:rsid w:val="005C7B13"/>
    <w:rsid w:val="005C7C2F"/>
    <w:rsid w:val="005D0624"/>
    <w:rsid w:val="005D087A"/>
    <w:rsid w:val="005D136D"/>
    <w:rsid w:val="005D18BE"/>
    <w:rsid w:val="005D1AC4"/>
    <w:rsid w:val="005D2BFC"/>
    <w:rsid w:val="005D32ED"/>
    <w:rsid w:val="005D36EB"/>
    <w:rsid w:val="005D3846"/>
    <w:rsid w:val="005D4796"/>
    <w:rsid w:val="005D4BE3"/>
    <w:rsid w:val="005D56DD"/>
    <w:rsid w:val="005D5E7F"/>
    <w:rsid w:val="005D6547"/>
    <w:rsid w:val="005D67A1"/>
    <w:rsid w:val="005D7A5D"/>
    <w:rsid w:val="005D7A94"/>
    <w:rsid w:val="005E0348"/>
    <w:rsid w:val="005E10E5"/>
    <w:rsid w:val="005E19A9"/>
    <w:rsid w:val="005E1F46"/>
    <w:rsid w:val="005E2023"/>
    <w:rsid w:val="005E25DF"/>
    <w:rsid w:val="005E2A0C"/>
    <w:rsid w:val="005E2C4A"/>
    <w:rsid w:val="005E3402"/>
    <w:rsid w:val="005E35A4"/>
    <w:rsid w:val="005E3B8C"/>
    <w:rsid w:val="005E3BC4"/>
    <w:rsid w:val="005E3F77"/>
    <w:rsid w:val="005E43AF"/>
    <w:rsid w:val="005E4DCB"/>
    <w:rsid w:val="005E4F14"/>
    <w:rsid w:val="005E5C3E"/>
    <w:rsid w:val="005E5E18"/>
    <w:rsid w:val="005E607F"/>
    <w:rsid w:val="005E614B"/>
    <w:rsid w:val="005E68F3"/>
    <w:rsid w:val="005E7030"/>
    <w:rsid w:val="005E71F5"/>
    <w:rsid w:val="005E7355"/>
    <w:rsid w:val="005F09E5"/>
    <w:rsid w:val="005F19AB"/>
    <w:rsid w:val="005F285B"/>
    <w:rsid w:val="005F3E90"/>
    <w:rsid w:val="005F5652"/>
    <w:rsid w:val="005F6D96"/>
    <w:rsid w:val="005F7390"/>
    <w:rsid w:val="005F7CAD"/>
    <w:rsid w:val="006002E2"/>
    <w:rsid w:val="006008E5"/>
    <w:rsid w:val="00600D5D"/>
    <w:rsid w:val="00601B91"/>
    <w:rsid w:val="00602204"/>
    <w:rsid w:val="00603266"/>
    <w:rsid w:val="00604400"/>
    <w:rsid w:val="0060541C"/>
    <w:rsid w:val="006057A7"/>
    <w:rsid w:val="00610056"/>
    <w:rsid w:val="00610823"/>
    <w:rsid w:val="0061157E"/>
    <w:rsid w:val="00611586"/>
    <w:rsid w:val="00612070"/>
    <w:rsid w:val="00613307"/>
    <w:rsid w:val="006135B0"/>
    <w:rsid w:val="00613EB2"/>
    <w:rsid w:val="00614106"/>
    <w:rsid w:val="0061559A"/>
    <w:rsid w:val="006155D8"/>
    <w:rsid w:val="00615A38"/>
    <w:rsid w:val="00616454"/>
    <w:rsid w:val="00617476"/>
    <w:rsid w:val="006176D9"/>
    <w:rsid w:val="0062115F"/>
    <w:rsid w:val="006213A0"/>
    <w:rsid w:val="006213C2"/>
    <w:rsid w:val="0062175D"/>
    <w:rsid w:val="00622058"/>
    <w:rsid w:val="00622CE7"/>
    <w:rsid w:val="006235B1"/>
    <w:rsid w:val="00623AC2"/>
    <w:rsid w:val="00623EC5"/>
    <w:rsid w:val="00625B37"/>
    <w:rsid w:val="00625F64"/>
    <w:rsid w:val="006260EC"/>
    <w:rsid w:val="00626185"/>
    <w:rsid w:val="00626480"/>
    <w:rsid w:val="00630B3F"/>
    <w:rsid w:val="0063174E"/>
    <w:rsid w:val="00631F5D"/>
    <w:rsid w:val="006328D2"/>
    <w:rsid w:val="00633066"/>
    <w:rsid w:val="00633748"/>
    <w:rsid w:val="006338BC"/>
    <w:rsid w:val="006341A8"/>
    <w:rsid w:val="00635504"/>
    <w:rsid w:val="00635A5C"/>
    <w:rsid w:val="00635BCA"/>
    <w:rsid w:val="00636309"/>
    <w:rsid w:val="00636627"/>
    <w:rsid w:val="00636E37"/>
    <w:rsid w:val="00636E8A"/>
    <w:rsid w:val="006370F1"/>
    <w:rsid w:val="0063746C"/>
    <w:rsid w:val="00637941"/>
    <w:rsid w:val="00637B35"/>
    <w:rsid w:val="00641A4D"/>
    <w:rsid w:val="0064263C"/>
    <w:rsid w:val="0064265F"/>
    <w:rsid w:val="006429DF"/>
    <w:rsid w:val="00642C29"/>
    <w:rsid w:val="00642EF6"/>
    <w:rsid w:val="00642F7E"/>
    <w:rsid w:val="00643232"/>
    <w:rsid w:val="00643383"/>
    <w:rsid w:val="00643923"/>
    <w:rsid w:val="006448CE"/>
    <w:rsid w:val="006459B1"/>
    <w:rsid w:val="00645E3C"/>
    <w:rsid w:val="0064693B"/>
    <w:rsid w:val="00647201"/>
    <w:rsid w:val="0064792F"/>
    <w:rsid w:val="00647DBD"/>
    <w:rsid w:val="00647ED9"/>
    <w:rsid w:val="00650B6B"/>
    <w:rsid w:val="00650C67"/>
    <w:rsid w:val="006515B2"/>
    <w:rsid w:val="00652DDB"/>
    <w:rsid w:val="0065352B"/>
    <w:rsid w:val="006535BC"/>
    <w:rsid w:val="00653AB2"/>
    <w:rsid w:val="00653B40"/>
    <w:rsid w:val="00654E15"/>
    <w:rsid w:val="00655085"/>
    <w:rsid w:val="00655578"/>
    <w:rsid w:val="006556E1"/>
    <w:rsid w:val="00655C8B"/>
    <w:rsid w:val="00655FB6"/>
    <w:rsid w:val="00656C16"/>
    <w:rsid w:val="00657733"/>
    <w:rsid w:val="00657BAF"/>
    <w:rsid w:val="006608D5"/>
    <w:rsid w:val="00661171"/>
    <w:rsid w:val="0066191F"/>
    <w:rsid w:val="00663103"/>
    <w:rsid w:val="00663753"/>
    <w:rsid w:val="00663D3E"/>
    <w:rsid w:val="0066474A"/>
    <w:rsid w:val="00665226"/>
    <w:rsid w:val="00665419"/>
    <w:rsid w:val="00665897"/>
    <w:rsid w:val="006703AC"/>
    <w:rsid w:val="006704D5"/>
    <w:rsid w:val="0067170E"/>
    <w:rsid w:val="0067247E"/>
    <w:rsid w:val="00672489"/>
    <w:rsid w:val="006724FE"/>
    <w:rsid w:val="00672927"/>
    <w:rsid w:val="0067303A"/>
    <w:rsid w:val="00673547"/>
    <w:rsid w:val="00673E6C"/>
    <w:rsid w:val="006744B5"/>
    <w:rsid w:val="006751DC"/>
    <w:rsid w:val="006755EB"/>
    <w:rsid w:val="00675BF6"/>
    <w:rsid w:val="00676024"/>
    <w:rsid w:val="00676700"/>
    <w:rsid w:val="00676728"/>
    <w:rsid w:val="0067747F"/>
    <w:rsid w:val="00677B75"/>
    <w:rsid w:val="00677E59"/>
    <w:rsid w:val="00680091"/>
    <w:rsid w:val="00681145"/>
    <w:rsid w:val="006819B0"/>
    <w:rsid w:val="00681D60"/>
    <w:rsid w:val="00681FDB"/>
    <w:rsid w:val="00682151"/>
    <w:rsid w:val="0068225B"/>
    <w:rsid w:val="00683235"/>
    <w:rsid w:val="006832B8"/>
    <w:rsid w:val="006834BE"/>
    <w:rsid w:val="00683E0E"/>
    <w:rsid w:val="006843D3"/>
    <w:rsid w:val="0068489B"/>
    <w:rsid w:val="00684BB2"/>
    <w:rsid w:val="006851B5"/>
    <w:rsid w:val="006861F9"/>
    <w:rsid w:val="006865CE"/>
    <w:rsid w:val="00687B34"/>
    <w:rsid w:val="00687F87"/>
    <w:rsid w:val="0069096E"/>
    <w:rsid w:val="00690F7E"/>
    <w:rsid w:val="00691141"/>
    <w:rsid w:val="00691659"/>
    <w:rsid w:val="00691D76"/>
    <w:rsid w:val="00691F33"/>
    <w:rsid w:val="00691FCD"/>
    <w:rsid w:val="0069200A"/>
    <w:rsid w:val="00692087"/>
    <w:rsid w:val="006923F1"/>
    <w:rsid w:val="006926D2"/>
    <w:rsid w:val="00692EFA"/>
    <w:rsid w:val="006930C6"/>
    <w:rsid w:val="00693A26"/>
    <w:rsid w:val="006941C9"/>
    <w:rsid w:val="00694A8B"/>
    <w:rsid w:val="0069525C"/>
    <w:rsid w:val="0069529A"/>
    <w:rsid w:val="00695DA3"/>
    <w:rsid w:val="00695DBA"/>
    <w:rsid w:val="006965A1"/>
    <w:rsid w:val="00697056"/>
    <w:rsid w:val="006970AD"/>
    <w:rsid w:val="00697A79"/>
    <w:rsid w:val="006A185E"/>
    <w:rsid w:val="006A2233"/>
    <w:rsid w:val="006A2C1E"/>
    <w:rsid w:val="006A2F01"/>
    <w:rsid w:val="006A349E"/>
    <w:rsid w:val="006B0448"/>
    <w:rsid w:val="006B079C"/>
    <w:rsid w:val="006B0B91"/>
    <w:rsid w:val="006B21CA"/>
    <w:rsid w:val="006B28CD"/>
    <w:rsid w:val="006B2C58"/>
    <w:rsid w:val="006B3162"/>
    <w:rsid w:val="006B3622"/>
    <w:rsid w:val="006B58D8"/>
    <w:rsid w:val="006B6455"/>
    <w:rsid w:val="006B6BF4"/>
    <w:rsid w:val="006B7E96"/>
    <w:rsid w:val="006C1089"/>
    <w:rsid w:val="006C12B4"/>
    <w:rsid w:val="006C1810"/>
    <w:rsid w:val="006C1A3B"/>
    <w:rsid w:val="006C21F8"/>
    <w:rsid w:val="006C4B26"/>
    <w:rsid w:val="006C4D2F"/>
    <w:rsid w:val="006C523D"/>
    <w:rsid w:val="006C556D"/>
    <w:rsid w:val="006C5690"/>
    <w:rsid w:val="006C5A2B"/>
    <w:rsid w:val="006C651D"/>
    <w:rsid w:val="006C6648"/>
    <w:rsid w:val="006C67A0"/>
    <w:rsid w:val="006C68DA"/>
    <w:rsid w:val="006D00C6"/>
    <w:rsid w:val="006D0974"/>
    <w:rsid w:val="006D0A33"/>
    <w:rsid w:val="006D0D31"/>
    <w:rsid w:val="006D10E2"/>
    <w:rsid w:val="006D1FCB"/>
    <w:rsid w:val="006D3407"/>
    <w:rsid w:val="006D367B"/>
    <w:rsid w:val="006D3794"/>
    <w:rsid w:val="006D3B6A"/>
    <w:rsid w:val="006D3FC2"/>
    <w:rsid w:val="006D41C3"/>
    <w:rsid w:val="006D45A3"/>
    <w:rsid w:val="006D4AFA"/>
    <w:rsid w:val="006D4C30"/>
    <w:rsid w:val="006D51F6"/>
    <w:rsid w:val="006D6336"/>
    <w:rsid w:val="006D66DB"/>
    <w:rsid w:val="006D68CC"/>
    <w:rsid w:val="006D6EC5"/>
    <w:rsid w:val="006D734E"/>
    <w:rsid w:val="006D7BB4"/>
    <w:rsid w:val="006D7EFF"/>
    <w:rsid w:val="006E008A"/>
    <w:rsid w:val="006E2298"/>
    <w:rsid w:val="006E3593"/>
    <w:rsid w:val="006E36D0"/>
    <w:rsid w:val="006E3A63"/>
    <w:rsid w:val="006E3D33"/>
    <w:rsid w:val="006E4676"/>
    <w:rsid w:val="006E49D2"/>
    <w:rsid w:val="006E59B0"/>
    <w:rsid w:val="006E5A5E"/>
    <w:rsid w:val="006E7197"/>
    <w:rsid w:val="006E79B2"/>
    <w:rsid w:val="006E79DE"/>
    <w:rsid w:val="006F0FB4"/>
    <w:rsid w:val="006F1363"/>
    <w:rsid w:val="006F15A1"/>
    <w:rsid w:val="006F18BC"/>
    <w:rsid w:val="006F2BEE"/>
    <w:rsid w:val="006F407B"/>
    <w:rsid w:val="006F44F3"/>
    <w:rsid w:val="006F4FE4"/>
    <w:rsid w:val="006F5396"/>
    <w:rsid w:val="006F59E9"/>
    <w:rsid w:val="006F5F39"/>
    <w:rsid w:val="006F6766"/>
    <w:rsid w:val="006F67EB"/>
    <w:rsid w:val="006F6F11"/>
    <w:rsid w:val="006F7352"/>
    <w:rsid w:val="00700AC6"/>
    <w:rsid w:val="00701848"/>
    <w:rsid w:val="00701CFD"/>
    <w:rsid w:val="007020B0"/>
    <w:rsid w:val="00703CEA"/>
    <w:rsid w:val="00703E9C"/>
    <w:rsid w:val="00704DDF"/>
    <w:rsid w:val="0070589D"/>
    <w:rsid w:val="00705945"/>
    <w:rsid w:val="007066C0"/>
    <w:rsid w:val="007067C0"/>
    <w:rsid w:val="00706B7E"/>
    <w:rsid w:val="00707ACD"/>
    <w:rsid w:val="00707C8A"/>
    <w:rsid w:val="00710030"/>
    <w:rsid w:val="007101B3"/>
    <w:rsid w:val="007109FD"/>
    <w:rsid w:val="00710FA7"/>
    <w:rsid w:val="007110AB"/>
    <w:rsid w:val="007113A5"/>
    <w:rsid w:val="00711B09"/>
    <w:rsid w:val="00711CBE"/>
    <w:rsid w:val="00712150"/>
    <w:rsid w:val="007122DC"/>
    <w:rsid w:val="0071334A"/>
    <w:rsid w:val="0071473D"/>
    <w:rsid w:val="0071492E"/>
    <w:rsid w:val="00714A88"/>
    <w:rsid w:val="00715CA5"/>
    <w:rsid w:val="00715CEC"/>
    <w:rsid w:val="00715F19"/>
    <w:rsid w:val="007161C7"/>
    <w:rsid w:val="00717E96"/>
    <w:rsid w:val="00717FD8"/>
    <w:rsid w:val="007214D1"/>
    <w:rsid w:val="00721BFA"/>
    <w:rsid w:val="007225F3"/>
    <w:rsid w:val="00722878"/>
    <w:rsid w:val="00722950"/>
    <w:rsid w:val="00723658"/>
    <w:rsid w:val="0072480C"/>
    <w:rsid w:val="00724E2E"/>
    <w:rsid w:val="00725383"/>
    <w:rsid w:val="007256CE"/>
    <w:rsid w:val="00725CBB"/>
    <w:rsid w:val="00725F60"/>
    <w:rsid w:val="007264D0"/>
    <w:rsid w:val="0072674A"/>
    <w:rsid w:val="00726C65"/>
    <w:rsid w:val="00726F1F"/>
    <w:rsid w:val="007276A2"/>
    <w:rsid w:val="00732AFA"/>
    <w:rsid w:val="00732C1E"/>
    <w:rsid w:val="00732FC3"/>
    <w:rsid w:val="007330BD"/>
    <w:rsid w:val="00733254"/>
    <w:rsid w:val="007337F5"/>
    <w:rsid w:val="007348A1"/>
    <w:rsid w:val="0073693F"/>
    <w:rsid w:val="00737C2E"/>
    <w:rsid w:val="00737EE6"/>
    <w:rsid w:val="00740296"/>
    <w:rsid w:val="00740DC9"/>
    <w:rsid w:val="00740DF2"/>
    <w:rsid w:val="00740FEA"/>
    <w:rsid w:val="007411BC"/>
    <w:rsid w:val="00741763"/>
    <w:rsid w:val="007417BE"/>
    <w:rsid w:val="007418E0"/>
    <w:rsid w:val="00741AA2"/>
    <w:rsid w:val="00742064"/>
    <w:rsid w:val="007420DC"/>
    <w:rsid w:val="0074239A"/>
    <w:rsid w:val="00742CF9"/>
    <w:rsid w:val="007436F6"/>
    <w:rsid w:val="00744785"/>
    <w:rsid w:val="00750276"/>
    <w:rsid w:val="007513B9"/>
    <w:rsid w:val="007522FE"/>
    <w:rsid w:val="00753992"/>
    <w:rsid w:val="00753BBE"/>
    <w:rsid w:val="00754440"/>
    <w:rsid w:val="00756A3E"/>
    <w:rsid w:val="007571B8"/>
    <w:rsid w:val="007605F1"/>
    <w:rsid w:val="00760847"/>
    <w:rsid w:val="00760EA7"/>
    <w:rsid w:val="00761FF6"/>
    <w:rsid w:val="007625E6"/>
    <w:rsid w:val="00762A0F"/>
    <w:rsid w:val="0076355E"/>
    <w:rsid w:val="007638AF"/>
    <w:rsid w:val="00763E8D"/>
    <w:rsid w:val="0076488F"/>
    <w:rsid w:val="0076549A"/>
    <w:rsid w:val="00765850"/>
    <w:rsid w:val="00766E5D"/>
    <w:rsid w:val="0076793B"/>
    <w:rsid w:val="00770445"/>
    <w:rsid w:val="00770E08"/>
    <w:rsid w:val="00770E91"/>
    <w:rsid w:val="007713BF"/>
    <w:rsid w:val="00771636"/>
    <w:rsid w:val="00772088"/>
    <w:rsid w:val="00772EB2"/>
    <w:rsid w:val="00773272"/>
    <w:rsid w:val="00773292"/>
    <w:rsid w:val="007733A5"/>
    <w:rsid w:val="00774101"/>
    <w:rsid w:val="0077481A"/>
    <w:rsid w:val="00777579"/>
    <w:rsid w:val="007776F8"/>
    <w:rsid w:val="0078013E"/>
    <w:rsid w:val="0078040B"/>
    <w:rsid w:val="0078091D"/>
    <w:rsid w:val="0078254E"/>
    <w:rsid w:val="0078289E"/>
    <w:rsid w:val="00784192"/>
    <w:rsid w:val="0078423A"/>
    <w:rsid w:val="007867F4"/>
    <w:rsid w:val="007872C1"/>
    <w:rsid w:val="00787B63"/>
    <w:rsid w:val="00787EB2"/>
    <w:rsid w:val="00790875"/>
    <w:rsid w:val="0079105C"/>
    <w:rsid w:val="007923CC"/>
    <w:rsid w:val="00792E18"/>
    <w:rsid w:val="007932A8"/>
    <w:rsid w:val="00793440"/>
    <w:rsid w:val="007939A3"/>
    <w:rsid w:val="00793B5F"/>
    <w:rsid w:val="00793CE3"/>
    <w:rsid w:val="007942B3"/>
    <w:rsid w:val="007948D0"/>
    <w:rsid w:val="0079556F"/>
    <w:rsid w:val="00795869"/>
    <w:rsid w:val="00795B90"/>
    <w:rsid w:val="0079708A"/>
    <w:rsid w:val="007972CB"/>
    <w:rsid w:val="00797CD4"/>
    <w:rsid w:val="007A0354"/>
    <w:rsid w:val="007A0666"/>
    <w:rsid w:val="007A0AA3"/>
    <w:rsid w:val="007A0B17"/>
    <w:rsid w:val="007A0B4A"/>
    <w:rsid w:val="007A0D58"/>
    <w:rsid w:val="007A17C1"/>
    <w:rsid w:val="007A2197"/>
    <w:rsid w:val="007A2FC0"/>
    <w:rsid w:val="007A3544"/>
    <w:rsid w:val="007A357C"/>
    <w:rsid w:val="007A3D90"/>
    <w:rsid w:val="007A3E7E"/>
    <w:rsid w:val="007A404B"/>
    <w:rsid w:val="007A46A5"/>
    <w:rsid w:val="007A472B"/>
    <w:rsid w:val="007A47DE"/>
    <w:rsid w:val="007A5610"/>
    <w:rsid w:val="007A676B"/>
    <w:rsid w:val="007A693D"/>
    <w:rsid w:val="007A6C03"/>
    <w:rsid w:val="007A6DF9"/>
    <w:rsid w:val="007A70CF"/>
    <w:rsid w:val="007A7199"/>
    <w:rsid w:val="007A7979"/>
    <w:rsid w:val="007A7FD2"/>
    <w:rsid w:val="007B00B2"/>
    <w:rsid w:val="007B11EE"/>
    <w:rsid w:val="007B1255"/>
    <w:rsid w:val="007B19F5"/>
    <w:rsid w:val="007B2140"/>
    <w:rsid w:val="007B23AC"/>
    <w:rsid w:val="007B2DBF"/>
    <w:rsid w:val="007B2FC1"/>
    <w:rsid w:val="007B3565"/>
    <w:rsid w:val="007B3C26"/>
    <w:rsid w:val="007B4CE1"/>
    <w:rsid w:val="007B6539"/>
    <w:rsid w:val="007B65BD"/>
    <w:rsid w:val="007B6AD2"/>
    <w:rsid w:val="007B6B90"/>
    <w:rsid w:val="007B6BFF"/>
    <w:rsid w:val="007B6CCE"/>
    <w:rsid w:val="007B72E9"/>
    <w:rsid w:val="007B7668"/>
    <w:rsid w:val="007B7933"/>
    <w:rsid w:val="007B79ED"/>
    <w:rsid w:val="007B7E49"/>
    <w:rsid w:val="007C0177"/>
    <w:rsid w:val="007C0464"/>
    <w:rsid w:val="007C04CD"/>
    <w:rsid w:val="007C0C1F"/>
    <w:rsid w:val="007C0D1E"/>
    <w:rsid w:val="007C0D7E"/>
    <w:rsid w:val="007C144F"/>
    <w:rsid w:val="007C1763"/>
    <w:rsid w:val="007C2372"/>
    <w:rsid w:val="007C2ACE"/>
    <w:rsid w:val="007C2D0A"/>
    <w:rsid w:val="007C33FB"/>
    <w:rsid w:val="007C3A89"/>
    <w:rsid w:val="007C42C3"/>
    <w:rsid w:val="007C4CD0"/>
    <w:rsid w:val="007C5521"/>
    <w:rsid w:val="007C562B"/>
    <w:rsid w:val="007C567B"/>
    <w:rsid w:val="007C5EFA"/>
    <w:rsid w:val="007C67BE"/>
    <w:rsid w:val="007C7967"/>
    <w:rsid w:val="007C7D95"/>
    <w:rsid w:val="007D0651"/>
    <w:rsid w:val="007D0A55"/>
    <w:rsid w:val="007D0F7C"/>
    <w:rsid w:val="007D1056"/>
    <w:rsid w:val="007D1FE8"/>
    <w:rsid w:val="007D2D69"/>
    <w:rsid w:val="007D3279"/>
    <w:rsid w:val="007D4172"/>
    <w:rsid w:val="007D4468"/>
    <w:rsid w:val="007D4679"/>
    <w:rsid w:val="007D4870"/>
    <w:rsid w:val="007D4C2E"/>
    <w:rsid w:val="007D5120"/>
    <w:rsid w:val="007D5224"/>
    <w:rsid w:val="007D5D66"/>
    <w:rsid w:val="007D5FCE"/>
    <w:rsid w:val="007D6B29"/>
    <w:rsid w:val="007D7029"/>
    <w:rsid w:val="007D785A"/>
    <w:rsid w:val="007E0479"/>
    <w:rsid w:val="007E0499"/>
    <w:rsid w:val="007E07A7"/>
    <w:rsid w:val="007E1219"/>
    <w:rsid w:val="007E12D6"/>
    <w:rsid w:val="007E14FF"/>
    <w:rsid w:val="007E1667"/>
    <w:rsid w:val="007E16E9"/>
    <w:rsid w:val="007E4D86"/>
    <w:rsid w:val="007E50D0"/>
    <w:rsid w:val="007E5602"/>
    <w:rsid w:val="007E58B8"/>
    <w:rsid w:val="007E6205"/>
    <w:rsid w:val="007E6374"/>
    <w:rsid w:val="007E64C0"/>
    <w:rsid w:val="007E681D"/>
    <w:rsid w:val="007E6C04"/>
    <w:rsid w:val="007E6F85"/>
    <w:rsid w:val="007E7175"/>
    <w:rsid w:val="007F057B"/>
    <w:rsid w:val="007F07BB"/>
    <w:rsid w:val="007F082D"/>
    <w:rsid w:val="007F0F20"/>
    <w:rsid w:val="007F12D3"/>
    <w:rsid w:val="007F1968"/>
    <w:rsid w:val="007F2275"/>
    <w:rsid w:val="007F2E36"/>
    <w:rsid w:val="007F2EE5"/>
    <w:rsid w:val="007F38CF"/>
    <w:rsid w:val="007F3A77"/>
    <w:rsid w:val="007F3DC0"/>
    <w:rsid w:val="007F3FD0"/>
    <w:rsid w:val="007F4E16"/>
    <w:rsid w:val="007F5E35"/>
    <w:rsid w:val="007F5FF9"/>
    <w:rsid w:val="007F726F"/>
    <w:rsid w:val="007F75BA"/>
    <w:rsid w:val="007F7735"/>
    <w:rsid w:val="00800071"/>
    <w:rsid w:val="008002A9"/>
    <w:rsid w:val="00800696"/>
    <w:rsid w:val="008009D4"/>
    <w:rsid w:val="0080144A"/>
    <w:rsid w:val="008014C5"/>
    <w:rsid w:val="008018B3"/>
    <w:rsid w:val="00801EED"/>
    <w:rsid w:val="00803C44"/>
    <w:rsid w:val="00804289"/>
    <w:rsid w:val="00805057"/>
    <w:rsid w:val="00806EBF"/>
    <w:rsid w:val="00806F8C"/>
    <w:rsid w:val="0080769E"/>
    <w:rsid w:val="008077E4"/>
    <w:rsid w:val="00807BD1"/>
    <w:rsid w:val="00810435"/>
    <w:rsid w:val="0081074A"/>
    <w:rsid w:val="008109CE"/>
    <w:rsid w:val="00811363"/>
    <w:rsid w:val="0081217B"/>
    <w:rsid w:val="008125DC"/>
    <w:rsid w:val="0081288E"/>
    <w:rsid w:val="00812A27"/>
    <w:rsid w:val="008131B5"/>
    <w:rsid w:val="00813447"/>
    <w:rsid w:val="00813D54"/>
    <w:rsid w:val="00814B62"/>
    <w:rsid w:val="00815EF1"/>
    <w:rsid w:val="008162B4"/>
    <w:rsid w:val="0081637B"/>
    <w:rsid w:val="008166E0"/>
    <w:rsid w:val="008169EE"/>
    <w:rsid w:val="00816F0E"/>
    <w:rsid w:val="0082096B"/>
    <w:rsid w:val="0082097F"/>
    <w:rsid w:val="00821044"/>
    <w:rsid w:val="00821B54"/>
    <w:rsid w:val="008228F6"/>
    <w:rsid w:val="00822951"/>
    <w:rsid w:val="008229CE"/>
    <w:rsid w:val="00822C1C"/>
    <w:rsid w:val="0082339B"/>
    <w:rsid w:val="00823C48"/>
    <w:rsid w:val="00824F77"/>
    <w:rsid w:val="00824F7A"/>
    <w:rsid w:val="00825756"/>
    <w:rsid w:val="00825BA9"/>
    <w:rsid w:val="00825EFC"/>
    <w:rsid w:val="00826496"/>
    <w:rsid w:val="008266E3"/>
    <w:rsid w:val="00826C42"/>
    <w:rsid w:val="0082718F"/>
    <w:rsid w:val="008274A6"/>
    <w:rsid w:val="00830045"/>
    <w:rsid w:val="008303B6"/>
    <w:rsid w:val="00830892"/>
    <w:rsid w:val="00831A43"/>
    <w:rsid w:val="00831FFE"/>
    <w:rsid w:val="0083445F"/>
    <w:rsid w:val="00834D9C"/>
    <w:rsid w:val="00836664"/>
    <w:rsid w:val="0083676A"/>
    <w:rsid w:val="00836C22"/>
    <w:rsid w:val="00836CDF"/>
    <w:rsid w:val="00837B95"/>
    <w:rsid w:val="00842D56"/>
    <w:rsid w:val="008430DF"/>
    <w:rsid w:val="00843CAC"/>
    <w:rsid w:val="00843D48"/>
    <w:rsid w:val="0084559E"/>
    <w:rsid w:val="00846140"/>
    <w:rsid w:val="00846573"/>
    <w:rsid w:val="00846B11"/>
    <w:rsid w:val="00846ED1"/>
    <w:rsid w:val="008473B9"/>
    <w:rsid w:val="00847B5D"/>
    <w:rsid w:val="00847E0B"/>
    <w:rsid w:val="00850287"/>
    <w:rsid w:val="00850358"/>
    <w:rsid w:val="008511A5"/>
    <w:rsid w:val="008516D4"/>
    <w:rsid w:val="008516FF"/>
    <w:rsid w:val="008518C5"/>
    <w:rsid w:val="00851D7F"/>
    <w:rsid w:val="008520FB"/>
    <w:rsid w:val="008527F5"/>
    <w:rsid w:val="00854620"/>
    <w:rsid w:val="00854B4D"/>
    <w:rsid w:val="00854CD6"/>
    <w:rsid w:val="00854F9C"/>
    <w:rsid w:val="00855D61"/>
    <w:rsid w:val="00855F58"/>
    <w:rsid w:val="0085610F"/>
    <w:rsid w:val="008564A9"/>
    <w:rsid w:val="0086078F"/>
    <w:rsid w:val="00860ADE"/>
    <w:rsid w:val="008614C9"/>
    <w:rsid w:val="00861571"/>
    <w:rsid w:val="008615AF"/>
    <w:rsid w:val="0086160B"/>
    <w:rsid w:val="00863949"/>
    <w:rsid w:val="00863A5B"/>
    <w:rsid w:val="008644C7"/>
    <w:rsid w:val="008648D5"/>
    <w:rsid w:val="00864D99"/>
    <w:rsid w:val="00865180"/>
    <w:rsid w:val="00865570"/>
    <w:rsid w:val="00866218"/>
    <w:rsid w:val="00866BA4"/>
    <w:rsid w:val="00866C03"/>
    <w:rsid w:val="00866C1F"/>
    <w:rsid w:val="00866CA5"/>
    <w:rsid w:val="00866F5A"/>
    <w:rsid w:val="00870F1B"/>
    <w:rsid w:val="0087105E"/>
    <w:rsid w:val="00872E37"/>
    <w:rsid w:val="0087305A"/>
    <w:rsid w:val="0087347F"/>
    <w:rsid w:val="00873509"/>
    <w:rsid w:val="0087387F"/>
    <w:rsid w:val="00874321"/>
    <w:rsid w:val="0087465A"/>
    <w:rsid w:val="00874BDC"/>
    <w:rsid w:val="00874BEE"/>
    <w:rsid w:val="00874BF4"/>
    <w:rsid w:val="0087521F"/>
    <w:rsid w:val="0087534B"/>
    <w:rsid w:val="008754A5"/>
    <w:rsid w:val="008754FE"/>
    <w:rsid w:val="00875567"/>
    <w:rsid w:val="00875C69"/>
    <w:rsid w:val="00876DC8"/>
    <w:rsid w:val="00877026"/>
    <w:rsid w:val="008772F3"/>
    <w:rsid w:val="00877690"/>
    <w:rsid w:val="008800E4"/>
    <w:rsid w:val="00880CB9"/>
    <w:rsid w:val="00881389"/>
    <w:rsid w:val="00882767"/>
    <w:rsid w:val="00883096"/>
    <w:rsid w:val="00883247"/>
    <w:rsid w:val="0088383F"/>
    <w:rsid w:val="00883C6A"/>
    <w:rsid w:val="00883EC2"/>
    <w:rsid w:val="0088438F"/>
    <w:rsid w:val="00884AE3"/>
    <w:rsid w:val="00884DF0"/>
    <w:rsid w:val="00884EC4"/>
    <w:rsid w:val="00884F8D"/>
    <w:rsid w:val="00884F94"/>
    <w:rsid w:val="0088513C"/>
    <w:rsid w:val="008857FE"/>
    <w:rsid w:val="00885C0D"/>
    <w:rsid w:val="0088660E"/>
    <w:rsid w:val="00887E12"/>
    <w:rsid w:val="00887E69"/>
    <w:rsid w:val="00890181"/>
    <w:rsid w:val="008914BC"/>
    <w:rsid w:val="00891966"/>
    <w:rsid w:val="00891F48"/>
    <w:rsid w:val="0089292E"/>
    <w:rsid w:val="00892F99"/>
    <w:rsid w:val="0089310E"/>
    <w:rsid w:val="008931F8"/>
    <w:rsid w:val="00893385"/>
    <w:rsid w:val="00893C7D"/>
    <w:rsid w:val="00894898"/>
    <w:rsid w:val="0089525D"/>
    <w:rsid w:val="008963B4"/>
    <w:rsid w:val="008A0F62"/>
    <w:rsid w:val="008A3236"/>
    <w:rsid w:val="008A43C2"/>
    <w:rsid w:val="008A4A45"/>
    <w:rsid w:val="008A50D6"/>
    <w:rsid w:val="008A5521"/>
    <w:rsid w:val="008A57C3"/>
    <w:rsid w:val="008A5973"/>
    <w:rsid w:val="008A5B4F"/>
    <w:rsid w:val="008A74AC"/>
    <w:rsid w:val="008A780A"/>
    <w:rsid w:val="008B01B6"/>
    <w:rsid w:val="008B021B"/>
    <w:rsid w:val="008B0776"/>
    <w:rsid w:val="008B0F57"/>
    <w:rsid w:val="008B1759"/>
    <w:rsid w:val="008B1C4E"/>
    <w:rsid w:val="008B3160"/>
    <w:rsid w:val="008B3659"/>
    <w:rsid w:val="008B69A0"/>
    <w:rsid w:val="008B7963"/>
    <w:rsid w:val="008B79F4"/>
    <w:rsid w:val="008C091D"/>
    <w:rsid w:val="008C0ED0"/>
    <w:rsid w:val="008C0FF3"/>
    <w:rsid w:val="008C30F8"/>
    <w:rsid w:val="008C339D"/>
    <w:rsid w:val="008C33AF"/>
    <w:rsid w:val="008C35C8"/>
    <w:rsid w:val="008C36C3"/>
    <w:rsid w:val="008C3EDD"/>
    <w:rsid w:val="008C4842"/>
    <w:rsid w:val="008C4EF5"/>
    <w:rsid w:val="008C57C6"/>
    <w:rsid w:val="008C73C5"/>
    <w:rsid w:val="008C78FF"/>
    <w:rsid w:val="008D052C"/>
    <w:rsid w:val="008D0FFC"/>
    <w:rsid w:val="008D13EE"/>
    <w:rsid w:val="008D1C0C"/>
    <w:rsid w:val="008D24CE"/>
    <w:rsid w:val="008D2F0D"/>
    <w:rsid w:val="008D310A"/>
    <w:rsid w:val="008D3BE1"/>
    <w:rsid w:val="008D4D30"/>
    <w:rsid w:val="008D4F0F"/>
    <w:rsid w:val="008D56B5"/>
    <w:rsid w:val="008D5734"/>
    <w:rsid w:val="008D58D4"/>
    <w:rsid w:val="008D5B75"/>
    <w:rsid w:val="008D6BA0"/>
    <w:rsid w:val="008D76F0"/>
    <w:rsid w:val="008D79B4"/>
    <w:rsid w:val="008E01DD"/>
    <w:rsid w:val="008E0825"/>
    <w:rsid w:val="008E12E6"/>
    <w:rsid w:val="008E1352"/>
    <w:rsid w:val="008E138B"/>
    <w:rsid w:val="008E17CE"/>
    <w:rsid w:val="008E1DF8"/>
    <w:rsid w:val="008E20DA"/>
    <w:rsid w:val="008E2BE0"/>
    <w:rsid w:val="008E2E6F"/>
    <w:rsid w:val="008E34CD"/>
    <w:rsid w:val="008E3500"/>
    <w:rsid w:val="008E4B1F"/>
    <w:rsid w:val="008E58C6"/>
    <w:rsid w:val="008E5EB6"/>
    <w:rsid w:val="008E6E1F"/>
    <w:rsid w:val="008E6F32"/>
    <w:rsid w:val="008E759C"/>
    <w:rsid w:val="008E78C3"/>
    <w:rsid w:val="008E7D33"/>
    <w:rsid w:val="008F0B0E"/>
    <w:rsid w:val="008F19FE"/>
    <w:rsid w:val="008F22B8"/>
    <w:rsid w:val="008F25C2"/>
    <w:rsid w:val="008F292A"/>
    <w:rsid w:val="008F2D1B"/>
    <w:rsid w:val="008F34C3"/>
    <w:rsid w:val="008F3950"/>
    <w:rsid w:val="008F3D48"/>
    <w:rsid w:val="008F4389"/>
    <w:rsid w:val="008F4F77"/>
    <w:rsid w:val="008F5161"/>
    <w:rsid w:val="008F5919"/>
    <w:rsid w:val="008F70CE"/>
    <w:rsid w:val="008F7474"/>
    <w:rsid w:val="008F7AA5"/>
    <w:rsid w:val="00900C8C"/>
    <w:rsid w:val="00900D72"/>
    <w:rsid w:val="00901F39"/>
    <w:rsid w:val="009051A5"/>
    <w:rsid w:val="00905370"/>
    <w:rsid w:val="009057B1"/>
    <w:rsid w:val="00906122"/>
    <w:rsid w:val="009061C9"/>
    <w:rsid w:val="00907431"/>
    <w:rsid w:val="00907CDF"/>
    <w:rsid w:val="00907F12"/>
    <w:rsid w:val="009108C7"/>
    <w:rsid w:val="00910A9F"/>
    <w:rsid w:val="0091174D"/>
    <w:rsid w:val="00913518"/>
    <w:rsid w:val="0091355E"/>
    <w:rsid w:val="00913598"/>
    <w:rsid w:val="00913A26"/>
    <w:rsid w:val="0091435D"/>
    <w:rsid w:val="0091461C"/>
    <w:rsid w:val="00914CEE"/>
    <w:rsid w:val="00916578"/>
    <w:rsid w:val="00916A1F"/>
    <w:rsid w:val="00916DD6"/>
    <w:rsid w:val="009173C2"/>
    <w:rsid w:val="00917D20"/>
    <w:rsid w:val="00920463"/>
    <w:rsid w:val="0092096D"/>
    <w:rsid w:val="00920ECD"/>
    <w:rsid w:val="00920EE6"/>
    <w:rsid w:val="0092162F"/>
    <w:rsid w:val="00921CD5"/>
    <w:rsid w:val="00922211"/>
    <w:rsid w:val="00922B4D"/>
    <w:rsid w:val="00923A0A"/>
    <w:rsid w:val="00923E5C"/>
    <w:rsid w:val="0092412D"/>
    <w:rsid w:val="00924419"/>
    <w:rsid w:val="009245B0"/>
    <w:rsid w:val="00924738"/>
    <w:rsid w:val="00925F2E"/>
    <w:rsid w:val="00927154"/>
    <w:rsid w:val="00927413"/>
    <w:rsid w:val="00927419"/>
    <w:rsid w:val="009276B7"/>
    <w:rsid w:val="00930412"/>
    <w:rsid w:val="00930D19"/>
    <w:rsid w:val="009317FB"/>
    <w:rsid w:val="009318FB"/>
    <w:rsid w:val="00931D14"/>
    <w:rsid w:val="00932080"/>
    <w:rsid w:val="00932102"/>
    <w:rsid w:val="009324A3"/>
    <w:rsid w:val="00932766"/>
    <w:rsid w:val="0093279E"/>
    <w:rsid w:val="0093300E"/>
    <w:rsid w:val="0093372D"/>
    <w:rsid w:val="009338AC"/>
    <w:rsid w:val="00933A98"/>
    <w:rsid w:val="00933F2B"/>
    <w:rsid w:val="00934448"/>
    <w:rsid w:val="009350BD"/>
    <w:rsid w:val="009355A0"/>
    <w:rsid w:val="0093562B"/>
    <w:rsid w:val="00935BB8"/>
    <w:rsid w:val="009362F4"/>
    <w:rsid w:val="009371A7"/>
    <w:rsid w:val="009376E3"/>
    <w:rsid w:val="00940977"/>
    <w:rsid w:val="00940AB5"/>
    <w:rsid w:val="009414C9"/>
    <w:rsid w:val="00941778"/>
    <w:rsid w:val="00941B36"/>
    <w:rsid w:val="00942A53"/>
    <w:rsid w:val="00943129"/>
    <w:rsid w:val="009440AC"/>
    <w:rsid w:val="009440B6"/>
    <w:rsid w:val="00945321"/>
    <w:rsid w:val="009454FD"/>
    <w:rsid w:val="00945829"/>
    <w:rsid w:val="009468D0"/>
    <w:rsid w:val="009474D5"/>
    <w:rsid w:val="00947781"/>
    <w:rsid w:val="009478BD"/>
    <w:rsid w:val="00951B8A"/>
    <w:rsid w:val="00952DD0"/>
    <w:rsid w:val="00952E80"/>
    <w:rsid w:val="009543E0"/>
    <w:rsid w:val="00954983"/>
    <w:rsid w:val="00955408"/>
    <w:rsid w:val="00955469"/>
    <w:rsid w:val="009555A9"/>
    <w:rsid w:val="00956EBC"/>
    <w:rsid w:val="00956F20"/>
    <w:rsid w:val="009573A2"/>
    <w:rsid w:val="009600D7"/>
    <w:rsid w:val="0096035E"/>
    <w:rsid w:val="00960AAB"/>
    <w:rsid w:val="00960C12"/>
    <w:rsid w:val="00961E17"/>
    <w:rsid w:val="00961EB6"/>
    <w:rsid w:val="0096295D"/>
    <w:rsid w:val="00963734"/>
    <w:rsid w:val="00963CAE"/>
    <w:rsid w:val="00964F8B"/>
    <w:rsid w:val="009650A1"/>
    <w:rsid w:val="009656D1"/>
    <w:rsid w:val="00965EF1"/>
    <w:rsid w:val="009660AE"/>
    <w:rsid w:val="009668DD"/>
    <w:rsid w:val="00967F7B"/>
    <w:rsid w:val="00972AE4"/>
    <w:rsid w:val="00972D3E"/>
    <w:rsid w:val="00973A7D"/>
    <w:rsid w:val="00973C33"/>
    <w:rsid w:val="00974B29"/>
    <w:rsid w:val="00974E76"/>
    <w:rsid w:val="009766CB"/>
    <w:rsid w:val="0097689A"/>
    <w:rsid w:val="00976D50"/>
    <w:rsid w:val="00977FEC"/>
    <w:rsid w:val="00980D2C"/>
    <w:rsid w:val="009816A8"/>
    <w:rsid w:val="009816F9"/>
    <w:rsid w:val="00981771"/>
    <w:rsid w:val="00983220"/>
    <w:rsid w:val="0098457F"/>
    <w:rsid w:val="009848AB"/>
    <w:rsid w:val="0098674E"/>
    <w:rsid w:val="00986A60"/>
    <w:rsid w:val="0098739C"/>
    <w:rsid w:val="0099058C"/>
    <w:rsid w:val="009906F5"/>
    <w:rsid w:val="00991961"/>
    <w:rsid w:val="00991D3E"/>
    <w:rsid w:val="009935D6"/>
    <w:rsid w:val="009936FB"/>
    <w:rsid w:val="009940B5"/>
    <w:rsid w:val="0099422E"/>
    <w:rsid w:val="00995094"/>
    <w:rsid w:val="009952E8"/>
    <w:rsid w:val="00996297"/>
    <w:rsid w:val="0099679A"/>
    <w:rsid w:val="00996853"/>
    <w:rsid w:val="00996B49"/>
    <w:rsid w:val="00997545"/>
    <w:rsid w:val="0099787A"/>
    <w:rsid w:val="00997E48"/>
    <w:rsid w:val="00997E57"/>
    <w:rsid w:val="009A05BD"/>
    <w:rsid w:val="009A0D00"/>
    <w:rsid w:val="009A101F"/>
    <w:rsid w:val="009A16D2"/>
    <w:rsid w:val="009A1A5C"/>
    <w:rsid w:val="009A210C"/>
    <w:rsid w:val="009A25C4"/>
    <w:rsid w:val="009A2951"/>
    <w:rsid w:val="009A360D"/>
    <w:rsid w:val="009A3E14"/>
    <w:rsid w:val="009A3E2D"/>
    <w:rsid w:val="009A47BF"/>
    <w:rsid w:val="009A5054"/>
    <w:rsid w:val="009A5AA4"/>
    <w:rsid w:val="009A758B"/>
    <w:rsid w:val="009A75E2"/>
    <w:rsid w:val="009A7642"/>
    <w:rsid w:val="009A76AF"/>
    <w:rsid w:val="009B0438"/>
    <w:rsid w:val="009B0B4B"/>
    <w:rsid w:val="009B21FD"/>
    <w:rsid w:val="009B2206"/>
    <w:rsid w:val="009B2EA4"/>
    <w:rsid w:val="009B320A"/>
    <w:rsid w:val="009B4492"/>
    <w:rsid w:val="009B5056"/>
    <w:rsid w:val="009B5A9E"/>
    <w:rsid w:val="009B5D8F"/>
    <w:rsid w:val="009B5E76"/>
    <w:rsid w:val="009B661D"/>
    <w:rsid w:val="009B6DA1"/>
    <w:rsid w:val="009B709E"/>
    <w:rsid w:val="009C1665"/>
    <w:rsid w:val="009C1F4B"/>
    <w:rsid w:val="009C2039"/>
    <w:rsid w:val="009C2136"/>
    <w:rsid w:val="009C2B6D"/>
    <w:rsid w:val="009C3405"/>
    <w:rsid w:val="009C489E"/>
    <w:rsid w:val="009C4C79"/>
    <w:rsid w:val="009C512A"/>
    <w:rsid w:val="009C56F5"/>
    <w:rsid w:val="009C59CB"/>
    <w:rsid w:val="009C62B7"/>
    <w:rsid w:val="009C7A11"/>
    <w:rsid w:val="009C7B69"/>
    <w:rsid w:val="009C7EDF"/>
    <w:rsid w:val="009D0064"/>
    <w:rsid w:val="009D05E9"/>
    <w:rsid w:val="009D0A02"/>
    <w:rsid w:val="009D0CC8"/>
    <w:rsid w:val="009D1D8B"/>
    <w:rsid w:val="009D2BCC"/>
    <w:rsid w:val="009D3A33"/>
    <w:rsid w:val="009D3AD8"/>
    <w:rsid w:val="009D40B6"/>
    <w:rsid w:val="009D4CF0"/>
    <w:rsid w:val="009D4E39"/>
    <w:rsid w:val="009D534A"/>
    <w:rsid w:val="009D56B1"/>
    <w:rsid w:val="009D59DE"/>
    <w:rsid w:val="009D60E6"/>
    <w:rsid w:val="009D7AD0"/>
    <w:rsid w:val="009D7CD2"/>
    <w:rsid w:val="009E029E"/>
    <w:rsid w:val="009E072C"/>
    <w:rsid w:val="009E13B8"/>
    <w:rsid w:val="009E1848"/>
    <w:rsid w:val="009E1EF4"/>
    <w:rsid w:val="009E28D0"/>
    <w:rsid w:val="009E29C6"/>
    <w:rsid w:val="009E2D8A"/>
    <w:rsid w:val="009E2F91"/>
    <w:rsid w:val="009E32AE"/>
    <w:rsid w:val="009E449F"/>
    <w:rsid w:val="009E480E"/>
    <w:rsid w:val="009E4C1C"/>
    <w:rsid w:val="009E4D59"/>
    <w:rsid w:val="009E77D7"/>
    <w:rsid w:val="009E7E5F"/>
    <w:rsid w:val="009E7ED7"/>
    <w:rsid w:val="009F05EA"/>
    <w:rsid w:val="009F101A"/>
    <w:rsid w:val="009F116D"/>
    <w:rsid w:val="009F1EC1"/>
    <w:rsid w:val="009F236D"/>
    <w:rsid w:val="009F2843"/>
    <w:rsid w:val="009F2C11"/>
    <w:rsid w:val="009F37F0"/>
    <w:rsid w:val="009F50EA"/>
    <w:rsid w:val="009F6AF1"/>
    <w:rsid w:val="009F6D40"/>
    <w:rsid w:val="009F770C"/>
    <w:rsid w:val="009F7BC2"/>
    <w:rsid w:val="009F7BDE"/>
    <w:rsid w:val="00A0096E"/>
    <w:rsid w:val="00A00FE6"/>
    <w:rsid w:val="00A01026"/>
    <w:rsid w:val="00A0117D"/>
    <w:rsid w:val="00A0126A"/>
    <w:rsid w:val="00A018BB"/>
    <w:rsid w:val="00A03341"/>
    <w:rsid w:val="00A036FB"/>
    <w:rsid w:val="00A04323"/>
    <w:rsid w:val="00A04339"/>
    <w:rsid w:val="00A057E3"/>
    <w:rsid w:val="00A065F1"/>
    <w:rsid w:val="00A06660"/>
    <w:rsid w:val="00A067E4"/>
    <w:rsid w:val="00A06A0D"/>
    <w:rsid w:val="00A07086"/>
    <w:rsid w:val="00A079D8"/>
    <w:rsid w:val="00A106C5"/>
    <w:rsid w:val="00A106CB"/>
    <w:rsid w:val="00A10D28"/>
    <w:rsid w:val="00A10F1B"/>
    <w:rsid w:val="00A10F89"/>
    <w:rsid w:val="00A11AB6"/>
    <w:rsid w:val="00A121AD"/>
    <w:rsid w:val="00A13DD3"/>
    <w:rsid w:val="00A14C53"/>
    <w:rsid w:val="00A151AA"/>
    <w:rsid w:val="00A15D5C"/>
    <w:rsid w:val="00A164BD"/>
    <w:rsid w:val="00A16917"/>
    <w:rsid w:val="00A217C0"/>
    <w:rsid w:val="00A22294"/>
    <w:rsid w:val="00A229A2"/>
    <w:rsid w:val="00A229B9"/>
    <w:rsid w:val="00A22C97"/>
    <w:rsid w:val="00A22E21"/>
    <w:rsid w:val="00A23800"/>
    <w:rsid w:val="00A23CFE"/>
    <w:rsid w:val="00A23E51"/>
    <w:rsid w:val="00A245F4"/>
    <w:rsid w:val="00A259F3"/>
    <w:rsid w:val="00A25D59"/>
    <w:rsid w:val="00A2697F"/>
    <w:rsid w:val="00A279FC"/>
    <w:rsid w:val="00A3081C"/>
    <w:rsid w:val="00A31625"/>
    <w:rsid w:val="00A3170D"/>
    <w:rsid w:val="00A319BB"/>
    <w:rsid w:val="00A3214F"/>
    <w:rsid w:val="00A32F2A"/>
    <w:rsid w:val="00A33057"/>
    <w:rsid w:val="00A33373"/>
    <w:rsid w:val="00A34DC4"/>
    <w:rsid w:val="00A3545F"/>
    <w:rsid w:val="00A35613"/>
    <w:rsid w:val="00A35C0F"/>
    <w:rsid w:val="00A36C83"/>
    <w:rsid w:val="00A4090E"/>
    <w:rsid w:val="00A410C9"/>
    <w:rsid w:val="00A41390"/>
    <w:rsid w:val="00A41EF3"/>
    <w:rsid w:val="00A41F1F"/>
    <w:rsid w:val="00A4271B"/>
    <w:rsid w:val="00A42BAA"/>
    <w:rsid w:val="00A445AD"/>
    <w:rsid w:val="00A44EC1"/>
    <w:rsid w:val="00A4575E"/>
    <w:rsid w:val="00A4579F"/>
    <w:rsid w:val="00A45F1A"/>
    <w:rsid w:val="00A46AF2"/>
    <w:rsid w:val="00A46DD8"/>
    <w:rsid w:val="00A51470"/>
    <w:rsid w:val="00A51D72"/>
    <w:rsid w:val="00A52485"/>
    <w:rsid w:val="00A52C29"/>
    <w:rsid w:val="00A52D53"/>
    <w:rsid w:val="00A5360D"/>
    <w:rsid w:val="00A53B16"/>
    <w:rsid w:val="00A548C6"/>
    <w:rsid w:val="00A5524C"/>
    <w:rsid w:val="00A553C1"/>
    <w:rsid w:val="00A55620"/>
    <w:rsid w:val="00A556E6"/>
    <w:rsid w:val="00A5659B"/>
    <w:rsid w:val="00A57AC6"/>
    <w:rsid w:val="00A57B84"/>
    <w:rsid w:val="00A57CF7"/>
    <w:rsid w:val="00A60113"/>
    <w:rsid w:val="00A62F89"/>
    <w:rsid w:val="00A63666"/>
    <w:rsid w:val="00A638C8"/>
    <w:rsid w:val="00A63FB1"/>
    <w:rsid w:val="00A64CBF"/>
    <w:rsid w:val="00A64E9A"/>
    <w:rsid w:val="00A66240"/>
    <w:rsid w:val="00A6650C"/>
    <w:rsid w:val="00A672A3"/>
    <w:rsid w:val="00A6769C"/>
    <w:rsid w:val="00A678B5"/>
    <w:rsid w:val="00A70527"/>
    <w:rsid w:val="00A70F8D"/>
    <w:rsid w:val="00A71EF4"/>
    <w:rsid w:val="00A72F21"/>
    <w:rsid w:val="00A738EC"/>
    <w:rsid w:val="00A742C0"/>
    <w:rsid w:val="00A74E81"/>
    <w:rsid w:val="00A74F00"/>
    <w:rsid w:val="00A75129"/>
    <w:rsid w:val="00A763F1"/>
    <w:rsid w:val="00A76C0E"/>
    <w:rsid w:val="00A77111"/>
    <w:rsid w:val="00A778D1"/>
    <w:rsid w:val="00A77AB1"/>
    <w:rsid w:val="00A77FF1"/>
    <w:rsid w:val="00A80121"/>
    <w:rsid w:val="00A8021A"/>
    <w:rsid w:val="00A803A2"/>
    <w:rsid w:val="00A80D96"/>
    <w:rsid w:val="00A813D1"/>
    <w:rsid w:val="00A816FA"/>
    <w:rsid w:val="00A82CF3"/>
    <w:rsid w:val="00A831E9"/>
    <w:rsid w:val="00A83A22"/>
    <w:rsid w:val="00A83AC7"/>
    <w:rsid w:val="00A83F7E"/>
    <w:rsid w:val="00A844E2"/>
    <w:rsid w:val="00A85282"/>
    <w:rsid w:val="00A85D7D"/>
    <w:rsid w:val="00A870BC"/>
    <w:rsid w:val="00A87420"/>
    <w:rsid w:val="00A8764E"/>
    <w:rsid w:val="00A87D63"/>
    <w:rsid w:val="00A901E1"/>
    <w:rsid w:val="00A90B77"/>
    <w:rsid w:val="00A90DAA"/>
    <w:rsid w:val="00A913C0"/>
    <w:rsid w:val="00A91C58"/>
    <w:rsid w:val="00A92F14"/>
    <w:rsid w:val="00A9340F"/>
    <w:rsid w:val="00A93EC6"/>
    <w:rsid w:val="00A940B8"/>
    <w:rsid w:val="00A94316"/>
    <w:rsid w:val="00A945A5"/>
    <w:rsid w:val="00A945E3"/>
    <w:rsid w:val="00A949BB"/>
    <w:rsid w:val="00A94B7C"/>
    <w:rsid w:val="00A94EF6"/>
    <w:rsid w:val="00A954CE"/>
    <w:rsid w:val="00A95EE6"/>
    <w:rsid w:val="00A96566"/>
    <w:rsid w:val="00A97375"/>
    <w:rsid w:val="00A97394"/>
    <w:rsid w:val="00AA010A"/>
    <w:rsid w:val="00AA02C7"/>
    <w:rsid w:val="00AA05E3"/>
    <w:rsid w:val="00AA09C4"/>
    <w:rsid w:val="00AA1B6D"/>
    <w:rsid w:val="00AA1DA5"/>
    <w:rsid w:val="00AA1F8D"/>
    <w:rsid w:val="00AA2925"/>
    <w:rsid w:val="00AA36AE"/>
    <w:rsid w:val="00AA3CBA"/>
    <w:rsid w:val="00AA3E68"/>
    <w:rsid w:val="00AA4373"/>
    <w:rsid w:val="00AA4A94"/>
    <w:rsid w:val="00AA4B4C"/>
    <w:rsid w:val="00AA5290"/>
    <w:rsid w:val="00AA56BA"/>
    <w:rsid w:val="00AA5E95"/>
    <w:rsid w:val="00AA6749"/>
    <w:rsid w:val="00AA6AA1"/>
    <w:rsid w:val="00AA6E54"/>
    <w:rsid w:val="00AA7504"/>
    <w:rsid w:val="00AA78C1"/>
    <w:rsid w:val="00AA7A54"/>
    <w:rsid w:val="00AB06A5"/>
    <w:rsid w:val="00AB074C"/>
    <w:rsid w:val="00AB0AE0"/>
    <w:rsid w:val="00AB0AF7"/>
    <w:rsid w:val="00AB0FB2"/>
    <w:rsid w:val="00AB1DB0"/>
    <w:rsid w:val="00AB1FBE"/>
    <w:rsid w:val="00AB2B21"/>
    <w:rsid w:val="00AB3EB7"/>
    <w:rsid w:val="00AB40E7"/>
    <w:rsid w:val="00AB4D2B"/>
    <w:rsid w:val="00AB4F96"/>
    <w:rsid w:val="00AB53F4"/>
    <w:rsid w:val="00AB54DE"/>
    <w:rsid w:val="00AB5B4F"/>
    <w:rsid w:val="00AB6732"/>
    <w:rsid w:val="00AB697E"/>
    <w:rsid w:val="00AB7A0D"/>
    <w:rsid w:val="00AC0029"/>
    <w:rsid w:val="00AC01C2"/>
    <w:rsid w:val="00AC0561"/>
    <w:rsid w:val="00AC066D"/>
    <w:rsid w:val="00AC0B84"/>
    <w:rsid w:val="00AC15BD"/>
    <w:rsid w:val="00AC1E46"/>
    <w:rsid w:val="00AC2266"/>
    <w:rsid w:val="00AC2664"/>
    <w:rsid w:val="00AC4973"/>
    <w:rsid w:val="00AC4C2B"/>
    <w:rsid w:val="00AC564D"/>
    <w:rsid w:val="00AC6530"/>
    <w:rsid w:val="00AC7311"/>
    <w:rsid w:val="00AC76B1"/>
    <w:rsid w:val="00AC76EA"/>
    <w:rsid w:val="00AD03F5"/>
    <w:rsid w:val="00AD05F1"/>
    <w:rsid w:val="00AD0CED"/>
    <w:rsid w:val="00AD1129"/>
    <w:rsid w:val="00AD26C0"/>
    <w:rsid w:val="00AD2AC5"/>
    <w:rsid w:val="00AD2AD8"/>
    <w:rsid w:val="00AD2B4F"/>
    <w:rsid w:val="00AD31E3"/>
    <w:rsid w:val="00AD354E"/>
    <w:rsid w:val="00AD3796"/>
    <w:rsid w:val="00AD3906"/>
    <w:rsid w:val="00AD3E4F"/>
    <w:rsid w:val="00AD447F"/>
    <w:rsid w:val="00AD490C"/>
    <w:rsid w:val="00AD4A5B"/>
    <w:rsid w:val="00AD554F"/>
    <w:rsid w:val="00AD5910"/>
    <w:rsid w:val="00AD5DC1"/>
    <w:rsid w:val="00AD5DF0"/>
    <w:rsid w:val="00AD5EA4"/>
    <w:rsid w:val="00AD6F45"/>
    <w:rsid w:val="00AD71E8"/>
    <w:rsid w:val="00AD72B4"/>
    <w:rsid w:val="00AD7480"/>
    <w:rsid w:val="00AD7EAD"/>
    <w:rsid w:val="00AE0491"/>
    <w:rsid w:val="00AE06DD"/>
    <w:rsid w:val="00AE27F8"/>
    <w:rsid w:val="00AE3B0C"/>
    <w:rsid w:val="00AE3D24"/>
    <w:rsid w:val="00AE4089"/>
    <w:rsid w:val="00AE5F38"/>
    <w:rsid w:val="00AE6027"/>
    <w:rsid w:val="00AE6BF2"/>
    <w:rsid w:val="00AE6CC0"/>
    <w:rsid w:val="00AE6CE9"/>
    <w:rsid w:val="00AE6E93"/>
    <w:rsid w:val="00AE6F39"/>
    <w:rsid w:val="00AE702F"/>
    <w:rsid w:val="00AE729E"/>
    <w:rsid w:val="00AE7C10"/>
    <w:rsid w:val="00AF08AB"/>
    <w:rsid w:val="00AF11D7"/>
    <w:rsid w:val="00AF128C"/>
    <w:rsid w:val="00AF28AE"/>
    <w:rsid w:val="00AF2B12"/>
    <w:rsid w:val="00AF33AC"/>
    <w:rsid w:val="00AF379C"/>
    <w:rsid w:val="00AF417C"/>
    <w:rsid w:val="00AF44A9"/>
    <w:rsid w:val="00AF487B"/>
    <w:rsid w:val="00AF4A4C"/>
    <w:rsid w:val="00AF4E39"/>
    <w:rsid w:val="00AF519A"/>
    <w:rsid w:val="00AF59AA"/>
    <w:rsid w:val="00AF5A5C"/>
    <w:rsid w:val="00AF6145"/>
    <w:rsid w:val="00AF67D7"/>
    <w:rsid w:val="00AF69FF"/>
    <w:rsid w:val="00AF6A25"/>
    <w:rsid w:val="00AF70ED"/>
    <w:rsid w:val="00AF776B"/>
    <w:rsid w:val="00B001C9"/>
    <w:rsid w:val="00B011C3"/>
    <w:rsid w:val="00B0182E"/>
    <w:rsid w:val="00B01D05"/>
    <w:rsid w:val="00B0309E"/>
    <w:rsid w:val="00B030F5"/>
    <w:rsid w:val="00B035F6"/>
    <w:rsid w:val="00B0366C"/>
    <w:rsid w:val="00B037CC"/>
    <w:rsid w:val="00B04E12"/>
    <w:rsid w:val="00B05417"/>
    <w:rsid w:val="00B057EF"/>
    <w:rsid w:val="00B05D5D"/>
    <w:rsid w:val="00B05ED7"/>
    <w:rsid w:val="00B0683F"/>
    <w:rsid w:val="00B06930"/>
    <w:rsid w:val="00B070FE"/>
    <w:rsid w:val="00B07144"/>
    <w:rsid w:val="00B079BD"/>
    <w:rsid w:val="00B07F94"/>
    <w:rsid w:val="00B107F5"/>
    <w:rsid w:val="00B125A4"/>
    <w:rsid w:val="00B12A17"/>
    <w:rsid w:val="00B133FE"/>
    <w:rsid w:val="00B1346D"/>
    <w:rsid w:val="00B14EE9"/>
    <w:rsid w:val="00B15508"/>
    <w:rsid w:val="00B15ABC"/>
    <w:rsid w:val="00B1677E"/>
    <w:rsid w:val="00B168C0"/>
    <w:rsid w:val="00B16D35"/>
    <w:rsid w:val="00B1765B"/>
    <w:rsid w:val="00B200AB"/>
    <w:rsid w:val="00B201F4"/>
    <w:rsid w:val="00B20689"/>
    <w:rsid w:val="00B20A80"/>
    <w:rsid w:val="00B2183D"/>
    <w:rsid w:val="00B21B7C"/>
    <w:rsid w:val="00B2248C"/>
    <w:rsid w:val="00B226B8"/>
    <w:rsid w:val="00B22FE1"/>
    <w:rsid w:val="00B23522"/>
    <w:rsid w:val="00B23DDE"/>
    <w:rsid w:val="00B23EDA"/>
    <w:rsid w:val="00B2416D"/>
    <w:rsid w:val="00B25074"/>
    <w:rsid w:val="00B2557E"/>
    <w:rsid w:val="00B25881"/>
    <w:rsid w:val="00B26005"/>
    <w:rsid w:val="00B264DE"/>
    <w:rsid w:val="00B2660D"/>
    <w:rsid w:val="00B2675B"/>
    <w:rsid w:val="00B26B4D"/>
    <w:rsid w:val="00B26D14"/>
    <w:rsid w:val="00B2735E"/>
    <w:rsid w:val="00B276DF"/>
    <w:rsid w:val="00B27F9C"/>
    <w:rsid w:val="00B27FF9"/>
    <w:rsid w:val="00B308DD"/>
    <w:rsid w:val="00B316D8"/>
    <w:rsid w:val="00B31C71"/>
    <w:rsid w:val="00B31D79"/>
    <w:rsid w:val="00B320B6"/>
    <w:rsid w:val="00B3441A"/>
    <w:rsid w:val="00B34DB6"/>
    <w:rsid w:val="00B371D9"/>
    <w:rsid w:val="00B403A3"/>
    <w:rsid w:val="00B4169C"/>
    <w:rsid w:val="00B41C06"/>
    <w:rsid w:val="00B422A2"/>
    <w:rsid w:val="00B424F5"/>
    <w:rsid w:val="00B43385"/>
    <w:rsid w:val="00B439F1"/>
    <w:rsid w:val="00B44311"/>
    <w:rsid w:val="00B44F01"/>
    <w:rsid w:val="00B44FDE"/>
    <w:rsid w:val="00B45884"/>
    <w:rsid w:val="00B45FEF"/>
    <w:rsid w:val="00B46C9F"/>
    <w:rsid w:val="00B50045"/>
    <w:rsid w:val="00B511A2"/>
    <w:rsid w:val="00B518C1"/>
    <w:rsid w:val="00B52C43"/>
    <w:rsid w:val="00B53596"/>
    <w:rsid w:val="00B5416A"/>
    <w:rsid w:val="00B549B6"/>
    <w:rsid w:val="00B556E9"/>
    <w:rsid w:val="00B55877"/>
    <w:rsid w:val="00B55EFF"/>
    <w:rsid w:val="00B56406"/>
    <w:rsid w:val="00B60346"/>
    <w:rsid w:val="00B61383"/>
    <w:rsid w:val="00B616B0"/>
    <w:rsid w:val="00B61714"/>
    <w:rsid w:val="00B62638"/>
    <w:rsid w:val="00B6276D"/>
    <w:rsid w:val="00B635DC"/>
    <w:rsid w:val="00B63E02"/>
    <w:rsid w:val="00B6405C"/>
    <w:rsid w:val="00B642CE"/>
    <w:rsid w:val="00B642E6"/>
    <w:rsid w:val="00B6473B"/>
    <w:rsid w:val="00B64BB9"/>
    <w:rsid w:val="00B6542E"/>
    <w:rsid w:val="00B65ECE"/>
    <w:rsid w:val="00B667A5"/>
    <w:rsid w:val="00B66A04"/>
    <w:rsid w:val="00B67BAF"/>
    <w:rsid w:val="00B7010F"/>
    <w:rsid w:val="00B70233"/>
    <w:rsid w:val="00B7100C"/>
    <w:rsid w:val="00B71117"/>
    <w:rsid w:val="00B71D04"/>
    <w:rsid w:val="00B72157"/>
    <w:rsid w:val="00B727A6"/>
    <w:rsid w:val="00B732F1"/>
    <w:rsid w:val="00B73D4B"/>
    <w:rsid w:val="00B742FE"/>
    <w:rsid w:val="00B74738"/>
    <w:rsid w:val="00B7560C"/>
    <w:rsid w:val="00B75F4E"/>
    <w:rsid w:val="00B76236"/>
    <w:rsid w:val="00B76BB4"/>
    <w:rsid w:val="00B76C60"/>
    <w:rsid w:val="00B76EFE"/>
    <w:rsid w:val="00B7707B"/>
    <w:rsid w:val="00B8060A"/>
    <w:rsid w:val="00B80794"/>
    <w:rsid w:val="00B80AE6"/>
    <w:rsid w:val="00B80E6E"/>
    <w:rsid w:val="00B80F90"/>
    <w:rsid w:val="00B810A4"/>
    <w:rsid w:val="00B8175F"/>
    <w:rsid w:val="00B81F5D"/>
    <w:rsid w:val="00B8344F"/>
    <w:rsid w:val="00B8370B"/>
    <w:rsid w:val="00B848D9"/>
    <w:rsid w:val="00B855AF"/>
    <w:rsid w:val="00B862FD"/>
    <w:rsid w:val="00B86D10"/>
    <w:rsid w:val="00B86E9E"/>
    <w:rsid w:val="00B86EB3"/>
    <w:rsid w:val="00B86F7A"/>
    <w:rsid w:val="00B876C2"/>
    <w:rsid w:val="00B87E12"/>
    <w:rsid w:val="00B90DBB"/>
    <w:rsid w:val="00B91282"/>
    <w:rsid w:val="00B91367"/>
    <w:rsid w:val="00B91F4A"/>
    <w:rsid w:val="00B9265E"/>
    <w:rsid w:val="00B93EEA"/>
    <w:rsid w:val="00B94449"/>
    <w:rsid w:val="00B94829"/>
    <w:rsid w:val="00B94928"/>
    <w:rsid w:val="00B94EFF"/>
    <w:rsid w:val="00B95144"/>
    <w:rsid w:val="00B95758"/>
    <w:rsid w:val="00B957A0"/>
    <w:rsid w:val="00B959C9"/>
    <w:rsid w:val="00BA06FE"/>
    <w:rsid w:val="00BA0BAF"/>
    <w:rsid w:val="00BA1499"/>
    <w:rsid w:val="00BA176A"/>
    <w:rsid w:val="00BA2177"/>
    <w:rsid w:val="00BA2CD9"/>
    <w:rsid w:val="00BA301B"/>
    <w:rsid w:val="00BA30BB"/>
    <w:rsid w:val="00BA3580"/>
    <w:rsid w:val="00BA35FD"/>
    <w:rsid w:val="00BA474B"/>
    <w:rsid w:val="00BA4A81"/>
    <w:rsid w:val="00BA4E00"/>
    <w:rsid w:val="00BA4E4D"/>
    <w:rsid w:val="00BA5073"/>
    <w:rsid w:val="00BA685A"/>
    <w:rsid w:val="00BA7053"/>
    <w:rsid w:val="00BA7963"/>
    <w:rsid w:val="00BA7AC4"/>
    <w:rsid w:val="00BB0981"/>
    <w:rsid w:val="00BB12D2"/>
    <w:rsid w:val="00BB15B2"/>
    <w:rsid w:val="00BB1733"/>
    <w:rsid w:val="00BB208A"/>
    <w:rsid w:val="00BB216A"/>
    <w:rsid w:val="00BB223C"/>
    <w:rsid w:val="00BB2F39"/>
    <w:rsid w:val="00BB3E4B"/>
    <w:rsid w:val="00BB445B"/>
    <w:rsid w:val="00BB4491"/>
    <w:rsid w:val="00BB4F97"/>
    <w:rsid w:val="00BB5D43"/>
    <w:rsid w:val="00BB7303"/>
    <w:rsid w:val="00BB743D"/>
    <w:rsid w:val="00BC103D"/>
    <w:rsid w:val="00BC2914"/>
    <w:rsid w:val="00BC382C"/>
    <w:rsid w:val="00BC3D8B"/>
    <w:rsid w:val="00BC4011"/>
    <w:rsid w:val="00BC44C7"/>
    <w:rsid w:val="00BC4CAE"/>
    <w:rsid w:val="00BC727E"/>
    <w:rsid w:val="00BD007A"/>
    <w:rsid w:val="00BD0780"/>
    <w:rsid w:val="00BD07DD"/>
    <w:rsid w:val="00BD140C"/>
    <w:rsid w:val="00BD1B04"/>
    <w:rsid w:val="00BD263B"/>
    <w:rsid w:val="00BD2980"/>
    <w:rsid w:val="00BD3902"/>
    <w:rsid w:val="00BD5817"/>
    <w:rsid w:val="00BD6181"/>
    <w:rsid w:val="00BD6972"/>
    <w:rsid w:val="00BD7597"/>
    <w:rsid w:val="00BD7881"/>
    <w:rsid w:val="00BE02EF"/>
    <w:rsid w:val="00BE1885"/>
    <w:rsid w:val="00BE43F8"/>
    <w:rsid w:val="00BE451F"/>
    <w:rsid w:val="00BE4FDF"/>
    <w:rsid w:val="00BE5164"/>
    <w:rsid w:val="00BE6228"/>
    <w:rsid w:val="00BE660A"/>
    <w:rsid w:val="00BE77C0"/>
    <w:rsid w:val="00BE7878"/>
    <w:rsid w:val="00BF0079"/>
    <w:rsid w:val="00BF03C0"/>
    <w:rsid w:val="00BF03CD"/>
    <w:rsid w:val="00BF040A"/>
    <w:rsid w:val="00BF0748"/>
    <w:rsid w:val="00BF0929"/>
    <w:rsid w:val="00BF09DC"/>
    <w:rsid w:val="00BF142C"/>
    <w:rsid w:val="00BF18EA"/>
    <w:rsid w:val="00BF19AE"/>
    <w:rsid w:val="00BF23C3"/>
    <w:rsid w:val="00BF2499"/>
    <w:rsid w:val="00BF2C2A"/>
    <w:rsid w:val="00BF2FB9"/>
    <w:rsid w:val="00BF32BE"/>
    <w:rsid w:val="00BF363B"/>
    <w:rsid w:val="00BF3708"/>
    <w:rsid w:val="00BF3FC9"/>
    <w:rsid w:val="00BF4BC5"/>
    <w:rsid w:val="00BF5800"/>
    <w:rsid w:val="00BF5C2B"/>
    <w:rsid w:val="00BF5F42"/>
    <w:rsid w:val="00BF6132"/>
    <w:rsid w:val="00BF6241"/>
    <w:rsid w:val="00BF6953"/>
    <w:rsid w:val="00BF6EDB"/>
    <w:rsid w:val="00BF7080"/>
    <w:rsid w:val="00BF7844"/>
    <w:rsid w:val="00BF7A2B"/>
    <w:rsid w:val="00BF7AE6"/>
    <w:rsid w:val="00C00253"/>
    <w:rsid w:val="00C0032B"/>
    <w:rsid w:val="00C00348"/>
    <w:rsid w:val="00C00459"/>
    <w:rsid w:val="00C005B1"/>
    <w:rsid w:val="00C00A31"/>
    <w:rsid w:val="00C014C5"/>
    <w:rsid w:val="00C01754"/>
    <w:rsid w:val="00C018D1"/>
    <w:rsid w:val="00C01C16"/>
    <w:rsid w:val="00C01F38"/>
    <w:rsid w:val="00C0226E"/>
    <w:rsid w:val="00C0298C"/>
    <w:rsid w:val="00C03105"/>
    <w:rsid w:val="00C03BC9"/>
    <w:rsid w:val="00C03C6A"/>
    <w:rsid w:val="00C046CD"/>
    <w:rsid w:val="00C048E1"/>
    <w:rsid w:val="00C0516B"/>
    <w:rsid w:val="00C057FA"/>
    <w:rsid w:val="00C060C3"/>
    <w:rsid w:val="00C065AC"/>
    <w:rsid w:val="00C06F87"/>
    <w:rsid w:val="00C070CE"/>
    <w:rsid w:val="00C0749B"/>
    <w:rsid w:val="00C0759F"/>
    <w:rsid w:val="00C0764E"/>
    <w:rsid w:val="00C118F1"/>
    <w:rsid w:val="00C11C60"/>
    <w:rsid w:val="00C12074"/>
    <w:rsid w:val="00C12137"/>
    <w:rsid w:val="00C129D1"/>
    <w:rsid w:val="00C129E6"/>
    <w:rsid w:val="00C12CF9"/>
    <w:rsid w:val="00C146E0"/>
    <w:rsid w:val="00C159DD"/>
    <w:rsid w:val="00C15F81"/>
    <w:rsid w:val="00C167EC"/>
    <w:rsid w:val="00C17238"/>
    <w:rsid w:val="00C17507"/>
    <w:rsid w:val="00C20851"/>
    <w:rsid w:val="00C20EAC"/>
    <w:rsid w:val="00C20EF1"/>
    <w:rsid w:val="00C21E7B"/>
    <w:rsid w:val="00C2291F"/>
    <w:rsid w:val="00C2306C"/>
    <w:rsid w:val="00C232FC"/>
    <w:rsid w:val="00C24322"/>
    <w:rsid w:val="00C24C7B"/>
    <w:rsid w:val="00C24DD0"/>
    <w:rsid w:val="00C2582B"/>
    <w:rsid w:val="00C26EA1"/>
    <w:rsid w:val="00C26F05"/>
    <w:rsid w:val="00C274E8"/>
    <w:rsid w:val="00C2783F"/>
    <w:rsid w:val="00C316C6"/>
    <w:rsid w:val="00C32860"/>
    <w:rsid w:val="00C33718"/>
    <w:rsid w:val="00C34375"/>
    <w:rsid w:val="00C34D0F"/>
    <w:rsid w:val="00C3512C"/>
    <w:rsid w:val="00C3588E"/>
    <w:rsid w:val="00C35C16"/>
    <w:rsid w:val="00C36A54"/>
    <w:rsid w:val="00C36B21"/>
    <w:rsid w:val="00C3789A"/>
    <w:rsid w:val="00C406E1"/>
    <w:rsid w:val="00C4075D"/>
    <w:rsid w:val="00C414A9"/>
    <w:rsid w:val="00C41531"/>
    <w:rsid w:val="00C41B8A"/>
    <w:rsid w:val="00C41DB1"/>
    <w:rsid w:val="00C42758"/>
    <w:rsid w:val="00C42EDF"/>
    <w:rsid w:val="00C43220"/>
    <w:rsid w:val="00C4343D"/>
    <w:rsid w:val="00C43B42"/>
    <w:rsid w:val="00C43EE8"/>
    <w:rsid w:val="00C43F9E"/>
    <w:rsid w:val="00C44663"/>
    <w:rsid w:val="00C4535C"/>
    <w:rsid w:val="00C45D52"/>
    <w:rsid w:val="00C46EE2"/>
    <w:rsid w:val="00C46EE5"/>
    <w:rsid w:val="00C477A5"/>
    <w:rsid w:val="00C50DB9"/>
    <w:rsid w:val="00C535D6"/>
    <w:rsid w:val="00C54290"/>
    <w:rsid w:val="00C54A06"/>
    <w:rsid w:val="00C54C27"/>
    <w:rsid w:val="00C54ED5"/>
    <w:rsid w:val="00C55827"/>
    <w:rsid w:val="00C56EFD"/>
    <w:rsid w:val="00C57166"/>
    <w:rsid w:val="00C57553"/>
    <w:rsid w:val="00C57934"/>
    <w:rsid w:val="00C60F37"/>
    <w:rsid w:val="00C61CE7"/>
    <w:rsid w:val="00C62278"/>
    <w:rsid w:val="00C62A40"/>
    <w:rsid w:val="00C6300C"/>
    <w:rsid w:val="00C640CD"/>
    <w:rsid w:val="00C64A99"/>
    <w:rsid w:val="00C666F7"/>
    <w:rsid w:val="00C66DCC"/>
    <w:rsid w:val="00C66E83"/>
    <w:rsid w:val="00C66FB3"/>
    <w:rsid w:val="00C67094"/>
    <w:rsid w:val="00C6723C"/>
    <w:rsid w:val="00C67D3C"/>
    <w:rsid w:val="00C67DB1"/>
    <w:rsid w:val="00C713EF"/>
    <w:rsid w:val="00C714BA"/>
    <w:rsid w:val="00C72C90"/>
    <w:rsid w:val="00C743D7"/>
    <w:rsid w:val="00C7456C"/>
    <w:rsid w:val="00C74AAE"/>
    <w:rsid w:val="00C75366"/>
    <w:rsid w:val="00C75ABA"/>
    <w:rsid w:val="00C76479"/>
    <w:rsid w:val="00C764C7"/>
    <w:rsid w:val="00C77FBA"/>
    <w:rsid w:val="00C82CAC"/>
    <w:rsid w:val="00C82D04"/>
    <w:rsid w:val="00C82EB9"/>
    <w:rsid w:val="00C83836"/>
    <w:rsid w:val="00C83DFF"/>
    <w:rsid w:val="00C844B0"/>
    <w:rsid w:val="00C8593C"/>
    <w:rsid w:val="00C8610D"/>
    <w:rsid w:val="00C86ECA"/>
    <w:rsid w:val="00C87D93"/>
    <w:rsid w:val="00C87E03"/>
    <w:rsid w:val="00C90034"/>
    <w:rsid w:val="00C90872"/>
    <w:rsid w:val="00C908E0"/>
    <w:rsid w:val="00C90D88"/>
    <w:rsid w:val="00C90F64"/>
    <w:rsid w:val="00C91401"/>
    <w:rsid w:val="00C92911"/>
    <w:rsid w:val="00C93977"/>
    <w:rsid w:val="00C940A2"/>
    <w:rsid w:val="00C940B0"/>
    <w:rsid w:val="00C940FB"/>
    <w:rsid w:val="00C95F00"/>
    <w:rsid w:val="00C962E5"/>
    <w:rsid w:val="00C96EF5"/>
    <w:rsid w:val="00C97863"/>
    <w:rsid w:val="00CA0052"/>
    <w:rsid w:val="00CA0DC5"/>
    <w:rsid w:val="00CA0FB3"/>
    <w:rsid w:val="00CA1497"/>
    <w:rsid w:val="00CA1A3D"/>
    <w:rsid w:val="00CA1C26"/>
    <w:rsid w:val="00CA1C32"/>
    <w:rsid w:val="00CA2089"/>
    <w:rsid w:val="00CA2568"/>
    <w:rsid w:val="00CA2641"/>
    <w:rsid w:val="00CA2811"/>
    <w:rsid w:val="00CA2A62"/>
    <w:rsid w:val="00CA2D19"/>
    <w:rsid w:val="00CA3A94"/>
    <w:rsid w:val="00CA3AD8"/>
    <w:rsid w:val="00CA3B89"/>
    <w:rsid w:val="00CA3D3B"/>
    <w:rsid w:val="00CA6919"/>
    <w:rsid w:val="00CA69E7"/>
    <w:rsid w:val="00CB022C"/>
    <w:rsid w:val="00CB03C8"/>
    <w:rsid w:val="00CB13E5"/>
    <w:rsid w:val="00CB219A"/>
    <w:rsid w:val="00CB246B"/>
    <w:rsid w:val="00CB2EBA"/>
    <w:rsid w:val="00CB467C"/>
    <w:rsid w:val="00CB57D1"/>
    <w:rsid w:val="00CB649D"/>
    <w:rsid w:val="00CB70CE"/>
    <w:rsid w:val="00CB72A2"/>
    <w:rsid w:val="00CC0092"/>
    <w:rsid w:val="00CC2389"/>
    <w:rsid w:val="00CC258E"/>
    <w:rsid w:val="00CC2791"/>
    <w:rsid w:val="00CC2E8C"/>
    <w:rsid w:val="00CC31BB"/>
    <w:rsid w:val="00CC3C7C"/>
    <w:rsid w:val="00CC5B6A"/>
    <w:rsid w:val="00CC5BB4"/>
    <w:rsid w:val="00CC5BD0"/>
    <w:rsid w:val="00CC6BF1"/>
    <w:rsid w:val="00CC7F7F"/>
    <w:rsid w:val="00CD15CC"/>
    <w:rsid w:val="00CD1B42"/>
    <w:rsid w:val="00CD20BB"/>
    <w:rsid w:val="00CD2780"/>
    <w:rsid w:val="00CD2BAB"/>
    <w:rsid w:val="00CD3FDC"/>
    <w:rsid w:val="00CD5E43"/>
    <w:rsid w:val="00CD66EF"/>
    <w:rsid w:val="00CD71C5"/>
    <w:rsid w:val="00CD72D6"/>
    <w:rsid w:val="00CD77A7"/>
    <w:rsid w:val="00CE0322"/>
    <w:rsid w:val="00CE143E"/>
    <w:rsid w:val="00CE1F0C"/>
    <w:rsid w:val="00CE25B0"/>
    <w:rsid w:val="00CE2EAB"/>
    <w:rsid w:val="00CE3175"/>
    <w:rsid w:val="00CE3602"/>
    <w:rsid w:val="00CE3982"/>
    <w:rsid w:val="00CE48AD"/>
    <w:rsid w:val="00CE4F2A"/>
    <w:rsid w:val="00CE5322"/>
    <w:rsid w:val="00CE54C7"/>
    <w:rsid w:val="00CE5743"/>
    <w:rsid w:val="00CE5BFD"/>
    <w:rsid w:val="00CE693C"/>
    <w:rsid w:val="00CE6AB5"/>
    <w:rsid w:val="00CE6F8B"/>
    <w:rsid w:val="00CE7DDF"/>
    <w:rsid w:val="00CE7F6C"/>
    <w:rsid w:val="00CF0D31"/>
    <w:rsid w:val="00CF21FD"/>
    <w:rsid w:val="00CF24C3"/>
    <w:rsid w:val="00CF2D01"/>
    <w:rsid w:val="00CF2DB3"/>
    <w:rsid w:val="00CF30C1"/>
    <w:rsid w:val="00CF3B88"/>
    <w:rsid w:val="00CF451F"/>
    <w:rsid w:val="00CF5414"/>
    <w:rsid w:val="00CF586E"/>
    <w:rsid w:val="00CF593C"/>
    <w:rsid w:val="00CF5F7E"/>
    <w:rsid w:val="00CF613D"/>
    <w:rsid w:val="00CF70E8"/>
    <w:rsid w:val="00CF7A80"/>
    <w:rsid w:val="00D00065"/>
    <w:rsid w:val="00D00AC3"/>
    <w:rsid w:val="00D01C01"/>
    <w:rsid w:val="00D01C0E"/>
    <w:rsid w:val="00D02212"/>
    <w:rsid w:val="00D02384"/>
    <w:rsid w:val="00D027EB"/>
    <w:rsid w:val="00D02C38"/>
    <w:rsid w:val="00D02F09"/>
    <w:rsid w:val="00D03992"/>
    <w:rsid w:val="00D03BCD"/>
    <w:rsid w:val="00D03D5C"/>
    <w:rsid w:val="00D03F2B"/>
    <w:rsid w:val="00D049D6"/>
    <w:rsid w:val="00D05004"/>
    <w:rsid w:val="00D05072"/>
    <w:rsid w:val="00D055F5"/>
    <w:rsid w:val="00D057CF"/>
    <w:rsid w:val="00D058C8"/>
    <w:rsid w:val="00D0671D"/>
    <w:rsid w:val="00D067A7"/>
    <w:rsid w:val="00D06B69"/>
    <w:rsid w:val="00D07787"/>
    <w:rsid w:val="00D079A7"/>
    <w:rsid w:val="00D10C2F"/>
    <w:rsid w:val="00D11009"/>
    <w:rsid w:val="00D1137C"/>
    <w:rsid w:val="00D13436"/>
    <w:rsid w:val="00D1391E"/>
    <w:rsid w:val="00D13F86"/>
    <w:rsid w:val="00D1485B"/>
    <w:rsid w:val="00D1668D"/>
    <w:rsid w:val="00D1705B"/>
    <w:rsid w:val="00D17A0B"/>
    <w:rsid w:val="00D17B49"/>
    <w:rsid w:val="00D204F6"/>
    <w:rsid w:val="00D20ABC"/>
    <w:rsid w:val="00D21946"/>
    <w:rsid w:val="00D2194A"/>
    <w:rsid w:val="00D21BAB"/>
    <w:rsid w:val="00D21DE2"/>
    <w:rsid w:val="00D227A8"/>
    <w:rsid w:val="00D23543"/>
    <w:rsid w:val="00D23A25"/>
    <w:rsid w:val="00D23BDC"/>
    <w:rsid w:val="00D243EE"/>
    <w:rsid w:val="00D25D5A"/>
    <w:rsid w:val="00D25EE0"/>
    <w:rsid w:val="00D26128"/>
    <w:rsid w:val="00D26C5D"/>
    <w:rsid w:val="00D27BBD"/>
    <w:rsid w:val="00D30775"/>
    <w:rsid w:val="00D31786"/>
    <w:rsid w:val="00D31FCE"/>
    <w:rsid w:val="00D322A8"/>
    <w:rsid w:val="00D32829"/>
    <w:rsid w:val="00D32C60"/>
    <w:rsid w:val="00D33877"/>
    <w:rsid w:val="00D33D3C"/>
    <w:rsid w:val="00D34216"/>
    <w:rsid w:val="00D34825"/>
    <w:rsid w:val="00D35D78"/>
    <w:rsid w:val="00D36874"/>
    <w:rsid w:val="00D3698A"/>
    <w:rsid w:val="00D37301"/>
    <w:rsid w:val="00D37474"/>
    <w:rsid w:val="00D378B2"/>
    <w:rsid w:val="00D37CA6"/>
    <w:rsid w:val="00D37E5E"/>
    <w:rsid w:val="00D41230"/>
    <w:rsid w:val="00D4164F"/>
    <w:rsid w:val="00D416A0"/>
    <w:rsid w:val="00D41F9B"/>
    <w:rsid w:val="00D420D9"/>
    <w:rsid w:val="00D42881"/>
    <w:rsid w:val="00D42A15"/>
    <w:rsid w:val="00D4319D"/>
    <w:rsid w:val="00D43E45"/>
    <w:rsid w:val="00D43F45"/>
    <w:rsid w:val="00D445D7"/>
    <w:rsid w:val="00D4467A"/>
    <w:rsid w:val="00D44E84"/>
    <w:rsid w:val="00D45DCB"/>
    <w:rsid w:val="00D45FF7"/>
    <w:rsid w:val="00D46B1B"/>
    <w:rsid w:val="00D4733C"/>
    <w:rsid w:val="00D5014D"/>
    <w:rsid w:val="00D50FF4"/>
    <w:rsid w:val="00D51A7F"/>
    <w:rsid w:val="00D51C68"/>
    <w:rsid w:val="00D52175"/>
    <w:rsid w:val="00D52D67"/>
    <w:rsid w:val="00D530C1"/>
    <w:rsid w:val="00D536D2"/>
    <w:rsid w:val="00D53F46"/>
    <w:rsid w:val="00D5425A"/>
    <w:rsid w:val="00D54DEC"/>
    <w:rsid w:val="00D54E96"/>
    <w:rsid w:val="00D5508B"/>
    <w:rsid w:val="00D55372"/>
    <w:rsid w:val="00D556C6"/>
    <w:rsid w:val="00D55AE1"/>
    <w:rsid w:val="00D55F18"/>
    <w:rsid w:val="00D5669E"/>
    <w:rsid w:val="00D567A6"/>
    <w:rsid w:val="00D56B3F"/>
    <w:rsid w:val="00D57A98"/>
    <w:rsid w:val="00D57CF4"/>
    <w:rsid w:val="00D61EAB"/>
    <w:rsid w:val="00D6217E"/>
    <w:rsid w:val="00D62274"/>
    <w:rsid w:val="00D62F79"/>
    <w:rsid w:val="00D6301E"/>
    <w:rsid w:val="00D6377C"/>
    <w:rsid w:val="00D63EDB"/>
    <w:rsid w:val="00D6440E"/>
    <w:rsid w:val="00D66454"/>
    <w:rsid w:val="00D67A1A"/>
    <w:rsid w:val="00D7162C"/>
    <w:rsid w:val="00D71871"/>
    <w:rsid w:val="00D7201A"/>
    <w:rsid w:val="00D73118"/>
    <w:rsid w:val="00D73210"/>
    <w:rsid w:val="00D73ED5"/>
    <w:rsid w:val="00D74368"/>
    <w:rsid w:val="00D747DE"/>
    <w:rsid w:val="00D747E4"/>
    <w:rsid w:val="00D7518A"/>
    <w:rsid w:val="00D751EE"/>
    <w:rsid w:val="00D754EA"/>
    <w:rsid w:val="00D75540"/>
    <w:rsid w:val="00D758F0"/>
    <w:rsid w:val="00D76B63"/>
    <w:rsid w:val="00D80833"/>
    <w:rsid w:val="00D814C8"/>
    <w:rsid w:val="00D8160C"/>
    <w:rsid w:val="00D8168B"/>
    <w:rsid w:val="00D81CEA"/>
    <w:rsid w:val="00D82762"/>
    <w:rsid w:val="00D82B14"/>
    <w:rsid w:val="00D82C55"/>
    <w:rsid w:val="00D83004"/>
    <w:rsid w:val="00D8381B"/>
    <w:rsid w:val="00D83D96"/>
    <w:rsid w:val="00D8538C"/>
    <w:rsid w:val="00D85494"/>
    <w:rsid w:val="00D85734"/>
    <w:rsid w:val="00D859A1"/>
    <w:rsid w:val="00D85B8C"/>
    <w:rsid w:val="00D85F2A"/>
    <w:rsid w:val="00D86864"/>
    <w:rsid w:val="00D8776C"/>
    <w:rsid w:val="00D9017E"/>
    <w:rsid w:val="00D91037"/>
    <w:rsid w:val="00D9108B"/>
    <w:rsid w:val="00D9251A"/>
    <w:rsid w:val="00D933F6"/>
    <w:rsid w:val="00D93619"/>
    <w:rsid w:val="00D940C6"/>
    <w:rsid w:val="00D942B4"/>
    <w:rsid w:val="00D95263"/>
    <w:rsid w:val="00D952BF"/>
    <w:rsid w:val="00D95319"/>
    <w:rsid w:val="00D95935"/>
    <w:rsid w:val="00D95D55"/>
    <w:rsid w:val="00D95DB9"/>
    <w:rsid w:val="00D96414"/>
    <w:rsid w:val="00D969CF"/>
    <w:rsid w:val="00D970E1"/>
    <w:rsid w:val="00D97F83"/>
    <w:rsid w:val="00DA0A46"/>
    <w:rsid w:val="00DA0F33"/>
    <w:rsid w:val="00DA18BA"/>
    <w:rsid w:val="00DA1A8C"/>
    <w:rsid w:val="00DA337F"/>
    <w:rsid w:val="00DA4604"/>
    <w:rsid w:val="00DA4A6C"/>
    <w:rsid w:val="00DA5374"/>
    <w:rsid w:val="00DA55E5"/>
    <w:rsid w:val="00DA6263"/>
    <w:rsid w:val="00DA6E13"/>
    <w:rsid w:val="00DA7274"/>
    <w:rsid w:val="00DA7B66"/>
    <w:rsid w:val="00DB0A23"/>
    <w:rsid w:val="00DB0BC0"/>
    <w:rsid w:val="00DB1A18"/>
    <w:rsid w:val="00DB2EA4"/>
    <w:rsid w:val="00DB2F60"/>
    <w:rsid w:val="00DB38E8"/>
    <w:rsid w:val="00DB39D4"/>
    <w:rsid w:val="00DB3CFF"/>
    <w:rsid w:val="00DB42E3"/>
    <w:rsid w:val="00DB4783"/>
    <w:rsid w:val="00DB4902"/>
    <w:rsid w:val="00DB519A"/>
    <w:rsid w:val="00DB5374"/>
    <w:rsid w:val="00DB5CDD"/>
    <w:rsid w:val="00DB5D8E"/>
    <w:rsid w:val="00DB60C5"/>
    <w:rsid w:val="00DB6ACA"/>
    <w:rsid w:val="00DB6DDD"/>
    <w:rsid w:val="00DC036B"/>
    <w:rsid w:val="00DC08A3"/>
    <w:rsid w:val="00DC10D2"/>
    <w:rsid w:val="00DC1368"/>
    <w:rsid w:val="00DC2AD0"/>
    <w:rsid w:val="00DC3610"/>
    <w:rsid w:val="00DC362F"/>
    <w:rsid w:val="00DC3D53"/>
    <w:rsid w:val="00DC42F8"/>
    <w:rsid w:val="00DC4F93"/>
    <w:rsid w:val="00DC52AC"/>
    <w:rsid w:val="00DC548C"/>
    <w:rsid w:val="00DC5743"/>
    <w:rsid w:val="00DC57E2"/>
    <w:rsid w:val="00DC62F7"/>
    <w:rsid w:val="00DC67E6"/>
    <w:rsid w:val="00DC7042"/>
    <w:rsid w:val="00DC7682"/>
    <w:rsid w:val="00DD0044"/>
    <w:rsid w:val="00DD0829"/>
    <w:rsid w:val="00DD0CCB"/>
    <w:rsid w:val="00DD1771"/>
    <w:rsid w:val="00DD1A8F"/>
    <w:rsid w:val="00DD1F6F"/>
    <w:rsid w:val="00DD2300"/>
    <w:rsid w:val="00DD2440"/>
    <w:rsid w:val="00DD2EF2"/>
    <w:rsid w:val="00DD3033"/>
    <w:rsid w:val="00DD3460"/>
    <w:rsid w:val="00DD3FC8"/>
    <w:rsid w:val="00DD4123"/>
    <w:rsid w:val="00DD4194"/>
    <w:rsid w:val="00DD4426"/>
    <w:rsid w:val="00DD4593"/>
    <w:rsid w:val="00DD4904"/>
    <w:rsid w:val="00DD59AA"/>
    <w:rsid w:val="00DD5E20"/>
    <w:rsid w:val="00DD68BD"/>
    <w:rsid w:val="00DD7194"/>
    <w:rsid w:val="00DD748C"/>
    <w:rsid w:val="00DD7577"/>
    <w:rsid w:val="00DD76BC"/>
    <w:rsid w:val="00DD7D72"/>
    <w:rsid w:val="00DD7E74"/>
    <w:rsid w:val="00DE056D"/>
    <w:rsid w:val="00DE153C"/>
    <w:rsid w:val="00DE1D8F"/>
    <w:rsid w:val="00DE4EEF"/>
    <w:rsid w:val="00DE5C12"/>
    <w:rsid w:val="00DE60D9"/>
    <w:rsid w:val="00DE6F93"/>
    <w:rsid w:val="00DE74A4"/>
    <w:rsid w:val="00DE76BD"/>
    <w:rsid w:val="00DE7CF5"/>
    <w:rsid w:val="00DE7DDA"/>
    <w:rsid w:val="00DF111B"/>
    <w:rsid w:val="00DF3446"/>
    <w:rsid w:val="00DF3BEA"/>
    <w:rsid w:val="00DF3EB7"/>
    <w:rsid w:val="00DF4177"/>
    <w:rsid w:val="00DF50E4"/>
    <w:rsid w:val="00DF5559"/>
    <w:rsid w:val="00DF59C1"/>
    <w:rsid w:val="00DF5C95"/>
    <w:rsid w:val="00DF5FB6"/>
    <w:rsid w:val="00DF797F"/>
    <w:rsid w:val="00DF7C41"/>
    <w:rsid w:val="00E00DB9"/>
    <w:rsid w:val="00E01519"/>
    <w:rsid w:val="00E0157A"/>
    <w:rsid w:val="00E016C1"/>
    <w:rsid w:val="00E0170A"/>
    <w:rsid w:val="00E01ABE"/>
    <w:rsid w:val="00E02356"/>
    <w:rsid w:val="00E041DB"/>
    <w:rsid w:val="00E043CA"/>
    <w:rsid w:val="00E044F8"/>
    <w:rsid w:val="00E0466E"/>
    <w:rsid w:val="00E04B70"/>
    <w:rsid w:val="00E06072"/>
    <w:rsid w:val="00E06942"/>
    <w:rsid w:val="00E0778C"/>
    <w:rsid w:val="00E110EE"/>
    <w:rsid w:val="00E11320"/>
    <w:rsid w:val="00E11DBB"/>
    <w:rsid w:val="00E11F18"/>
    <w:rsid w:val="00E131C2"/>
    <w:rsid w:val="00E131DF"/>
    <w:rsid w:val="00E13E37"/>
    <w:rsid w:val="00E151A3"/>
    <w:rsid w:val="00E1567C"/>
    <w:rsid w:val="00E16052"/>
    <w:rsid w:val="00E16761"/>
    <w:rsid w:val="00E169F5"/>
    <w:rsid w:val="00E179CE"/>
    <w:rsid w:val="00E20899"/>
    <w:rsid w:val="00E209A9"/>
    <w:rsid w:val="00E2123F"/>
    <w:rsid w:val="00E212D4"/>
    <w:rsid w:val="00E21449"/>
    <w:rsid w:val="00E216CA"/>
    <w:rsid w:val="00E237D1"/>
    <w:rsid w:val="00E23BD2"/>
    <w:rsid w:val="00E24C9E"/>
    <w:rsid w:val="00E2529A"/>
    <w:rsid w:val="00E26725"/>
    <w:rsid w:val="00E26BCB"/>
    <w:rsid w:val="00E26E74"/>
    <w:rsid w:val="00E2717A"/>
    <w:rsid w:val="00E272B6"/>
    <w:rsid w:val="00E27518"/>
    <w:rsid w:val="00E276B8"/>
    <w:rsid w:val="00E2798D"/>
    <w:rsid w:val="00E27B6E"/>
    <w:rsid w:val="00E30541"/>
    <w:rsid w:val="00E31D95"/>
    <w:rsid w:val="00E329D3"/>
    <w:rsid w:val="00E331B7"/>
    <w:rsid w:val="00E33278"/>
    <w:rsid w:val="00E33C54"/>
    <w:rsid w:val="00E34167"/>
    <w:rsid w:val="00E34524"/>
    <w:rsid w:val="00E36283"/>
    <w:rsid w:val="00E366C5"/>
    <w:rsid w:val="00E36D2B"/>
    <w:rsid w:val="00E36E57"/>
    <w:rsid w:val="00E373C7"/>
    <w:rsid w:val="00E37669"/>
    <w:rsid w:val="00E41258"/>
    <w:rsid w:val="00E4177C"/>
    <w:rsid w:val="00E41D94"/>
    <w:rsid w:val="00E421AD"/>
    <w:rsid w:val="00E42A6D"/>
    <w:rsid w:val="00E42EDF"/>
    <w:rsid w:val="00E4382A"/>
    <w:rsid w:val="00E43DAB"/>
    <w:rsid w:val="00E43F03"/>
    <w:rsid w:val="00E44490"/>
    <w:rsid w:val="00E44748"/>
    <w:rsid w:val="00E44BCF"/>
    <w:rsid w:val="00E472AE"/>
    <w:rsid w:val="00E477E4"/>
    <w:rsid w:val="00E479A4"/>
    <w:rsid w:val="00E50F14"/>
    <w:rsid w:val="00E51007"/>
    <w:rsid w:val="00E511C9"/>
    <w:rsid w:val="00E51973"/>
    <w:rsid w:val="00E52222"/>
    <w:rsid w:val="00E53126"/>
    <w:rsid w:val="00E53717"/>
    <w:rsid w:val="00E548D3"/>
    <w:rsid w:val="00E54BBB"/>
    <w:rsid w:val="00E54E0E"/>
    <w:rsid w:val="00E555B0"/>
    <w:rsid w:val="00E5601E"/>
    <w:rsid w:val="00E568FF"/>
    <w:rsid w:val="00E56DCA"/>
    <w:rsid w:val="00E57B2E"/>
    <w:rsid w:val="00E57D92"/>
    <w:rsid w:val="00E607C3"/>
    <w:rsid w:val="00E60B28"/>
    <w:rsid w:val="00E621F5"/>
    <w:rsid w:val="00E62F21"/>
    <w:rsid w:val="00E630A3"/>
    <w:rsid w:val="00E63A5E"/>
    <w:rsid w:val="00E64E1B"/>
    <w:rsid w:val="00E64EC0"/>
    <w:rsid w:val="00E67ECD"/>
    <w:rsid w:val="00E70D01"/>
    <w:rsid w:val="00E71F71"/>
    <w:rsid w:val="00E7216C"/>
    <w:rsid w:val="00E73D55"/>
    <w:rsid w:val="00E7422A"/>
    <w:rsid w:val="00E761E7"/>
    <w:rsid w:val="00E765BC"/>
    <w:rsid w:val="00E766BA"/>
    <w:rsid w:val="00E76778"/>
    <w:rsid w:val="00E76DB2"/>
    <w:rsid w:val="00E7702E"/>
    <w:rsid w:val="00E77A38"/>
    <w:rsid w:val="00E77C0F"/>
    <w:rsid w:val="00E8015B"/>
    <w:rsid w:val="00E803FA"/>
    <w:rsid w:val="00E80545"/>
    <w:rsid w:val="00E80CCB"/>
    <w:rsid w:val="00E81702"/>
    <w:rsid w:val="00E81A7D"/>
    <w:rsid w:val="00E8263C"/>
    <w:rsid w:val="00E830E7"/>
    <w:rsid w:val="00E8380F"/>
    <w:rsid w:val="00E838C8"/>
    <w:rsid w:val="00E8396E"/>
    <w:rsid w:val="00E83E23"/>
    <w:rsid w:val="00E843AD"/>
    <w:rsid w:val="00E84783"/>
    <w:rsid w:val="00E8498F"/>
    <w:rsid w:val="00E84BE8"/>
    <w:rsid w:val="00E855F6"/>
    <w:rsid w:val="00E85C3F"/>
    <w:rsid w:val="00E86850"/>
    <w:rsid w:val="00E86D4E"/>
    <w:rsid w:val="00E87108"/>
    <w:rsid w:val="00E879A3"/>
    <w:rsid w:val="00E90103"/>
    <w:rsid w:val="00E90911"/>
    <w:rsid w:val="00E9093B"/>
    <w:rsid w:val="00E91312"/>
    <w:rsid w:val="00E9172F"/>
    <w:rsid w:val="00E92A36"/>
    <w:rsid w:val="00E92DE2"/>
    <w:rsid w:val="00E935C8"/>
    <w:rsid w:val="00E9373B"/>
    <w:rsid w:val="00E943FC"/>
    <w:rsid w:val="00E94943"/>
    <w:rsid w:val="00E94B65"/>
    <w:rsid w:val="00E94FD0"/>
    <w:rsid w:val="00E95086"/>
    <w:rsid w:val="00E958EE"/>
    <w:rsid w:val="00E95B6D"/>
    <w:rsid w:val="00E95D0C"/>
    <w:rsid w:val="00E95E65"/>
    <w:rsid w:val="00E968FB"/>
    <w:rsid w:val="00E96E69"/>
    <w:rsid w:val="00E97A83"/>
    <w:rsid w:val="00E97E70"/>
    <w:rsid w:val="00EA1672"/>
    <w:rsid w:val="00EA1CBB"/>
    <w:rsid w:val="00EA212F"/>
    <w:rsid w:val="00EA23AF"/>
    <w:rsid w:val="00EA2FC0"/>
    <w:rsid w:val="00EA3BAB"/>
    <w:rsid w:val="00EA4C9F"/>
    <w:rsid w:val="00EA6072"/>
    <w:rsid w:val="00EA6153"/>
    <w:rsid w:val="00EA6864"/>
    <w:rsid w:val="00EA6AF0"/>
    <w:rsid w:val="00EA7AF8"/>
    <w:rsid w:val="00EA7D18"/>
    <w:rsid w:val="00EB0073"/>
    <w:rsid w:val="00EB04AB"/>
    <w:rsid w:val="00EB0644"/>
    <w:rsid w:val="00EB1057"/>
    <w:rsid w:val="00EB1508"/>
    <w:rsid w:val="00EB1760"/>
    <w:rsid w:val="00EB1926"/>
    <w:rsid w:val="00EB2568"/>
    <w:rsid w:val="00EB3A5E"/>
    <w:rsid w:val="00EB3D95"/>
    <w:rsid w:val="00EB40BD"/>
    <w:rsid w:val="00EB4999"/>
    <w:rsid w:val="00EB4A03"/>
    <w:rsid w:val="00EB525B"/>
    <w:rsid w:val="00EB5593"/>
    <w:rsid w:val="00EB5DC8"/>
    <w:rsid w:val="00EB6F71"/>
    <w:rsid w:val="00EB708A"/>
    <w:rsid w:val="00EB7203"/>
    <w:rsid w:val="00EB736E"/>
    <w:rsid w:val="00EC0D65"/>
    <w:rsid w:val="00EC2352"/>
    <w:rsid w:val="00EC24C3"/>
    <w:rsid w:val="00EC2AF2"/>
    <w:rsid w:val="00EC37CB"/>
    <w:rsid w:val="00EC38CE"/>
    <w:rsid w:val="00EC40A0"/>
    <w:rsid w:val="00EC45B0"/>
    <w:rsid w:val="00EC4790"/>
    <w:rsid w:val="00EC4796"/>
    <w:rsid w:val="00EC489E"/>
    <w:rsid w:val="00EC5431"/>
    <w:rsid w:val="00EC5C50"/>
    <w:rsid w:val="00EC72B7"/>
    <w:rsid w:val="00ED05B8"/>
    <w:rsid w:val="00ED0CF5"/>
    <w:rsid w:val="00ED2602"/>
    <w:rsid w:val="00ED270A"/>
    <w:rsid w:val="00ED2A8C"/>
    <w:rsid w:val="00ED2F9E"/>
    <w:rsid w:val="00ED577A"/>
    <w:rsid w:val="00ED59E4"/>
    <w:rsid w:val="00ED5C0E"/>
    <w:rsid w:val="00ED5ED2"/>
    <w:rsid w:val="00ED68C6"/>
    <w:rsid w:val="00ED6E70"/>
    <w:rsid w:val="00ED7266"/>
    <w:rsid w:val="00ED73EE"/>
    <w:rsid w:val="00EE22E0"/>
    <w:rsid w:val="00EE286B"/>
    <w:rsid w:val="00EE37DD"/>
    <w:rsid w:val="00EE38AC"/>
    <w:rsid w:val="00EE3AED"/>
    <w:rsid w:val="00EE4912"/>
    <w:rsid w:val="00EE5393"/>
    <w:rsid w:val="00EE5D4A"/>
    <w:rsid w:val="00EE69F3"/>
    <w:rsid w:val="00EE7505"/>
    <w:rsid w:val="00EF008D"/>
    <w:rsid w:val="00EF0198"/>
    <w:rsid w:val="00EF0402"/>
    <w:rsid w:val="00EF0592"/>
    <w:rsid w:val="00EF0A2D"/>
    <w:rsid w:val="00EF0DDA"/>
    <w:rsid w:val="00EF0FE6"/>
    <w:rsid w:val="00EF1563"/>
    <w:rsid w:val="00EF227A"/>
    <w:rsid w:val="00EF3784"/>
    <w:rsid w:val="00EF4716"/>
    <w:rsid w:val="00EF4C87"/>
    <w:rsid w:val="00EF5E2B"/>
    <w:rsid w:val="00EF60BC"/>
    <w:rsid w:val="00EF61D0"/>
    <w:rsid w:val="00EF6361"/>
    <w:rsid w:val="00EF7C80"/>
    <w:rsid w:val="00EF7C9D"/>
    <w:rsid w:val="00F0133B"/>
    <w:rsid w:val="00F01C39"/>
    <w:rsid w:val="00F020C2"/>
    <w:rsid w:val="00F02B03"/>
    <w:rsid w:val="00F0546F"/>
    <w:rsid w:val="00F05F93"/>
    <w:rsid w:val="00F0652C"/>
    <w:rsid w:val="00F06784"/>
    <w:rsid w:val="00F06922"/>
    <w:rsid w:val="00F069E7"/>
    <w:rsid w:val="00F06C3A"/>
    <w:rsid w:val="00F07BB4"/>
    <w:rsid w:val="00F100D9"/>
    <w:rsid w:val="00F112E0"/>
    <w:rsid w:val="00F11B69"/>
    <w:rsid w:val="00F12353"/>
    <w:rsid w:val="00F127B0"/>
    <w:rsid w:val="00F1281A"/>
    <w:rsid w:val="00F12EE9"/>
    <w:rsid w:val="00F12FFF"/>
    <w:rsid w:val="00F13165"/>
    <w:rsid w:val="00F14F60"/>
    <w:rsid w:val="00F1590A"/>
    <w:rsid w:val="00F15979"/>
    <w:rsid w:val="00F16F5C"/>
    <w:rsid w:val="00F2003B"/>
    <w:rsid w:val="00F208AD"/>
    <w:rsid w:val="00F21DE8"/>
    <w:rsid w:val="00F22F05"/>
    <w:rsid w:val="00F22F3B"/>
    <w:rsid w:val="00F2313B"/>
    <w:rsid w:val="00F233D0"/>
    <w:rsid w:val="00F235DA"/>
    <w:rsid w:val="00F2367A"/>
    <w:rsid w:val="00F23DCB"/>
    <w:rsid w:val="00F24A97"/>
    <w:rsid w:val="00F24BE4"/>
    <w:rsid w:val="00F25F7D"/>
    <w:rsid w:val="00F26845"/>
    <w:rsid w:val="00F26CB9"/>
    <w:rsid w:val="00F27C6C"/>
    <w:rsid w:val="00F302E5"/>
    <w:rsid w:val="00F31782"/>
    <w:rsid w:val="00F31B1E"/>
    <w:rsid w:val="00F31B86"/>
    <w:rsid w:val="00F31DC3"/>
    <w:rsid w:val="00F320C6"/>
    <w:rsid w:val="00F329D8"/>
    <w:rsid w:val="00F33250"/>
    <w:rsid w:val="00F3370D"/>
    <w:rsid w:val="00F33B67"/>
    <w:rsid w:val="00F33D86"/>
    <w:rsid w:val="00F33DCF"/>
    <w:rsid w:val="00F33F6A"/>
    <w:rsid w:val="00F3429B"/>
    <w:rsid w:val="00F34B44"/>
    <w:rsid w:val="00F373A6"/>
    <w:rsid w:val="00F3790D"/>
    <w:rsid w:val="00F40160"/>
    <w:rsid w:val="00F405BD"/>
    <w:rsid w:val="00F40716"/>
    <w:rsid w:val="00F40BE5"/>
    <w:rsid w:val="00F40BF9"/>
    <w:rsid w:val="00F41736"/>
    <w:rsid w:val="00F41913"/>
    <w:rsid w:val="00F41F98"/>
    <w:rsid w:val="00F436E8"/>
    <w:rsid w:val="00F43DA4"/>
    <w:rsid w:val="00F44664"/>
    <w:rsid w:val="00F44997"/>
    <w:rsid w:val="00F44CEA"/>
    <w:rsid w:val="00F45F72"/>
    <w:rsid w:val="00F460B0"/>
    <w:rsid w:val="00F46899"/>
    <w:rsid w:val="00F47517"/>
    <w:rsid w:val="00F477C9"/>
    <w:rsid w:val="00F51882"/>
    <w:rsid w:val="00F51BF2"/>
    <w:rsid w:val="00F5216C"/>
    <w:rsid w:val="00F54A6E"/>
    <w:rsid w:val="00F54F9C"/>
    <w:rsid w:val="00F55A99"/>
    <w:rsid w:val="00F55CC3"/>
    <w:rsid w:val="00F56E05"/>
    <w:rsid w:val="00F570E3"/>
    <w:rsid w:val="00F57C90"/>
    <w:rsid w:val="00F6092A"/>
    <w:rsid w:val="00F61B1F"/>
    <w:rsid w:val="00F62FF0"/>
    <w:rsid w:val="00F634A7"/>
    <w:rsid w:val="00F63544"/>
    <w:rsid w:val="00F6439D"/>
    <w:rsid w:val="00F6507D"/>
    <w:rsid w:val="00F66045"/>
    <w:rsid w:val="00F663E7"/>
    <w:rsid w:val="00F6703C"/>
    <w:rsid w:val="00F705DA"/>
    <w:rsid w:val="00F70A10"/>
    <w:rsid w:val="00F70E67"/>
    <w:rsid w:val="00F7190C"/>
    <w:rsid w:val="00F7306C"/>
    <w:rsid w:val="00F7308B"/>
    <w:rsid w:val="00F7340A"/>
    <w:rsid w:val="00F73C69"/>
    <w:rsid w:val="00F741AB"/>
    <w:rsid w:val="00F77072"/>
    <w:rsid w:val="00F77468"/>
    <w:rsid w:val="00F775F5"/>
    <w:rsid w:val="00F77943"/>
    <w:rsid w:val="00F77979"/>
    <w:rsid w:val="00F800EB"/>
    <w:rsid w:val="00F80458"/>
    <w:rsid w:val="00F811A2"/>
    <w:rsid w:val="00F81711"/>
    <w:rsid w:val="00F8288E"/>
    <w:rsid w:val="00F8524C"/>
    <w:rsid w:val="00F8649A"/>
    <w:rsid w:val="00F8652F"/>
    <w:rsid w:val="00F86C46"/>
    <w:rsid w:val="00F8700A"/>
    <w:rsid w:val="00F87039"/>
    <w:rsid w:val="00F870CA"/>
    <w:rsid w:val="00F900BD"/>
    <w:rsid w:val="00F90210"/>
    <w:rsid w:val="00F9064F"/>
    <w:rsid w:val="00F90B05"/>
    <w:rsid w:val="00F90DC4"/>
    <w:rsid w:val="00F916CD"/>
    <w:rsid w:val="00F91D96"/>
    <w:rsid w:val="00F92B7E"/>
    <w:rsid w:val="00F94D05"/>
    <w:rsid w:val="00F9571E"/>
    <w:rsid w:val="00F9590F"/>
    <w:rsid w:val="00F959A1"/>
    <w:rsid w:val="00F959A2"/>
    <w:rsid w:val="00F95B86"/>
    <w:rsid w:val="00F95E87"/>
    <w:rsid w:val="00F95FDA"/>
    <w:rsid w:val="00F95FE9"/>
    <w:rsid w:val="00F96A78"/>
    <w:rsid w:val="00F97394"/>
    <w:rsid w:val="00F97A2E"/>
    <w:rsid w:val="00FA0C32"/>
    <w:rsid w:val="00FA10CB"/>
    <w:rsid w:val="00FA1514"/>
    <w:rsid w:val="00FA198D"/>
    <w:rsid w:val="00FA1EFE"/>
    <w:rsid w:val="00FA201B"/>
    <w:rsid w:val="00FA2BDE"/>
    <w:rsid w:val="00FA32B7"/>
    <w:rsid w:val="00FA3535"/>
    <w:rsid w:val="00FA481F"/>
    <w:rsid w:val="00FA4E4E"/>
    <w:rsid w:val="00FA537F"/>
    <w:rsid w:val="00FA5EC8"/>
    <w:rsid w:val="00FA6082"/>
    <w:rsid w:val="00FA6197"/>
    <w:rsid w:val="00FA6370"/>
    <w:rsid w:val="00FA665B"/>
    <w:rsid w:val="00FA67DD"/>
    <w:rsid w:val="00FA6DA6"/>
    <w:rsid w:val="00FB036E"/>
    <w:rsid w:val="00FB078C"/>
    <w:rsid w:val="00FB0965"/>
    <w:rsid w:val="00FB1400"/>
    <w:rsid w:val="00FB203E"/>
    <w:rsid w:val="00FB2857"/>
    <w:rsid w:val="00FB31CD"/>
    <w:rsid w:val="00FB380C"/>
    <w:rsid w:val="00FB4240"/>
    <w:rsid w:val="00FB5288"/>
    <w:rsid w:val="00FB7A71"/>
    <w:rsid w:val="00FB7AB5"/>
    <w:rsid w:val="00FB7EDF"/>
    <w:rsid w:val="00FC0471"/>
    <w:rsid w:val="00FC150B"/>
    <w:rsid w:val="00FC28D5"/>
    <w:rsid w:val="00FC29D7"/>
    <w:rsid w:val="00FC2A6D"/>
    <w:rsid w:val="00FC3802"/>
    <w:rsid w:val="00FC3C69"/>
    <w:rsid w:val="00FC454D"/>
    <w:rsid w:val="00FC463C"/>
    <w:rsid w:val="00FC49A4"/>
    <w:rsid w:val="00FC561C"/>
    <w:rsid w:val="00FC5ED0"/>
    <w:rsid w:val="00FC5FF8"/>
    <w:rsid w:val="00FC6004"/>
    <w:rsid w:val="00FC6AA9"/>
    <w:rsid w:val="00FC6B89"/>
    <w:rsid w:val="00FC6C6A"/>
    <w:rsid w:val="00FC6D2E"/>
    <w:rsid w:val="00FC7509"/>
    <w:rsid w:val="00FC7F23"/>
    <w:rsid w:val="00FD11C5"/>
    <w:rsid w:val="00FD1719"/>
    <w:rsid w:val="00FD29F3"/>
    <w:rsid w:val="00FD319B"/>
    <w:rsid w:val="00FD3F03"/>
    <w:rsid w:val="00FD418F"/>
    <w:rsid w:val="00FD4828"/>
    <w:rsid w:val="00FD547B"/>
    <w:rsid w:val="00FD5740"/>
    <w:rsid w:val="00FD5DDA"/>
    <w:rsid w:val="00FE14E2"/>
    <w:rsid w:val="00FE238F"/>
    <w:rsid w:val="00FE29E4"/>
    <w:rsid w:val="00FE3876"/>
    <w:rsid w:val="00FE5B2D"/>
    <w:rsid w:val="00FE63DB"/>
    <w:rsid w:val="00FE6BB7"/>
    <w:rsid w:val="00FE6F40"/>
    <w:rsid w:val="00FE7BF3"/>
    <w:rsid w:val="00FF0243"/>
    <w:rsid w:val="00FF13D6"/>
    <w:rsid w:val="00FF1A16"/>
    <w:rsid w:val="00FF1B43"/>
    <w:rsid w:val="00FF20B2"/>
    <w:rsid w:val="00FF242E"/>
    <w:rsid w:val="00FF395C"/>
    <w:rsid w:val="00FF3DDE"/>
    <w:rsid w:val="00FF4827"/>
    <w:rsid w:val="00FF4D76"/>
    <w:rsid w:val="00FF4FF0"/>
    <w:rsid w:val="00FF5F93"/>
    <w:rsid w:val="00FF6A6D"/>
    <w:rsid w:val="00FF6F5A"/>
    <w:rsid w:val="00FF7271"/>
    <w:rsid w:val="00FF765E"/>
    <w:rsid w:val="00FF7CF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B80E9"/>
  <w14:defaultImageDpi w14:val="32767"/>
  <w15:chartTrackingRefBased/>
  <w15:docId w15:val="{0BC2E091-2028-D74C-A012-C32D82A43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22211"/>
    <w:rPr>
      <w:rFonts w:ascii="Times New Roman" w:eastAsia="Times New Roman" w:hAnsi="Times New Roman" w:cs="Times New Roman"/>
      <w:kern w:val="0"/>
      <w:lang w:val="en-SG"/>
      <w14:ligatures w14:val="none"/>
    </w:rPr>
  </w:style>
  <w:style w:type="paragraph" w:styleId="Heading1">
    <w:name w:val="heading 1"/>
    <w:basedOn w:val="Normal"/>
    <w:next w:val="Normal"/>
    <w:link w:val="Heading1Char"/>
    <w:uiPriority w:val="9"/>
    <w:qFormat/>
    <w:rsid w:val="00922211"/>
    <w:pPr>
      <w:numPr>
        <w:numId w:val="1"/>
      </w:numPr>
      <w:autoSpaceDE w:val="0"/>
      <w:autoSpaceDN w:val="0"/>
      <w:adjustRightInd w:val="0"/>
      <w:spacing w:after="120" w:line="360" w:lineRule="auto"/>
      <w:jc w:val="both"/>
      <w:outlineLvl w:val="0"/>
    </w:pPr>
    <w:rPr>
      <w:rFonts w:eastAsiaTheme="minorEastAsia"/>
      <w:b/>
      <w:bCs/>
      <w:sz w:val="22"/>
      <w:szCs w:val="22"/>
    </w:rPr>
  </w:style>
  <w:style w:type="paragraph" w:styleId="Heading2">
    <w:name w:val="heading 2"/>
    <w:basedOn w:val="Heading1"/>
    <w:next w:val="Normal"/>
    <w:link w:val="Heading2Char"/>
    <w:uiPriority w:val="9"/>
    <w:unhideWhenUsed/>
    <w:qFormat/>
    <w:rsid w:val="00922211"/>
    <w:pPr>
      <w:numPr>
        <w:ilvl w:val="1"/>
      </w:numPr>
      <w:outlineLvl w:val="1"/>
    </w:pPr>
  </w:style>
  <w:style w:type="paragraph" w:styleId="Heading3">
    <w:name w:val="heading 3"/>
    <w:basedOn w:val="Heading2"/>
    <w:next w:val="Normal"/>
    <w:link w:val="Heading3Char"/>
    <w:uiPriority w:val="9"/>
    <w:unhideWhenUsed/>
    <w:qFormat/>
    <w:rsid w:val="00922211"/>
    <w:pPr>
      <w:numPr>
        <w:ilvl w:val="2"/>
      </w:numPr>
      <w:outlineLvl w:val="2"/>
    </w:pPr>
  </w:style>
  <w:style w:type="paragraph" w:styleId="Heading4">
    <w:name w:val="heading 4"/>
    <w:basedOn w:val="Heading3"/>
    <w:next w:val="Normal"/>
    <w:link w:val="Heading4Char"/>
    <w:uiPriority w:val="9"/>
    <w:unhideWhenUsed/>
    <w:qFormat/>
    <w:rsid w:val="00922211"/>
    <w:pPr>
      <w:numPr>
        <w:ilvl w:val="3"/>
      </w:numPr>
      <w:outlineLvl w:val="3"/>
    </w:pPr>
  </w:style>
  <w:style w:type="paragraph" w:styleId="Heading5">
    <w:name w:val="heading 5"/>
    <w:basedOn w:val="Normal"/>
    <w:next w:val="Normal"/>
    <w:link w:val="Heading5Char"/>
    <w:uiPriority w:val="9"/>
    <w:unhideWhenUsed/>
    <w:qFormat/>
    <w:rsid w:val="00922211"/>
    <w:pPr>
      <w:keepNext/>
      <w:keepLines/>
      <w:numPr>
        <w:ilvl w:val="4"/>
        <w:numId w:val="1"/>
      </w:numPr>
      <w:spacing w:before="40" w:line="360" w:lineRule="auto"/>
      <w:contextualSpacing/>
      <w:jc w:val="both"/>
      <w:outlineLvl w:val="4"/>
    </w:pPr>
    <w:rPr>
      <w:rFonts w:asciiTheme="majorHAnsi" w:eastAsiaTheme="majorEastAsia" w:hAnsiTheme="majorHAnsi" w:cstheme="majorBidi"/>
      <w:color w:val="2F5496" w:themeColor="accent1" w:themeShade="BF"/>
      <w:sz w:val="22"/>
      <w:szCs w:val="22"/>
    </w:rPr>
  </w:style>
  <w:style w:type="paragraph" w:styleId="Heading6">
    <w:name w:val="heading 6"/>
    <w:basedOn w:val="Normal"/>
    <w:next w:val="Normal"/>
    <w:link w:val="Heading6Char"/>
    <w:uiPriority w:val="9"/>
    <w:semiHidden/>
    <w:unhideWhenUsed/>
    <w:qFormat/>
    <w:rsid w:val="00922211"/>
    <w:pPr>
      <w:keepNext/>
      <w:keepLines/>
      <w:numPr>
        <w:ilvl w:val="5"/>
        <w:numId w:val="1"/>
      </w:numPr>
      <w:spacing w:before="40" w:line="360" w:lineRule="auto"/>
      <w:contextualSpacing/>
      <w:jc w:val="both"/>
      <w:outlineLvl w:val="5"/>
    </w:pPr>
    <w:rPr>
      <w:rFonts w:asciiTheme="majorHAnsi" w:eastAsiaTheme="majorEastAsia" w:hAnsiTheme="majorHAnsi" w:cstheme="majorBidi"/>
      <w:color w:val="1F3763" w:themeColor="accent1" w:themeShade="7F"/>
      <w:sz w:val="22"/>
      <w:szCs w:val="22"/>
    </w:rPr>
  </w:style>
  <w:style w:type="paragraph" w:styleId="Heading7">
    <w:name w:val="heading 7"/>
    <w:basedOn w:val="Normal"/>
    <w:next w:val="Normal"/>
    <w:link w:val="Heading7Char"/>
    <w:uiPriority w:val="9"/>
    <w:semiHidden/>
    <w:unhideWhenUsed/>
    <w:qFormat/>
    <w:rsid w:val="00922211"/>
    <w:pPr>
      <w:keepNext/>
      <w:keepLines/>
      <w:numPr>
        <w:ilvl w:val="6"/>
        <w:numId w:val="1"/>
      </w:numPr>
      <w:tabs>
        <w:tab w:val="num" w:pos="360"/>
      </w:tabs>
      <w:spacing w:before="40" w:line="360" w:lineRule="auto"/>
      <w:ind w:left="0" w:firstLine="0"/>
      <w:contextualSpacing/>
      <w:jc w:val="both"/>
      <w:outlineLvl w:val="6"/>
    </w:pPr>
    <w:rPr>
      <w:rFonts w:asciiTheme="majorHAnsi" w:eastAsiaTheme="majorEastAsia" w:hAnsiTheme="majorHAnsi" w:cstheme="majorBidi"/>
      <w:i/>
      <w:iCs/>
      <w:color w:val="1F3763" w:themeColor="accent1" w:themeShade="7F"/>
      <w:sz w:val="22"/>
      <w:szCs w:val="22"/>
    </w:rPr>
  </w:style>
  <w:style w:type="paragraph" w:styleId="Heading8">
    <w:name w:val="heading 8"/>
    <w:basedOn w:val="Normal"/>
    <w:next w:val="Normal"/>
    <w:link w:val="Heading8Char"/>
    <w:uiPriority w:val="9"/>
    <w:semiHidden/>
    <w:unhideWhenUsed/>
    <w:qFormat/>
    <w:rsid w:val="00922211"/>
    <w:pPr>
      <w:keepNext/>
      <w:keepLines/>
      <w:numPr>
        <w:ilvl w:val="7"/>
        <w:numId w:val="1"/>
      </w:numPr>
      <w:tabs>
        <w:tab w:val="num" w:pos="360"/>
      </w:tabs>
      <w:spacing w:before="40" w:line="360" w:lineRule="auto"/>
      <w:ind w:left="0" w:firstLine="0"/>
      <w:contextualSpacing/>
      <w:jc w:val="both"/>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22211"/>
    <w:pPr>
      <w:keepNext/>
      <w:keepLines/>
      <w:numPr>
        <w:ilvl w:val="8"/>
        <w:numId w:val="1"/>
      </w:numPr>
      <w:tabs>
        <w:tab w:val="num" w:pos="360"/>
      </w:tabs>
      <w:spacing w:before="40" w:line="360" w:lineRule="auto"/>
      <w:ind w:left="0" w:firstLine="0"/>
      <w:contextualSpacing/>
      <w:jc w:val="both"/>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2211"/>
    <w:rPr>
      <w:rFonts w:ascii="Times New Roman" w:hAnsi="Times New Roman" w:cs="Times New Roman"/>
      <w:b/>
      <w:bCs/>
      <w:kern w:val="0"/>
      <w:sz w:val="22"/>
      <w:szCs w:val="22"/>
      <w:lang w:val="en-SG"/>
      <w14:ligatures w14:val="none"/>
    </w:rPr>
  </w:style>
  <w:style w:type="character" w:customStyle="1" w:styleId="Heading2Char">
    <w:name w:val="Heading 2 Char"/>
    <w:basedOn w:val="DefaultParagraphFont"/>
    <w:link w:val="Heading2"/>
    <w:uiPriority w:val="9"/>
    <w:rsid w:val="00922211"/>
    <w:rPr>
      <w:rFonts w:ascii="Times New Roman" w:hAnsi="Times New Roman" w:cs="Times New Roman"/>
      <w:b/>
      <w:bCs/>
      <w:kern w:val="0"/>
      <w:sz w:val="22"/>
      <w:szCs w:val="22"/>
      <w:lang w:val="en-SG"/>
      <w14:ligatures w14:val="none"/>
    </w:rPr>
  </w:style>
  <w:style w:type="character" w:customStyle="1" w:styleId="Heading3Char">
    <w:name w:val="Heading 3 Char"/>
    <w:basedOn w:val="DefaultParagraphFont"/>
    <w:link w:val="Heading3"/>
    <w:uiPriority w:val="9"/>
    <w:rsid w:val="00922211"/>
    <w:rPr>
      <w:rFonts w:ascii="Times New Roman" w:hAnsi="Times New Roman" w:cs="Times New Roman"/>
      <w:b/>
      <w:bCs/>
      <w:kern w:val="0"/>
      <w:sz w:val="22"/>
      <w:szCs w:val="22"/>
      <w:lang w:val="en-SG"/>
      <w14:ligatures w14:val="none"/>
    </w:rPr>
  </w:style>
  <w:style w:type="character" w:customStyle="1" w:styleId="Heading4Char">
    <w:name w:val="Heading 4 Char"/>
    <w:basedOn w:val="DefaultParagraphFont"/>
    <w:link w:val="Heading4"/>
    <w:uiPriority w:val="9"/>
    <w:rsid w:val="00922211"/>
    <w:rPr>
      <w:rFonts w:ascii="Times New Roman" w:hAnsi="Times New Roman" w:cs="Times New Roman"/>
      <w:b/>
      <w:bCs/>
      <w:kern w:val="0"/>
      <w:sz w:val="22"/>
      <w:szCs w:val="22"/>
      <w:lang w:val="en-SG"/>
      <w14:ligatures w14:val="none"/>
    </w:rPr>
  </w:style>
  <w:style w:type="character" w:customStyle="1" w:styleId="Heading5Char">
    <w:name w:val="Heading 5 Char"/>
    <w:basedOn w:val="DefaultParagraphFont"/>
    <w:link w:val="Heading5"/>
    <w:uiPriority w:val="9"/>
    <w:rsid w:val="00922211"/>
    <w:rPr>
      <w:rFonts w:asciiTheme="majorHAnsi" w:eastAsiaTheme="majorEastAsia" w:hAnsiTheme="majorHAnsi" w:cstheme="majorBidi"/>
      <w:color w:val="2F5496" w:themeColor="accent1" w:themeShade="BF"/>
      <w:kern w:val="0"/>
      <w:sz w:val="22"/>
      <w:szCs w:val="22"/>
      <w:lang w:val="en-SG"/>
      <w14:ligatures w14:val="none"/>
    </w:rPr>
  </w:style>
  <w:style w:type="character" w:customStyle="1" w:styleId="Heading6Char">
    <w:name w:val="Heading 6 Char"/>
    <w:basedOn w:val="DefaultParagraphFont"/>
    <w:link w:val="Heading6"/>
    <w:uiPriority w:val="9"/>
    <w:semiHidden/>
    <w:rsid w:val="00922211"/>
    <w:rPr>
      <w:rFonts w:asciiTheme="majorHAnsi" w:eastAsiaTheme="majorEastAsia" w:hAnsiTheme="majorHAnsi" w:cstheme="majorBidi"/>
      <w:color w:val="1F3763" w:themeColor="accent1" w:themeShade="7F"/>
      <w:kern w:val="0"/>
      <w:sz w:val="22"/>
      <w:szCs w:val="22"/>
      <w:lang w:val="en-SG"/>
      <w14:ligatures w14:val="none"/>
    </w:rPr>
  </w:style>
  <w:style w:type="character" w:customStyle="1" w:styleId="Heading7Char">
    <w:name w:val="Heading 7 Char"/>
    <w:basedOn w:val="DefaultParagraphFont"/>
    <w:link w:val="Heading7"/>
    <w:uiPriority w:val="9"/>
    <w:semiHidden/>
    <w:rsid w:val="00922211"/>
    <w:rPr>
      <w:rFonts w:asciiTheme="majorHAnsi" w:eastAsiaTheme="majorEastAsia" w:hAnsiTheme="majorHAnsi" w:cstheme="majorBidi"/>
      <w:i/>
      <w:iCs/>
      <w:color w:val="1F3763" w:themeColor="accent1" w:themeShade="7F"/>
      <w:kern w:val="0"/>
      <w:sz w:val="22"/>
      <w:szCs w:val="22"/>
      <w:lang w:val="en-SG"/>
      <w14:ligatures w14:val="none"/>
    </w:rPr>
  </w:style>
  <w:style w:type="character" w:customStyle="1" w:styleId="Heading8Char">
    <w:name w:val="Heading 8 Char"/>
    <w:basedOn w:val="DefaultParagraphFont"/>
    <w:link w:val="Heading8"/>
    <w:uiPriority w:val="9"/>
    <w:semiHidden/>
    <w:rsid w:val="00922211"/>
    <w:rPr>
      <w:rFonts w:asciiTheme="majorHAnsi" w:eastAsiaTheme="majorEastAsia" w:hAnsiTheme="majorHAnsi" w:cstheme="majorBidi"/>
      <w:color w:val="272727" w:themeColor="text1" w:themeTint="D8"/>
      <w:kern w:val="0"/>
      <w:sz w:val="21"/>
      <w:szCs w:val="21"/>
      <w:lang w:val="en-SG"/>
      <w14:ligatures w14:val="none"/>
    </w:rPr>
  </w:style>
  <w:style w:type="character" w:customStyle="1" w:styleId="Heading9Char">
    <w:name w:val="Heading 9 Char"/>
    <w:basedOn w:val="DefaultParagraphFont"/>
    <w:link w:val="Heading9"/>
    <w:uiPriority w:val="9"/>
    <w:semiHidden/>
    <w:rsid w:val="00922211"/>
    <w:rPr>
      <w:rFonts w:asciiTheme="majorHAnsi" w:eastAsiaTheme="majorEastAsia" w:hAnsiTheme="majorHAnsi" w:cstheme="majorBidi"/>
      <w:i/>
      <w:iCs/>
      <w:color w:val="272727" w:themeColor="text1" w:themeTint="D8"/>
      <w:kern w:val="0"/>
      <w:sz w:val="21"/>
      <w:szCs w:val="21"/>
      <w:lang w:val="en-SG"/>
      <w14:ligatures w14:val="none"/>
    </w:rPr>
  </w:style>
  <w:style w:type="character" w:customStyle="1" w:styleId="a">
    <w:name w:val="_"/>
    <w:basedOn w:val="DefaultParagraphFont"/>
    <w:rsid w:val="00922211"/>
  </w:style>
  <w:style w:type="paragraph" w:styleId="ListParagraph">
    <w:name w:val="List Paragraph"/>
    <w:basedOn w:val="Normal"/>
    <w:link w:val="ListParagraphChar"/>
    <w:uiPriority w:val="34"/>
    <w:qFormat/>
    <w:rsid w:val="00922211"/>
    <w:pPr>
      <w:spacing w:after="160" w:line="360" w:lineRule="auto"/>
      <w:ind w:left="720"/>
      <w:contextualSpacing/>
      <w:jc w:val="both"/>
    </w:pPr>
    <w:rPr>
      <w:rFonts w:eastAsiaTheme="minorHAnsi" w:cstheme="minorBidi"/>
      <w:sz w:val="22"/>
      <w:szCs w:val="22"/>
      <w:lang w:eastAsia="en-US"/>
    </w:rPr>
  </w:style>
  <w:style w:type="character" w:styleId="Hyperlink">
    <w:name w:val="Hyperlink"/>
    <w:basedOn w:val="DefaultParagraphFont"/>
    <w:uiPriority w:val="99"/>
    <w:unhideWhenUsed/>
    <w:rsid w:val="00922211"/>
    <w:rPr>
      <w:color w:val="0000FF"/>
      <w:u w:val="single"/>
    </w:rPr>
  </w:style>
  <w:style w:type="table" w:styleId="TableGrid">
    <w:name w:val="Table Grid"/>
    <w:basedOn w:val="TableNormal"/>
    <w:uiPriority w:val="39"/>
    <w:rsid w:val="00922211"/>
    <w:rPr>
      <w:rFonts w:eastAsiaTheme="minorHAnsi"/>
      <w:kern w:val="0"/>
      <w:sz w:val="22"/>
      <w:szCs w:val="22"/>
      <w:lang w:val="en-S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3">
    <w:name w:val="A3"/>
    <w:uiPriority w:val="99"/>
    <w:rsid w:val="00922211"/>
    <w:rPr>
      <w:rFonts w:cs="Minion Pro"/>
      <w:color w:val="000000"/>
      <w:sz w:val="10"/>
      <w:szCs w:val="10"/>
    </w:rPr>
  </w:style>
  <w:style w:type="character" w:customStyle="1" w:styleId="A1">
    <w:name w:val="A1"/>
    <w:uiPriority w:val="99"/>
    <w:rsid w:val="00922211"/>
    <w:rPr>
      <w:rFonts w:ascii="ITC Symbol Std Book" w:hAnsi="ITC Symbol Std Book" w:cs="ITC Symbol Std Book"/>
      <w:color w:val="000000"/>
      <w:sz w:val="15"/>
      <w:szCs w:val="15"/>
    </w:rPr>
  </w:style>
  <w:style w:type="character" w:styleId="PlaceholderText">
    <w:name w:val="Placeholder Text"/>
    <w:basedOn w:val="DefaultParagraphFont"/>
    <w:uiPriority w:val="99"/>
    <w:semiHidden/>
    <w:rsid w:val="00922211"/>
    <w:rPr>
      <w:color w:val="808080"/>
    </w:rPr>
  </w:style>
  <w:style w:type="paragraph" w:styleId="NormalWeb">
    <w:name w:val="Normal (Web)"/>
    <w:basedOn w:val="Normal"/>
    <w:uiPriority w:val="99"/>
    <w:unhideWhenUsed/>
    <w:rsid w:val="00922211"/>
    <w:pPr>
      <w:spacing w:before="100" w:beforeAutospacing="1" w:after="100" w:afterAutospacing="1"/>
      <w:contextualSpacing/>
      <w:jc w:val="both"/>
    </w:pPr>
    <w:rPr>
      <w:lang w:eastAsia="en-SG"/>
    </w:rPr>
  </w:style>
  <w:style w:type="character" w:styleId="LineNumber">
    <w:name w:val="line number"/>
    <w:basedOn w:val="DefaultParagraphFont"/>
    <w:uiPriority w:val="99"/>
    <w:semiHidden/>
    <w:unhideWhenUsed/>
    <w:rsid w:val="00922211"/>
  </w:style>
  <w:style w:type="paragraph" w:styleId="NoSpacing">
    <w:name w:val="No Spacing"/>
    <w:uiPriority w:val="1"/>
    <w:qFormat/>
    <w:rsid w:val="00922211"/>
    <w:rPr>
      <w:kern w:val="0"/>
      <w:sz w:val="22"/>
      <w:szCs w:val="22"/>
      <w:lang w:val="en-SG"/>
      <w14:ligatures w14:val="none"/>
    </w:rPr>
  </w:style>
  <w:style w:type="paragraph" w:customStyle="1" w:styleId="EndNoteBibliographyTitle">
    <w:name w:val="EndNote Bibliography Title"/>
    <w:basedOn w:val="Normal"/>
    <w:link w:val="EndNoteBibliographyTitleChar"/>
    <w:rsid w:val="00922211"/>
    <w:pPr>
      <w:spacing w:line="360" w:lineRule="auto"/>
      <w:contextualSpacing/>
      <w:jc w:val="center"/>
    </w:pPr>
    <w:rPr>
      <w:rFonts w:eastAsiaTheme="minorEastAsia"/>
      <w:noProof/>
      <w:sz w:val="22"/>
      <w:szCs w:val="22"/>
    </w:rPr>
  </w:style>
  <w:style w:type="character" w:customStyle="1" w:styleId="EndNoteBibliographyTitleChar">
    <w:name w:val="EndNote Bibliography Title Char"/>
    <w:basedOn w:val="DefaultParagraphFont"/>
    <w:link w:val="EndNoteBibliographyTitle"/>
    <w:rsid w:val="00922211"/>
    <w:rPr>
      <w:rFonts w:ascii="Times New Roman" w:hAnsi="Times New Roman" w:cs="Times New Roman"/>
      <w:noProof/>
      <w:kern w:val="0"/>
      <w:sz w:val="22"/>
      <w:szCs w:val="22"/>
      <w:lang w:val="en-SG"/>
      <w14:ligatures w14:val="none"/>
    </w:rPr>
  </w:style>
  <w:style w:type="paragraph" w:customStyle="1" w:styleId="EndNoteBibliography">
    <w:name w:val="EndNote Bibliography"/>
    <w:basedOn w:val="Normal"/>
    <w:link w:val="EndNoteBibliographyChar"/>
    <w:rsid w:val="00922211"/>
    <w:pPr>
      <w:spacing w:after="160" w:line="360" w:lineRule="auto"/>
      <w:contextualSpacing/>
      <w:jc w:val="both"/>
    </w:pPr>
    <w:rPr>
      <w:rFonts w:eastAsiaTheme="minorEastAsia"/>
      <w:noProof/>
      <w:sz w:val="22"/>
      <w:szCs w:val="22"/>
    </w:rPr>
  </w:style>
  <w:style w:type="character" w:customStyle="1" w:styleId="EndNoteBibliographyChar">
    <w:name w:val="EndNote Bibliography Char"/>
    <w:basedOn w:val="DefaultParagraphFont"/>
    <w:link w:val="EndNoteBibliography"/>
    <w:rsid w:val="00922211"/>
    <w:rPr>
      <w:rFonts w:ascii="Times New Roman" w:hAnsi="Times New Roman" w:cs="Times New Roman"/>
      <w:noProof/>
      <w:kern w:val="0"/>
      <w:sz w:val="22"/>
      <w:szCs w:val="22"/>
      <w:lang w:val="en-SG"/>
      <w14:ligatures w14:val="none"/>
    </w:rPr>
  </w:style>
  <w:style w:type="character" w:styleId="UnresolvedMention">
    <w:name w:val="Unresolved Mention"/>
    <w:basedOn w:val="DefaultParagraphFont"/>
    <w:uiPriority w:val="99"/>
    <w:unhideWhenUsed/>
    <w:rsid w:val="00922211"/>
    <w:rPr>
      <w:color w:val="605E5C"/>
      <w:shd w:val="clear" w:color="auto" w:fill="E1DFDD"/>
    </w:rPr>
  </w:style>
  <w:style w:type="paragraph" w:styleId="Title">
    <w:name w:val="Title"/>
    <w:basedOn w:val="Heading1"/>
    <w:next w:val="Normal"/>
    <w:link w:val="TitleChar"/>
    <w:uiPriority w:val="10"/>
    <w:qFormat/>
    <w:rsid w:val="00922211"/>
  </w:style>
  <w:style w:type="character" w:customStyle="1" w:styleId="TitleChar">
    <w:name w:val="Title Char"/>
    <w:basedOn w:val="DefaultParagraphFont"/>
    <w:link w:val="Title"/>
    <w:uiPriority w:val="10"/>
    <w:rsid w:val="00922211"/>
    <w:rPr>
      <w:rFonts w:ascii="Times New Roman" w:hAnsi="Times New Roman" w:cs="Times New Roman"/>
      <w:b/>
      <w:bCs/>
      <w:kern w:val="0"/>
      <w:sz w:val="22"/>
      <w:szCs w:val="22"/>
      <w:lang w:val="en-SG"/>
      <w14:ligatures w14:val="none"/>
    </w:rPr>
  </w:style>
  <w:style w:type="paragraph" w:styleId="Header">
    <w:name w:val="header"/>
    <w:basedOn w:val="Normal"/>
    <w:link w:val="HeaderChar"/>
    <w:uiPriority w:val="99"/>
    <w:unhideWhenUsed/>
    <w:rsid w:val="00922211"/>
    <w:pPr>
      <w:tabs>
        <w:tab w:val="center" w:pos="4513"/>
        <w:tab w:val="right" w:pos="9026"/>
      </w:tabs>
      <w:contextualSpacing/>
      <w:jc w:val="both"/>
    </w:pPr>
    <w:rPr>
      <w:rFonts w:eastAsiaTheme="minorEastAsia" w:cstheme="minorBidi"/>
      <w:sz w:val="22"/>
      <w:szCs w:val="22"/>
    </w:rPr>
  </w:style>
  <w:style w:type="character" w:customStyle="1" w:styleId="HeaderChar">
    <w:name w:val="Header Char"/>
    <w:basedOn w:val="DefaultParagraphFont"/>
    <w:link w:val="Header"/>
    <w:uiPriority w:val="99"/>
    <w:rsid w:val="00922211"/>
    <w:rPr>
      <w:rFonts w:ascii="Times New Roman" w:hAnsi="Times New Roman"/>
      <w:kern w:val="0"/>
      <w:sz w:val="22"/>
      <w:szCs w:val="22"/>
      <w:lang w:val="en-SG"/>
      <w14:ligatures w14:val="none"/>
    </w:rPr>
  </w:style>
  <w:style w:type="paragraph" w:styleId="Footer">
    <w:name w:val="footer"/>
    <w:basedOn w:val="Normal"/>
    <w:link w:val="FooterChar"/>
    <w:uiPriority w:val="99"/>
    <w:unhideWhenUsed/>
    <w:rsid w:val="00922211"/>
    <w:pPr>
      <w:tabs>
        <w:tab w:val="center" w:pos="4513"/>
        <w:tab w:val="right" w:pos="9026"/>
      </w:tabs>
      <w:contextualSpacing/>
      <w:jc w:val="both"/>
    </w:pPr>
    <w:rPr>
      <w:rFonts w:eastAsiaTheme="minorEastAsia" w:cstheme="minorBidi"/>
      <w:sz w:val="22"/>
      <w:szCs w:val="22"/>
    </w:rPr>
  </w:style>
  <w:style w:type="character" w:customStyle="1" w:styleId="FooterChar">
    <w:name w:val="Footer Char"/>
    <w:basedOn w:val="DefaultParagraphFont"/>
    <w:link w:val="Footer"/>
    <w:uiPriority w:val="99"/>
    <w:rsid w:val="00922211"/>
    <w:rPr>
      <w:rFonts w:ascii="Times New Roman" w:hAnsi="Times New Roman"/>
      <w:kern w:val="0"/>
      <w:sz w:val="22"/>
      <w:szCs w:val="22"/>
      <w:lang w:val="en-SG"/>
      <w14:ligatures w14:val="none"/>
    </w:rPr>
  </w:style>
  <w:style w:type="character" w:styleId="FollowedHyperlink">
    <w:name w:val="FollowedHyperlink"/>
    <w:basedOn w:val="DefaultParagraphFont"/>
    <w:uiPriority w:val="99"/>
    <w:semiHidden/>
    <w:unhideWhenUsed/>
    <w:rsid w:val="00922211"/>
    <w:rPr>
      <w:color w:val="954F72" w:themeColor="followedHyperlink"/>
      <w:u w:val="single"/>
    </w:rPr>
  </w:style>
  <w:style w:type="character" w:styleId="CommentReference">
    <w:name w:val="annotation reference"/>
    <w:basedOn w:val="DefaultParagraphFont"/>
    <w:uiPriority w:val="99"/>
    <w:semiHidden/>
    <w:unhideWhenUsed/>
    <w:rsid w:val="00922211"/>
    <w:rPr>
      <w:sz w:val="16"/>
      <w:szCs w:val="16"/>
    </w:rPr>
  </w:style>
  <w:style w:type="paragraph" w:styleId="CommentText">
    <w:name w:val="annotation text"/>
    <w:basedOn w:val="Normal"/>
    <w:link w:val="CommentTextChar"/>
    <w:uiPriority w:val="99"/>
    <w:semiHidden/>
    <w:unhideWhenUsed/>
    <w:rsid w:val="00922211"/>
    <w:pPr>
      <w:spacing w:after="160"/>
      <w:contextualSpacing/>
      <w:jc w:val="both"/>
    </w:pPr>
    <w:rPr>
      <w:rFonts w:eastAsiaTheme="minorEastAsia" w:cstheme="minorBidi"/>
      <w:sz w:val="20"/>
      <w:szCs w:val="20"/>
    </w:rPr>
  </w:style>
  <w:style w:type="character" w:customStyle="1" w:styleId="CommentTextChar">
    <w:name w:val="Comment Text Char"/>
    <w:basedOn w:val="DefaultParagraphFont"/>
    <w:link w:val="CommentText"/>
    <w:uiPriority w:val="99"/>
    <w:semiHidden/>
    <w:rsid w:val="00922211"/>
    <w:rPr>
      <w:rFonts w:ascii="Times New Roman" w:hAnsi="Times New Roman"/>
      <w:kern w:val="0"/>
      <w:sz w:val="20"/>
      <w:szCs w:val="20"/>
      <w:lang w:val="en-SG"/>
      <w14:ligatures w14:val="none"/>
    </w:rPr>
  </w:style>
  <w:style w:type="paragraph" w:styleId="CommentSubject">
    <w:name w:val="annotation subject"/>
    <w:basedOn w:val="CommentText"/>
    <w:next w:val="CommentText"/>
    <w:link w:val="CommentSubjectChar"/>
    <w:uiPriority w:val="99"/>
    <w:semiHidden/>
    <w:unhideWhenUsed/>
    <w:rsid w:val="00922211"/>
    <w:rPr>
      <w:b/>
      <w:bCs/>
    </w:rPr>
  </w:style>
  <w:style w:type="character" w:customStyle="1" w:styleId="CommentSubjectChar">
    <w:name w:val="Comment Subject Char"/>
    <w:basedOn w:val="CommentTextChar"/>
    <w:link w:val="CommentSubject"/>
    <w:uiPriority w:val="99"/>
    <w:semiHidden/>
    <w:rsid w:val="00922211"/>
    <w:rPr>
      <w:rFonts w:ascii="Times New Roman" w:hAnsi="Times New Roman"/>
      <w:b/>
      <w:bCs/>
      <w:kern w:val="0"/>
      <w:sz w:val="20"/>
      <w:szCs w:val="20"/>
      <w:lang w:val="en-SG"/>
      <w14:ligatures w14:val="none"/>
    </w:rPr>
  </w:style>
  <w:style w:type="paragraph" w:customStyle="1" w:styleId="TableHeading">
    <w:name w:val="Table Heading"/>
    <w:basedOn w:val="Normal"/>
    <w:link w:val="TableHeadingChar"/>
    <w:autoRedefine/>
    <w:qFormat/>
    <w:rsid w:val="00922211"/>
    <w:pPr>
      <w:numPr>
        <w:numId w:val="2"/>
      </w:numPr>
      <w:jc w:val="both"/>
      <w:outlineLvl w:val="3"/>
    </w:pPr>
    <w:rPr>
      <w:rFonts w:eastAsiaTheme="minorEastAsia" w:cstheme="minorBidi"/>
      <w:sz w:val="22"/>
      <w:szCs w:val="28"/>
      <w:lang w:bidi="th-TH"/>
    </w:rPr>
  </w:style>
  <w:style w:type="character" w:customStyle="1" w:styleId="TableHeadingChar">
    <w:name w:val="Table Heading Char"/>
    <w:basedOn w:val="DefaultParagraphFont"/>
    <w:link w:val="TableHeading"/>
    <w:rsid w:val="00922211"/>
    <w:rPr>
      <w:rFonts w:ascii="Times New Roman" w:hAnsi="Times New Roman"/>
      <w:kern w:val="0"/>
      <w:sz w:val="22"/>
      <w:szCs w:val="28"/>
      <w:lang w:val="en-SG" w:bidi="th-TH"/>
      <w14:ligatures w14:val="none"/>
    </w:rPr>
  </w:style>
  <w:style w:type="paragraph" w:customStyle="1" w:styleId="FigureHeading">
    <w:name w:val="Figure Heading"/>
    <w:basedOn w:val="Normal"/>
    <w:link w:val="FigureHeadingChar"/>
    <w:autoRedefine/>
    <w:qFormat/>
    <w:rsid w:val="00922211"/>
    <w:pPr>
      <w:spacing w:after="160"/>
      <w:jc w:val="both"/>
    </w:pPr>
    <w:rPr>
      <w:rFonts w:eastAsiaTheme="minorEastAsia" w:cstheme="minorBidi"/>
      <w:sz w:val="22"/>
      <w:szCs w:val="28"/>
      <w:lang w:bidi="th-TH"/>
    </w:rPr>
  </w:style>
  <w:style w:type="character" w:customStyle="1" w:styleId="FigureHeadingChar">
    <w:name w:val="Figure Heading Char"/>
    <w:basedOn w:val="DefaultParagraphFont"/>
    <w:link w:val="FigureHeading"/>
    <w:rsid w:val="00922211"/>
    <w:rPr>
      <w:rFonts w:ascii="Times New Roman" w:hAnsi="Times New Roman"/>
      <w:kern w:val="0"/>
      <w:sz w:val="22"/>
      <w:szCs w:val="28"/>
      <w:lang w:val="en-SG" w:bidi="th-TH"/>
      <w14:ligatures w14:val="none"/>
    </w:rPr>
  </w:style>
  <w:style w:type="paragraph" w:styleId="Caption">
    <w:name w:val="caption"/>
    <w:basedOn w:val="Normal"/>
    <w:next w:val="Normal"/>
    <w:uiPriority w:val="35"/>
    <w:unhideWhenUsed/>
    <w:qFormat/>
    <w:rsid w:val="00922211"/>
    <w:pPr>
      <w:spacing w:line="360" w:lineRule="auto"/>
      <w:contextualSpacing/>
      <w:jc w:val="both"/>
    </w:pPr>
    <w:rPr>
      <w:rFonts w:eastAsiaTheme="minorEastAsia" w:cstheme="minorBidi"/>
      <w:iCs/>
      <w:sz w:val="22"/>
      <w:szCs w:val="18"/>
    </w:rPr>
  </w:style>
  <w:style w:type="table" w:customStyle="1" w:styleId="TableGrid1">
    <w:name w:val="Table Grid1"/>
    <w:basedOn w:val="TableNormal"/>
    <w:next w:val="TableGrid"/>
    <w:uiPriority w:val="39"/>
    <w:rsid w:val="00922211"/>
    <w:rPr>
      <w:rFonts w:eastAsia="DengXian"/>
      <w:kern w:val="0"/>
      <w:sz w:val="22"/>
      <w:szCs w:val="28"/>
      <w:lang w:val="en-SG" w:bidi="th-TH"/>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922211"/>
  </w:style>
  <w:style w:type="table" w:styleId="PlainTable4">
    <w:name w:val="Plain Table 4"/>
    <w:basedOn w:val="TableNormal"/>
    <w:uiPriority w:val="44"/>
    <w:rsid w:val="00922211"/>
    <w:rPr>
      <w:kern w:val="0"/>
      <w14:ligatures w14:val="non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arkgivizy5ow">
    <w:name w:val="markgivizy5ow"/>
    <w:basedOn w:val="DefaultParagraphFont"/>
    <w:rsid w:val="00922211"/>
  </w:style>
  <w:style w:type="table" w:styleId="PlainTable2">
    <w:name w:val="Plain Table 2"/>
    <w:basedOn w:val="TableNormal"/>
    <w:uiPriority w:val="42"/>
    <w:rsid w:val="00922211"/>
    <w:rPr>
      <w:kern w:val="0"/>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A813D1"/>
    <w:rPr>
      <w:rFonts w:ascii="Times New Roman" w:eastAsia="Times New Roman" w:hAnsi="Times New Roman" w:cs="Times New Roman"/>
      <w:kern w:val="0"/>
      <w:lang w:val="en-SG"/>
      <w14:ligatures w14:val="none"/>
    </w:rPr>
  </w:style>
  <w:style w:type="character" w:styleId="PageNumber">
    <w:name w:val="page number"/>
    <w:basedOn w:val="DefaultParagraphFont"/>
    <w:uiPriority w:val="99"/>
    <w:semiHidden/>
    <w:unhideWhenUsed/>
    <w:rsid w:val="00964F8B"/>
  </w:style>
  <w:style w:type="character" w:customStyle="1" w:styleId="ref-journal">
    <w:name w:val="ref-journal"/>
    <w:basedOn w:val="DefaultParagraphFont"/>
    <w:rsid w:val="00F07BB4"/>
  </w:style>
  <w:style w:type="character" w:customStyle="1" w:styleId="ref-vol">
    <w:name w:val="ref-vol"/>
    <w:basedOn w:val="DefaultParagraphFont"/>
    <w:rsid w:val="00F07BB4"/>
  </w:style>
  <w:style w:type="character" w:customStyle="1" w:styleId="ListParagraphChar">
    <w:name w:val="List Paragraph Char"/>
    <w:basedOn w:val="DefaultParagraphFont"/>
    <w:link w:val="ListParagraph"/>
    <w:uiPriority w:val="34"/>
    <w:rsid w:val="00A32F2A"/>
    <w:rPr>
      <w:rFonts w:ascii="Times New Roman" w:eastAsiaTheme="minorHAnsi" w:hAnsi="Times New Roman"/>
      <w:kern w:val="0"/>
      <w:sz w:val="22"/>
      <w:szCs w:val="22"/>
      <w:lang w:val="en-SG" w:eastAsia="en-US"/>
      <w14:ligatures w14:val="none"/>
    </w:rPr>
  </w:style>
  <w:style w:type="character" w:styleId="Strong">
    <w:name w:val="Strong"/>
    <w:basedOn w:val="DefaultParagraphFont"/>
    <w:uiPriority w:val="22"/>
    <w:qFormat/>
    <w:rsid w:val="00163E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9947">
      <w:bodyDiv w:val="1"/>
      <w:marLeft w:val="0"/>
      <w:marRight w:val="0"/>
      <w:marTop w:val="0"/>
      <w:marBottom w:val="0"/>
      <w:divBdr>
        <w:top w:val="none" w:sz="0" w:space="0" w:color="auto"/>
        <w:left w:val="none" w:sz="0" w:space="0" w:color="auto"/>
        <w:bottom w:val="none" w:sz="0" w:space="0" w:color="auto"/>
        <w:right w:val="none" w:sz="0" w:space="0" w:color="auto"/>
      </w:divBdr>
      <w:divsChild>
        <w:div w:id="693770142">
          <w:marLeft w:val="0"/>
          <w:marRight w:val="0"/>
          <w:marTop w:val="0"/>
          <w:marBottom w:val="0"/>
          <w:divBdr>
            <w:top w:val="none" w:sz="0" w:space="0" w:color="auto"/>
            <w:left w:val="none" w:sz="0" w:space="0" w:color="auto"/>
            <w:bottom w:val="none" w:sz="0" w:space="0" w:color="auto"/>
            <w:right w:val="none" w:sz="0" w:space="0" w:color="auto"/>
          </w:divBdr>
          <w:divsChild>
            <w:div w:id="1023704948">
              <w:marLeft w:val="0"/>
              <w:marRight w:val="0"/>
              <w:marTop w:val="0"/>
              <w:marBottom w:val="0"/>
              <w:divBdr>
                <w:top w:val="none" w:sz="0" w:space="0" w:color="auto"/>
                <w:left w:val="none" w:sz="0" w:space="0" w:color="auto"/>
                <w:bottom w:val="none" w:sz="0" w:space="0" w:color="auto"/>
                <w:right w:val="none" w:sz="0" w:space="0" w:color="auto"/>
              </w:divBdr>
              <w:divsChild>
                <w:div w:id="1069039966">
                  <w:marLeft w:val="0"/>
                  <w:marRight w:val="0"/>
                  <w:marTop w:val="0"/>
                  <w:marBottom w:val="0"/>
                  <w:divBdr>
                    <w:top w:val="none" w:sz="0" w:space="0" w:color="auto"/>
                    <w:left w:val="none" w:sz="0" w:space="0" w:color="auto"/>
                    <w:bottom w:val="none" w:sz="0" w:space="0" w:color="auto"/>
                    <w:right w:val="none" w:sz="0" w:space="0" w:color="auto"/>
                  </w:divBdr>
                  <w:divsChild>
                    <w:div w:id="201984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60337">
      <w:bodyDiv w:val="1"/>
      <w:marLeft w:val="0"/>
      <w:marRight w:val="0"/>
      <w:marTop w:val="0"/>
      <w:marBottom w:val="0"/>
      <w:divBdr>
        <w:top w:val="none" w:sz="0" w:space="0" w:color="auto"/>
        <w:left w:val="none" w:sz="0" w:space="0" w:color="auto"/>
        <w:bottom w:val="none" w:sz="0" w:space="0" w:color="auto"/>
        <w:right w:val="none" w:sz="0" w:space="0" w:color="auto"/>
      </w:divBdr>
    </w:div>
    <w:div w:id="551698211">
      <w:bodyDiv w:val="1"/>
      <w:marLeft w:val="0"/>
      <w:marRight w:val="0"/>
      <w:marTop w:val="0"/>
      <w:marBottom w:val="0"/>
      <w:divBdr>
        <w:top w:val="none" w:sz="0" w:space="0" w:color="auto"/>
        <w:left w:val="none" w:sz="0" w:space="0" w:color="auto"/>
        <w:bottom w:val="none" w:sz="0" w:space="0" w:color="auto"/>
        <w:right w:val="none" w:sz="0" w:space="0" w:color="auto"/>
      </w:divBdr>
      <w:divsChild>
        <w:div w:id="270863375">
          <w:marLeft w:val="0"/>
          <w:marRight w:val="0"/>
          <w:marTop w:val="0"/>
          <w:marBottom w:val="0"/>
          <w:divBdr>
            <w:top w:val="none" w:sz="0" w:space="0" w:color="auto"/>
            <w:left w:val="none" w:sz="0" w:space="0" w:color="auto"/>
            <w:bottom w:val="none" w:sz="0" w:space="0" w:color="auto"/>
            <w:right w:val="none" w:sz="0" w:space="0" w:color="auto"/>
          </w:divBdr>
          <w:divsChild>
            <w:div w:id="622806712">
              <w:marLeft w:val="0"/>
              <w:marRight w:val="0"/>
              <w:marTop w:val="0"/>
              <w:marBottom w:val="0"/>
              <w:divBdr>
                <w:top w:val="none" w:sz="0" w:space="0" w:color="auto"/>
                <w:left w:val="none" w:sz="0" w:space="0" w:color="auto"/>
                <w:bottom w:val="none" w:sz="0" w:space="0" w:color="auto"/>
                <w:right w:val="none" w:sz="0" w:space="0" w:color="auto"/>
              </w:divBdr>
              <w:divsChild>
                <w:div w:id="1657344039">
                  <w:marLeft w:val="0"/>
                  <w:marRight w:val="0"/>
                  <w:marTop w:val="0"/>
                  <w:marBottom w:val="0"/>
                  <w:divBdr>
                    <w:top w:val="none" w:sz="0" w:space="0" w:color="auto"/>
                    <w:left w:val="none" w:sz="0" w:space="0" w:color="auto"/>
                    <w:bottom w:val="none" w:sz="0" w:space="0" w:color="auto"/>
                    <w:right w:val="none" w:sz="0" w:space="0" w:color="auto"/>
                  </w:divBdr>
                  <w:divsChild>
                    <w:div w:id="87642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1553">
      <w:bodyDiv w:val="1"/>
      <w:marLeft w:val="0"/>
      <w:marRight w:val="0"/>
      <w:marTop w:val="0"/>
      <w:marBottom w:val="0"/>
      <w:divBdr>
        <w:top w:val="none" w:sz="0" w:space="0" w:color="auto"/>
        <w:left w:val="none" w:sz="0" w:space="0" w:color="auto"/>
        <w:bottom w:val="none" w:sz="0" w:space="0" w:color="auto"/>
        <w:right w:val="none" w:sz="0" w:space="0" w:color="auto"/>
      </w:divBdr>
      <w:divsChild>
        <w:div w:id="866261723">
          <w:marLeft w:val="0"/>
          <w:marRight w:val="0"/>
          <w:marTop w:val="0"/>
          <w:marBottom w:val="0"/>
          <w:divBdr>
            <w:top w:val="none" w:sz="0" w:space="0" w:color="auto"/>
            <w:left w:val="none" w:sz="0" w:space="0" w:color="auto"/>
            <w:bottom w:val="none" w:sz="0" w:space="0" w:color="auto"/>
            <w:right w:val="none" w:sz="0" w:space="0" w:color="auto"/>
          </w:divBdr>
          <w:divsChild>
            <w:div w:id="1926986759">
              <w:marLeft w:val="0"/>
              <w:marRight w:val="0"/>
              <w:marTop w:val="0"/>
              <w:marBottom w:val="0"/>
              <w:divBdr>
                <w:top w:val="none" w:sz="0" w:space="0" w:color="auto"/>
                <w:left w:val="none" w:sz="0" w:space="0" w:color="auto"/>
                <w:bottom w:val="none" w:sz="0" w:space="0" w:color="auto"/>
                <w:right w:val="none" w:sz="0" w:space="0" w:color="auto"/>
              </w:divBdr>
              <w:divsChild>
                <w:div w:id="210996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537845">
      <w:bodyDiv w:val="1"/>
      <w:marLeft w:val="0"/>
      <w:marRight w:val="0"/>
      <w:marTop w:val="0"/>
      <w:marBottom w:val="0"/>
      <w:divBdr>
        <w:top w:val="none" w:sz="0" w:space="0" w:color="auto"/>
        <w:left w:val="none" w:sz="0" w:space="0" w:color="auto"/>
        <w:bottom w:val="none" w:sz="0" w:space="0" w:color="auto"/>
        <w:right w:val="none" w:sz="0" w:space="0" w:color="auto"/>
      </w:divBdr>
      <w:divsChild>
        <w:div w:id="478570826">
          <w:marLeft w:val="0"/>
          <w:marRight w:val="0"/>
          <w:marTop w:val="0"/>
          <w:marBottom w:val="0"/>
          <w:divBdr>
            <w:top w:val="none" w:sz="0" w:space="0" w:color="auto"/>
            <w:left w:val="none" w:sz="0" w:space="0" w:color="auto"/>
            <w:bottom w:val="none" w:sz="0" w:space="0" w:color="auto"/>
            <w:right w:val="none" w:sz="0" w:space="0" w:color="auto"/>
          </w:divBdr>
          <w:divsChild>
            <w:div w:id="543953909">
              <w:marLeft w:val="0"/>
              <w:marRight w:val="0"/>
              <w:marTop w:val="0"/>
              <w:marBottom w:val="0"/>
              <w:divBdr>
                <w:top w:val="none" w:sz="0" w:space="0" w:color="auto"/>
                <w:left w:val="none" w:sz="0" w:space="0" w:color="auto"/>
                <w:bottom w:val="none" w:sz="0" w:space="0" w:color="auto"/>
                <w:right w:val="none" w:sz="0" w:space="0" w:color="auto"/>
              </w:divBdr>
              <w:divsChild>
                <w:div w:id="1884512954">
                  <w:marLeft w:val="0"/>
                  <w:marRight w:val="0"/>
                  <w:marTop w:val="0"/>
                  <w:marBottom w:val="0"/>
                  <w:divBdr>
                    <w:top w:val="none" w:sz="0" w:space="0" w:color="auto"/>
                    <w:left w:val="none" w:sz="0" w:space="0" w:color="auto"/>
                    <w:bottom w:val="none" w:sz="0" w:space="0" w:color="auto"/>
                    <w:right w:val="none" w:sz="0" w:space="0" w:color="auto"/>
                  </w:divBdr>
                  <w:divsChild>
                    <w:div w:id="185186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963119">
      <w:bodyDiv w:val="1"/>
      <w:marLeft w:val="0"/>
      <w:marRight w:val="0"/>
      <w:marTop w:val="0"/>
      <w:marBottom w:val="0"/>
      <w:divBdr>
        <w:top w:val="none" w:sz="0" w:space="0" w:color="auto"/>
        <w:left w:val="none" w:sz="0" w:space="0" w:color="auto"/>
        <w:bottom w:val="none" w:sz="0" w:space="0" w:color="auto"/>
        <w:right w:val="none" w:sz="0" w:space="0" w:color="auto"/>
      </w:divBdr>
      <w:divsChild>
        <w:div w:id="479231351">
          <w:marLeft w:val="0"/>
          <w:marRight w:val="0"/>
          <w:marTop w:val="0"/>
          <w:marBottom w:val="0"/>
          <w:divBdr>
            <w:top w:val="none" w:sz="0" w:space="0" w:color="auto"/>
            <w:left w:val="none" w:sz="0" w:space="0" w:color="auto"/>
            <w:bottom w:val="none" w:sz="0" w:space="0" w:color="auto"/>
            <w:right w:val="none" w:sz="0" w:space="0" w:color="auto"/>
          </w:divBdr>
          <w:divsChild>
            <w:div w:id="1268731607">
              <w:marLeft w:val="0"/>
              <w:marRight w:val="0"/>
              <w:marTop w:val="0"/>
              <w:marBottom w:val="0"/>
              <w:divBdr>
                <w:top w:val="none" w:sz="0" w:space="0" w:color="auto"/>
                <w:left w:val="none" w:sz="0" w:space="0" w:color="auto"/>
                <w:bottom w:val="none" w:sz="0" w:space="0" w:color="auto"/>
                <w:right w:val="none" w:sz="0" w:space="0" w:color="auto"/>
              </w:divBdr>
              <w:divsChild>
                <w:div w:id="1526213423">
                  <w:marLeft w:val="0"/>
                  <w:marRight w:val="0"/>
                  <w:marTop w:val="0"/>
                  <w:marBottom w:val="0"/>
                  <w:divBdr>
                    <w:top w:val="none" w:sz="0" w:space="0" w:color="auto"/>
                    <w:left w:val="none" w:sz="0" w:space="0" w:color="auto"/>
                    <w:bottom w:val="none" w:sz="0" w:space="0" w:color="auto"/>
                    <w:right w:val="none" w:sz="0" w:space="0" w:color="auto"/>
                  </w:divBdr>
                  <w:divsChild>
                    <w:div w:id="173234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49D29-DE78-3448-BFC4-7DED1320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8279</Words>
  <Characters>47194</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JUNJIE★ SmiLE</dc:creator>
  <cp:keywords/>
  <dc:description/>
  <cp:lastModifiedBy>Lim Jun Jie</cp:lastModifiedBy>
  <cp:revision>24</cp:revision>
  <dcterms:created xsi:type="dcterms:W3CDTF">2025-03-22T04:16:00Z</dcterms:created>
  <dcterms:modified xsi:type="dcterms:W3CDTF">2025-03-22T12:31:00Z</dcterms:modified>
</cp:coreProperties>
</file>