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4609B" w14:textId="77777777" w:rsidR="00CF7E03" w:rsidRPr="005E4BD6" w:rsidRDefault="00CF7E03" w:rsidP="00CF7E03">
      <w:pPr>
        <w:spacing w:line="240" w:lineRule="auto"/>
        <w:rPr>
          <w:rFonts w:ascii="Times New Roman" w:hAnsi="Times New Roman" w:cs="Times New Roman"/>
          <w:sz w:val="24"/>
          <w:szCs w:val="24"/>
          <w:lang w:val="en-GB"/>
        </w:rPr>
      </w:pPr>
      <w:r w:rsidRPr="005E4BD6">
        <w:rPr>
          <w:rFonts w:ascii="Times New Roman" w:hAnsi="Times New Roman" w:cs="Times New Roman"/>
          <w:b/>
          <w:bCs/>
          <w:sz w:val="24"/>
          <w:szCs w:val="24"/>
          <w:lang w:val="en-GB"/>
        </w:rPr>
        <w:t>Table 2</w:t>
      </w:r>
      <w:r w:rsidRPr="005E4BD6">
        <w:rPr>
          <w:rFonts w:ascii="Times New Roman" w:hAnsi="Times New Roman" w:cs="Times New Roman"/>
          <w:sz w:val="24"/>
          <w:szCs w:val="24"/>
          <w:lang w:val="en-GB"/>
        </w:rPr>
        <w:t xml:space="preserve">: Overview of the limits of quantification (LOQ, µg/100 g) for each vitamer, assuming 1 g of sample material and 0.5 mL of final solvent. </w:t>
      </w:r>
    </w:p>
    <w:tbl>
      <w:tblPr>
        <w:tblStyle w:val="Tabellrutenett"/>
        <w:tblW w:w="9924" w:type="dxa"/>
        <w:tblInd w:w="-431" w:type="dxa"/>
        <w:tblLook w:val="04A0" w:firstRow="1" w:lastRow="0" w:firstColumn="1" w:lastColumn="0" w:noHBand="0" w:noVBand="1"/>
      </w:tblPr>
      <w:tblGrid>
        <w:gridCol w:w="997"/>
        <w:gridCol w:w="1120"/>
        <w:gridCol w:w="853"/>
        <w:gridCol w:w="853"/>
        <w:gridCol w:w="854"/>
        <w:gridCol w:w="853"/>
        <w:gridCol w:w="854"/>
        <w:gridCol w:w="853"/>
        <w:gridCol w:w="854"/>
        <w:gridCol w:w="853"/>
        <w:gridCol w:w="980"/>
      </w:tblGrid>
      <w:tr w:rsidR="00CF7E03" w:rsidRPr="00B20AD6" w14:paraId="5D7BA304" w14:textId="77777777" w:rsidTr="00A62E4C">
        <w:trPr>
          <w:trHeight w:val="510"/>
        </w:trPr>
        <w:tc>
          <w:tcPr>
            <w:tcW w:w="99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58ACF95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vertAlign w:val="superscript"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Aliquot</w:t>
            </w:r>
            <w:r w:rsidRPr="00B20AD6">
              <w:rPr>
                <w:rFonts w:ascii="Calibri" w:hAnsi="Calibri" w:cs="Calibri"/>
                <w:b/>
                <w:bCs/>
                <w:vertAlign w:val="superscript"/>
                <w:lang w:val="en-GB"/>
              </w:rPr>
              <w:t>a</w:t>
            </w:r>
          </w:p>
        </w:tc>
        <w:tc>
          <w:tcPr>
            <w:tcW w:w="1120" w:type="dxa"/>
            <w:tcBorders>
              <w:left w:val="single" w:sz="4" w:space="0" w:color="FFFFFF" w:themeColor="background1"/>
              <w:right w:val="single" w:sz="4" w:space="0" w:color="auto"/>
            </w:tcBorders>
          </w:tcPr>
          <w:p w14:paraId="494A6696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vertAlign w:val="superscript"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Injection volume</w:t>
            </w:r>
            <w:r w:rsidRPr="00B20AD6">
              <w:rPr>
                <w:rFonts w:ascii="Calibri" w:hAnsi="Calibri" w:cs="Calibri"/>
                <w:b/>
                <w:bCs/>
                <w:vertAlign w:val="superscript"/>
                <w:lang w:val="en-GB"/>
              </w:rPr>
              <w:t>b</w:t>
            </w:r>
          </w:p>
        </w:tc>
        <w:tc>
          <w:tcPr>
            <w:tcW w:w="853" w:type="dxa"/>
            <w:tcBorders>
              <w:left w:val="single" w:sz="4" w:space="0" w:color="auto"/>
              <w:right w:val="single" w:sz="4" w:space="0" w:color="FFFFFF" w:themeColor="background1"/>
            </w:tcBorders>
          </w:tcPr>
          <w:p w14:paraId="464E7211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MK-4</w:t>
            </w:r>
          </w:p>
        </w:tc>
        <w:tc>
          <w:tcPr>
            <w:tcW w:w="853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A7ACD64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MK-5</w:t>
            </w:r>
          </w:p>
        </w:tc>
        <w:tc>
          <w:tcPr>
            <w:tcW w:w="85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4265FA6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K1</w:t>
            </w:r>
          </w:p>
        </w:tc>
        <w:tc>
          <w:tcPr>
            <w:tcW w:w="853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F3059D8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 xml:space="preserve">ß, </w:t>
            </w:r>
            <w:r w:rsidRPr="00B20AD6">
              <w:rPr>
                <w:rFonts w:ascii="Calibri" w:hAnsi="Calibri" w:cs="Calibri"/>
                <w:b/>
                <w:bCs/>
                <w:color w:val="333333"/>
                <w:shd w:val="clear" w:color="auto" w:fill="FFFFFF"/>
                <w:lang w:val="en-GB"/>
              </w:rPr>
              <w:t>ϒ-</w:t>
            </w:r>
            <w:r w:rsidRPr="00B20AD6">
              <w:rPr>
                <w:rFonts w:ascii="Calibri" w:hAnsi="Calibri" w:cs="Calibri"/>
                <w:b/>
                <w:bCs/>
                <w:lang w:val="en-GB"/>
              </w:rPr>
              <w:t>2H-K</w:t>
            </w:r>
            <w:r w:rsidRPr="00B20AD6">
              <w:rPr>
                <w:rFonts w:ascii="Calibri" w:hAnsi="Calibri" w:cs="Calibri"/>
                <w:b/>
                <w:bCs/>
                <w:vertAlign w:val="subscript"/>
                <w:lang w:val="en-GB"/>
              </w:rPr>
              <w:t>1</w:t>
            </w:r>
          </w:p>
        </w:tc>
        <w:tc>
          <w:tcPr>
            <w:tcW w:w="85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CF37494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MK-6</w:t>
            </w:r>
          </w:p>
        </w:tc>
        <w:tc>
          <w:tcPr>
            <w:tcW w:w="853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2CC4C0C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MK-7</w:t>
            </w:r>
          </w:p>
        </w:tc>
        <w:tc>
          <w:tcPr>
            <w:tcW w:w="85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28E52FD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MK-8</w:t>
            </w:r>
          </w:p>
        </w:tc>
        <w:tc>
          <w:tcPr>
            <w:tcW w:w="853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912533B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MK-9</w:t>
            </w:r>
          </w:p>
        </w:tc>
        <w:tc>
          <w:tcPr>
            <w:tcW w:w="980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3F0FD56E" w14:textId="77777777" w:rsidR="00CF7E03" w:rsidRPr="00B20AD6" w:rsidRDefault="00CF7E03" w:rsidP="004579C4">
            <w:pPr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MK-10</w:t>
            </w:r>
          </w:p>
        </w:tc>
      </w:tr>
      <w:tr w:rsidR="00A62E4C" w:rsidRPr="00B20AD6" w14:paraId="778B4C66" w14:textId="77777777" w:rsidTr="00A62E4C">
        <w:trPr>
          <w:trHeight w:val="510"/>
        </w:trPr>
        <w:tc>
          <w:tcPr>
            <w:tcW w:w="997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7F6FB88" w14:textId="0391B7E1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1/3</w:t>
            </w:r>
          </w:p>
        </w:tc>
        <w:tc>
          <w:tcPr>
            <w:tcW w:w="112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auto"/>
            </w:tcBorders>
          </w:tcPr>
          <w:p w14:paraId="591C873E" w14:textId="169E40FD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2.5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auto"/>
              <w:bottom w:val="single" w:sz="4" w:space="0" w:color="FFFFFF"/>
              <w:right w:val="single" w:sz="4" w:space="0" w:color="FFFFFF" w:themeColor="background1"/>
            </w:tcBorders>
          </w:tcPr>
          <w:p w14:paraId="367D32A9" w14:textId="43859F4C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0.12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C0D4EC3" w14:textId="783CF894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0.18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5939916" w14:textId="4CAEB27F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0.18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A64996A" w14:textId="1B7E05BC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0.10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05E48BA" w14:textId="65028AA0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0.30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C1903E0" w14:textId="12AB0729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0.12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16B68F67" w14:textId="5421944A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0.18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4A832F7" w14:textId="4CD5B220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0.24</w:t>
            </w:r>
          </w:p>
        </w:tc>
        <w:tc>
          <w:tcPr>
            <w:tcW w:w="98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3B811AF" w14:textId="47996C0B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0.42</w:t>
            </w:r>
          </w:p>
        </w:tc>
      </w:tr>
      <w:tr w:rsidR="00CF7E03" w:rsidRPr="00B20AD6" w14:paraId="4D128024" w14:textId="77777777" w:rsidTr="00A62E4C">
        <w:trPr>
          <w:trHeight w:val="510"/>
        </w:trPr>
        <w:tc>
          <w:tcPr>
            <w:tcW w:w="997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B29CA49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1/3</w:t>
            </w:r>
          </w:p>
        </w:tc>
        <w:tc>
          <w:tcPr>
            <w:tcW w:w="112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auto"/>
            </w:tcBorders>
          </w:tcPr>
          <w:p w14:paraId="3D4239B2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auto"/>
              <w:bottom w:val="single" w:sz="4" w:space="0" w:color="FFFFFF"/>
              <w:right w:val="single" w:sz="4" w:space="0" w:color="FFFFFF" w:themeColor="background1"/>
            </w:tcBorders>
          </w:tcPr>
          <w:p w14:paraId="30AC4026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0.060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B25CD84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0.090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44A2761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0.090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3BD599B1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0.090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C75F2E5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3F3FBA2" w14:textId="56193B0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0.06</w:t>
            </w:r>
            <w:r w:rsidR="00A62E4C" w:rsidRPr="00B20AD6">
              <w:rPr>
                <w:rFonts w:ascii="Calibri" w:hAnsi="Calibri" w:cs="Calibri"/>
                <w:lang w:val="en-GB"/>
              </w:rPr>
              <w:t>0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209316B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0.090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15B9BF39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0.120</w:t>
            </w:r>
          </w:p>
        </w:tc>
        <w:tc>
          <w:tcPr>
            <w:tcW w:w="98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11E9B006" w14:textId="63D2B3AB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0.21</w:t>
            </w:r>
          </w:p>
        </w:tc>
      </w:tr>
      <w:tr w:rsidR="00CF7E03" w:rsidRPr="00B20AD6" w14:paraId="267464AB" w14:textId="77777777" w:rsidTr="00A62E4C">
        <w:trPr>
          <w:trHeight w:val="510"/>
        </w:trPr>
        <w:tc>
          <w:tcPr>
            <w:tcW w:w="997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9CAB420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1/3</w:t>
            </w:r>
          </w:p>
        </w:tc>
        <w:tc>
          <w:tcPr>
            <w:tcW w:w="112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auto"/>
            </w:tcBorders>
          </w:tcPr>
          <w:p w14:paraId="506D21AA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10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auto"/>
              <w:bottom w:val="single" w:sz="4" w:space="0" w:color="FFFFFF"/>
              <w:right w:val="single" w:sz="4" w:space="0" w:color="FFFFFF" w:themeColor="background1"/>
            </w:tcBorders>
          </w:tcPr>
          <w:p w14:paraId="05B16222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0.030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10E70FF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0.045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211946C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0.045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1777A60A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0.045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4299274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0.075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9E452E8" w14:textId="20FA5FB9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0.03</w:t>
            </w:r>
            <w:r w:rsidR="00A62E4C" w:rsidRPr="00B20AD6">
              <w:rPr>
                <w:rFonts w:ascii="Calibri" w:hAnsi="Calibri" w:cs="Calibri"/>
                <w:lang w:val="en-GB"/>
              </w:rPr>
              <w:t>0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374D5983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0.045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D6FB827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0.060</w:t>
            </w:r>
          </w:p>
        </w:tc>
        <w:tc>
          <w:tcPr>
            <w:tcW w:w="98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31F88789" w14:textId="09CC6972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</w:t>
            </w:r>
            <w:r w:rsidR="00A62E4C" w:rsidRPr="00B20AD6">
              <w:rPr>
                <w:rFonts w:ascii="Calibri" w:hAnsi="Calibri" w:cs="Calibri"/>
                <w:lang w:val="en-GB"/>
              </w:rPr>
              <w:t>1</w:t>
            </w:r>
          </w:p>
        </w:tc>
      </w:tr>
      <w:tr w:rsidR="00A62E4C" w:rsidRPr="00B20AD6" w14:paraId="1D37774D" w14:textId="77777777" w:rsidTr="00A62E4C">
        <w:trPr>
          <w:trHeight w:val="510"/>
        </w:trPr>
        <w:tc>
          <w:tcPr>
            <w:tcW w:w="997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3DA60085" w14:textId="6B519C4B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2/3</w:t>
            </w:r>
          </w:p>
        </w:tc>
        <w:tc>
          <w:tcPr>
            <w:tcW w:w="112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auto"/>
            </w:tcBorders>
          </w:tcPr>
          <w:p w14:paraId="246EC456" w14:textId="67F9782E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2.5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auto"/>
              <w:bottom w:val="single" w:sz="4" w:space="0" w:color="FFFFFF"/>
              <w:right w:val="single" w:sz="4" w:space="0" w:color="FFFFFF" w:themeColor="background1"/>
            </w:tcBorders>
          </w:tcPr>
          <w:p w14:paraId="486EDECC" w14:textId="792593E2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0.060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06623DB" w14:textId="71C0E6E7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0.090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497A6A0A" w14:textId="5BA86293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0.090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842E788" w14:textId="766A5534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0.090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39B94DCF" w14:textId="21CFE27B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14EACC5A" w14:textId="637669CA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0.060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EAE5D7C" w14:textId="66497016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0.090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24507C8" w14:textId="29646EFA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0.12</w:t>
            </w:r>
          </w:p>
        </w:tc>
        <w:tc>
          <w:tcPr>
            <w:tcW w:w="98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3D48642A" w14:textId="43408137" w:rsidR="00A62E4C" w:rsidRPr="00B20AD6" w:rsidRDefault="00A62E4C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0.21</w:t>
            </w:r>
          </w:p>
        </w:tc>
      </w:tr>
      <w:tr w:rsidR="00CF7E03" w:rsidRPr="00B20AD6" w14:paraId="00343E80" w14:textId="77777777" w:rsidTr="00A62E4C">
        <w:trPr>
          <w:trHeight w:val="510"/>
        </w:trPr>
        <w:tc>
          <w:tcPr>
            <w:tcW w:w="997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A46BC0D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2/3</w:t>
            </w:r>
          </w:p>
        </w:tc>
        <w:tc>
          <w:tcPr>
            <w:tcW w:w="112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auto"/>
            </w:tcBorders>
          </w:tcPr>
          <w:p w14:paraId="66A926F2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auto"/>
              <w:bottom w:val="single" w:sz="4" w:space="0" w:color="FFFFFF"/>
              <w:right w:val="single" w:sz="4" w:space="0" w:color="FFFFFF" w:themeColor="background1"/>
            </w:tcBorders>
          </w:tcPr>
          <w:p w14:paraId="02480528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0.030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1FFA90F2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0.045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A975D58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0.045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4BE4EA1C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0.045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7F618A7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0.075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71C8866" w14:textId="4037106D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0.03</w:t>
            </w:r>
            <w:r w:rsidR="00A62E4C" w:rsidRPr="00B20AD6">
              <w:rPr>
                <w:rFonts w:ascii="Calibri" w:hAnsi="Calibri" w:cs="Calibri"/>
                <w:lang w:val="en-GB"/>
              </w:rPr>
              <w:t>0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CA980B5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0.045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DBB5673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0.060</w:t>
            </w:r>
          </w:p>
        </w:tc>
        <w:tc>
          <w:tcPr>
            <w:tcW w:w="98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6F06A8B" w14:textId="4EEDE40C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0.1</w:t>
            </w:r>
            <w:r w:rsidR="00A62E4C" w:rsidRPr="00B20AD6">
              <w:rPr>
                <w:rFonts w:ascii="Calibri" w:hAnsi="Calibri" w:cs="Calibri"/>
                <w:lang w:val="en-GB"/>
              </w:rPr>
              <w:t>1</w:t>
            </w:r>
          </w:p>
        </w:tc>
      </w:tr>
      <w:tr w:rsidR="00CF7E03" w:rsidRPr="00B20AD6" w14:paraId="0CB7F31B" w14:textId="77777777" w:rsidTr="00A62E4C">
        <w:trPr>
          <w:trHeight w:val="510"/>
        </w:trPr>
        <w:tc>
          <w:tcPr>
            <w:tcW w:w="997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6F4E6C78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2/3</w:t>
            </w:r>
          </w:p>
        </w:tc>
        <w:tc>
          <w:tcPr>
            <w:tcW w:w="112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</w:tcPr>
          <w:p w14:paraId="2EA42BBC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b/>
                <w:bCs/>
                <w:lang w:val="en-GB"/>
              </w:rPr>
            </w:pPr>
            <w:r w:rsidRPr="00B20AD6">
              <w:rPr>
                <w:rFonts w:ascii="Calibri" w:hAnsi="Calibri" w:cs="Calibri"/>
                <w:b/>
                <w:bCs/>
                <w:lang w:val="en-GB"/>
              </w:rPr>
              <w:t>10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FFFFFF" w:themeColor="background1"/>
            </w:tcBorders>
          </w:tcPr>
          <w:p w14:paraId="6B2EA1FD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0.015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770946D1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0.023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39EEACF2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0.023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146DA4D8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0.023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4D59BFA5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0.038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0719FA3B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0.015</w:t>
            </w:r>
          </w:p>
        </w:tc>
        <w:tc>
          <w:tcPr>
            <w:tcW w:w="85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0AA16262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0.023</w:t>
            </w:r>
          </w:p>
        </w:tc>
        <w:tc>
          <w:tcPr>
            <w:tcW w:w="85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6C47FEE0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0.030</w:t>
            </w:r>
          </w:p>
        </w:tc>
        <w:tc>
          <w:tcPr>
            <w:tcW w:w="980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2109B6D6" w14:textId="77777777" w:rsidR="00CF7E03" w:rsidRPr="00B20AD6" w:rsidRDefault="00CF7E03" w:rsidP="004579C4">
            <w:pPr>
              <w:spacing w:line="360" w:lineRule="auto"/>
              <w:jc w:val="center"/>
              <w:rPr>
                <w:rFonts w:ascii="Calibri" w:hAnsi="Calibri" w:cs="Calibri"/>
                <w:lang w:val="en-GB"/>
              </w:rPr>
            </w:pPr>
            <w:r w:rsidRPr="00B20AD6">
              <w:rPr>
                <w:rFonts w:ascii="Calibri" w:hAnsi="Calibri" w:cs="Calibri"/>
                <w:lang w:val="en-GB"/>
              </w:rPr>
              <w:t>0.053</w:t>
            </w:r>
          </w:p>
        </w:tc>
      </w:tr>
    </w:tbl>
    <w:p w14:paraId="07F6119A" w14:textId="1E867202" w:rsidR="00CF7E03" w:rsidRPr="005E4BD6" w:rsidRDefault="00CF7E03" w:rsidP="00CF7E03">
      <w:pPr>
        <w:spacing w:line="240" w:lineRule="auto"/>
        <w:rPr>
          <w:rFonts w:ascii="Times New Roman" w:hAnsi="Times New Roman" w:cs="Times New Roman"/>
          <w:sz w:val="20"/>
          <w:szCs w:val="20"/>
          <w:lang w:val="en-GB"/>
        </w:rPr>
      </w:pPr>
      <w:proofErr w:type="spellStart"/>
      <w:r w:rsidRPr="005E4BD6">
        <w:rPr>
          <w:rFonts w:ascii="Times New Roman" w:hAnsi="Times New Roman" w:cs="Times New Roman"/>
          <w:sz w:val="20"/>
          <w:szCs w:val="20"/>
          <w:vertAlign w:val="superscript"/>
          <w:lang w:val="en-GB"/>
        </w:rPr>
        <w:t>a</w:t>
      </w:r>
      <w:proofErr w:type="spellEnd"/>
      <w:r w:rsidRPr="005E4BD6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proofErr w:type="gramStart"/>
      <w:r w:rsidRPr="005E4BD6">
        <w:rPr>
          <w:rFonts w:ascii="Times New Roman" w:hAnsi="Times New Roman" w:cs="Times New Roman"/>
          <w:sz w:val="20"/>
          <w:szCs w:val="20"/>
          <w:lang w:val="en-GB"/>
        </w:rPr>
        <w:t>The</w:t>
      </w:r>
      <w:proofErr w:type="gramEnd"/>
      <w:r w:rsidRPr="005E4BD6">
        <w:rPr>
          <w:rFonts w:ascii="Times New Roman" w:hAnsi="Times New Roman" w:cs="Times New Roman"/>
          <w:sz w:val="20"/>
          <w:szCs w:val="20"/>
          <w:lang w:val="en-GB"/>
        </w:rPr>
        <w:t xml:space="preserve"> aliquot refers to the amount of the hexane phase that is transferred, where either 1/3 or 2/3 of the hexane phase is transferred depending on the expected vitamin K content in the sample. </w:t>
      </w:r>
      <w:r w:rsidRPr="005E4BD6">
        <w:rPr>
          <w:rFonts w:ascii="Times New Roman" w:hAnsi="Times New Roman" w:cs="Times New Roman"/>
          <w:sz w:val="20"/>
          <w:szCs w:val="20"/>
          <w:lang w:val="en-GB"/>
        </w:rPr>
        <w:br/>
      </w:r>
      <w:r w:rsidRPr="005E4BD6">
        <w:rPr>
          <w:rFonts w:ascii="Times New Roman" w:hAnsi="Times New Roman" w:cs="Times New Roman"/>
          <w:sz w:val="20"/>
          <w:szCs w:val="20"/>
          <w:vertAlign w:val="superscript"/>
          <w:lang w:val="en-GB"/>
        </w:rPr>
        <w:t>b</w:t>
      </w:r>
      <w:r w:rsidRPr="005E4BD6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proofErr w:type="gramStart"/>
      <w:r w:rsidRPr="005E4BD6">
        <w:rPr>
          <w:rFonts w:ascii="Times New Roman" w:hAnsi="Times New Roman" w:cs="Times New Roman"/>
          <w:sz w:val="20"/>
          <w:szCs w:val="20"/>
          <w:lang w:val="en-GB"/>
        </w:rPr>
        <w:t>The</w:t>
      </w:r>
      <w:proofErr w:type="gramEnd"/>
      <w:r w:rsidRPr="005E4BD6">
        <w:rPr>
          <w:rFonts w:ascii="Times New Roman" w:hAnsi="Times New Roman" w:cs="Times New Roman"/>
          <w:sz w:val="20"/>
          <w:szCs w:val="20"/>
          <w:lang w:val="en-GB"/>
        </w:rPr>
        <w:t xml:space="preserve"> injection volume refers to the quantity of the sample that is injected </w:t>
      </w:r>
      <w:r w:rsidR="005026DF">
        <w:rPr>
          <w:rFonts w:ascii="Times New Roman" w:hAnsi="Times New Roman" w:cs="Times New Roman"/>
          <w:sz w:val="20"/>
          <w:szCs w:val="20"/>
          <w:lang w:val="en-GB"/>
        </w:rPr>
        <w:t>(µl</w:t>
      </w:r>
      <w:r w:rsidR="007D400B">
        <w:rPr>
          <w:rFonts w:ascii="Times New Roman" w:hAnsi="Times New Roman" w:cs="Times New Roman"/>
          <w:sz w:val="20"/>
          <w:szCs w:val="20"/>
          <w:lang w:val="en-GB"/>
        </w:rPr>
        <w:t>)</w:t>
      </w:r>
      <w:r w:rsidR="005026DF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Pr="005E4BD6">
        <w:rPr>
          <w:rFonts w:ascii="Times New Roman" w:hAnsi="Times New Roman" w:cs="Times New Roman"/>
          <w:sz w:val="20"/>
          <w:szCs w:val="20"/>
          <w:lang w:val="en-GB"/>
        </w:rPr>
        <w:t xml:space="preserve">by the autosampler into the HPLC-FLD system. Samples are injected with volumes ranging from 1 to 20 µl, depending on the expected concentration of the highest vitamer in the sample. </w:t>
      </w:r>
      <w:r w:rsidR="005026DF">
        <w:rPr>
          <w:rFonts w:ascii="Times New Roman" w:hAnsi="Times New Roman" w:cs="Times New Roman"/>
          <w:sz w:val="20"/>
          <w:szCs w:val="20"/>
          <w:lang w:val="en-GB"/>
        </w:rPr>
        <w:t>In this study, samples were only injected with volumes ranging from 2.5 to 10 µl</w:t>
      </w:r>
      <w:r w:rsidR="00B25ED9">
        <w:rPr>
          <w:rFonts w:ascii="Times New Roman" w:hAnsi="Times New Roman" w:cs="Times New Roman"/>
          <w:sz w:val="20"/>
          <w:szCs w:val="20"/>
          <w:lang w:val="en-GB"/>
        </w:rPr>
        <w:t xml:space="preserve">. </w:t>
      </w:r>
      <w:r w:rsidRPr="005E4BD6">
        <w:rPr>
          <w:rFonts w:ascii="Times New Roman" w:hAnsi="Times New Roman" w:cs="Times New Roman"/>
          <w:b/>
          <w:bCs/>
          <w:sz w:val="20"/>
          <w:szCs w:val="20"/>
          <w:lang w:val="en-GB"/>
        </w:rPr>
        <w:br/>
        <w:t>Abbreviations</w:t>
      </w:r>
      <w:r w:rsidRPr="005E4BD6">
        <w:rPr>
          <w:rFonts w:ascii="Times New Roman" w:hAnsi="Times New Roman" w:cs="Times New Roman"/>
          <w:sz w:val="20"/>
          <w:szCs w:val="20"/>
          <w:lang w:val="en-GB"/>
        </w:rPr>
        <w:t xml:space="preserve">: ß, </w:t>
      </w:r>
      <w:r w:rsidRPr="005E4BD6">
        <w:rPr>
          <w:rFonts w:ascii="Times New Roman" w:hAnsi="Times New Roman" w:cs="Times New Roman"/>
          <w:color w:val="333333"/>
          <w:sz w:val="20"/>
          <w:szCs w:val="20"/>
          <w:shd w:val="clear" w:color="auto" w:fill="FFFFFF"/>
          <w:lang w:val="en-GB"/>
        </w:rPr>
        <w:t>ϒ-</w:t>
      </w:r>
      <w:r w:rsidRPr="005E4BD6">
        <w:rPr>
          <w:rFonts w:ascii="Times New Roman" w:hAnsi="Times New Roman" w:cs="Times New Roman"/>
          <w:sz w:val="20"/>
          <w:szCs w:val="20"/>
          <w:lang w:val="en-GB"/>
        </w:rPr>
        <w:t>2H-K</w:t>
      </w:r>
      <w:r w:rsidRPr="005E4BD6">
        <w:rPr>
          <w:rFonts w:ascii="Times New Roman" w:hAnsi="Times New Roman" w:cs="Times New Roman"/>
          <w:sz w:val="20"/>
          <w:szCs w:val="20"/>
          <w:vertAlign w:val="subscript"/>
          <w:lang w:val="en-GB"/>
        </w:rPr>
        <w:t>1</w:t>
      </w:r>
      <w:r w:rsidRPr="005E4BD6">
        <w:rPr>
          <w:rFonts w:ascii="Times New Roman" w:hAnsi="Times New Roman" w:cs="Times New Roman"/>
          <w:b/>
          <w:bCs/>
          <w:sz w:val="20"/>
          <w:szCs w:val="20"/>
          <w:lang w:val="en-GB"/>
        </w:rPr>
        <w:t xml:space="preserve">: </w:t>
      </w:r>
      <w:r w:rsidRPr="005E4BD6">
        <w:rPr>
          <w:rFonts w:ascii="Times New Roman" w:hAnsi="Times New Roman" w:cs="Times New Roman"/>
          <w:sz w:val="20"/>
          <w:szCs w:val="20"/>
          <w:lang w:val="en-GB"/>
        </w:rPr>
        <w:t>beta, gamma-dihydrophylloquinone; HPLC-FLD: high pressure liquid chromatography with fluorescence detector;</w:t>
      </w:r>
      <w:r w:rsidR="00142BAF">
        <w:rPr>
          <w:rFonts w:ascii="Times New Roman" w:hAnsi="Times New Roman" w:cs="Times New Roman"/>
          <w:sz w:val="20"/>
          <w:szCs w:val="20"/>
          <w:lang w:val="en-GB"/>
        </w:rPr>
        <w:t xml:space="preserve"> LOQ: limit of quantification;</w:t>
      </w:r>
      <w:r w:rsidRPr="005E4BD6">
        <w:rPr>
          <w:rFonts w:ascii="Times New Roman" w:hAnsi="Times New Roman" w:cs="Times New Roman"/>
          <w:sz w:val="20"/>
          <w:szCs w:val="20"/>
          <w:lang w:val="en-GB"/>
        </w:rPr>
        <w:t xml:space="preserve"> MK: menaquinone. </w:t>
      </w:r>
    </w:p>
    <w:p w14:paraId="5D825F3E" w14:textId="77777777" w:rsidR="003C0539" w:rsidRPr="00CF7E03" w:rsidRDefault="003C0539">
      <w:pPr>
        <w:rPr>
          <w:lang w:val="en-GB"/>
        </w:rPr>
      </w:pPr>
    </w:p>
    <w:sectPr w:rsidR="003C0539" w:rsidRPr="00CF7E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E03"/>
    <w:rsid w:val="00142BAF"/>
    <w:rsid w:val="003B4E17"/>
    <w:rsid w:val="003C0539"/>
    <w:rsid w:val="004A445C"/>
    <w:rsid w:val="005026DF"/>
    <w:rsid w:val="006D06FF"/>
    <w:rsid w:val="007D400B"/>
    <w:rsid w:val="00A62E4C"/>
    <w:rsid w:val="00B20AD6"/>
    <w:rsid w:val="00B25ED9"/>
    <w:rsid w:val="00CF7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16699B"/>
  <w15:chartTrackingRefBased/>
  <w15:docId w15:val="{2ED2D36D-F751-403A-8E84-B895535D1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7E03"/>
    <w:rPr>
      <w:kern w:val="0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CF7E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CF7E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CF7E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CF7E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CF7E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CF7E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CF7E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CF7E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CF7E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CF7E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CF7E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CF7E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CF7E03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CF7E03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CF7E03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CF7E03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CF7E03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CF7E03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CF7E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telTegn">
    <w:name w:val="Tittel Tegn"/>
    <w:basedOn w:val="Standardskriftforavsnitt"/>
    <w:link w:val="Tittel"/>
    <w:uiPriority w:val="10"/>
    <w:rsid w:val="00CF7E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CF7E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CF7E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CF7E03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SitatTegn">
    <w:name w:val="Sitat Tegn"/>
    <w:basedOn w:val="Standardskriftforavsnitt"/>
    <w:link w:val="Sitat"/>
    <w:uiPriority w:val="29"/>
    <w:rsid w:val="00CF7E03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CF7E03"/>
    <w:pPr>
      <w:ind w:left="720"/>
      <w:contextualSpacing/>
    </w:pPr>
    <w:rPr>
      <w:kern w:val="2"/>
      <w14:ligatures w14:val="standardContextual"/>
    </w:rPr>
  </w:style>
  <w:style w:type="character" w:styleId="Sterkutheving">
    <w:name w:val="Intense Emphasis"/>
    <w:basedOn w:val="Standardskriftforavsnitt"/>
    <w:uiPriority w:val="21"/>
    <w:qFormat/>
    <w:rsid w:val="00CF7E03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CF7E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CF7E03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CF7E03"/>
    <w:rPr>
      <w:b/>
      <w:bCs/>
      <w:smallCaps/>
      <w:color w:val="0F4761" w:themeColor="accent1" w:themeShade="BF"/>
      <w:spacing w:val="5"/>
    </w:rPr>
  </w:style>
  <w:style w:type="table" w:styleId="Tabellrutenett">
    <w:name w:val="Table Grid"/>
    <w:basedOn w:val="Vanligtabell"/>
    <w:uiPriority w:val="39"/>
    <w:rsid w:val="00CF7E0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207</Words>
  <Characters>1099</Characters>
  <Application>Microsoft Office Word</Application>
  <DocSecurity>0</DocSecurity>
  <Lines>9</Lines>
  <Paragraphs>2</Paragraphs>
  <ScaleCrop>false</ScaleCrop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Reksten, Amalie Moxness</dc:creator>
  <cp:keywords/>
  <dc:description/>
  <cp:lastModifiedBy>Reksten, Amalie Moxness</cp:lastModifiedBy>
  <cp:revision>7</cp:revision>
  <dcterms:created xsi:type="dcterms:W3CDTF">2024-03-20T13:49:00Z</dcterms:created>
  <dcterms:modified xsi:type="dcterms:W3CDTF">2024-04-29T12:16:00Z</dcterms:modified>
</cp:coreProperties>
</file>