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15064" w14:textId="570E4276" w:rsidR="002A4E96" w:rsidRDefault="002A4E96" w:rsidP="002A4E96">
      <w:pPr>
        <w:keepNext/>
        <w:rPr>
          <w:rFonts w:ascii="Noto Sans" w:hAnsi="Noto Sans" w:cs="Noto Sans"/>
          <w:b/>
          <w:bCs/>
          <w:noProof/>
          <w:sz w:val="28"/>
          <w:szCs w:val="28"/>
        </w:rPr>
      </w:pPr>
      <w:r w:rsidRPr="0076549E">
        <w:rPr>
          <w:rFonts w:ascii="Noto Sans" w:hAnsi="Noto Sans" w:cs="Noto Sans"/>
          <w:b/>
          <w:bCs/>
          <w:noProof/>
          <w:sz w:val="28"/>
          <w:szCs w:val="28"/>
        </w:rPr>
        <w:t>Supplementary</w:t>
      </w:r>
      <w:r w:rsidR="00B830EE">
        <w:rPr>
          <w:rFonts w:ascii="Noto Sans" w:hAnsi="Noto Sans" w:cs="Noto Sans"/>
          <w:b/>
          <w:bCs/>
          <w:noProof/>
          <w:sz w:val="28"/>
          <w:szCs w:val="28"/>
        </w:rPr>
        <w:t xml:space="preserve"> Material</w:t>
      </w:r>
    </w:p>
    <w:p w14:paraId="1F38CCB8" w14:textId="2CD14717" w:rsidR="002A4E96" w:rsidRDefault="002A4E96" w:rsidP="002A4E96">
      <w:pPr>
        <w:pStyle w:val="Caption"/>
        <w:keepNext/>
      </w:pPr>
      <w:r w:rsidRPr="002A4E96">
        <w:rPr>
          <w:b/>
          <w:bCs/>
        </w:rPr>
        <w:t>Supplementary Table 1</w:t>
      </w:r>
      <w:r>
        <w:t xml:space="preserve"> Complete </w:t>
      </w:r>
      <w:r w:rsidR="00B830EE">
        <w:t xml:space="preserve">case analysis of the risk of colorectal cancer, colon cancer, proximal colon cancer, distal colon cancer, and rectal cancer according to plasma </w:t>
      </w:r>
      <w:r>
        <w:t xml:space="preserve">25-Hydroxyvitamin D levels. A </w:t>
      </w:r>
      <w:r w:rsidR="00B830EE">
        <w:t xml:space="preserve">nested case-control study </w:t>
      </w:r>
      <w:r>
        <w:t xml:space="preserve">(n=1550) from the Norwegian Women and Cancer </w:t>
      </w:r>
      <w:r w:rsidR="00B830EE">
        <w:t xml:space="preserve">post-genome cohort </w:t>
      </w:r>
      <w:r>
        <w:t>(2003-2006).</w:t>
      </w:r>
    </w:p>
    <w:tbl>
      <w:tblPr>
        <w:tblW w:w="134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401"/>
        <w:gridCol w:w="2040"/>
        <w:gridCol w:w="572"/>
        <w:gridCol w:w="1192"/>
        <w:gridCol w:w="572"/>
        <w:gridCol w:w="400"/>
        <w:gridCol w:w="2059"/>
        <w:gridCol w:w="577"/>
        <w:gridCol w:w="1203"/>
        <w:gridCol w:w="577"/>
        <w:gridCol w:w="146"/>
      </w:tblGrid>
      <w:tr w:rsidR="00373FD0" w:rsidRPr="00373FD0" w14:paraId="5CF73F41" w14:textId="77777777" w:rsidTr="00373FD0">
        <w:trPr>
          <w:gridAfter w:val="1"/>
          <w:wAfter w:w="6" w:type="dxa"/>
          <w:trHeight w:val="57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FC631" w14:textId="77777777" w:rsidR="00373FD0" w:rsidRPr="009A34F6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A34F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30F87" w14:textId="77777777" w:rsidR="00373FD0" w:rsidRPr="009A34F6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A34F6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A7A40F" w14:textId="4D68D2D3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Matc</w:t>
            </w:r>
            <w:r w:rsidR="007F1F7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</w:t>
            </w: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ed by age, region of living, and time of blood sampling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D8A25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99E3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Multivariable analyses* </w:t>
            </w:r>
          </w:p>
        </w:tc>
      </w:tr>
      <w:tr w:rsidR="00373FD0" w:rsidRPr="00373FD0" w14:paraId="43625B0B" w14:textId="77777777" w:rsidTr="00373FD0">
        <w:trPr>
          <w:gridAfter w:val="1"/>
          <w:wAfter w:w="6" w:type="dxa"/>
          <w:trHeight w:val="765"/>
        </w:trPr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27EF3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CFE0D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7B2764" w14:textId="496CBC46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n (cases /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controls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A30C0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OR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16D8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95% CI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430C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046D8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DA8C4E" w14:textId="6B7F982D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n (cases /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controls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5834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8EBE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95% CI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F5CA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>P</w:t>
            </w:r>
          </w:p>
        </w:tc>
      </w:tr>
      <w:tr w:rsidR="00373FD0" w:rsidRPr="00373FD0" w14:paraId="0880EAC5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B8FCF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Colorectal cancer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D7BD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117B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86B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00B5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FB04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B6F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9925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F6B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37CD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9E18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3573C203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B3832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Continuous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(5 nmol/L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increase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)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AB95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4FA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775/775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131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F7C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0.94-1.00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838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0.10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EA1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C9A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625/625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D0B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7F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0.95-1.02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0B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0.38</w:t>
            </w:r>
          </w:p>
        </w:tc>
      </w:tr>
      <w:tr w:rsidR="00373FD0" w:rsidRPr="00373FD0" w14:paraId="25E69C5F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6AE47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B4AF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5DB7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FB8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B09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B1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E2A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B53B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5C9F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FE7A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96E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58BD61C0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A249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≤30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7FB8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8E5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67/53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409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1E3E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0.96-2.16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1E5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E11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98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47/47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713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D97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0.65-1.65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A00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0.90</w:t>
            </w:r>
          </w:p>
        </w:tc>
      </w:tr>
      <w:tr w:rsidR="00373FD0" w:rsidRPr="00373FD0" w14:paraId="26293EF2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BD7CA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&gt;30 to &lt;50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66CF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C19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289/274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355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3A38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0.95-1.51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4F6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2E0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11D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232/217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27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448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0.90-1.53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D74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0.24</w:t>
            </w:r>
          </w:p>
        </w:tc>
      </w:tr>
      <w:tr w:rsidR="00373FD0" w:rsidRPr="00373FD0" w14:paraId="54839C1E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08B7B" w14:textId="199CB1E5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≥50 to &lt;75 nmol/L</w:t>
            </w:r>
            <w:r w:rsidR="007F1F7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(reference value)</w:t>
            </w: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9EAF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97D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338/375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4C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F29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06E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F44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278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278/301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053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D80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AF02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1C75629B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142C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≥75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BDB0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3B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81/73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852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5E2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0.85-1.74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49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FEB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E17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68/60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648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1.21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273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0.80-1.82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AF4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0.37</w:t>
            </w:r>
          </w:p>
        </w:tc>
      </w:tr>
      <w:tr w:rsidR="00373FD0" w:rsidRPr="00373FD0" w14:paraId="7D16C2D0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49B0A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proofErr w:type="spellStart"/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t>Colon</w:t>
            </w:r>
            <w:proofErr w:type="spellEnd"/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 cancer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BA74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C97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6EC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FE5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44D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2F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6E0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71FD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BCBF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A9F3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0E129065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CA95C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Continuous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(5 nmol/L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increase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)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1BBE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27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525/525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BE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9B8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0.93-1.01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E8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A1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B1D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429/429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E81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8EE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0.93-1.02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B6C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0.33</w:t>
            </w:r>
          </w:p>
        </w:tc>
      </w:tr>
      <w:tr w:rsidR="00373FD0" w:rsidRPr="00373FD0" w14:paraId="53FA4859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35D3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D643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B6DC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ECB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02D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CE7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6A1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03C5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95F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1BF5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38E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36C40E10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6F66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≤30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7991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7D8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49/39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735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CB0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0.87-2.24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EAB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146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632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35/33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9D6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1D8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0.58-1.77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0C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0.97</w:t>
            </w:r>
          </w:p>
        </w:tc>
      </w:tr>
      <w:tr w:rsidR="00373FD0" w:rsidRPr="00373FD0" w14:paraId="4C6C14C9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5D26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&gt;30 to &lt;50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2C68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750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193/187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B42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8DF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0.86-1.51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074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24F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497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154/151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2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88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0.78-1.49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700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0.65</w:t>
            </w:r>
          </w:p>
        </w:tc>
      </w:tr>
      <w:tr w:rsidR="00373FD0" w:rsidRPr="00373FD0" w14:paraId="3C6B0DF1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4519" w14:textId="66348862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</w:t>
            </w:r>
            <w:r w:rsidR="007F1F77" w:rsidRPr="007F1F7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≥50 to &lt;75 nmol/L (reference value)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75F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419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231/251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C23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0CE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9C6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AB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5CF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195/203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688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887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39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2C8A907E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99FC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≥75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44AB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322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52/48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00C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6AE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0.75-1.84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DCC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B3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C8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45/42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6DE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B04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0.69-1.89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80D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0.61</w:t>
            </w:r>
          </w:p>
        </w:tc>
      </w:tr>
      <w:tr w:rsidR="00373FD0" w:rsidRPr="00373FD0" w14:paraId="6854AFB4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FEF3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proofErr w:type="spellStart"/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t>Proximal</w:t>
            </w:r>
            <w:proofErr w:type="spellEnd"/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 colon cancer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D90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ACA0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2B6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C78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D62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E07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8349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4EA1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86C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8170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7A81960E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57CB6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Continuous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(5 nmol/L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increase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)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104E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76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321/321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4F9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49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0.90-1.00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559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225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6A2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266/266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22E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E61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0.90-1.02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87E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0.17</w:t>
            </w:r>
          </w:p>
        </w:tc>
      </w:tr>
      <w:tr w:rsidR="00373FD0" w:rsidRPr="00373FD0" w14:paraId="7515FCE3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96B0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C4A9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88B8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E87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ED1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F06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D08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3FB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5E51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644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B434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3E59487E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39409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≤30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BFA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FF3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30/25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C01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12E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0.72-2.32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3A1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DFE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35F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22/22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6CD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719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0.46-1.93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973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0.87</w:t>
            </w:r>
          </w:p>
        </w:tc>
      </w:tr>
      <w:tr w:rsidR="00373FD0" w:rsidRPr="00373FD0" w14:paraId="6D1B0079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E650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&gt;30 to &lt;50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B0D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103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119/112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B3F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0E8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0.81-1.61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3E5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502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9DE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95/95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16B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B2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0.64-1.43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93E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0.83</w:t>
            </w:r>
          </w:p>
        </w:tc>
      </w:tr>
      <w:tr w:rsidR="00373FD0" w:rsidRPr="00373FD0" w14:paraId="30D364FF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0FF4" w14:textId="615B7761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</w:t>
            </w:r>
            <w:r w:rsidR="007F1F77" w:rsidRPr="007F1F7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≥50 to &lt;75 nmol/L (reference value)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CFFF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20A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147/154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CD2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429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0E9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B29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DA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126/121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8EB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862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5C2F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4A8963C0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5019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≥75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12C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006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25/30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4AD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97E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0.45-1.55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7B7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AE1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A01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23/28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763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0.73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BA8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0.37-1.43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D77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0.36</w:t>
            </w:r>
          </w:p>
        </w:tc>
      </w:tr>
      <w:tr w:rsidR="00373FD0" w:rsidRPr="00373FD0" w14:paraId="0BF254DD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8878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lastRenderedPageBreak/>
              <w:t xml:space="preserve">Distal </w:t>
            </w:r>
            <w:proofErr w:type="spellStart"/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t>colon</w:t>
            </w:r>
            <w:proofErr w:type="spellEnd"/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 cancer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18F1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BBFB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4B5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73E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48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618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B3C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3E51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6405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F4D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1E2C44C7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E475F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Continuous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(5 nmol/L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increase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)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0458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6EF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198/198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197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410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0.93-1.07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609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9A8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C0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157/157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331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78F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0.93-1.09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128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0.86</w:t>
            </w:r>
          </w:p>
        </w:tc>
      </w:tr>
      <w:tr w:rsidR="00373FD0" w:rsidRPr="00373FD0" w14:paraId="0AE8E2FE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3773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03F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6F1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8E2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A71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24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77B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C4F4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7D96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BF22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3473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72285C45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8DB21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≤30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44F3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EE7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19/13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994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268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0.80-4.17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1A0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6AA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D9C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13/10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190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1.25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60E1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0.46-3.40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7AF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0.66</w:t>
            </w:r>
          </w:p>
        </w:tc>
      </w:tr>
      <w:tr w:rsidR="00373FD0" w:rsidRPr="00373FD0" w14:paraId="33F724FD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8B26A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&gt;30 to &lt;50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3CFC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7D6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72/72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4A4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933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0.75-2.02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FC5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D75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00B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57/53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693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E719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0.85-2.74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A9E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0.16</w:t>
            </w:r>
          </w:p>
        </w:tc>
      </w:tr>
      <w:tr w:rsidR="00373FD0" w:rsidRPr="00373FD0" w14:paraId="07524746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2D37B" w14:textId="47CCBA23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</w:t>
            </w:r>
            <w:r w:rsidR="007F1F77" w:rsidRPr="007F1F7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≥50 to &lt;75 nmol/L (reference value)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D9CC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1ED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82/96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96C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BE6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CC3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0E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35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67/81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EA1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D51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BD1F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6CAC5C46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0964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≥75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2DAC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128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25/17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8B5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914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0.87-3.48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366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CC5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54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20/13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60F3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2.11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47DC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0.90-4.98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86E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0.09</w:t>
            </w:r>
          </w:p>
        </w:tc>
      </w:tr>
      <w:tr w:rsidR="00373FD0" w:rsidRPr="00373FD0" w14:paraId="4E2BD446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D0E8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proofErr w:type="spellStart"/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t>Rectal</w:t>
            </w:r>
            <w:proofErr w:type="spellEnd"/>
            <w:r w:rsidRPr="00373F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 cancer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847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705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2B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EA6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D03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8F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2D3A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D705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990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5E9E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206731D3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6B75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Continuous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(5 nmol/L </w:t>
            </w:r>
            <w:proofErr w:type="spellStart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increase</w:t>
            </w:r>
            <w:proofErr w:type="spellEnd"/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)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1BCE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7F6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221/221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AEC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C50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0.92-1.04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01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5FF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9E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174/174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EE6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A68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0.92-1.08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38B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0.95</w:t>
            </w:r>
          </w:p>
        </w:tc>
      </w:tr>
      <w:tr w:rsidR="00373FD0" w:rsidRPr="00373FD0" w14:paraId="1CA41D7E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3CBA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373FD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7394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BD99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5F5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4E6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3EB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1F3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EAB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2279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2218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DE03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76D041DA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1CC0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≤30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181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475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16/12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8ED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CD6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0.75-3.91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260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49A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9D6E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10/12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838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30DA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0.38-2.84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E321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0.95</w:t>
            </w:r>
          </w:p>
        </w:tc>
      </w:tr>
      <w:tr w:rsidR="00373FD0" w:rsidRPr="00373FD0" w14:paraId="24CFF1D3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B325F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&gt;30 to &lt;50 nmol/L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8D3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6F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86/76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A3D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6DB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0.91-2.24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E44F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8FB4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C08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69/58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20F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1.55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5083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0.89-2.69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35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0.12</w:t>
            </w:r>
          </w:p>
        </w:tc>
      </w:tr>
      <w:tr w:rsidR="00373FD0" w:rsidRPr="00373FD0" w14:paraId="275E2CBD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CF0CF" w14:textId="3896A1FA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  </w:t>
            </w:r>
            <w:r w:rsidR="007F1F77" w:rsidRPr="007F1F77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≥50 to &lt;75 nmol/L (reference value)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2824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8F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90/111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4F1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4AB9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707A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C6EB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13F7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72/88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87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5FFC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2FF8" w14:textId="77777777" w:rsidR="00373FD0" w:rsidRPr="00373FD0" w:rsidRDefault="00373FD0" w:rsidP="00373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373FD0" w:rsidRPr="00373FD0" w14:paraId="4AC3BDD7" w14:textId="77777777" w:rsidTr="00373FD0">
        <w:trPr>
          <w:gridAfter w:val="1"/>
          <w:wAfter w:w="6" w:type="dxa"/>
          <w:trHeight w:val="290"/>
        </w:trPr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71ADC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  ≥75 nmol/L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E5FB5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A914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29/22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40132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C230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0.82-2.92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CA246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A3492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F700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23/16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A603D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1.64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E2DE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0.75-3.56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E4F45" w14:textId="77777777" w:rsidR="00373FD0" w:rsidRPr="00373FD0" w:rsidRDefault="00373FD0" w:rsidP="00373F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0.21</w:t>
            </w:r>
          </w:p>
        </w:tc>
      </w:tr>
      <w:tr w:rsidR="00373FD0" w:rsidRPr="00373FD0" w14:paraId="6742A592" w14:textId="77777777" w:rsidTr="00373FD0">
        <w:trPr>
          <w:gridAfter w:val="1"/>
          <w:wAfter w:w="6" w:type="dxa"/>
          <w:trHeight w:val="450"/>
        </w:trPr>
        <w:tc>
          <w:tcPr>
            <w:tcW w:w="13414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6CEA6" w14:textId="6FA2431C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*Adjusted by age, region of living and time of blood sampling (all through matching), with </w:t>
            </w:r>
            <w:r w:rsidR="007F1F77"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additional</w:t>
            </w: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 adjustments for physical activity, body mass index, smoking, processed </w:t>
            </w:r>
            <w:r w:rsidR="005D38CF"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meat, alcohol</w:t>
            </w:r>
            <w:r w:rsidRPr="00373FD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, calcium, and fiber intake   </w:t>
            </w:r>
          </w:p>
        </w:tc>
      </w:tr>
      <w:tr w:rsidR="00373FD0" w:rsidRPr="00373FD0" w14:paraId="14D78E52" w14:textId="77777777" w:rsidTr="00373FD0">
        <w:trPr>
          <w:trHeight w:val="290"/>
        </w:trPr>
        <w:tc>
          <w:tcPr>
            <w:tcW w:w="13414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D6C821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57A9" w14:textId="77777777" w:rsidR="00373FD0" w:rsidRPr="00373FD0" w:rsidRDefault="00373FD0" w:rsidP="00373F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</w:tbl>
    <w:p w14:paraId="459899E9" w14:textId="77777777" w:rsidR="00373FD0" w:rsidRDefault="00373FD0">
      <w:pPr>
        <w:rPr>
          <w:b/>
          <w:bCs/>
        </w:rPr>
      </w:pPr>
    </w:p>
    <w:p w14:paraId="069EC400" w14:textId="77777777" w:rsidR="00373FD0" w:rsidRDefault="00373FD0">
      <w:pPr>
        <w:rPr>
          <w:b/>
          <w:bCs/>
        </w:rPr>
      </w:pPr>
    </w:p>
    <w:p w14:paraId="75E0CE0B" w14:textId="77777777" w:rsidR="00373FD0" w:rsidRDefault="00373FD0">
      <w:pPr>
        <w:rPr>
          <w:b/>
          <w:bCs/>
        </w:rPr>
      </w:pPr>
    </w:p>
    <w:p w14:paraId="50CE22DD" w14:textId="77777777" w:rsidR="00373FD0" w:rsidRDefault="00373FD0">
      <w:pPr>
        <w:rPr>
          <w:b/>
          <w:bCs/>
        </w:rPr>
      </w:pPr>
    </w:p>
    <w:p w14:paraId="4DE8F764" w14:textId="77777777" w:rsidR="00373FD0" w:rsidRDefault="00373FD0">
      <w:pPr>
        <w:rPr>
          <w:b/>
          <w:bCs/>
        </w:rPr>
      </w:pPr>
    </w:p>
    <w:p w14:paraId="07EE5F2B" w14:textId="77777777" w:rsidR="00373FD0" w:rsidRDefault="00373FD0">
      <w:pPr>
        <w:rPr>
          <w:b/>
          <w:bCs/>
        </w:rPr>
      </w:pPr>
    </w:p>
    <w:p w14:paraId="61C881FE" w14:textId="77777777" w:rsidR="00373FD0" w:rsidRDefault="00373FD0">
      <w:pPr>
        <w:rPr>
          <w:b/>
          <w:bCs/>
        </w:rPr>
      </w:pPr>
    </w:p>
    <w:p w14:paraId="186F2FC7" w14:textId="77777777" w:rsidR="00373FD0" w:rsidRDefault="00373FD0">
      <w:pPr>
        <w:rPr>
          <w:b/>
          <w:bCs/>
        </w:rPr>
      </w:pPr>
    </w:p>
    <w:p w14:paraId="2216EFAF" w14:textId="77777777" w:rsidR="00373FD0" w:rsidRDefault="00373FD0">
      <w:pPr>
        <w:rPr>
          <w:b/>
          <w:bCs/>
        </w:rPr>
      </w:pPr>
    </w:p>
    <w:p w14:paraId="79F1D537" w14:textId="79F6E5CC" w:rsidR="00E655CC" w:rsidRDefault="00373FD0" w:rsidP="00246B17">
      <w:pPr>
        <w:tabs>
          <w:tab w:val="left" w:pos="2160"/>
        </w:tabs>
      </w:pPr>
      <w:r w:rsidRPr="00373FD0">
        <w:rPr>
          <w:b/>
          <w:bCs/>
        </w:rPr>
        <w:lastRenderedPageBreak/>
        <w:t xml:space="preserve"> </w:t>
      </w:r>
      <w:r w:rsidR="00246B17">
        <w:rPr>
          <w:b/>
          <w:bCs/>
        </w:rPr>
        <w:tab/>
      </w:r>
    </w:p>
    <w:p w14:paraId="095BF0D6" w14:textId="79C5E7E2" w:rsidR="00246B17" w:rsidRPr="00246B17" w:rsidRDefault="00246B17" w:rsidP="00246B17">
      <w:pPr>
        <w:pStyle w:val="Caption"/>
        <w:keepNext/>
        <w:rPr>
          <w:b/>
          <w:bCs/>
        </w:rPr>
      </w:pPr>
      <w:r>
        <w:rPr>
          <w:b/>
          <w:bCs/>
        </w:rPr>
        <w:t>Supplementary Table 2</w:t>
      </w:r>
      <w:r w:rsidR="00F525FF">
        <w:rPr>
          <w:b/>
          <w:bCs/>
        </w:rPr>
        <w:t xml:space="preserve"> </w:t>
      </w:r>
      <w:r w:rsidR="00F525FF" w:rsidRPr="00521954">
        <w:t>Sensiti</w:t>
      </w:r>
      <w:r w:rsidR="00521954" w:rsidRPr="00521954">
        <w:t>vity analysis</w:t>
      </w:r>
      <w:r w:rsidR="00521954">
        <w:rPr>
          <w:b/>
          <w:bCs/>
        </w:rPr>
        <w:t xml:space="preserve"> </w:t>
      </w:r>
      <w:r w:rsidR="00521954">
        <w:t>of the r</w:t>
      </w:r>
      <w:r w:rsidR="00F525FF">
        <w:t>isk of colorectal cancer, colon cancer, proximal colon cancer, distal colon cancer, and rectal cancer according to plasma 25-Hydroxyvitamin D levels. A nested case-control study (n=1550) from the Norwegian Women and Cancer post-genome cohort (2003-2006).</w:t>
      </w:r>
    </w:p>
    <w:tbl>
      <w:tblPr>
        <w:tblW w:w="121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500"/>
        <w:gridCol w:w="400"/>
        <w:gridCol w:w="704"/>
        <w:gridCol w:w="1469"/>
        <w:gridCol w:w="704"/>
        <w:gridCol w:w="400"/>
        <w:gridCol w:w="704"/>
        <w:gridCol w:w="1469"/>
        <w:gridCol w:w="704"/>
        <w:gridCol w:w="146"/>
      </w:tblGrid>
      <w:tr w:rsidR="00424195" w:rsidRPr="00424195" w14:paraId="649A1552" w14:textId="77777777" w:rsidTr="00424195">
        <w:trPr>
          <w:gridAfter w:val="1"/>
          <w:wAfter w:w="6" w:type="dxa"/>
          <w:trHeight w:val="9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4056" w14:textId="77777777" w:rsidR="00424195" w:rsidRPr="009A34F6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D117E8" w14:textId="77777777" w:rsidR="00424195" w:rsidRPr="009A34F6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9A34F6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F215" w14:textId="77777777" w:rsidR="00424195" w:rsidRPr="009A34F6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E9B817" w14:textId="625A99C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Matc</w:t>
            </w:r>
            <w:r w:rsidR="007D7E37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h</w:t>
            </w: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ed by age, region of living, and time of blood sampling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8277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FDE2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Multivariable analyses* </w:t>
            </w:r>
          </w:p>
        </w:tc>
      </w:tr>
      <w:tr w:rsidR="00424195" w:rsidRPr="00424195" w14:paraId="6ECCA38D" w14:textId="77777777" w:rsidTr="00424195">
        <w:trPr>
          <w:gridAfter w:val="1"/>
          <w:wAfter w:w="6" w:type="dxa"/>
          <w:trHeight w:val="58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C981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AEFDC2" w14:textId="48CA45ED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n (cases / </w:t>
            </w:r>
            <w:proofErr w:type="spellStart"/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controls</w:t>
            </w:r>
            <w:proofErr w:type="spellEnd"/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9AF2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237E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OR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4C1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95% CI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D36F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2ED03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5DE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OR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E9AF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95% CI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087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>p</w:t>
            </w:r>
          </w:p>
        </w:tc>
      </w:tr>
      <w:tr w:rsidR="00424195" w:rsidRPr="00424195" w14:paraId="78AB2B4F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4398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Colorectal cancer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034C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55BA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F40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CA50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0D4C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2DC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08E1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7A1A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1389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6400FF52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CE9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02F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73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D2AB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DD36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A7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6C2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3BD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C7E3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1B38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3F594473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CDAD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&lt;50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nmol/L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40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356/327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400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57C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53D3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0.98-1.54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A543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CC7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A66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1.25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8AD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1.00-1.57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FDF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0.06</w:t>
            </w:r>
          </w:p>
        </w:tc>
      </w:tr>
      <w:tr w:rsidR="00424195" w:rsidRPr="00424195" w14:paraId="07B08AAD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C784" w14:textId="22B04393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  </w:t>
            </w:r>
            <w:r w:rsidR="007D7E37" w:rsidRPr="007D7E37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≥50 to &lt;75 nmol/L (reference value)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07B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338/375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EAF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D60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EC5B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52E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145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8F9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9E53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A368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09D98A4D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C3AD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≥75 nmol/L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798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81/73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91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2D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1.22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7E40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0.85-1.74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3E6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C8E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843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1.19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9B9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0.82-1.73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6593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0.35</w:t>
            </w:r>
          </w:p>
        </w:tc>
      </w:tr>
      <w:tr w:rsidR="00424195" w:rsidRPr="00424195" w14:paraId="005E6A7C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73E7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proofErr w:type="spellStart"/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>Colon</w:t>
            </w:r>
            <w:proofErr w:type="spellEnd"/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 cancer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4D24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516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813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636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02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8C03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29C1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A2B7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28A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5512DA27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BC10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8150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B79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504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9CF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0F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22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AE85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F8C3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F83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18CCD429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E3DB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&lt;50 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nmol/L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32A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242/226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38A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9F3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1.18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93B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0.90-1.54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CC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3FE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C634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1.18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9CB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0.90-1.56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306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0.24</w:t>
            </w:r>
          </w:p>
        </w:tc>
      </w:tr>
      <w:tr w:rsidR="00424195" w:rsidRPr="00424195" w14:paraId="44BA6F25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DC39" w14:textId="491BF37E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  </w:t>
            </w:r>
            <w:r w:rsidR="007D7E37" w:rsidRPr="007D7E37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≥50 to &lt;75 nmol/L (reference value)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3A7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231/251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E2A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10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1.00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C284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3724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43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B0A6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B50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C5C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1C874D74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C3AB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≥75 nmol/L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602C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52/48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44C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B3D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1.17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999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0.75-1.84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297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9EC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FA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1.16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DAFB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0.73-1.84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839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0.52</w:t>
            </w:r>
          </w:p>
        </w:tc>
      </w:tr>
      <w:tr w:rsidR="00424195" w:rsidRPr="00424195" w14:paraId="37C00AC0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434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proofErr w:type="spellStart"/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>Proximal</w:t>
            </w:r>
            <w:proofErr w:type="spellEnd"/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 colon cancer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BB70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7DC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4BCB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7CB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6DB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F62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1D3E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169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6AB2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7FFE9882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4AA7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DFE1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9433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6416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67A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317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F2A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37C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09EE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A8EE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69A9BE8F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C290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&lt;50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nmol/L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FA96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149/137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120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5F9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1.15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4E3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0.83-1.60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C5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D01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A0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1.19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6CC3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0.84-1.68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5F16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0.32</w:t>
            </w:r>
          </w:p>
        </w:tc>
      </w:tr>
      <w:tr w:rsidR="00424195" w:rsidRPr="00424195" w14:paraId="2559C109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5F8C" w14:textId="050E111D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  </w:t>
            </w:r>
            <w:r w:rsidR="007D7E37" w:rsidRPr="007D7E37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≥50 to &lt;75 nmol/L (reference value)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16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147/154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CA9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D09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791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41D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A593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FBC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DE9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6CD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5955BA73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7F0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≥75 nmol/L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C1F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25/30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08D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65EB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03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0.45-1.54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8254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184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05F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AE3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0.43-1.53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AF74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0.51</w:t>
            </w:r>
          </w:p>
        </w:tc>
      </w:tr>
      <w:tr w:rsidR="00424195" w:rsidRPr="00424195" w14:paraId="4F8E7DFE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A84A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Distal </w:t>
            </w:r>
            <w:proofErr w:type="spellStart"/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>colon</w:t>
            </w:r>
            <w:proofErr w:type="spellEnd"/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 cancer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08E9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86F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38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B1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44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F1F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2AE1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2B6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4C50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492026B1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4674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870F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02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90E6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A704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07AB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BF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C9C8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DD4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257E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0D2B1094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3EEC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&lt;50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 xml:space="preserve"> nmol/L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CFC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91/85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02C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2F7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1.31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BC86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0.81-2.11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47C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9B1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E6F3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1.27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BC1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0.76-2.11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809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0.36</w:t>
            </w:r>
          </w:p>
        </w:tc>
      </w:tr>
      <w:tr w:rsidR="00424195" w:rsidRPr="00424195" w14:paraId="1024A58A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AA93" w14:textId="78DEBC80" w:rsidR="00424195" w:rsidRPr="00424195" w:rsidRDefault="007D7E37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  </w:t>
            </w:r>
            <w:r w:rsidRPr="007D7E37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≥50 to &lt;75 nmol/L (reference value)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94B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82/96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AC4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3FC4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47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50BB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98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BB5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A86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99C9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3FB0CE38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59B9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≥75 nmol/L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100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25/17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E0F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7BE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1.73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701C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0.86-3.47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D3B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E7E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17A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1.71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3FB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0.83-3.51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DAC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0.15</w:t>
            </w:r>
          </w:p>
        </w:tc>
      </w:tr>
      <w:tr w:rsidR="00424195" w:rsidRPr="00424195" w14:paraId="4EB2D835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558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  <w:proofErr w:type="spellStart"/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>Rectal</w:t>
            </w:r>
            <w:proofErr w:type="spellEnd"/>
            <w:r w:rsidRPr="0042419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  <w:t xml:space="preserve"> cancer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A5A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326C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05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1F28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28C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660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37E5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0C0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774E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3CA377DC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402C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   </w:t>
            </w:r>
            <w:proofErr w:type="spellStart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>Grouped</w:t>
            </w:r>
            <w:proofErr w:type="spellEnd"/>
            <w:r w:rsidRPr="00424195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A670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D0FB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32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04E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F92C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CBF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EC9F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7AB0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6D21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5F99D0BB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09D6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&lt;50 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nmol/L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4B8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102/88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673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B8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1.46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5F9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0.95-2.26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80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DB2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E9A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1.62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2851" w14:textId="1A2395E3" w:rsidR="00424195" w:rsidRPr="00424195" w:rsidRDefault="00AE2A3A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</w:t>
            </w:r>
            <w:r w:rsidR="00424195"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01</w:t>
            </w:r>
            <w:r w:rsidR="00424195"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2</w:t>
            </w:r>
            <w:r w:rsidR="00424195"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61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744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0.05</w:t>
            </w:r>
          </w:p>
        </w:tc>
      </w:tr>
      <w:tr w:rsidR="00424195" w:rsidRPr="00424195" w14:paraId="2894F081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E29" w14:textId="571B0B6B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  </w:t>
            </w:r>
            <w:r w:rsidR="007D7E37" w:rsidRPr="007D7E37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≥50 to &lt;75 nmol/L (reference value)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B7C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90/111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E85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416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C03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056D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D02F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6DA5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333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FB34" w14:textId="77777777" w:rsidR="00424195" w:rsidRPr="00424195" w:rsidRDefault="00424195" w:rsidP="00424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b-NO" w:eastAsia="nb-NO"/>
                <w14:ligatures w14:val="none"/>
              </w:rPr>
            </w:pPr>
          </w:p>
        </w:tc>
      </w:tr>
      <w:tr w:rsidR="00424195" w:rsidRPr="00424195" w14:paraId="029BC0EB" w14:textId="77777777" w:rsidTr="00424195">
        <w:trPr>
          <w:gridAfter w:val="1"/>
          <w:wAfter w:w="6" w:type="dxa"/>
          <w:trHeight w:val="290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B4CF1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</w:t>
            </w:r>
            <w:r w:rsidRPr="00424195">
              <w:rPr>
                <w:rFonts w:ascii="Calibri" w:eastAsia="Times New Roman" w:hAnsi="Calibri" w:cs="Calibri"/>
                <w:color w:val="000000"/>
                <w:kern w:val="0"/>
                <w:lang w:val="nb-NO" w:eastAsia="nb-NO"/>
                <w14:ligatures w14:val="none"/>
              </w:rPr>
              <w:t>≥75 nmol/L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3AFB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29/22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C431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B54EE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61317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0.82-2.92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73119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35A76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21432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1.62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D85E7" w14:textId="339E89FA" w:rsidR="00424195" w:rsidRPr="00424195" w:rsidRDefault="00AE2A3A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 xml:space="preserve">      </w:t>
            </w:r>
            <w:r w:rsidR="00424195"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0.82-3.20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6AA30" w14:textId="77777777" w:rsidR="00424195" w:rsidRPr="00424195" w:rsidRDefault="00424195" w:rsidP="004241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val="nb-NO" w:eastAsia="nb-NO"/>
                <w14:ligatures w14:val="none"/>
              </w:rPr>
              <w:t>0.17</w:t>
            </w:r>
          </w:p>
        </w:tc>
      </w:tr>
      <w:tr w:rsidR="00424195" w:rsidRPr="00424195" w14:paraId="604CE4A9" w14:textId="77777777" w:rsidTr="00424195">
        <w:trPr>
          <w:gridAfter w:val="1"/>
          <w:wAfter w:w="6" w:type="dxa"/>
          <w:trHeight w:val="450"/>
        </w:trPr>
        <w:tc>
          <w:tcPr>
            <w:tcW w:w="12094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4A3CE" w14:textId="301A977B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*Adjusted for age, region of living and time of blood sampling (all through matching), with add</w:t>
            </w:r>
            <w:r w:rsidR="000C41D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i</w:t>
            </w: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tional adjustments for physical activity, body mass index, smoking, processed </w:t>
            </w:r>
            <w:r w:rsidR="00513601"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meat, alcohol</w:t>
            </w:r>
            <w:r w:rsidRPr="00424195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, calcium, and fiber intake   </w:t>
            </w:r>
          </w:p>
        </w:tc>
      </w:tr>
      <w:tr w:rsidR="00424195" w:rsidRPr="00424195" w14:paraId="5423009B" w14:textId="77777777" w:rsidTr="00424195">
        <w:trPr>
          <w:trHeight w:val="290"/>
        </w:trPr>
        <w:tc>
          <w:tcPr>
            <w:tcW w:w="12094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ED1B8A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F14" w14:textId="77777777" w:rsidR="00424195" w:rsidRPr="00424195" w:rsidRDefault="00424195" w:rsidP="004241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</w:p>
        </w:tc>
      </w:tr>
    </w:tbl>
    <w:p w14:paraId="1BAD6ED3" w14:textId="6F3C5E12" w:rsidR="00373FD0" w:rsidRDefault="00373FD0"/>
    <w:sectPr w:rsidR="00373FD0" w:rsidSect="002A4E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96"/>
    <w:rsid w:val="000C41D3"/>
    <w:rsid w:val="000F7C6A"/>
    <w:rsid w:val="00246B17"/>
    <w:rsid w:val="002A4E96"/>
    <w:rsid w:val="0035711A"/>
    <w:rsid w:val="00373FD0"/>
    <w:rsid w:val="00424195"/>
    <w:rsid w:val="004A0B03"/>
    <w:rsid w:val="004B56C9"/>
    <w:rsid w:val="004F62C5"/>
    <w:rsid w:val="00513601"/>
    <w:rsid w:val="00521954"/>
    <w:rsid w:val="00526B78"/>
    <w:rsid w:val="005D38CF"/>
    <w:rsid w:val="00696C0D"/>
    <w:rsid w:val="007D7E37"/>
    <w:rsid w:val="007F1F77"/>
    <w:rsid w:val="009A34F6"/>
    <w:rsid w:val="00A060C6"/>
    <w:rsid w:val="00A84831"/>
    <w:rsid w:val="00AD60E6"/>
    <w:rsid w:val="00AE2A3A"/>
    <w:rsid w:val="00B830EE"/>
    <w:rsid w:val="00C5686C"/>
    <w:rsid w:val="00CC70EC"/>
    <w:rsid w:val="00E655CC"/>
    <w:rsid w:val="00F525FF"/>
    <w:rsid w:val="00F93DAB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4C77"/>
  <w15:chartTrackingRefBased/>
  <w15:docId w15:val="{C321CF83-B409-4D6D-8900-B3C05A9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E9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E9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E9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E9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E96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E9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E9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E9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E9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A4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E9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E9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A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E96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A4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E96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A4E96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2A4E9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Revision">
    <w:name w:val="Revision"/>
    <w:hidden/>
    <w:uiPriority w:val="99"/>
    <w:semiHidden/>
    <w:rsid w:val="004F62C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761</Words>
  <Characters>4034</Characters>
  <Application>Microsoft Office Word</Application>
  <DocSecurity>4</DocSecurity>
  <Lines>33</Lines>
  <Paragraphs>9</Paragraphs>
  <ScaleCrop>false</ScaleCrop>
  <Company>UiT The Arctic University of Norway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Marlen Paulsen</dc:creator>
  <cp:keywords/>
  <dc:description/>
  <cp:lastModifiedBy>Elise Marlen Paulsen</cp:lastModifiedBy>
  <cp:revision>2</cp:revision>
  <dcterms:created xsi:type="dcterms:W3CDTF">2024-11-13T09:18:00Z</dcterms:created>
  <dcterms:modified xsi:type="dcterms:W3CDTF">2024-11-13T09:18:00Z</dcterms:modified>
</cp:coreProperties>
</file>