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81B451">
      <w:pPr>
        <w:keepNext w:val="0"/>
        <w:keepLines w:val="0"/>
        <w:pageBreakBefore w:val="0"/>
        <w:widowControl w:val="0"/>
        <w:suppressLineNumbers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</w:rPr>
      </w:pPr>
      <w:bookmarkStart w:id="0" w:name="OLE_LINK62"/>
      <w:bookmarkStart w:id="1" w:name="OLE_LINK94"/>
      <w:r>
        <w:rPr>
          <w:rFonts w:hint="default" w:ascii="Times New Roman" w:hAnsi="Times New Roman" w:cs="Times New Roman"/>
          <w:b/>
          <w:bCs/>
          <w:sz w:val="24"/>
          <w:szCs w:val="24"/>
        </w:rPr>
        <w:t>Butyrate attenuates high-fat diet induced glomerulopathy</w:t>
      </w:r>
      <w:bookmarkEnd w:id="0"/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through GPR43-Sirt3 pathway</w:t>
      </w:r>
      <w:bookmarkEnd w:id="1"/>
    </w:p>
    <w:p w14:paraId="6EBC54BF">
      <w:pPr>
        <w:keepNext w:val="0"/>
        <w:keepLines w:val="0"/>
        <w:pageBreakBefore w:val="0"/>
        <w:widowControl w:val="0"/>
        <w:suppressLineNumbers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 w14:paraId="2A08AB05">
      <w:pPr>
        <w:widowControl w:val="0"/>
        <w:suppressLineNumbers/>
        <w:spacing w:line="48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Ying Shi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Lin Xing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Ruoyi Zheng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Xin Luo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Fangzhi Yue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Xingwei Xiang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Anqi Qiu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Junyan Xie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bidi="ar"/>
        </w:rPr>
        <w:t>Ryan Russell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 w:bidi="ar"/>
        </w:rPr>
        <w:t>2</w:t>
      </w:r>
      <w:r>
        <w:rPr>
          <w:rFonts w:hint="eastAsia" w:ascii="Times New Roman" w:hAnsi="Times New Roman" w:cs="Times New Roman"/>
          <w:sz w:val="24"/>
          <w:szCs w:val="24"/>
          <w:lang w:bidi="ar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Dongmei Zhang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,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14:paraId="7B68E624">
      <w:pPr>
        <w:keepNext w:val="0"/>
        <w:keepLines w:val="0"/>
        <w:pageBreakBefore w:val="0"/>
        <w:widowControl w:val="0"/>
        <w:suppressLineNumbers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 w14:paraId="185F5B81">
      <w:pPr>
        <w:widowControl w:val="0"/>
        <w:suppressLineNumbers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Department of Endocrinology, Xiangya Hospital, Central South University, Changsha, China.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>
        <w:rPr>
          <w:rFonts w:hint="eastAsia"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US" w:eastAsia="zh-CN" w:bidi="ar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ar"/>
        </w:rPr>
        <w:t xml:space="preserve">Department of Health and Human Performance, College of Health Professions, </w:t>
      </w:r>
      <w:bookmarkStart w:id="2" w:name="OLE_LINK114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ar"/>
        </w:rPr>
        <w:t>University of Texas Rio Grande Valley</w:t>
      </w:r>
      <w:bookmarkEnd w:id="2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ar"/>
        </w:rPr>
        <w:t>, Brownsville, Texas.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OLE_LINK113"/>
      <w:bookmarkStart w:id="4" w:name="OLE_LINK112"/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3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Hunan Engineering Research Center for Obesity and its Metabolic Complications</w:t>
      </w:r>
      <w:bookmarkEnd w:id="3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,</w:t>
      </w:r>
      <w:bookmarkEnd w:id="4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Xiangya Hospital, Central South University, Changsha, China</w:t>
      </w:r>
      <w:r>
        <w:rPr>
          <w:rFonts w:ascii="Times New Roman" w:hAnsi="Times New Roman" w:cs="Times New Roman"/>
          <w:sz w:val="24"/>
          <w:szCs w:val="24"/>
          <w:lang w:bidi="ar"/>
        </w:rPr>
        <w:t>.</w:t>
      </w:r>
    </w:p>
    <w:p w14:paraId="70C9F78A">
      <w:pPr>
        <w:keepNext w:val="0"/>
        <w:keepLines w:val="0"/>
        <w:pageBreakBefore w:val="0"/>
        <w:widowControl w:val="0"/>
        <w:suppressLineNumbers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*Dongmei Zhang, PhD, MD, Department of Endocrinology, Xiangya Hospital, Central South University, 87 Xiangya Road, Changsha 410008, China. Tel: (86) 731-89753727. Fax: (86) 731-84327166. E-mail: 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"mailto:drdmzhang@csu.edu.cn"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Style w:val="5"/>
          <w:rFonts w:hint="default" w:ascii="Times New Roman" w:hAnsi="Times New Roman" w:cs="Times New Roman"/>
          <w:sz w:val="24"/>
          <w:szCs w:val="24"/>
        </w:rPr>
        <w:t>drdmzhang@csu.edu.cn</w:t>
      </w:r>
      <w:r>
        <w:rPr>
          <w:rStyle w:val="5"/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br w:type="page"/>
      </w:r>
    </w:p>
    <w:p w14:paraId="019B75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 w:eastAsia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1. </w:t>
      </w:r>
      <w:r>
        <w:rPr>
          <w:rFonts w:hint="default" w:ascii="Times New Roman" w:hAnsi="Times New Roman" w:cs="Times New Roman"/>
          <w:sz w:val="24"/>
        </w:rPr>
        <w:t>Cell viability assessment</w:t>
      </w:r>
      <w:r>
        <w:rPr>
          <w:rFonts w:hint="default" w:ascii="Times New Roman" w:hAnsi="Times New Roman" w:cs="Times New Roman"/>
          <w:sz w:val="24"/>
          <w:lang w:val="en-US" w:eastAsia="zh-CN"/>
        </w:rPr>
        <w:t>.</w:t>
      </w:r>
      <w:r>
        <w:rPr>
          <w:rFonts w:hint="default" w:ascii="Times New Roman" w:hAnsi="Times New Roman" w:cs="Times New Roman"/>
          <w:b w:val="0"/>
          <w:bCs w:val="0"/>
          <w:sz w:val="24"/>
          <w:lang w:val="en-US" w:eastAsia="zh-CN"/>
        </w:rPr>
        <w:t xml:space="preserve"> </w:t>
      </w:r>
      <w:bookmarkStart w:id="5" w:name="OLE_LINK7"/>
      <w:bookmarkStart w:id="6" w:name="OLE_LINK10"/>
      <w:r>
        <w:rPr>
          <w:rFonts w:hint="default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 xml:space="preserve">(a) Cell viability of MPC5 cells cultured with </w:t>
      </w:r>
      <w:bookmarkStart w:id="7" w:name="OLE_LINK1"/>
      <w:r>
        <w:rPr>
          <w:rFonts w:hint="default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>palmitic acid</w:t>
      </w:r>
      <w:bookmarkEnd w:id="7"/>
      <w:r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 xml:space="preserve">for 24h </w:t>
      </w:r>
      <w:r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>and</w:t>
      </w:r>
      <w:r>
        <w:rPr>
          <w:rFonts w:hint="default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 xml:space="preserve"> 48h. (b) Cell viability of MPC5 cells cultured with </w:t>
      </w:r>
      <w:bookmarkStart w:id="8" w:name="OLE_LINK3"/>
      <w:r>
        <w:rPr>
          <w:rFonts w:hint="default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>butyrate</w:t>
      </w:r>
      <w:r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>for 24h</w:t>
      </w:r>
      <w:bookmarkEnd w:id="8"/>
      <w:r>
        <w:rPr>
          <w:rFonts w:hint="default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 xml:space="preserve"> </w:t>
      </w:r>
      <w:bookmarkStart w:id="9" w:name="OLE_LINK9"/>
      <w:r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 xml:space="preserve">and </w:t>
      </w:r>
      <w:r>
        <w:rPr>
          <w:rFonts w:hint="default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>48h</w:t>
      </w:r>
      <w:bookmarkEnd w:id="9"/>
      <w:r>
        <w:rPr>
          <w:rFonts w:hint="default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 xml:space="preserve"> (c)</w:t>
      </w:r>
      <w:r>
        <w:rPr>
          <w:rFonts w:hint="default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 xml:space="preserve"> Cell viability of </w:t>
      </w:r>
      <w:r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 xml:space="preserve">0.3mM </w:t>
      </w:r>
      <w:r>
        <w:rPr>
          <w:rFonts w:hint="default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>palmitic acid</w:t>
      </w:r>
      <w:r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 xml:space="preserve"> induced-</w:t>
      </w:r>
      <w:r>
        <w:rPr>
          <w:rFonts w:hint="default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>MPC5 cells</w:t>
      </w:r>
      <w:r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>cultured with</w:t>
      </w:r>
      <w:r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>different concentrations</w:t>
      </w:r>
      <w:r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>butyrate</w:t>
      </w:r>
      <w:r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>for 24h</w:t>
      </w:r>
      <w:r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 xml:space="preserve"> and </w:t>
      </w:r>
      <w:r>
        <w:rPr>
          <w:rFonts w:hint="default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>48h</w:t>
      </w:r>
      <w:r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>.</w:t>
      </w:r>
      <w:bookmarkEnd w:id="5"/>
      <w:r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 xml:space="preserve"> </w:t>
      </w:r>
      <w:bookmarkEnd w:id="6"/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The cell viability was assessed using the CCK-8 assay. All values are shown as the means </w:t>
      </w:r>
      <w:r>
        <w:rPr>
          <w:rFonts w:hint="default" w:ascii="Times New Roman" w:hAnsi="Times New Roman" w:eastAsia="微软雅黑" w:cs="Times New Roman"/>
          <w:b w:val="0"/>
          <w:bCs w:val="0"/>
          <w:sz w:val="24"/>
          <w:szCs w:val="24"/>
          <w:lang w:val="en-US" w:eastAsia="zh-CN"/>
        </w:rPr>
        <w:t xml:space="preserve">±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SEM. n=3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-4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each group. *</w:t>
      </w:r>
      <w:r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en-US" w:eastAsia="zh-CN"/>
        </w:rPr>
        <w:t>p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&lt; 0.05 compared with cell viability of control group. Statistical comparisons were carried out with one-way ANOVA.</w:t>
      </w:r>
    </w:p>
    <w:p w14:paraId="29F0A344">
      <w:pPr>
        <w:suppressLineNumbers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1830" cy="2080260"/>
            <wp:effectExtent l="0" t="0" r="1270" b="2540"/>
            <wp:docPr id="4" name="图片 4" descr="S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Fig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42C63">
      <w:pPr>
        <w:suppressLineNumbers/>
        <w:rPr>
          <w:rFonts w:hint="eastAsia" w:eastAsiaTheme="minorEastAsia"/>
          <w:lang w:eastAsia="zh-CN"/>
        </w:rPr>
      </w:pPr>
    </w:p>
    <w:p w14:paraId="5DEAAAA0">
      <w:pPr>
        <w:suppressLineNumbers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br w:type="page"/>
      </w:r>
    </w:p>
    <w:p w14:paraId="27B492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eastAsiaTheme="minorEastAsia"/>
          <w:lang w:eastAsia="zh-CN"/>
        </w:rPr>
      </w:pPr>
      <w:bookmarkStart w:id="10" w:name="OLE_LINK5"/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</w:t>
      </w:r>
      <w:bookmarkEnd w:id="10"/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Sodium butyrate partially reversed 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palmitic acid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-induced mitochondrial damage.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(a)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Relative mRNA levels of Nrf1 and Tfam determined by RT-PCR in the MPC5 cells incubated with or without butyrate.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(b)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Relative mRNA levels of electron transporter chain-related genes: </w:t>
      </w:r>
      <w:bookmarkStart w:id="11" w:name="OLE_LINK2"/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Ndufa1 (</w:t>
      </w:r>
      <w:r>
        <w:rPr>
          <w:rFonts w:hint="default" w:ascii="Times New Roman" w:hAnsi="Times New Roman" w:cs="Times New Roman"/>
          <w:sz w:val="24"/>
          <w:szCs w:val="24"/>
        </w:rPr>
        <w:t xml:space="preserve">complexes </w:t>
      </w:r>
      <w:r>
        <w:rPr>
          <w:rFonts w:hint="default" w:ascii="Times New Roman" w:hAnsi="Times New Roman" w:eastAsia="宋体" w:cs="Times New Roman"/>
          <w:sz w:val="24"/>
          <w:szCs w:val="24"/>
        </w:rPr>
        <w:t>Ⅰ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)</w:t>
      </w:r>
      <w:bookmarkEnd w:id="11"/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,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Sdha (</w:t>
      </w:r>
      <w:r>
        <w:rPr>
          <w:rFonts w:hint="default" w:ascii="Times New Roman" w:hAnsi="Times New Roman" w:cs="Times New Roman"/>
          <w:sz w:val="24"/>
          <w:szCs w:val="24"/>
        </w:rPr>
        <w:t>complexes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24"/>
          <w:szCs w:val="24"/>
        </w:rPr>
        <w:t>Ⅱ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), Uqcr11 (</w:t>
      </w:r>
      <w:r>
        <w:rPr>
          <w:rFonts w:hint="default" w:ascii="Times New Roman" w:hAnsi="Times New Roman" w:cs="Times New Roman"/>
          <w:sz w:val="24"/>
          <w:szCs w:val="24"/>
        </w:rPr>
        <w:t>complexes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24"/>
          <w:szCs w:val="24"/>
        </w:rPr>
        <w:t>Ⅲ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), COX </w:t>
      </w:r>
      <w:r>
        <w:rPr>
          <w:rFonts w:hint="default" w:ascii="Times New Roman" w:hAnsi="Times New Roman" w:eastAsia="微软雅黑" w:cs="Times New Roman"/>
          <w:sz w:val="24"/>
          <w:szCs w:val="24"/>
          <w:lang w:val="en-US" w:eastAsia="zh-CN"/>
        </w:rPr>
        <w:t xml:space="preserve">Ⅳ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(</w:t>
      </w:r>
      <w:r>
        <w:rPr>
          <w:rFonts w:hint="default" w:ascii="Times New Roman" w:hAnsi="Times New Roman" w:cs="Times New Roman"/>
          <w:sz w:val="24"/>
          <w:szCs w:val="24"/>
        </w:rPr>
        <w:t xml:space="preserve">complexes </w:t>
      </w:r>
      <w:r>
        <w:rPr>
          <w:rFonts w:hint="default" w:ascii="Times New Roman" w:hAnsi="Times New Roman" w:eastAsia="微软雅黑" w:cs="Times New Roman"/>
          <w:sz w:val="24"/>
          <w:szCs w:val="24"/>
        </w:rPr>
        <w:t>Ⅳ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), ATP5o (</w:t>
      </w:r>
      <w:r>
        <w:rPr>
          <w:rFonts w:hint="default" w:ascii="Times New Roman" w:hAnsi="Times New Roman" w:cs="Times New Roman"/>
          <w:sz w:val="24"/>
          <w:szCs w:val="24"/>
        </w:rPr>
        <w:t xml:space="preserve">complexes </w:t>
      </w:r>
      <w:r>
        <w:rPr>
          <w:rFonts w:hint="default" w:ascii="Times New Roman" w:hAnsi="Times New Roman" w:eastAsia="微软雅黑" w:cs="Times New Roman"/>
          <w:sz w:val="24"/>
          <w:szCs w:val="24"/>
        </w:rPr>
        <w:t>Ⅴ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determined by RT-PCR in the MPC5 cells incubated with or without butyrate. PA: 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palmitic acid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; But: butyrate. All values are shown as the means ± SEM.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vertAlign w:val="superscript"/>
          <w:lang w:val="en-US" w:eastAsia="zh-CN"/>
        </w:rPr>
        <w:t>a1</w:t>
      </w:r>
      <w:r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en-US" w:eastAsia="zh-CN"/>
        </w:rPr>
        <w:t>p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&lt;0.05,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vertAlign w:val="superscript"/>
          <w:lang w:val="en-US" w:eastAsia="zh-CN"/>
        </w:rPr>
        <w:t>a2</w:t>
      </w:r>
      <w:r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en-US" w:eastAsia="zh-CN"/>
        </w:rPr>
        <w:t>p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&lt;0.01 </w:t>
      </w:r>
      <w:r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en-US" w:eastAsia="zh-CN"/>
        </w:rPr>
        <w:t>vs.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Control group;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vertAlign w:val="superscript"/>
          <w:lang w:val="en-US" w:eastAsia="zh-CN"/>
        </w:rPr>
        <w:t>b1</w:t>
      </w:r>
      <w:r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en-US" w:eastAsia="zh-CN"/>
        </w:rPr>
        <w:t>p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&lt;0.05,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vertAlign w:val="superscript"/>
          <w:lang w:val="en-US" w:eastAsia="zh-CN"/>
        </w:rPr>
        <w:t>b2</w:t>
      </w:r>
      <w:r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en-US" w:eastAsia="zh-CN"/>
        </w:rPr>
        <w:t>p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&lt;0.01 </w:t>
      </w:r>
      <w:r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en-US" w:eastAsia="zh-CN"/>
        </w:rPr>
        <w:t>vs.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PA group. Statistical significances were determined by one-way ANOVA.</w:t>
      </w:r>
    </w:p>
    <w:p w14:paraId="51683301">
      <w:pPr>
        <w:suppressLineNumbers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608955"/>
            <wp:effectExtent l="0" t="0" r="10160" b="4445"/>
            <wp:docPr id="1" name="图片 1" descr="SFi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Fig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60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F44A1">
      <w:pPr>
        <w:suppressLineNumbers/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br w:type="page"/>
      </w:r>
    </w:p>
    <w:p w14:paraId="7B75F9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</w:pPr>
      <w:bookmarkStart w:id="12" w:name="OLE_LINK6"/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S3</w:t>
      </w: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 xml:space="preserve"> </w:t>
      </w:r>
      <w:bookmarkStart w:id="13" w:name="OLE_LINK8"/>
      <w:r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>Supplementary western blot images for Figure 4c, e.</w:t>
      </w:r>
      <w:bookmarkEnd w:id="13"/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</w:rPr>
        <w:t>(a</w:t>
      </w: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, b</w:t>
      </w: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</w:rPr>
        <w:t xml:space="preserve">) </w:t>
      </w:r>
      <w:r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 xml:space="preserve">Supplementary 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w</w:t>
      </w:r>
      <w:r>
        <w:rPr>
          <w:rFonts w:hint="eastAsia" w:ascii="Times New Roman" w:hAnsi="Times New Roman" w:cs="Times New Roman"/>
          <w:color w:val="FF0000"/>
          <w:sz w:val="24"/>
          <w:szCs w:val="24"/>
        </w:rPr>
        <w:t xml:space="preserve">estern blots </w:t>
      </w:r>
      <w:r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 xml:space="preserve">images for Figure 4c. </w:t>
      </w: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(c, d)</w:t>
      </w:r>
      <w:r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 xml:space="preserve"> Supplementary western blots images for Figure 4e. PA: palmitic acid; But: butyrate; GLPG: GLPG0974, the inhibitor of GPR43; TYP: 3-TYP, the inhibitor of Sirt3.</w:t>
      </w:r>
    </w:p>
    <w:bookmarkEnd w:id="12"/>
    <w:p w14:paraId="57F2BBD1">
      <w:pPr>
        <w:keepNext w:val="0"/>
        <w:keepLines w:val="0"/>
        <w:pageBreakBefore w:val="0"/>
        <w:widowControl w:val="0"/>
        <w:suppressLineNumbers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drawing>
          <wp:inline distT="0" distB="0" distL="114300" distR="114300">
            <wp:extent cx="4309745" cy="6388735"/>
            <wp:effectExtent l="0" t="0" r="8255" b="12065"/>
            <wp:docPr id="3" name="图片 3" descr="Figur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638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4"/>
          <w:szCs w:val="24"/>
        </w:rPr>
        <w:br w:type="textWrapping"/>
      </w:r>
    </w:p>
    <w:p w14:paraId="3DF31FD2">
      <w:pPr>
        <w:suppressLineNumbers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67D61A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S4</w:t>
      </w: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>Supplementary western blot images for Figure 6b, d.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</w:rPr>
        <w:t>(a</w:t>
      </w: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, b</w:t>
      </w: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</w:rPr>
        <w:t xml:space="preserve">) </w:t>
      </w:r>
      <w:r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 xml:space="preserve">Supplementary 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w</w:t>
      </w:r>
      <w:r>
        <w:rPr>
          <w:rFonts w:hint="eastAsia" w:ascii="Times New Roman" w:hAnsi="Times New Roman" w:cs="Times New Roman"/>
          <w:color w:val="FF0000"/>
          <w:sz w:val="24"/>
          <w:szCs w:val="24"/>
        </w:rPr>
        <w:t xml:space="preserve">estern blots </w:t>
      </w:r>
      <w:r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 xml:space="preserve">images for Figure 6b. </w:t>
      </w: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(c, d)</w:t>
      </w:r>
      <w:r>
        <w:rPr>
          <w:rFonts w:hint="eastAsia" w:ascii="Times New Roman" w:hAnsi="Times New Roman" w:cs="Times New Roman"/>
          <w:b w:val="0"/>
          <w:bCs w:val="0"/>
          <w:color w:val="FF0000"/>
          <w:sz w:val="24"/>
          <w:szCs w:val="24"/>
          <w:lang w:val="en-US" w:eastAsia="zh-CN"/>
        </w:rPr>
        <w:t xml:space="preserve"> Supplementary western blots images for Figure 6d. PA: palmitic acid; But: butyrate; GLPG: GLPG0974, the inhibitor of GPR43; TYP: 3-TYP, the inhibitor of Sirt3.</w:t>
      </w:r>
    </w:p>
    <w:p w14:paraId="46F2E2D8">
      <w:pPr>
        <w:suppressLineNumbers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drawing>
          <wp:inline distT="0" distB="0" distL="114300" distR="114300">
            <wp:extent cx="4194175" cy="6626225"/>
            <wp:effectExtent l="0" t="0" r="9525" b="3175"/>
            <wp:docPr id="2" name="图片 2" descr="Figure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S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4175" cy="662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" w:name="_GoBack"/>
      <w:bookmarkEnd w:id="15"/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13709F90">
      <w:pPr>
        <w:keepNext w:val="0"/>
        <w:keepLines w:val="0"/>
        <w:pageBreakBefore w:val="0"/>
        <w:widowControl/>
        <w:suppressLineNumbers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80" w:lineRule="auto"/>
        <w:jc w:val="left"/>
        <w:textAlignment w:val="auto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rPr>
          <w:rFonts w:ascii="Times New Roman" w:hAnsi="Times New Roman"/>
          <w:b/>
          <w:bCs/>
          <w:sz w:val="24"/>
          <w:szCs w:val="24"/>
        </w:rPr>
        <w:t>Table S1.</w:t>
      </w:r>
      <w:r>
        <w:rPr>
          <w:rFonts w:ascii="Times New Roman" w:hAnsi="Times New Roman"/>
          <w:sz w:val="24"/>
          <w:szCs w:val="24"/>
        </w:rPr>
        <w:t xml:space="preserve"> Primer sequence for different genes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.</w:t>
      </w:r>
    </w:p>
    <w:tbl>
      <w:tblPr>
        <w:tblStyle w:val="3"/>
        <w:tblW w:w="7937" w:type="dxa"/>
        <w:tblInd w:w="1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268"/>
        <w:gridCol w:w="4535"/>
      </w:tblGrid>
      <w:tr w14:paraId="2B594E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34" w:type="dxa"/>
            <w:tcBorders>
              <w:left w:val="nil"/>
              <w:right w:val="nil"/>
            </w:tcBorders>
          </w:tcPr>
          <w:p w14:paraId="2C493975">
            <w:pPr>
              <w:suppressLineNumbers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Species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322D9E35">
            <w:pPr>
              <w:suppressLineNumbers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Gene</w:t>
            </w:r>
          </w:p>
        </w:tc>
        <w:tc>
          <w:tcPr>
            <w:tcW w:w="4535" w:type="dxa"/>
            <w:tcBorders>
              <w:left w:val="nil"/>
              <w:right w:val="nil"/>
            </w:tcBorders>
          </w:tcPr>
          <w:p w14:paraId="62BA44EE">
            <w:pPr>
              <w:suppressLineNumbers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Sequence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 xml:space="preserve"> (5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-3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)</w:t>
            </w:r>
          </w:p>
        </w:tc>
      </w:tr>
      <w:tr w14:paraId="6422D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34" w:type="dxa"/>
            <w:tcBorders>
              <w:left w:val="nil"/>
              <w:right w:val="nil"/>
            </w:tcBorders>
          </w:tcPr>
          <w:p w14:paraId="7D8CCFF9">
            <w:pPr>
              <w:suppressLineNumbers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Mouse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74B1002C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/>
                <w:i/>
                <w:iCs/>
                <w:color w:val="FF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FF0000"/>
                <w:kern w:val="0"/>
                <w:sz w:val="24"/>
                <w:szCs w:val="24"/>
                <w:lang w:val="en-US" w:eastAsia="zh-CN" w:bidi="ar"/>
              </w:rPr>
              <w:t>G</w:t>
            </w:r>
            <w:r>
              <w:rPr>
                <w:rFonts w:hint="eastAsia" w:ascii="Times New Roman" w:hAnsi="Times New Roman" w:eastAsia="宋体" w:cs="Times New Roman"/>
                <w:i/>
                <w:iCs/>
                <w:color w:val="FF0000"/>
                <w:kern w:val="0"/>
                <w:sz w:val="24"/>
                <w:szCs w:val="24"/>
                <w:lang w:val="en-US" w:eastAsia="zh-CN" w:bidi="ar"/>
              </w:rPr>
              <w:t>apdh</w:t>
            </w:r>
          </w:p>
          <w:p w14:paraId="11288ABC">
            <w:pPr>
              <w:suppressLineNumbers/>
              <w:rPr>
                <w:rFonts w:hint="default" w:ascii="Times New Roman" w:hAnsi="Times New Roman" w:cs="Times New Roman" w:eastAsiaTheme="minorEastAsia"/>
                <w:i/>
                <w:iCs/>
                <w:color w:val="FF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4535" w:type="dxa"/>
            <w:tcBorders>
              <w:left w:val="nil"/>
              <w:right w:val="nil"/>
            </w:tcBorders>
          </w:tcPr>
          <w:p w14:paraId="2006CFC1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F - TGTTTCCTCGTCCCGTAGA </w:t>
            </w:r>
          </w:p>
          <w:p w14:paraId="3208ACA6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  <w:t>R - ATCTCCACTTTGCCACTGC</w:t>
            </w:r>
          </w:p>
        </w:tc>
      </w:tr>
      <w:tr w14:paraId="11329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34" w:type="dxa"/>
            <w:tcBorders>
              <w:left w:val="nil"/>
              <w:right w:val="nil"/>
            </w:tcBorders>
          </w:tcPr>
          <w:p w14:paraId="2B1335C6">
            <w:pPr>
              <w:suppressLineNumbers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19509EC7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FF0000"/>
                <w:kern w:val="0"/>
                <w:sz w:val="24"/>
                <w:szCs w:val="24"/>
                <w:lang w:val="en-US" w:eastAsia="zh-CN" w:bidi="ar"/>
              </w:rPr>
              <w:t>W</w:t>
            </w:r>
            <w:r>
              <w:rPr>
                <w:rFonts w:hint="eastAsia" w:ascii="Times New Roman" w:hAnsi="Times New Roman" w:eastAsia="宋体" w:cs="Times New Roman"/>
                <w:i/>
                <w:iCs/>
                <w:color w:val="FF0000"/>
                <w:kern w:val="0"/>
                <w:sz w:val="24"/>
                <w:szCs w:val="24"/>
                <w:lang w:val="en-US" w:eastAsia="zh-CN" w:bidi="ar"/>
              </w:rPr>
              <w:t>t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FF0000"/>
                <w:kern w:val="0"/>
                <w:sz w:val="24"/>
                <w:szCs w:val="24"/>
                <w:lang w:val="en-US" w:eastAsia="zh-CN" w:bidi="ar"/>
              </w:rPr>
              <w:t>-1</w:t>
            </w:r>
          </w:p>
          <w:p w14:paraId="505A2A2F">
            <w:pPr>
              <w:suppressLineNumbers/>
              <w:rPr>
                <w:rFonts w:hint="default" w:ascii="Times New Roman" w:hAnsi="Times New Roman" w:cs="Times New Roman" w:eastAsiaTheme="minorEastAsia"/>
                <w:i/>
                <w:iCs/>
                <w:color w:val="FF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4535" w:type="dxa"/>
            <w:tcBorders>
              <w:left w:val="nil"/>
              <w:right w:val="nil"/>
            </w:tcBorders>
          </w:tcPr>
          <w:p w14:paraId="21A5DB49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F - GGCGTGTATCTGGAGTGG </w:t>
            </w:r>
          </w:p>
          <w:p w14:paraId="71DB59A4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  <w:t>R - AGTGTGCTTCCGGCTATG</w:t>
            </w:r>
          </w:p>
        </w:tc>
      </w:tr>
      <w:tr w14:paraId="37DAC3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34" w:type="dxa"/>
            <w:tcBorders>
              <w:left w:val="nil"/>
              <w:right w:val="nil"/>
            </w:tcBorders>
          </w:tcPr>
          <w:p w14:paraId="60AF9374">
            <w:pPr>
              <w:suppressLineNumbers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09431A15">
            <w:pPr>
              <w:suppressLineNumbers/>
              <w:rPr>
                <w:rFonts w:hint="default" w:ascii="Times New Roman" w:hAnsi="Times New Roman" w:cs="Times New Roman" w:eastAsiaTheme="minorEastAsia"/>
                <w:i/>
                <w:i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color w:val="FF0000"/>
                <w:kern w:val="0"/>
                <w:sz w:val="24"/>
                <w:szCs w:val="24"/>
                <w:lang w:val="en-US" w:eastAsia="zh-CN" w:bidi="ar"/>
              </w:rPr>
              <w:t>Nphs1</w:t>
            </w:r>
          </w:p>
        </w:tc>
        <w:tc>
          <w:tcPr>
            <w:tcW w:w="4535" w:type="dxa"/>
            <w:tcBorders>
              <w:left w:val="nil"/>
              <w:right w:val="nil"/>
            </w:tcBorders>
          </w:tcPr>
          <w:p w14:paraId="35552987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F - CAGTGCCGTTACCATCCT </w:t>
            </w:r>
          </w:p>
          <w:p w14:paraId="39E9224B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  <w:t>R - GTCCACCCAACCACCAT</w:t>
            </w:r>
          </w:p>
        </w:tc>
      </w:tr>
      <w:tr w14:paraId="1AEB9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34" w:type="dxa"/>
            <w:tcBorders>
              <w:left w:val="nil"/>
              <w:right w:val="nil"/>
            </w:tcBorders>
          </w:tcPr>
          <w:p w14:paraId="20E65FE9">
            <w:pPr>
              <w:suppressLineNumbers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482985B5">
            <w:pPr>
              <w:suppressLineNumbers/>
              <w:rPr>
                <w:rFonts w:hint="default" w:ascii="Times New Roman" w:hAnsi="Times New Roman" w:cs="Times New Roman" w:eastAsiaTheme="minorEastAsia"/>
                <w:i/>
                <w:i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color w:val="FF0000"/>
                <w:kern w:val="0"/>
                <w:sz w:val="24"/>
                <w:szCs w:val="24"/>
                <w:lang w:val="en-US" w:eastAsia="zh-CN" w:bidi="ar"/>
              </w:rPr>
              <w:t>Nphs2</w:t>
            </w:r>
          </w:p>
        </w:tc>
        <w:tc>
          <w:tcPr>
            <w:tcW w:w="4535" w:type="dxa"/>
            <w:tcBorders>
              <w:left w:val="nil"/>
              <w:right w:val="nil"/>
            </w:tcBorders>
          </w:tcPr>
          <w:p w14:paraId="406DD1A9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F - GGGAAAAGGCTGCTTCA </w:t>
            </w:r>
          </w:p>
          <w:p w14:paraId="5DFFA3B3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  <w:t>R - GGCAAAGGCAAAACCAC</w:t>
            </w:r>
          </w:p>
        </w:tc>
      </w:tr>
      <w:tr w14:paraId="5EAA4B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34" w:type="dxa"/>
            <w:tcBorders>
              <w:left w:val="nil"/>
              <w:right w:val="nil"/>
            </w:tcBorders>
          </w:tcPr>
          <w:p w14:paraId="471887AB">
            <w:pPr>
              <w:suppressLineNumbers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024AA32C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FF0000"/>
                <w:kern w:val="0"/>
                <w:sz w:val="24"/>
                <w:szCs w:val="24"/>
                <w:lang w:val="en-US" w:eastAsia="zh-CN" w:bidi="ar"/>
              </w:rPr>
              <w:t>Nrf1</w:t>
            </w:r>
          </w:p>
          <w:p w14:paraId="12EA1335">
            <w:pPr>
              <w:suppressLineNumbers/>
              <w:rPr>
                <w:rFonts w:hint="default" w:ascii="Times New Roman" w:hAnsi="Times New Roman" w:cs="Times New Roman" w:eastAsiaTheme="minorEastAsia"/>
                <w:i/>
                <w:iCs/>
                <w:color w:val="FF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4535" w:type="dxa"/>
            <w:tcBorders>
              <w:left w:val="nil"/>
              <w:right w:val="nil"/>
            </w:tcBorders>
          </w:tcPr>
          <w:p w14:paraId="16B68792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F - TCTATCATGGCAGCGTTTT </w:t>
            </w:r>
          </w:p>
          <w:p w14:paraId="7B99D36F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  <w:t>R - GCGTTCATTCCACCAGA</w:t>
            </w:r>
          </w:p>
        </w:tc>
      </w:tr>
      <w:tr w14:paraId="731019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34" w:type="dxa"/>
            <w:tcBorders>
              <w:left w:val="nil"/>
              <w:right w:val="nil"/>
            </w:tcBorders>
          </w:tcPr>
          <w:p w14:paraId="164E6324">
            <w:pPr>
              <w:suppressLineNumbers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48ACE5A7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FF0000"/>
                <w:kern w:val="0"/>
                <w:sz w:val="24"/>
                <w:szCs w:val="24"/>
                <w:lang w:val="en-US" w:eastAsia="zh-CN" w:bidi="ar"/>
              </w:rPr>
              <w:t>Tfam</w:t>
            </w:r>
          </w:p>
          <w:p w14:paraId="1DBD40A7">
            <w:pPr>
              <w:suppressLineNumbers/>
              <w:rPr>
                <w:rFonts w:hint="default" w:ascii="Times New Roman" w:hAnsi="Times New Roman" w:cs="Times New Roman" w:eastAsiaTheme="minorEastAsia"/>
                <w:i/>
                <w:iCs/>
                <w:color w:val="FF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4535" w:type="dxa"/>
            <w:tcBorders>
              <w:left w:val="nil"/>
              <w:right w:val="nil"/>
            </w:tcBorders>
          </w:tcPr>
          <w:p w14:paraId="04F7EFC4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F - TAATGCAGACGGAGCCA </w:t>
            </w:r>
          </w:p>
          <w:p w14:paraId="2C7858F3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  <w:t>R - CTGGGAGAAAGGAGGGTT</w:t>
            </w:r>
          </w:p>
        </w:tc>
      </w:tr>
      <w:tr w14:paraId="3C2FB0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34" w:type="dxa"/>
            <w:tcBorders>
              <w:left w:val="nil"/>
              <w:right w:val="nil"/>
            </w:tcBorders>
          </w:tcPr>
          <w:p w14:paraId="1519664A">
            <w:pPr>
              <w:suppressLineNumbers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0A959943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FF0000"/>
                <w:kern w:val="0"/>
                <w:sz w:val="24"/>
                <w:szCs w:val="24"/>
                <w:lang w:val="en-US" w:eastAsia="zh-CN" w:bidi="ar"/>
              </w:rPr>
              <w:t>Ndufa1</w:t>
            </w:r>
          </w:p>
          <w:p w14:paraId="7B95FCA2">
            <w:pPr>
              <w:suppressLineNumbers/>
              <w:rPr>
                <w:rFonts w:hint="default" w:ascii="Times New Roman" w:hAnsi="Times New Roman" w:cs="Times New Roman" w:eastAsiaTheme="minorEastAsia"/>
                <w:i/>
                <w:iCs/>
                <w:color w:val="FF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4535" w:type="dxa"/>
            <w:tcBorders>
              <w:left w:val="nil"/>
              <w:right w:val="nil"/>
            </w:tcBorders>
          </w:tcPr>
          <w:p w14:paraId="7143FAF1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F - GAGGTAAAGCCGGGTCA </w:t>
            </w:r>
          </w:p>
          <w:p w14:paraId="5E629BE8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  <w:t>R - TGTGGATGTACGCAGTGG</w:t>
            </w:r>
          </w:p>
        </w:tc>
      </w:tr>
      <w:tr w14:paraId="165FD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1134" w:type="dxa"/>
            <w:tcBorders>
              <w:left w:val="nil"/>
              <w:right w:val="nil"/>
            </w:tcBorders>
          </w:tcPr>
          <w:p w14:paraId="37B81F74">
            <w:pPr>
              <w:suppressLineNumbers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51A082F7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FF0000"/>
                <w:kern w:val="0"/>
                <w:sz w:val="24"/>
                <w:szCs w:val="24"/>
                <w:lang w:val="en-US" w:eastAsia="zh-CN" w:bidi="ar"/>
              </w:rPr>
              <w:t>Sdha</w:t>
            </w:r>
          </w:p>
          <w:p w14:paraId="0A190F5D">
            <w:pPr>
              <w:suppressLineNumbers/>
              <w:rPr>
                <w:rFonts w:hint="default" w:ascii="Times New Roman" w:hAnsi="Times New Roman" w:cs="Times New Roman" w:eastAsiaTheme="minorEastAsia"/>
                <w:i/>
                <w:iCs/>
                <w:color w:val="FF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4535" w:type="dxa"/>
            <w:tcBorders>
              <w:left w:val="nil"/>
              <w:right w:val="nil"/>
            </w:tcBorders>
          </w:tcPr>
          <w:p w14:paraId="3F70C7C9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F - GGAACACTGGAGGAAGCA </w:t>
            </w:r>
          </w:p>
          <w:p w14:paraId="78FADC64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  <w:t>R - TAGGAGCGGATAGCAGGA</w:t>
            </w:r>
          </w:p>
        </w:tc>
      </w:tr>
      <w:tr w14:paraId="40A9A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34" w:type="dxa"/>
            <w:tcBorders>
              <w:left w:val="nil"/>
              <w:right w:val="nil"/>
            </w:tcBorders>
          </w:tcPr>
          <w:p w14:paraId="18C19D71">
            <w:pPr>
              <w:suppressLineNumbers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1BF03E44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FF0000"/>
                <w:kern w:val="0"/>
                <w:sz w:val="24"/>
                <w:szCs w:val="24"/>
                <w:lang w:val="en-US" w:eastAsia="zh-CN" w:bidi="ar"/>
              </w:rPr>
              <w:t>Uqcr11</w:t>
            </w:r>
          </w:p>
          <w:p w14:paraId="02AABB40">
            <w:pPr>
              <w:suppressLineNumbers/>
              <w:rPr>
                <w:rFonts w:hint="default" w:ascii="Times New Roman" w:hAnsi="Times New Roman" w:cs="Times New Roman" w:eastAsiaTheme="minorEastAsia"/>
                <w:i/>
                <w:iCs/>
                <w:color w:val="FF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4535" w:type="dxa"/>
            <w:tcBorders>
              <w:left w:val="nil"/>
              <w:right w:val="nil"/>
            </w:tcBorders>
          </w:tcPr>
          <w:p w14:paraId="6AF521D2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F - CACATGCGTAGTGCTCCAG </w:t>
            </w:r>
          </w:p>
          <w:p w14:paraId="6AB8956C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  <w:t>R - CACATGCGTAGTGCTCCAG</w:t>
            </w:r>
          </w:p>
        </w:tc>
      </w:tr>
      <w:tr w14:paraId="624E4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34" w:type="dxa"/>
            <w:tcBorders>
              <w:left w:val="nil"/>
              <w:right w:val="nil"/>
            </w:tcBorders>
          </w:tcPr>
          <w:p w14:paraId="50E2E90A">
            <w:pPr>
              <w:suppressLineNumbers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0FC37C35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bookmarkStart w:id="14" w:name="OLE_LINK4"/>
            <w:r>
              <w:rPr>
                <w:rFonts w:hint="default" w:ascii="Times New Roman" w:hAnsi="Times New Roman" w:eastAsia="宋体" w:cs="Times New Roman"/>
                <w:i/>
                <w:iCs/>
                <w:color w:val="FF0000"/>
                <w:kern w:val="0"/>
                <w:sz w:val="24"/>
                <w:szCs w:val="24"/>
                <w:lang w:val="en-US" w:eastAsia="zh-CN" w:bidi="ar"/>
              </w:rPr>
              <w:t>C</w:t>
            </w:r>
            <w:r>
              <w:rPr>
                <w:rFonts w:hint="eastAsia" w:ascii="Times New Roman" w:hAnsi="Times New Roman" w:eastAsia="宋体" w:cs="Times New Roman"/>
                <w:i/>
                <w:iCs/>
                <w:color w:val="FF0000"/>
                <w:kern w:val="0"/>
                <w:sz w:val="24"/>
                <w:szCs w:val="24"/>
                <w:lang w:val="en-US" w:eastAsia="zh-CN" w:bidi="ar"/>
              </w:rPr>
              <w:t xml:space="preserve">ox 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FF0000"/>
                <w:kern w:val="0"/>
                <w:sz w:val="24"/>
                <w:szCs w:val="24"/>
                <w:lang w:val="en-US" w:eastAsia="zh-CN" w:bidi="ar"/>
              </w:rPr>
              <w:t>Ⅳ</w:t>
            </w:r>
          </w:p>
          <w:bookmarkEnd w:id="14"/>
          <w:p w14:paraId="7984BA06">
            <w:pPr>
              <w:suppressLineNumbers/>
              <w:rPr>
                <w:rFonts w:hint="default" w:ascii="Times New Roman" w:hAnsi="Times New Roman" w:cs="Times New Roman" w:eastAsiaTheme="minorEastAsia"/>
                <w:i/>
                <w:iCs/>
                <w:color w:val="FF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4535" w:type="dxa"/>
            <w:tcBorders>
              <w:left w:val="nil"/>
              <w:right w:val="nil"/>
            </w:tcBorders>
          </w:tcPr>
          <w:p w14:paraId="7B33D1BB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F - GCCTTTCCAGGGATGAGA </w:t>
            </w:r>
          </w:p>
          <w:p w14:paraId="454C6E53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  <w:t>R - CGCAGTGAAGCCAATGAA</w:t>
            </w:r>
          </w:p>
        </w:tc>
      </w:tr>
      <w:tr w14:paraId="2B7AB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134" w:type="dxa"/>
            <w:tcBorders>
              <w:left w:val="nil"/>
              <w:right w:val="nil"/>
            </w:tcBorders>
          </w:tcPr>
          <w:p w14:paraId="373871E4">
            <w:pPr>
              <w:suppressLineNumbers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0391EFA8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FF0000"/>
                <w:kern w:val="0"/>
                <w:sz w:val="24"/>
                <w:szCs w:val="24"/>
                <w:lang w:val="en-US" w:eastAsia="zh-CN" w:bidi="ar"/>
              </w:rPr>
              <w:t>A</w:t>
            </w:r>
            <w:r>
              <w:rPr>
                <w:rFonts w:hint="eastAsia" w:ascii="Times New Roman" w:hAnsi="Times New Roman" w:eastAsia="宋体" w:cs="Times New Roman"/>
                <w:i/>
                <w:iCs/>
                <w:color w:val="FF0000"/>
                <w:kern w:val="0"/>
                <w:sz w:val="24"/>
                <w:szCs w:val="24"/>
                <w:lang w:val="en-US" w:eastAsia="zh-CN" w:bidi="ar"/>
              </w:rPr>
              <w:t>tp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FF0000"/>
                <w:kern w:val="0"/>
                <w:sz w:val="24"/>
                <w:szCs w:val="24"/>
                <w:lang w:val="en-US" w:eastAsia="zh-CN" w:bidi="ar"/>
              </w:rPr>
              <w:t>5o</w:t>
            </w:r>
          </w:p>
          <w:p w14:paraId="4654D61D">
            <w:pPr>
              <w:suppressLineNumbers/>
              <w:rPr>
                <w:rFonts w:hint="default" w:ascii="Times New Roman" w:hAnsi="Times New Roman" w:cs="Times New Roman" w:eastAsiaTheme="minorEastAsia"/>
                <w:i/>
                <w:iCs/>
                <w:color w:val="FF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4535" w:type="dxa"/>
            <w:tcBorders>
              <w:left w:val="nil"/>
              <w:right w:val="nil"/>
            </w:tcBorders>
          </w:tcPr>
          <w:p w14:paraId="7B2D8237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F - CCGTCAAAGTGAAAAGCC </w:t>
            </w:r>
          </w:p>
          <w:p w14:paraId="2393A631">
            <w:pPr>
              <w:keepNext w:val="0"/>
              <w:keepLines w:val="0"/>
              <w:widowControl/>
              <w:suppressLineNumbers/>
              <w:jc w:val="left"/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4"/>
                <w:szCs w:val="24"/>
                <w:lang w:val="en-US" w:eastAsia="zh-CN" w:bidi="ar"/>
              </w:rPr>
              <w:t>R - GATGGTGGAAAAGGCAGA</w:t>
            </w:r>
          </w:p>
        </w:tc>
      </w:tr>
    </w:tbl>
    <w:p w14:paraId="25634A19">
      <w:pPr>
        <w:suppressLineNumbers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lnNumType w:countBy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ZmYTIzNTAyZjI4OGFiYjcwMTRiNWNmODJlNDMwMmEifQ=="/>
  </w:docVars>
  <w:rsids>
    <w:rsidRoot w:val="3AB70D22"/>
    <w:rsid w:val="0C476EDF"/>
    <w:rsid w:val="13022295"/>
    <w:rsid w:val="13AC5B6B"/>
    <w:rsid w:val="14F21366"/>
    <w:rsid w:val="15451E83"/>
    <w:rsid w:val="1B796552"/>
    <w:rsid w:val="1DD65DDA"/>
    <w:rsid w:val="1EA90CE7"/>
    <w:rsid w:val="29C478DE"/>
    <w:rsid w:val="2CA57D45"/>
    <w:rsid w:val="2D754943"/>
    <w:rsid w:val="319C1AFC"/>
    <w:rsid w:val="362F3572"/>
    <w:rsid w:val="379C3A54"/>
    <w:rsid w:val="3AB70D22"/>
    <w:rsid w:val="418F1B67"/>
    <w:rsid w:val="435B1A11"/>
    <w:rsid w:val="442A3DC9"/>
    <w:rsid w:val="4F426946"/>
    <w:rsid w:val="515E0224"/>
    <w:rsid w:val="52A55C4F"/>
    <w:rsid w:val="549674F8"/>
    <w:rsid w:val="5A0274B3"/>
    <w:rsid w:val="5AC47178"/>
    <w:rsid w:val="65670581"/>
    <w:rsid w:val="67DA7410"/>
    <w:rsid w:val="68720DB1"/>
    <w:rsid w:val="6BA87307"/>
    <w:rsid w:val="6C99083B"/>
    <w:rsid w:val="78B56A8B"/>
    <w:rsid w:val="78F64542"/>
    <w:rsid w:val="793432EF"/>
    <w:rsid w:val="7BFC5841"/>
    <w:rsid w:val="7EE84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467</Words>
  <Characters>2770</Characters>
  <Lines>0</Lines>
  <Paragraphs>0</Paragraphs>
  <TotalTime>21</TotalTime>
  <ScaleCrop>false</ScaleCrop>
  <LinksUpToDate>false</LinksUpToDate>
  <CharactersWithSpaces>3202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2022-11-17T17:43:00Z</dcterms:created>
  <dc:creator>石莹</dc:creator>
  <cp:lastModifiedBy>石莹</cp:lastModifiedBy>
  <dcterms:modified xsi:type="dcterms:W3CDTF">2024-10-02T17:43:15Z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D0DA291FA8FA45A2B18BA7ACA2A8C000_13</vt:lpwstr>
  </property>
</Properties>
</file>