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97854" w14:textId="77777777" w:rsidR="001C3A8B" w:rsidRPr="005D6AEB" w:rsidRDefault="001C3A8B" w:rsidP="001C3A8B">
      <w:pPr>
        <w:spacing w:line="360" w:lineRule="auto"/>
        <w:rPr>
          <w:rFonts w:ascii="Arial" w:hAnsi="Arial" w:cs="Arial"/>
          <w:b/>
          <w:bCs/>
        </w:rPr>
      </w:pPr>
      <w:r w:rsidRPr="005D6AEB">
        <w:rPr>
          <w:rFonts w:ascii="Arial" w:hAnsi="Arial" w:cs="Arial"/>
          <w:b/>
          <w:bCs/>
        </w:rPr>
        <w:t>Supplementary Material</w:t>
      </w:r>
    </w:p>
    <w:p w14:paraId="0389FF24" w14:textId="77777777" w:rsidR="001C3A8B" w:rsidRPr="005D6AEB" w:rsidRDefault="001C3A8B" w:rsidP="001C3A8B">
      <w:pPr>
        <w:spacing w:line="360" w:lineRule="auto"/>
        <w:jc w:val="both"/>
        <w:rPr>
          <w:rFonts w:ascii="Arial" w:hAnsi="Arial" w:cs="Arial"/>
          <w:b/>
          <w:bCs/>
        </w:rPr>
      </w:pPr>
      <w:r w:rsidRPr="005D6AEB">
        <w:rPr>
          <w:rFonts w:ascii="Arial" w:hAnsi="Arial" w:cs="Arial"/>
          <w:b/>
          <w:bCs/>
        </w:rPr>
        <w:t>DISC Study Methods</w:t>
      </w:r>
    </w:p>
    <w:p w14:paraId="600DCCA3" w14:textId="77777777" w:rsidR="001C3A8B" w:rsidRDefault="001C3A8B" w:rsidP="001C3A8B">
      <w:pPr>
        <w:spacing w:line="360" w:lineRule="auto"/>
        <w:jc w:val="both"/>
        <w:rPr>
          <w:rFonts w:ascii="Arial" w:hAnsi="Arial" w:cs="Arial"/>
        </w:rPr>
      </w:pPr>
      <w:r w:rsidRPr="005D6AEB">
        <w:rPr>
          <w:rFonts w:ascii="Arial" w:hAnsi="Arial" w:cs="Arial"/>
        </w:rPr>
        <w:t>Potential study participants were identified using endoscopy patient lists and sent a study invitation letter with detailed information about the DISC Study at least five days prior to their hospital appointment. At endoscopy, potential study participants were screened for exclusion criteria.</w:t>
      </w:r>
    </w:p>
    <w:p w14:paraId="0C706AC6" w14:textId="77777777" w:rsidR="001C3A8B" w:rsidRPr="005D6AEB" w:rsidRDefault="001C3A8B" w:rsidP="001C3A8B">
      <w:pPr>
        <w:spacing w:line="360" w:lineRule="auto"/>
        <w:jc w:val="both"/>
        <w:rPr>
          <w:rFonts w:ascii="Arial" w:hAnsi="Arial" w:cs="Arial"/>
        </w:rPr>
      </w:pPr>
    </w:p>
    <w:p w14:paraId="4FBCF470" w14:textId="77777777" w:rsidR="001C3A8B" w:rsidRDefault="001C3A8B" w:rsidP="001C3A8B">
      <w:pPr>
        <w:spacing w:line="360" w:lineRule="auto"/>
        <w:jc w:val="both"/>
        <w:rPr>
          <w:rFonts w:ascii="Arial" w:hAnsi="Arial" w:cs="Arial"/>
        </w:rPr>
      </w:pPr>
      <w:r w:rsidRPr="005D6AEB">
        <w:rPr>
          <w:rFonts w:ascii="Arial" w:hAnsi="Arial" w:cs="Arial"/>
        </w:rPr>
        <w:t>Exclusion criteria included: aged&lt;16 or &gt;85 years, pregnant or planning to become pregnant, diabetes mellitus, Familial adenomatous polyposis syndrome, Lynch Syndrome, known colorectal tumour or prior CRC, prior colorectal resection, active colonic inflammation at endoscopy, Iatrogenic perforation at endoscopy, Incomplete left-sided examination, Colorectal carcinoma discovered at endoscopy or histology, chemotherapy in the last six months, administering non-steroidal anti-inflammatories (NSAIDs) e.g. aspirin, anti-coagulants e.g. warfarin or immunosuppressive medication e.g. methotrexate.</w:t>
      </w:r>
    </w:p>
    <w:p w14:paraId="1EFA439B" w14:textId="77777777" w:rsidR="001C3A8B" w:rsidRPr="005D6AEB" w:rsidRDefault="001C3A8B" w:rsidP="001C3A8B">
      <w:pPr>
        <w:spacing w:line="360" w:lineRule="auto"/>
        <w:jc w:val="both"/>
        <w:rPr>
          <w:rFonts w:ascii="Arial" w:hAnsi="Arial" w:cs="Arial"/>
        </w:rPr>
      </w:pPr>
    </w:p>
    <w:p w14:paraId="02005FC3" w14:textId="77777777" w:rsidR="001C3A8B" w:rsidRDefault="001C3A8B" w:rsidP="001C3A8B">
      <w:pPr>
        <w:spacing w:line="360" w:lineRule="auto"/>
        <w:jc w:val="both"/>
        <w:rPr>
          <w:rFonts w:ascii="Arial" w:hAnsi="Arial" w:cs="Arial"/>
        </w:rPr>
      </w:pPr>
      <w:r w:rsidRPr="005D6AEB">
        <w:rPr>
          <w:rFonts w:ascii="Arial" w:hAnsi="Arial" w:cs="Arial"/>
        </w:rPr>
        <w:t>At least one week post endoscopy, participants were randomised to one of four dietary interventions by selecting a sealed, opaque envelope labelled A, B, C or D. Participant randomisation was stratified by pre-intervention endoscopy procedure to avoid effects of the different bowel preparations.</w:t>
      </w:r>
    </w:p>
    <w:p w14:paraId="63667622" w14:textId="77777777" w:rsidR="001C3A8B" w:rsidRPr="005D6AEB" w:rsidRDefault="001C3A8B" w:rsidP="001C3A8B">
      <w:pPr>
        <w:spacing w:line="360" w:lineRule="auto"/>
        <w:jc w:val="both"/>
        <w:rPr>
          <w:rFonts w:ascii="Arial" w:hAnsi="Arial" w:cs="Arial"/>
        </w:rPr>
      </w:pPr>
    </w:p>
    <w:p w14:paraId="6CCEDC54" w14:textId="77777777" w:rsidR="001C3A8B" w:rsidRPr="005D6AEB" w:rsidRDefault="001C3A8B" w:rsidP="001C3A8B">
      <w:pPr>
        <w:spacing w:line="360" w:lineRule="auto"/>
        <w:jc w:val="both"/>
        <w:rPr>
          <w:rFonts w:ascii="Arial" w:hAnsi="Arial" w:cs="Arial"/>
        </w:rPr>
      </w:pPr>
      <w:r w:rsidRPr="005D6AEB">
        <w:rPr>
          <w:rFonts w:ascii="Arial" w:hAnsi="Arial" w:cs="Arial"/>
        </w:rPr>
        <w:t>Participants were randomised to one of four groups:</w:t>
      </w:r>
    </w:p>
    <w:p w14:paraId="56E77B86" w14:textId="77777777" w:rsidR="001C3A8B" w:rsidRPr="005D6AEB" w:rsidRDefault="001C3A8B" w:rsidP="001C3A8B">
      <w:pPr>
        <w:spacing w:line="360" w:lineRule="auto"/>
        <w:jc w:val="both"/>
        <w:rPr>
          <w:rFonts w:ascii="Arial" w:hAnsi="Arial" w:cs="Arial"/>
        </w:rPr>
      </w:pPr>
      <w:r w:rsidRPr="005D6AEB">
        <w:rPr>
          <w:rFonts w:ascii="Arial" w:hAnsi="Arial" w:cs="Arial"/>
        </w:rPr>
        <w:t>•</w:t>
      </w:r>
      <w:r w:rsidRPr="005D6AEB">
        <w:rPr>
          <w:rFonts w:ascii="Arial" w:hAnsi="Arial" w:cs="Arial"/>
        </w:rPr>
        <w:tab/>
        <w:t xml:space="preserve">Double placebo: 12g Maltodextrin and 23g </w:t>
      </w:r>
      <w:proofErr w:type="spellStart"/>
      <w:r w:rsidRPr="005D6AEB">
        <w:rPr>
          <w:rFonts w:ascii="Arial" w:hAnsi="Arial" w:cs="Arial"/>
        </w:rPr>
        <w:t>Amioca</w:t>
      </w:r>
      <w:proofErr w:type="spellEnd"/>
      <w:r w:rsidRPr="005D6AEB">
        <w:rPr>
          <w:rFonts w:ascii="Arial" w:hAnsi="Arial" w:cs="Arial"/>
        </w:rPr>
        <w:t xml:space="preserve"> starch</w:t>
      </w:r>
    </w:p>
    <w:p w14:paraId="097AAB02" w14:textId="77777777" w:rsidR="001C3A8B" w:rsidRPr="005D6AEB" w:rsidRDefault="001C3A8B" w:rsidP="001C3A8B">
      <w:pPr>
        <w:spacing w:line="360" w:lineRule="auto"/>
        <w:jc w:val="both"/>
        <w:rPr>
          <w:rFonts w:ascii="Arial" w:hAnsi="Arial" w:cs="Arial"/>
        </w:rPr>
      </w:pPr>
      <w:r w:rsidRPr="005D6AEB">
        <w:rPr>
          <w:rFonts w:ascii="Arial" w:hAnsi="Arial" w:cs="Arial"/>
        </w:rPr>
        <w:t>•</w:t>
      </w:r>
      <w:r w:rsidRPr="005D6AEB">
        <w:rPr>
          <w:rFonts w:ascii="Arial" w:hAnsi="Arial" w:cs="Arial"/>
        </w:rPr>
        <w:tab/>
        <w:t>RS: 23g Hi-maize® 260 and 12g Maltodextrin</w:t>
      </w:r>
    </w:p>
    <w:p w14:paraId="41FF31B6" w14:textId="77777777" w:rsidR="001C3A8B" w:rsidRPr="005D6AEB" w:rsidRDefault="001C3A8B" w:rsidP="001C3A8B">
      <w:pPr>
        <w:spacing w:line="360" w:lineRule="auto"/>
        <w:jc w:val="both"/>
        <w:rPr>
          <w:rFonts w:ascii="Arial" w:hAnsi="Arial" w:cs="Arial"/>
        </w:rPr>
      </w:pPr>
      <w:r w:rsidRPr="005D6AEB">
        <w:rPr>
          <w:rFonts w:ascii="Arial" w:hAnsi="Arial" w:cs="Arial"/>
        </w:rPr>
        <w:t>•</w:t>
      </w:r>
      <w:r w:rsidRPr="005D6AEB">
        <w:rPr>
          <w:rFonts w:ascii="Arial" w:hAnsi="Arial" w:cs="Arial"/>
        </w:rPr>
        <w:tab/>
        <w:t xml:space="preserve">PD: 12g </w:t>
      </w:r>
      <w:proofErr w:type="spellStart"/>
      <w:r w:rsidRPr="005D6AEB">
        <w:rPr>
          <w:rFonts w:ascii="Arial" w:hAnsi="Arial" w:cs="Arial"/>
        </w:rPr>
        <w:t>Litesse</w:t>
      </w:r>
      <w:proofErr w:type="spellEnd"/>
      <w:r w:rsidRPr="005D6AEB">
        <w:rPr>
          <w:rFonts w:ascii="Arial" w:hAnsi="Arial" w:cs="Arial"/>
        </w:rPr>
        <w:t xml:space="preserve">® Ultra™ and 23g </w:t>
      </w:r>
      <w:proofErr w:type="spellStart"/>
      <w:r w:rsidRPr="005D6AEB">
        <w:rPr>
          <w:rFonts w:ascii="Arial" w:hAnsi="Arial" w:cs="Arial"/>
        </w:rPr>
        <w:t>Amioca</w:t>
      </w:r>
      <w:proofErr w:type="spellEnd"/>
      <w:r w:rsidRPr="005D6AEB">
        <w:rPr>
          <w:rFonts w:ascii="Arial" w:hAnsi="Arial" w:cs="Arial"/>
        </w:rPr>
        <w:t xml:space="preserve"> starch</w:t>
      </w:r>
    </w:p>
    <w:p w14:paraId="7622DF9E" w14:textId="77777777" w:rsidR="001C3A8B" w:rsidRDefault="001C3A8B" w:rsidP="001C3A8B">
      <w:pPr>
        <w:spacing w:line="360" w:lineRule="auto"/>
        <w:jc w:val="both"/>
        <w:rPr>
          <w:rFonts w:ascii="Arial" w:hAnsi="Arial" w:cs="Arial"/>
        </w:rPr>
      </w:pPr>
      <w:r w:rsidRPr="005D6AEB">
        <w:rPr>
          <w:rFonts w:ascii="Arial" w:hAnsi="Arial" w:cs="Arial"/>
        </w:rPr>
        <w:t>•</w:t>
      </w:r>
      <w:r w:rsidRPr="005D6AEB">
        <w:rPr>
          <w:rFonts w:ascii="Arial" w:hAnsi="Arial" w:cs="Arial"/>
        </w:rPr>
        <w:tab/>
        <w:t xml:space="preserve">Double intervention: 23g Hi-maize® 260 and 12g </w:t>
      </w:r>
      <w:proofErr w:type="spellStart"/>
      <w:r w:rsidRPr="005D6AEB">
        <w:rPr>
          <w:rFonts w:ascii="Arial" w:hAnsi="Arial" w:cs="Arial"/>
        </w:rPr>
        <w:t>Litesse</w:t>
      </w:r>
      <w:proofErr w:type="spellEnd"/>
      <w:r w:rsidRPr="005D6AEB">
        <w:rPr>
          <w:rFonts w:ascii="Arial" w:hAnsi="Arial" w:cs="Arial"/>
        </w:rPr>
        <w:t>® Ultra™</w:t>
      </w:r>
    </w:p>
    <w:p w14:paraId="32E99BB2" w14:textId="77777777" w:rsidR="001C3A8B" w:rsidRPr="005D6AEB" w:rsidRDefault="001C3A8B" w:rsidP="001C3A8B">
      <w:pPr>
        <w:spacing w:line="360" w:lineRule="auto"/>
        <w:jc w:val="both"/>
        <w:rPr>
          <w:rFonts w:ascii="Arial" w:hAnsi="Arial" w:cs="Arial"/>
        </w:rPr>
      </w:pPr>
    </w:p>
    <w:p w14:paraId="4706D9B3" w14:textId="77777777" w:rsidR="001C3A8B" w:rsidRDefault="001C3A8B" w:rsidP="001C3A8B">
      <w:pPr>
        <w:spacing w:line="360" w:lineRule="auto"/>
        <w:jc w:val="both"/>
        <w:rPr>
          <w:rFonts w:ascii="Arial" w:hAnsi="Arial" w:cs="Arial"/>
        </w:rPr>
      </w:pPr>
      <w:r w:rsidRPr="005D6AEB">
        <w:rPr>
          <w:rFonts w:ascii="Arial" w:hAnsi="Arial" w:cs="Arial"/>
        </w:rPr>
        <w:t xml:space="preserve">RS was provided in the form of Hi-maize® 260 (Ingredion™, Food Innovation, USA), a type II RS isolated from high-amylose corn hybrids. As approximately 60% of Hi-maize® 260 is RS, participants took 23g of Hi-maize® 260 or placebo to yield a similar amount of active agent as those in the PD group. PD was supplied in the form of </w:t>
      </w:r>
      <w:proofErr w:type="spellStart"/>
      <w:r w:rsidRPr="005D6AEB">
        <w:rPr>
          <w:rFonts w:ascii="Arial" w:hAnsi="Arial" w:cs="Arial"/>
        </w:rPr>
        <w:t>Litesse</w:t>
      </w:r>
      <w:proofErr w:type="spellEnd"/>
      <w:r w:rsidRPr="005D6AEB">
        <w:rPr>
          <w:rFonts w:ascii="Arial" w:hAnsi="Arial" w:cs="Arial"/>
        </w:rPr>
        <w:t>® Ultra™ (</w:t>
      </w:r>
      <w:r>
        <w:rPr>
          <w:rFonts w:ascii="Arial" w:hAnsi="Arial" w:cs="Arial"/>
        </w:rPr>
        <w:t xml:space="preserve">International Flavors &amp; </w:t>
      </w:r>
      <w:proofErr w:type="spellStart"/>
      <w:r>
        <w:rPr>
          <w:rFonts w:ascii="Arial" w:hAnsi="Arial" w:cs="Arial"/>
        </w:rPr>
        <w:t>Fragances</w:t>
      </w:r>
      <w:proofErr w:type="spellEnd"/>
      <w:r w:rsidRPr="005D6AEB">
        <w:rPr>
          <w:rFonts w:ascii="Arial" w:hAnsi="Arial" w:cs="Arial"/>
        </w:rPr>
        <w:t xml:space="preserve">™ Danisco®, Finland), a glucose polymer produced from corn-derived sorbitol, </w:t>
      </w:r>
      <w:proofErr w:type="gramStart"/>
      <w:r w:rsidRPr="005D6AEB">
        <w:rPr>
          <w:rFonts w:ascii="Arial" w:hAnsi="Arial" w:cs="Arial"/>
        </w:rPr>
        <w:t>dextrose</w:t>
      </w:r>
      <w:proofErr w:type="gramEnd"/>
      <w:r w:rsidRPr="005D6AEB">
        <w:rPr>
          <w:rFonts w:ascii="Arial" w:hAnsi="Arial" w:cs="Arial"/>
        </w:rPr>
        <w:t xml:space="preserve"> and citric acid. Participants supplemented with PD were given 12g of </w:t>
      </w:r>
      <w:proofErr w:type="spellStart"/>
      <w:r w:rsidRPr="005D6AEB">
        <w:rPr>
          <w:rFonts w:ascii="Arial" w:hAnsi="Arial" w:cs="Arial"/>
        </w:rPr>
        <w:t>Litesse</w:t>
      </w:r>
      <w:proofErr w:type="spellEnd"/>
      <w:r w:rsidRPr="005D6AEB">
        <w:rPr>
          <w:rFonts w:ascii="Arial" w:hAnsi="Arial" w:cs="Arial"/>
        </w:rPr>
        <w:t xml:space="preserve">® Ultra™ per day. The placebos for </w:t>
      </w:r>
      <w:r w:rsidRPr="005D6AEB">
        <w:rPr>
          <w:rFonts w:ascii="Arial" w:hAnsi="Arial" w:cs="Arial"/>
        </w:rPr>
        <w:lastRenderedPageBreak/>
        <w:t xml:space="preserve">RS and PD were </w:t>
      </w:r>
      <w:proofErr w:type="spellStart"/>
      <w:r w:rsidRPr="005D6AEB">
        <w:rPr>
          <w:rFonts w:ascii="Arial" w:hAnsi="Arial" w:cs="Arial"/>
        </w:rPr>
        <w:t>Amioca</w:t>
      </w:r>
      <w:proofErr w:type="spellEnd"/>
      <w:r w:rsidRPr="005D6AEB">
        <w:rPr>
          <w:rFonts w:ascii="Arial" w:hAnsi="Arial" w:cs="Arial"/>
        </w:rPr>
        <w:t xml:space="preserve"> starch and Maltodextrin respectively. Both are easily digested and absorbed in the small intestine and therefore have no effects on the large bowel. </w:t>
      </w:r>
    </w:p>
    <w:p w14:paraId="6CDA804A" w14:textId="77777777" w:rsidR="001C3A8B" w:rsidRPr="005D6AEB" w:rsidRDefault="001C3A8B" w:rsidP="001C3A8B">
      <w:pPr>
        <w:spacing w:line="360" w:lineRule="auto"/>
        <w:jc w:val="both"/>
        <w:rPr>
          <w:rFonts w:ascii="Arial" w:hAnsi="Arial" w:cs="Arial"/>
        </w:rPr>
      </w:pPr>
    </w:p>
    <w:p w14:paraId="1578960A" w14:textId="37E8D76C" w:rsidR="00BB0CD7" w:rsidRDefault="001C3A8B" w:rsidP="001C3A8B">
      <w:pPr>
        <w:spacing w:line="360" w:lineRule="auto"/>
        <w:jc w:val="both"/>
        <w:rPr>
          <w:rFonts w:ascii="Arial" w:hAnsi="Arial" w:cs="Arial"/>
        </w:rPr>
      </w:pPr>
      <w:r w:rsidRPr="005D6AEB">
        <w:rPr>
          <w:rFonts w:ascii="Arial" w:hAnsi="Arial" w:cs="Arial"/>
        </w:rPr>
        <w:t>The intervention supplementation period was 50 days. The intervention agents were supplied in a white powdered form in foil sachets packed into boxes containing a week’s worth of sachets. Participants consumed 35g of intervention supplement per day divided into four sachets (two sachets of each intervention agent). The powdered supplements were consumed by adding to cold food or liquids such as yoghurt, orange juice or water. Participants were asked to retain all their sachets, including those that were not consumed. To measure compliance, the number of consumed and not consumed sachets were counted for each participant.</w:t>
      </w:r>
    </w:p>
    <w:p w14:paraId="7A9D2F16" w14:textId="77777777" w:rsidR="00BB0CD7" w:rsidRDefault="00BB0CD7">
      <w:pPr>
        <w:spacing w:after="160" w:line="259" w:lineRule="auto"/>
        <w:rPr>
          <w:rFonts w:ascii="Arial" w:hAnsi="Arial" w:cs="Arial"/>
        </w:rPr>
      </w:pPr>
      <w:r>
        <w:rPr>
          <w:rFonts w:ascii="Arial" w:hAnsi="Arial" w:cs="Arial"/>
        </w:rPr>
        <w:br w:type="page"/>
      </w:r>
    </w:p>
    <w:p w14:paraId="0D6031D4" w14:textId="4661DFE0" w:rsidR="00BB0CD7" w:rsidRPr="00617E55" w:rsidRDefault="00BB0CD7" w:rsidP="00BB0CD7">
      <w:pPr>
        <w:suppressLineNumbers/>
        <w:rPr>
          <w:rFonts w:ascii="Arial" w:eastAsia="Arial" w:hAnsi="Arial" w:cs="Arial"/>
          <w:b/>
          <w:bCs/>
          <w:color w:val="C00000"/>
          <w:sz w:val="22"/>
          <w:szCs w:val="22"/>
        </w:rPr>
      </w:pPr>
      <w:r w:rsidRPr="00617E55">
        <w:rPr>
          <w:rFonts w:ascii="Arial" w:eastAsia="Arial" w:hAnsi="Arial" w:cs="Arial"/>
          <w:b/>
          <w:bCs/>
          <w:color w:val="C00000"/>
          <w:sz w:val="22"/>
          <w:szCs w:val="22"/>
        </w:rPr>
        <w:lastRenderedPageBreak/>
        <w:t>Supplementary Table 1:</w:t>
      </w:r>
      <w:r w:rsidRPr="00617E55">
        <w:rPr>
          <w:rFonts w:ascii="Arial" w:eastAsia="Arial" w:hAnsi="Arial" w:cs="Arial"/>
          <w:b/>
          <w:bCs/>
          <w:color w:val="C00000"/>
          <w:sz w:val="22"/>
          <w:szCs w:val="22"/>
        </w:rPr>
        <w:t xml:space="preserve"> </w:t>
      </w:r>
      <w:r w:rsidR="00102EB5">
        <w:rPr>
          <w:rFonts w:ascii="Arial" w:eastAsia="Arial" w:hAnsi="Arial" w:cs="Arial"/>
          <w:b/>
          <w:bCs/>
          <w:color w:val="C00000"/>
          <w:sz w:val="22"/>
          <w:szCs w:val="22"/>
        </w:rPr>
        <w:t>Pre- and</w:t>
      </w:r>
      <w:r w:rsidRPr="00617E55">
        <w:rPr>
          <w:rFonts w:ascii="Arial" w:eastAsia="Arial" w:hAnsi="Arial" w:cs="Arial"/>
          <w:b/>
          <w:bCs/>
          <w:color w:val="C00000"/>
          <w:sz w:val="22"/>
          <w:szCs w:val="22"/>
        </w:rPr>
        <w:t xml:space="preserve"> post-intervention microbial metabolite concentrations in stool, plasma, and urine</w:t>
      </w:r>
      <w:r w:rsidR="00102EB5">
        <w:rPr>
          <w:rFonts w:ascii="Arial" w:eastAsia="Arial" w:hAnsi="Arial" w:cs="Arial"/>
          <w:b/>
          <w:bCs/>
          <w:color w:val="C00000"/>
          <w:sz w:val="22"/>
          <w:szCs w:val="22"/>
        </w:rPr>
        <w:t xml:space="preserve"> according to RS and PD allocation</w:t>
      </w:r>
    </w:p>
    <w:p w14:paraId="3E644EDC" w14:textId="77777777" w:rsidR="00BB0CD7" w:rsidRDefault="00BB0CD7" w:rsidP="00BB0CD7">
      <w:pPr>
        <w:suppressLineNumbers/>
        <w:ind w:left="57"/>
        <w:rPr>
          <w:rFonts w:ascii="Arial" w:eastAsia="Arial" w:hAnsi="Arial" w:cs="Arial"/>
          <w:b/>
          <w:bCs/>
        </w:rPr>
      </w:pPr>
    </w:p>
    <w:tbl>
      <w:tblPr>
        <w:tblStyle w:val="TableGrid"/>
        <w:tblW w:w="9352" w:type="dxa"/>
        <w:tblLayout w:type="fixed"/>
        <w:tblLook w:val="04A0" w:firstRow="1" w:lastRow="0" w:firstColumn="1" w:lastColumn="0" w:noHBand="0" w:noVBand="1"/>
      </w:tblPr>
      <w:tblGrid>
        <w:gridCol w:w="1834"/>
        <w:gridCol w:w="990"/>
        <w:gridCol w:w="851"/>
        <w:gridCol w:w="856"/>
        <w:gridCol w:w="851"/>
        <w:gridCol w:w="992"/>
        <w:gridCol w:w="992"/>
        <w:gridCol w:w="993"/>
        <w:gridCol w:w="993"/>
      </w:tblGrid>
      <w:tr w:rsidR="00D51633" w:rsidRPr="00A3687D" w14:paraId="56CB8975" w14:textId="2AB964CF" w:rsidTr="000D7C96">
        <w:trPr>
          <w:trHeight w:val="300"/>
        </w:trPr>
        <w:tc>
          <w:tcPr>
            <w:tcW w:w="1834" w:type="dxa"/>
            <w:vMerge w:val="restart"/>
            <w:vAlign w:val="center"/>
          </w:tcPr>
          <w:p w14:paraId="29321448"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Microbial metabolite</w:t>
            </w:r>
          </w:p>
        </w:tc>
        <w:tc>
          <w:tcPr>
            <w:tcW w:w="3548" w:type="dxa"/>
            <w:gridSpan w:val="4"/>
            <w:vAlign w:val="center"/>
          </w:tcPr>
          <w:p w14:paraId="7B1E8DCD" w14:textId="2A3120C8"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RS</w:t>
            </w:r>
            <w:r w:rsidRPr="00A3687D">
              <w:rPr>
                <w:rFonts w:ascii="Arial" w:eastAsia="Arial" w:hAnsi="Arial" w:cs="Arial"/>
                <w:b/>
                <w:bCs/>
                <w:sz w:val="19"/>
                <w:szCs w:val="19"/>
              </w:rPr>
              <w:t xml:space="preserve"> allocation</w:t>
            </w:r>
          </w:p>
        </w:tc>
        <w:tc>
          <w:tcPr>
            <w:tcW w:w="3970" w:type="dxa"/>
            <w:gridSpan w:val="4"/>
            <w:vAlign w:val="center"/>
          </w:tcPr>
          <w:p w14:paraId="255D1DD6" w14:textId="61F93025"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PD</w:t>
            </w:r>
            <w:r w:rsidRPr="00A3687D">
              <w:rPr>
                <w:rFonts w:ascii="Arial" w:eastAsia="Arial" w:hAnsi="Arial" w:cs="Arial"/>
                <w:b/>
                <w:bCs/>
                <w:sz w:val="19"/>
                <w:szCs w:val="19"/>
              </w:rPr>
              <w:t xml:space="preserve"> allocation</w:t>
            </w:r>
          </w:p>
        </w:tc>
      </w:tr>
      <w:tr w:rsidR="00D51633" w:rsidRPr="00A3687D" w14:paraId="79EAA76C" w14:textId="004E5CE8" w:rsidTr="00B473D4">
        <w:trPr>
          <w:trHeight w:val="300"/>
        </w:trPr>
        <w:tc>
          <w:tcPr>
            <w:tcW w:w="1834" w:type="dxa"/>
            <w:vMerge/>
            <w:vAlign w:val="center"/>
          </w:tcPr>
          <w:p w14:paraId="5965410B" w14:textId="77777777" w:rsidR="00D51633" w:rsidRPr="00A3687D" w:rsidRDefault="00D51633" w:rsidP="00D31B88">
            <w:pPr>
              <w:ind w:left="57"/>
              <w:jc w:val="center"/>
              <w:rPr>
                <w:sz w:val="19"/>
                <w:szCs w:val="19"/>
              </w:rPr>
            </w:pPr>
          </w:p>
        </w:tc>
        <w:tc>
          <w:tcPr>
            <w:tcW w:w="1841" w:type="dxa"/>
            <w:gridSpan w:val="2"/>
            <w:vAlign w:val="center"/>
          </w:tcPr>
          <w:p w14:paraId="074C4978" w14:textId="60A1239A"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w:t>
            </w:r>
          </w:p>
        </w:tc>
        <w:tc>
          <w:tcPr>
            <w:tcW w:w="1707" w:type="dxa"/>
            <w:gridSpan w:val="2"/>
            <w:vAlign w:val="center"/>
          </w:tcPr>
          <w:p w14:paraId="653FF6A4" w14:textId="3F5CBDB5"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w:t>
            </w:r>
          </w:p>
        </w:tc>
        <w:tc>
          <w:tcPr>
            <w:tcW w:w="1984" w:type="dxa"/>
            <w:gridSpan w:val="2"/>
            <w:vAlign w:val="center"/>
          </w:tcPr>
          <w:p w14:paraId="7FB9A661" w14:textId="4C3B77F6"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w:t>
            </w:r>
          </w:p>
        </w:tc>
        <w:tc>
          <w:tcPr>
            <w:tcW w:w="1986" w:type="dxa"/>
            <w:gridSpan w:val="2"/>
            <w:vAlign w:val="center"/>
          </w:tcPr>
          <w:p w14:paraId="594EF2AB" w14:textId="0D81106E"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w:t>
            </w:r>
          </w:p>
        </w:tc>
      </w:tr>
      <w:tr w:rsidR="00D51633" w:rsidRPr="00A3687D" w14:paraId="44973F39" w14:textId="77777777" w:rsidTr="00D51633">
        <w:trPr>
          <w:trHeight w:val="300"/>
        </w:trPr>
        <w:tc>
          <w:tcPr>
            <w:tcW w:w="1834" w:type="dxa"/>
            <w:vAlign w:val="center"/>
          </w:tcPr>
          <w:p w14:paraId="5E820F3A" w14:textId="163A52E0" w:rsidR="00D51633" w:rsidRPr="00A3687D" w:rsidRDefault="00D51633" w:rsidP="00D51633">
            <w:pPr>
              <w:ind w:left="57"/>
              <w:jc w:val="center"/>
              <w:rPr>
                <w:rFonts w:ascii="Arial" w:eastAsia="Arial" w:hAnsi="Arial" w:cs="Arial"/>
                <w:b/>
                <w:bCs/>
                <w:i/>
                <w:iCs/>
                <w:sz w:val="19"/>
                <w:szCs w:val="19"/>
              </w:rPr>
            </w:pPr>
            <w:r w:rsidRPr="00A3687D">
              <w:rPr>
                <w:rFonts w:ascii="Arial" w:eastAsia="Arial" w:hAnsi="Arial" w:cs="Arial"/>
                <w:b/>
                <w:bCs/>
                <w:i/>
                <w:iCs/>
                <w:sz w:val="19"/>
                <w:szCs w:val="19"/>
              </w:rPr>
              <w:t>Stool</w:t>
            </w:r>
          </w:p>
        </w:tc>
        <w:tc>
          <w:tcPr>
            <w:tcW w:w="990" w:type="dxa"/>
            <w:vAlign w:val="center"/>
          </w:tcPr>
          <w:p w14:paraId="3E8F1763" w14:textId="465821A4"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Pre</w:t>
            </w:r>
          </w:p>
        </w:tc>
        <w:tc>
          <w:tcPr>
            <w:tcW w:w="851" w:type="dxa"/>
            <w:vAlign w:val="center"/>
          </w:tcPr>
          <w:p w14:paraId="1280F959" w14:textId="7897398D"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Post</w:t>
            </w:r>
          </w:p>
        </w:tc>
        <w:tc>
          <w:tcPr>
            <w:tcW w:w="856" w:type="dxa"/>
            <w:vAlign w:val="center"/>
          </w:tcPr>
          <w:p w14:paraId="78EA90A3" w14:textId="19F1763C"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Pre</w:t>
            </w:r>
          </w:p>
        </w:tc>
        <w:tc>
          <w:tcPr>
            <w:tcW w:w="851" w:type="dxa"/>
          </w:tcPr>
          <w:p w14:paraId="59BBBE17" w14:textId="42CD1790"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Post</w:t>
            </w:r>
          </w:p>
        </w:tc>
        <w:tc>
          <w:tcPr>
            <w:tcW w:w="992" w:type="dxa"/>
            <w:vAlign w:val="center"/>
          </w:tcPr>
          <w:p w14:paraId="12786262" w14:textId="1EDBECFA"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Pre</w:t>
            </w:r>
          </w:p>
        </w:tc>
        <w:tc>
          <w:tcPr>
            <w:tcW w:w="992" w:type="dxa"/>
            <w:vAlign w:val="center"/>
          </w:tcPr>
          <w:p w14:paraId="2F62FDE7" w14:textId="761EF01C"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Post</w:t>
            </w:r>
          </w:p>
        </w:tc>
        <w:tc>
          <w:tcPr>
            <w:tcW w:w="993" w:type="dxa"/>
            <w:vAlign w:val="center"/>
          </w:tcPr>
          <w:p w14:paraId="03B35885" w14:textId="1BEE5258"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Pre</w:t>
            </w:r>
          </w:p>
        </w:tc>
        <w:tc>
          <w:tcPr>
            <w:tcW w:w="993" w:type="dxa"/>
          </w:tcPr>
          <w:p w14:paraId="12579261" w14:textId="20D9AA4D" w:rsidR="00D51633" w:rsidRPr="00A3687D" w:rsidRDefault="00D51633" w:rsidP="00D51633">
            <w:pPr>
              <w:ind w:left="57"/>
              <w:jc w:val="center"/>
              <w:rPr>
                <w:rFonts w:ascii="Arial" w:eastAsia="Arial" w:hAnsi="Arial" w:cs="Arial"/>
                <w:b/>
                <w:bCs/>
                <w:sz w:val="19"/>
                <w:szCs w:val="19"/>
              </w:rPr>
            </w:pPr>
            <w:r w:rsidRPr="00A3687D">
              <w:rPr>
                <w:rFonts w:ascii="Arial" w:eastAsia="Arial" w:hAnsi="Arial" w:cs="Arial"/>
                <w:b/>
                <w:bCs/>
                <w:sz w:val="19"/>
                <w:szCs w:val="19"/>
              </w:rPr>
              <w:t>Post</w:t>
            </w:r>
          </w:p>
        </w:tc>
      </w:tr>
      <w:tr w:rsidR="00D51633" w:rsidRPr="00A3687D" w14:paraId="7DC20360" w14:textId="44C0616A" w:rsidTr="00D51633">
        <w:trPr>
          <w:trHeight w:val="300"/>
        </w:trPr>
        <w:tc>
          <w:tcPr>
            <w:tcW w:w="1834" w:type="dxa"/>
            <w:vAlign w:val="center"/>
          </w:tcPr>
          <w:p w14:paraId="72A01EC3"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Acetate (µMol/mL)</w:t>
            </w:r>
          </w:p>
        </w:tc>
        <w:tc>
          <w:tcPr>
            <w:tcW w:w="990" w:type="dxa"/>
            <w:vAlign w:val="center"/>
          </w:tcPr>
          <w:p w14:paraId="03C906C5" w14:textId="03FFEBA6"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41.0 (2.8)</w:t>
            </w:r>
          </w:p>
        </w:tc>
        <w:tc>
          <w:tcPr>
            <w:tcW w:w="851" w:type="dxa"/>
            <w:vAlign w:val="center"/>
          </w:tcPr>
          <w:p w14:paraId="521564A5" w14:textId="1DEEE9B6"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39.6 (3.7)</w:t>
            </w:r>
          </w:p>
        </w:tc>
        <w:tc>
          <w:tcPr>
            <w:tcW w:w="856" w:type="dxa"/>
            <w:vAlign w:val="center"/>
          </w:tcPr>
          <w:p w14:paraId="19C2E6CF" w14:textId="64280247"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49.3 (3.7)</w:t>
            </w:r>
          </w:p>
        </w:tc>
        <w:tc>
          <w:tcPr>
            <w:tcW w:w="851" w:type="dxa"/>
          </w:tcPr>
          <w:p w14:paraId="4C2346B8" w14:textId="5C002531"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51.2 (4.0)</w:t>
            </w:r>
          </w:p>
        </w:tc>
        <w:tc>
          <w:tcPr>
            <w:tcW w:w="992" w:type="dxa"/>
            <w:vAlign w:val="center"/>
          </w:tcPr>
          <w:p w14:paraId="651D5702" w14:textId="19057B63"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44.2 (3.2)</w:t>
            </w:r>
          </w:p>
        </w:tc>
        <w:tc>
          <w:tcPr>
            <w:tcW w:w="992" w:type="dxa"/>
            <w:vAlign w:val="center"/>
          </w:tcPr>
          <w:p w14:paraId="319FD054" w14:textId="5AF9EBF6"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47.0 (4.3)</w:t>
            </w:r>
          </w:p>
        </w:tc>
        <w:tc>
          <w:tcPr>
            <w:tcW w:w="993" w:type="dxa"/>
            <w:vAlign w:val="center"/>
          </w:tcPr>
          <w:p w14:paraId="5B07EFDE" w14:textId="3AAA2F14"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45.5 (3.4)</w:t>
            </w:r>
          </w:p>
        </w:tc>
        <w:tc>
          <w:tcPr>
            <w:tcW w:w="993" w:type="dxa"/>
          </w:tcPr>
          <w:p w14:paraId="2365F8D3" w14:textId="1ED4AB40"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43.1 (3.6)</w:t>
            </w:r>
          </w:p>
        </w:tc>
      </w:tr>
      <w:tr w:rsidR="00D51633" w:rsidRPr="00A3687D" w14:paraId="72810FB4" w14:textId="1A077DE9" w:rsidTr="00D51633">
        <w:trPr>
          <w:trHeight w:val="300"/>
        </w:trPr>
        <w:tc>
          <w:tcPr>
            <w:tcW w:w="1834" w:type="dxa"/>
            <w:vAlign w:val="center"/>
          </w:tcPr>
          <w:p w14:paraId="170868C6"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Propionate (µMol/mL)</w:t>
            </w:r>
          </w:p>
        </w:tc>
        <w:tc>
          <w:tcPr>
            <w:tcW w:w="990" w:type="dxa"/>
            <w:vAlign w:val="center"/>
          </w:tcPr>
          <w:p w14:paraId="38A820D0" w14:textId="14BDB21D"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13.4 (1.0)</w:t>
            </w:r>
          </w:p>
        </w:tc>
        <w:tc>
          <w:tcPr>
            <w:tcW w:w="851" w:type="dxa"/>
            <w:vAlign w:val="center"/>
          </w:tcPr>
          <w:p w14:paraId="24FF9DD6" w14:textId="5C66E51A"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13.0 (1.6)</w:t>
            </w:r>
          </w:p>
        </w:tc>
        <w:tc>
          <w:tcPr>
            <w:tcW w:w="856" w:type="dxa"/>
            <w:vAlign w:val="center"/>
          </w:tcPr>
          <w:p w14:paraId="7D56DF26" w14:textId="3A9F9340"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14.7 (1.4)</w:t>
            </w:r>
          </w:p>
        </w:tc>
        <w:tc>
          <w:tcPr>
            <w:tcW w:w="851" w:type="dxa"/>
          </w:tcPr>
          <w:p w14:paraId="03EDEC62" w14:textId="0BB9B9F3"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14.3 (1.6)</w:t>
            </w:r>
          </w:p>
        </w:tc>
        <w:tc>
          <w:tcPr>
            <w:tcW w:w="992" w:type="dxa"/>
            <w:vAlign w:val="center"/>
          </w:tcPr>
          <w:p w14:paraId="08BBAECB" w14:textId="60D02E2D"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13.2 (1.1)</w:t>
            </w:r>
          </w:p>
        </w:tc>
        <w:tc>
          <w:tcPr>
            <w:tcW w:w="992" w:type="dxa"/>
            <w:vAlign w:val="center"/>
          </w:tcPr>
          <w:p w14:paraId="232D4A22" w14:textId="67A84A22"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13.6 (1.5)</w:t>
            </w:r>
          </w:p>
        </w:tc>
        <w:tc>
          <w:tcPr>
            <w:tcW w:w="993" w:type="dxa"/>
            <w:vAlign w:val="center"/>
          </w:tcPr>
          <w:p w14:paraId="1B81D086" w14:textId="7A1EB7DD"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14.7 (1.3)</w:t>
            </w:r>
          </w:p>
        </w:tc>
        <w:tc>
          <w:tcPr>
            <w:tcW w:w="993" w:type="dxa"/>
          </w:tcPr>
          <w:p w14:paraId="2C762385" w14:textId="022B05EE"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13.6 (1.8)</w:t>
            </w:r>
          </w:p>
        </w:tc>
      </w:tr>
      <w:tr w:rsidR="00D51633" w:rsidRPr="00A3687D" w14:paraId="022A0E74" w14:textId="4B3D70EB" w:rsidTr="00D51633">
        <w:trPr>
          <w:trHeight w:val="300"/>
        </w:trPr>
        <w:tc>
          <w:tcPr>
            <w:tcW w:w="1834" w:type="dxa"/>
            <w:vAlign w:val="center"/>
          </w:tcPr>
          <w:p w14:paraId="5C444E9F"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Butyrate (µMol/mL)</w:t>
            </w:r>
          </w:p>
        </w:tc>
        <w:tc>
          <w:tcPr>
            <w:tcW w:w="990" w:type="dxa"/>
            <w:vAlign w:val="center"/>
          </w:tcPr>
          <w:p w14:paraId="438908B2" w14:textId="6504C372"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11.8 (1.2)</w:t>
            </w:r>
          </w:p>
        </w:tc>
        <w:tc>
          <w:tcPr>
            <w:tcW w:w="851" w:type="dxa"/>
            <w:vAlign w:val="center"/>
          </w:tcPr>
          <w:p w14:paraId="7B1F73D2" w14:textId="0BAFFCAD"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11.7 (1.4)</w:t>
            </w:r>
          </w:p>
        </w:tc>
        <w:tc>
          <w:tcPr>
            <w:tcW w:w="856" w:type="dxa"/>
            <w:vAlign w:val="center"/>
          </w:tcPr>
          <w:p w14:paraId="00AB335B" w14:textId="0F2F412A"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15.6 (1.7)</w:t>
            </w:r>
          </w:p>
        </w:tc>
        <w:tc>
          <w:tcPr>
            <w:tcW w:w="851" w:type="dxa"/>
          </w:tcPr>
          <w:p w14:paraId="53329FAA" w14:textId="5D0CE4E2"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15.4 (1.9)</w:t>
            </w:r>
          </w:p>
        </w:tc>
        <w:tc>
          <w:tcPr>
            <w:tcW w:w="992" w:type="dxa"/>
            <w:vAlign w:val="center"/>
          </w:tcPr>
          <w:p w14:paraId="42DDEB79" w14:textId="720A1B97"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12.5 (1.4)</w:t>
            </w:r>
          </w:p>
        </w:tc>
        <w:tc>
          <w:tcPr>
            <w:tcW w:w="992" w:type="dxa"/>
            <w:vAlign w:val="center"/>
          </w:tcPr>
          <w:p w14:paraId="569F4A63" w14:textId="00EC8DCE"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14.8 (2.0)</w:t>
            </w:r>
          </w:p>
        </w:tc>
        <w:tc>
          <w:tcPr>
            <w:tcW w:w="993" w:type="dxa"/>
            <w:vAlign w:val="center"/>
          </w:tcPr>
          <w:p w14:paraId="37F59D92" w14:textId="0D7694CE"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14.5 (1.5)</w:t>
            </w:r>
          </w:p>
        </w:tc>
        <w:tc>
          <w:tcPr>
            <w:tcW w:w="993" w:type="dxa"/>
          </w:tcPr>
          <w:p w14:paraId="0F21CBC7" w14:textId="298943AA"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12.1 (1.3)</w:t>
            </w:r>
          </w:p>
        </w:tc>
      </w:tr>
      <w:tr w:rsidR="00D51633" w:rsidRPr="00A3687D" w14:paraId="79AEDE5A" w14:textId="1E93540E" w:rsidTr="00D51633">
        <w:trPr>
          <w:trHeight w:val="300"/>
        </w:trPr>
        <w:tc>
          <w:tcPr>
            <w:tcW w:w="1834" w:type="dxa"/>
            <w:vAlign w:val="center"/>
          </w:tcPr>
          <w:p w14:paraId="22793476"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Isobutyrate (µMol/mL)</w:t>
            </w:r>
          </w:p>
        </w:tc>
        <w:tc>
          <w:tcPr>
            <w:tcW w:w="990" w:type="dxa"/>
            <w:vAlign w:val="center"/>
          </w:tcPr>
          <w:p w14:paraId="1EDE4ED1" w14:textId="2C085365"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1.9 (0.1)</w:t>
            </w:r>
          </w:p>
        </w:tc>
        <w:tc>
          <w:tcPr>
            <w:tcW w:w="851" w:type="dxa"/>
            <w:vAlign w:val="center"/>
          </w:tcPr>
          <w:p w14:paraId="51825807" w14:textId="24B380BE"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1.6 (0.1)</w:t>
            </w:r>
          </w:p>
        </w:tc>
        <w:tc>
          <w:tcPr>
            <w:tcW w:w="856" w:type="dxa"/>
            <w:vAlign w:val="center"/>
          </w:tcPr>
          <w:p w14:paraId="1077F5EA" w14:textId="41A33CAF"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1.7 (0.2)</w:t>
            </w:r>
          </w:p>
        </w:tc>
        <w:tc>
          <w:tcPr>
            <w:tcW w:w="851" w:type="dxa"/>
          </w:tcPr>
          <w:p w14:paraId="7F43D20E" w14:textId="66A2E3C1"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1.4 (0.1)</w:t>
            </w:r>
          </w:p>
        </w:tc>
        <w:tc>
          <w:tcPr>
            <w:tcW w:w="992" w:type="dxa"/>
            <w:vAlign w:val="center"/>
          </w:tcPr>
          <w:p w14:paraId="6521BEAA" w14:textId="49EE6A12"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1.7 (0.1)</w:t>
            </w:r>
          </w:p>
        </w:tc>
        <w:tc>
          <w:tcPr>
            <w:tcW w:w="992" w:type="dxa"/>
            <w:vAlign w:val="center"/>
          </w:tcPr>
          <w:p w14:paraId="5A9C637C" w14:textId="6465BA22"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1.7 (0.1)</w:t>
            </w:r>
          </w:p>
        </w:tc>
        <w:tc>
          <w:tcPr>
            <w:tcW w:w="993" w:type="dxa"/>
            <w:vAlign w:val="center"/>
          </w:tcPr>
          <w:p w14:paraId="3CA1832F" w14:textId="4938419C"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1.9 (0.2)</w:t>
            </w:r>
          </w:p>
        </w:tc>
        <w:tc>
          <w:tcPr>
            <w:tcW w:w="993" w:type="dxa"/>
          </w:tcPr>
          <w:p w14:paraId="150C70DC" w14:textId="3C89F7A1"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 (0.1)</w:t>
            </w:r>
          </w:p>
        </w:tc>
      </w:tr>
      <w:tr w:rsidR="00D51633" w:rsidRPr="00A3687D" w14:paraId="1C3BFDC9" w14:textId="19525E3F" w:rsidTr="00D51633">
        <w:trPr>
          <w:trHeight w:val="300"/>
        </w:trPr>
        <w:tc>
          <w:tcPr>
            <w:tcW w:w="1834" w:type="dxa"/>
            <w:vAlign w:val="center"/>
          </w:tcPr>
          <w:p w14:paraId="44951051"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2MB (µMol/mL)</w:t>
            </w:r>
          </w:p>
        </w:tc>
        <w:tc>
          <w:tcPr>
            <w:tcW w:w="990" w:type="dxa"/>
            <w:vAlign w:val="center"/>
          </w:tcPr>
          <w:p w14:paraId="259FC360" w14:textId="7E5C09D0"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1.2 (0.1)</w:t>
            </w:r>
          </w:p>
        </w:tc>
        <w:tc>
          <w:tcPr>
            <w:tcW w:w="851" w:type="dxa"/>
            <w:vAlign w:val="center"/>
          </w:tcPr>
          <w:p w14:paraId="7D170C71" w14:textId="145F6082"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1.0 (0.1)</w:t>
            </w:r>
          </w:p>
        </w:tc>
        <w:tc>
          <w:tcPr>
            <w:tcW w:w="856" w:type="dxa"/>
            <w:vAlign w:val="center"/>
          </w:tcPr>
          <w:p w14:paraId="784551B2" w14:textId="0C0AF7B3"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1.0 (0.1)</w:t>
            </w:r>
          </w:p>
        </w:tc>
        <w:tc>
          <w:tcPr>
            <w:tcW w:w="851" w:type="dxa"/>
          </w:tcPr>
          <w:p w14:paraId="5A34D863" w14:textId="37ED531B"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0.8 (0.1)</w:t>
            </w:r>
          </w:p>
        </w:tc>
        <w:tc>
          <w:tcPr>
            <w:tcW w:w="992" w:type="dxa"/>
            <w:vAlign w:val="center"/>
          </w:tcPr>
          <w:p w14:paraId="165C033E" w14:textId="00051063"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1.1 (0.1)</w:t>
            </w:r>
          </w:p>
        </w:tc>
        <w:tc>
          <w:tcPr>
            <w:tcW w:w="992" w:type="dxa"/>
            <w:vAlign w:val="center"/>
          </w:tcPr>
          <w:p w14:paraId="62F51273" w14:textId="079B6BE2"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1.0 (0.1)</w:t>
            </w:r>
          </w:p>
        </w:tc>
        <w:tc>
          <w:tcPr>
            <w:tcW w:w="993" w:type="dxa"/>
            <w:vAlign w:val="center"/>
          </w:tcPr>
          <w:p w14:paraId="6ED1B711" w14:textId="4B1DD095"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1.2 (0.1)</w:t>
            </w:r>
          </w:p>
        </w:tc>
        <w:tc>
          <w:tcPr>
            <w:tcW w:w="993" w:type="dxa"/>
          </w:tcPr>
          <w:p w14:paraId="07F664D1" w14:textId="1987AD5A"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0.8 (0.1)</w:t>
            </w:r>
          </w:p>
        </w:tc>
      </w:tr>
      <w:tr w:rsidR="00D51633" w:rsidRPr="00A3687D" w14:paraId="2FA11DC4" w14:textId="128655CF" w:rsidTr="00D51633">
        <w:trPr>
          <w:trHeight w:val="300"/>
        </w:trPr>
        <w:tc>
          <w:tcPr>
            <w:tcW w:w="1834" w:type="dxa"/>
            <w:vAlign w:val="center"/>
          </w:tcPr>
          <w:p w14:paraId="4483B919"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Valeric acid (µMol/mL)</w:t>
            </w:r>
          </w:p>
        </w:tc>
        <w:tc>
          <w:tcPr>
            <w:tcW w:w="990" w:type="dxa"/>
            <w:vAlign w:val="center"/>
          </w:tcPr>
          <w:p w14:paraId="0C60CCF3" w14:textId="19F66BCC"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2.1 (0.2)</w:t>
            </w:r>
          </w:p>
        </w:tc>
        <w:tc>
          <w:tcPr>
            <w:tcW w:w="851" w:type="dxa"/>
            <w:vAlign w:val="center"/>
          </w:tcPr>
          <w:p w14:paraId="78A34A16" w14:textId="5CDC03C5"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2.0 (0.2)</w:t>
            </w:r>
          </w:p>
        </w:tc>
        <w:tc>
          <w:tcPr>
            <w:tcW w:w="856" w:type="dxa"/>
            <w:vAlign w:val="center"/>
          </w:tcPr>
          <w:p w14:paraId="2B5E1698" w14:textId="0DCF346D"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2.4 (0.2)</w:t>
            </w:r>
          </w:p>
        </w:tc>
        <w:tc>
          <w:tcPr>
            <w:tcW w:w="851" w:type="dxa"/>
          </w:tcPr>
          <w:p w14:paraId="100CF14B" w14:textId="1F2BA3FF"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2.2 (0.2)</w:t>
            </w:r>
          </w:p>
        </w:tc>
        <w:tc>
          <w:tcPr>
            <w:tcW w:w="992" w:type="dxa"/>
            <w:vAlign w:val="center"/>
          </w:tcPr>
          <w:p w14:paraId="53958E93" w14:textId="482ADDBE"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2.1 (0.2)</w:t>
            </w:r>
          </w:p>
        </w:tc>
        <w:tc>
          <w:tcPr>
            <w:tcW w:w="992" w:type="dxa"/>
            <w:vAlign w:val="center"/>
          </w:tcPr>
          <w:p w14:paraId="2B8B7093" w14:textId="76D9592A"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2.5 (0.2)</w:t>
            </w:r>
          </w:p>
        </w:tc>
        <w:tc>
          <w:tcPr>
            <w:tcW w:w="993" w:type="dxa"/>
            <w:vAlign w:val="center"/>
          </w:tcPr>
          <w:p w14:paraId="1F6A82B5" w14:textId="2F30A6E0"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2.4 (0.2)</w:t>
            </w:r>
          </w:p>
        </w:tc>
        <w:tc>
          <w:tcPr>
            <w:tcW w:w="993" w:type="dxa"/>
          </w:tcPr>
          <w:p w14:paraId="46969C4C" w14:textId="284753B8"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1.8 (0.2)</w:t>
            </w:r>
          </w:p>
        </w:tc>
      </w:tr>
      <w:tr w:rsidR="00D51633" w:rsidRPr="00A3687D" w14:paraId="090FD5A8" w14:textId="1AF6EEFF" w:rsidTr="00D51633">
        <w:trPr>
          <w:trHeight w:val="300"/>
        </w:trPr>
        <w:tc>
          <w:tcPr>
            <w:tcW w:w="1834" w:type="dxa"/>
            <w:vAlign w:val="center"/>
          </w:tcPr>
          <w:p w14:paraId="52FFBA79"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Isovaleric acid (µMol/mL)</w:t>
            </w:r>
          </w:p>
        </w:tc>
        <w:tc>
          <w:tcPr>
            <w:tcW w:w="990" w:type="dxa"/>
            <w:vAlign w:val="center"/>
          </w:tcPr>
          <w:p w14:paraId="37A19EBB" w14:textId="7F37484F"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1.5 (0.1)</w:t>
            </w:r>
          </w:p>
        </w:tc>
        <w:tc>
          <w:tcPr>
            <w:tcW w:w="851" w:type="dxa"/>
            <w:vAlign w:val="center"/>
          </w:tcPr>
          <w:p w14:paraId="4E533F8E" w14:textId="147BF25A"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1.2 (0.1)</w:t>
            </w:r>
          </w:p>
        </w:tc>
        <w:tc>
          <w:tcPr>
            <w:tcW w:w="856" w:type="dxa"/>
            <w:vAlign w:val="center"/>
          </w:tcPr>
          <w:p w14:paraId="6AB9F955" w14:textId="5614B71B"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1.2 (0.1)</w:t>
            </w:r>
          </w:p>
        </w:tc>
        <w:tc>
          <w:tcPr>
            <w:tcW w:w="851" w:type="dxa"/>
          </w:tcPr>
          <w:p w14:paraId="7A73B2A4" w14:textId="25F2C64D"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1.0 (0.1)</w:t>
            </w:r>
          </w:p>
        </w:tc>
        <w:tc>
          <w:tcPr>
            <w:tcW w:w="992" w:type="dxa"/>
            <w:vAlign w:val="center"/>
          </w:tcPr>
          <w:p w14:paraId="7B9F2E68" w14:textId="2B1A8517"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 (0.1)</w:t>
            </w:r>
          </w:p>
        </w:tc>
        <w:tc>
          <w:tcPr>
            <w:tcW w:w="992" w:type="dxa"/>
            <w:vAlign w:val="center"/>
          </w:tcPr>
          <w:p w14:paraId="24C447A4" w14:textId="0AD64EA6"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1.3 (0.1)</w:t>
            </w:r>
          </w:p>
        </w:tc>
        <w:tc>
          <w:tcPr>
            <w:tcW w:w="993" w:type="dxa"/>
            <w:vAlign w:val="center"/>
          </w:tcPr>
          <w:p w14:paraId="18FD1BCC" w14:textId="76243F6C"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1.5 (0.2)</w:t>
            </w:r>
          </w:p>
        </w:tc>
        <w:tc>
          <w:tcPr>
            <w:tcW w:w="993" w:type="dxa"/>
          </w:tcPr>
          <w:p w14:paraId="0E3B68E2" w14:textId="39E42A37"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1.0 (0.1)</w:t>
            </w:r>
          </w:p>
        </w:tc>
      </w:tr>
      <w:tr w:rsidR="00D51633" w:rsidRPr="00A3687D" w14:paraId="64253BFC" w14:textId="18335B14" w:rsidTr="00D51633">
        <w:trPr>
          <w:trHeight w:val="300"/>
        </w:trPr>
        <w:tc>
          <w:tcPr>
            <w:tcW w:w="1834" w:type="dxa"/>
            <w:vAlign w:val="center"/>
          </w:tcPr>
          <w:p w14:paraId="3F84403C" w14:textId="77777777" w:rsidR="00D51633" w:rsidRPr="00A3687D" w:rsidRDefault="00D51633" w:rsidP="00D31B88">
            <w:pPr>
              <w:ind w:left="57"/>
              <w:jc w:val="center"/>
              <w:rPr>
                <w:rFonts w:ascii="Arial" w:eastAsia="Arial" w:hAnsi="Arial" w:cs="Arial"/>
                <w:b/>
                <w:bCs/>
                <w:sz w:val="19"/>
                <w:szCs w:val="19"/>
              </w:rPr>
            </w:pPr>
            <w:r w:rsidRPr="00A3687D">
              <w:rPr>
                <w:rFonts w:ascii="Arial" w:eastAsia="Arial" w:hAnsi="Arial" w:cs="Arial"/>
                <w:b/>
                <w:bCs/>
                <w:sz w:val="19"/>
                <w:szCs w:val="19"/>
              </w:rPr>
              <w:t>Lactic acid (µMol/mL)</w:t>
            </w:r>
          </w:p>
        </w:tc>
        <w:tc>
          <w:tcPr>
            <w:tcW w:w="990" w:type="dxa"/>
            <w:vAlign w:val="center"/>
          </w:tcPr>
          <w:p w14:paraId="4FA10C19" w14:textId="676F65D3"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1.3 (0.2)</w:t>
            </w:r>
          </w:p>
        </w:tc>
        <w:tc>
          <w:tcPr>
            <w:tcW w:w="851" w:type="dxa"/>
            <w:vAlign w:val="center"/>
          </w:tcPr>
          <w:p w14:paraId="7059EDCD" w14:textId="0097B952"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1.0 (0.1)</w:t>
            </w:r>
          </w:p>
        </w:tc>
        <w:tc>
          <w:tcPr>
            <w:tcW w:w="856" w:type="dxa"/>
            <w:vAlign w:val="center"/>
          </w:tcPr>
          <w:p w14:paraId="4504BFB1" w14:textId="4D9B1DF3"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1.1 (0.1)</w:t>
            </w:r>
          </w:p>
        </w:tc>
        <w:tc>
          <w:tcPr>
            <w:tcW w:w="851" w:type="dxa"/>
          </w:tcPr>
          <w:p w14:paraId="6554BC79" w14:textId="55D31FBD" w:rsidR="00D51633" w:rsidRPr="00A3687D" w:rsidRDefault="00F83ED5" w:rsidP="00D31B88">
            <w:pPr>
              <w:ind w:left="57"/>
              <w:jc w:val="center"/>
              <w:rPr>
                <w:rFonts w:ascii="Arial" w:eastAsia="Arial" w:hAnsi="Arial" w:cs="Arial"/>
                <w:sz w:val="19"/>
                <w:szCs w:val="19"/>
              </w:rPr>
            </w:pPr>
            <w:r w:rsidRPr="00A3687D">
              <w:rPr>
                <w:rFonts w:ascii="Arial" w:eastAsia="Arial" w:hAnsi="Arial" w:cs="Arial"/>
                <w:sz w:val="19"/>
                <w:szCs w:val="19"/>
              </w:rPr>
              <w:t>1.1 (0.0)</w:t>
            </w:r>
          </w:p>
        </w:tc>
        <w:tc>
          <w:tcPr>
            <w:tcW w:w="992" w:type="dxa"/>
            <w:vAlign w:val="center"/>
          </w:tcPr>
          <w:p w14:paraId="623ACAA2" w14:textId="3FD3FA5B"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1.1 (0.1)</w:t>
            </w:r>
          </w:p>
        </w:tc>
        <w:tc>
          <w:tcPr>
            <w:tcW w:w="992" w:type="dxa"/>
            <w:vAlign w:val="center"/>
          </w:tcPr>
          <w:p w14:paraId="047C80D2" w14:textId="07487B69" w:rsidR="00D51633" w:rsidRPr="00A3687D" w:rsidRDefault="00362E90" w:rsidP="00D31B88">
            <w:pPr>
              <w:ind w:left="57"/>
              <w:jc w:val="center"/>
              <w:rPr>
                <w:rFonts w:ascii="Arial" w:eastAsia="Arial" w:hAnsi="Arial" w:cs="Arial"/>
                <w:sz w:val="19"/>
                <w:szCs w:val="19"/>
              </w:rPr>
            </w:pPr>
            <w:r w:rsidRPr="00A3687D">
              <w:rPr>
                <w:rFonts w:ascii="Arial" w:eastAsia="Arial" w:hAnsi="Arial" w:cs="Arial"/>
                <w:sz w:val="19"/>
                <w:szCs w:val="19"/>
              </w:rPr>
              <w:t>1.1 (0.0)</w:t>
            </w:r>
          </w:p>
        </w:tc>
        <w:tc>
          <w:tcPr>
            <w:tcW w:w="993" w:type="dxa"/>
            <w:vAlign w:val="center"/>
          </w:tcPr>
          <w:p w14:paraId="3766B535" w14:textId="1A52F834" w:rsidR="00D51633" w:rsidRPr="00A3687D" w:rsidRDefault="008E7D45" w:rsidP="00D31B88">
            <w:pPr>
              <w:ind w:left="57"/>
              <w:jc w:val="center"/>
              <w:rPr>
                <w:rFonts w:ascii="Arial" w:eastAsia="Arial" w:hAnsi="Arial" w:cs="Arial"/>
                <w:sz w:val="19"/>
                <w:szCs w:val="19"/>
              </w:rPr>
            </w:pPr>
            <w:r w:rsidRPr="00A3687D">
              <w:rPr>
                <w:rFonts w:ascii="Arial" w:eastAsia="Arial" w:hAnsi="Arial" w:cs="Arial"/>
                <w:sz w:val="19"/>
                <w:szCs w:val="19"/>
              </w:rPr>
              <w:t>1.1 (0.1)</w:t>
            </w:r>
          </w:p>
        </w:tc>
        <w:tc>
          <w:tcPr>
            <w:tcW w:w="993" w:type="dxa"/>
          </w:tcPr>
          <w:p w14:paraId="0539D1DB" w14:textId="4240369E" w:rsidR="00D51633" w:rsidRPr="00A3687D" w:rsidRDefault="00362E90" w:rsidP="00D31B88">
            <w:pPr>
              <w:ind w:left="57"/>
              <w:jc w:val="center"/>
              <w:rPr>
                <w:rFonts w:ascii="Arial" w:eastAsia="Arial" w:hAnsi="Arial" w:cs="Arial"/>
                <w:sz w:val="19"/>
                <w:szCs w:val="19"/>
              </w:rPr>
            </w:pPr>
            <w:r w:rsidRPr="00A3687D">
              <w:rPr>
                <w:rFonts w:ascii="Arial" w:eastAsia="Arial" w:hAnsi="Arial" w:cs="Arial"/>
                <w:sz w:val="19"/>
                <w:szCs w:val="19"/>
              </w:rPr>
              <w:t>1.1 (0.1)</w:t>
            </w:r>
          </w:p>
        </w:tc>
      </w:tr>
      <w:tr w:rsidR="006B3D84" w:rsidRPr="00A3687D" w14:paraId="236F73B7" w14:textId="77777777" w:rsidTr="00D51633">
        <w:trPr>
          <w:trHeight w:val="300"/>
        </w:trPr>
        <w:tc>
          <w:tcPr>
            <w:tcW w:w="1834" w:type="dxa"/>
            <w:vAlign w:val="center"/>
          </w:tcPr>
          <w:p w14:paraId="0E008816" w14:textId="4C7E42C9" w:rsidR="006B3D84" w:rsidRPr="00A3687D" w:rsidRDefault="006B3D84" w:rsidP="006B3D84">
            <w:pPr>
              <w:ind w:left="57"/>
              <w:jc w:val="center"/>
              <w:rPr>
                <w:rFonts w:ascii="Arial" w:eastAsia="Arial" w:hAnsi="Arial" w:cs="Arial"/>
                <w:b/>
                <w:bCs/>
                <w:i/>
                <w:iCs/>
                <w:sz w:val="19"/>
                <w:szCs w:val="19"/>
              </w:rPr>
            </w:pPr>
            <w:r w:rsidRPr="00A3687D">
              <w:rPr>
                <w:rFonts w:ascii="Arial" w:eastAsia="Arial" w:hAnsi="Arial" w:cs="Arial"/>
                <w:b/>
                <w:bCs/>
                <w:i/>
                <w:iCs/>
                <w:sz w:val="19"/>
                <w:szCs w:val="19"/>
              </w:rPr>
              <w:t>Plasma</w:t>
            </w:r>
          </w:p>
        </w:tc>
        <w:tc>
          <w:tcPr>
            <w:tcW w:w="990" w:type="dxa"/>
            <w:vAlign w:val="center"/>
          </w:tcPr>
          <w:p w14:paraId="45717388" w14:textId="2664060F" w:rsidR="006B3D84" w:rsidRPr="00A3687D" w:rsidRDefault="006B3D84" w:rsidP="006B3D84">
            <w:pPr>
              <w:ind w:left="57"/>
              <w:jc w:val="center"/>
              <w:rPr>
                <w:rFonts w:ascii="Arial" w:eastAsia="Arial" w:hAnsi="Arial" w:cs="Arial"/>
                <w:sz w:val="19"/>
                <w:szCs w:val="19"/>
              </w:rPr>
            </w:pPr>
          </w:p>
        </w:tc>
        <w:tc>
          <w:tcPr>
            <w:tcW w:w="851" w:type="dxa"/>
            <w:vAlign w:val="center"/>
          </w:tcPr>
          <w:p w14:paraId="2C6A0372" w14:textId="7C355DFF" w:rsidR="006B3D84" w:rsidRPr="00A3687D" w:rsidRDefault="006B3D84" w:rsidP="006B3D84">
            <w:pPr>
              <w:ind w:left="57"/>
              <w:jc w:val="center"/>
              <w:rPr>
                <w:rFonts w:ascii="Arial" w:eastAsia="Arial" w:hAnsi="Arial" w:cs="Arial"/>
                <w:sz w:val="19"/>
                <w:szCs w:val="19"/>
              </w:rPr>
            </w:pPr>
          </w:p>
        </w:tc>
        <w:tc>
          <w:tcPr>
            <w:tcW w:w="856" w:type="dxa"/>
            <w:vAlign w:val="center"/>
          </w:tcPr>
          <w:p w14:paraId="7A12FA7C" w14:textId="485B9379" w:rsidR="006B3D84" w:rsidRPr="00A3687D" w:rsidRDefault="006B3D84" w:rsidP="006B3D84">
            <w:pPr>
              <w:ind w:left="57"/>
              <w:jc w:val="center"/>
              <w:rPr>
                <w:rFonts w:ascii="Arial" w:eastAsia="Arial" w:hAnsi="Arial" w:cs="Arial"/>
                <w:sz w:val="19"/>
                <w:szCs w:val="19"/>
              </w:rPr>
            </w:pPr>
          </w:p>
        </w:tc>
        <w:tc>
          <w:tcPr>
            <w:tcW w:w="851" w:type="dxa"/>
          </w:tcPr>
          <w:p w14:paraId="45207197" w14:textId="2E59DC0C" w:rsidR="006B3D84" w:rsidRPr="00A3687D" w:rsidRDefault="006B3D84" w:rsidP="006B3D84">
            <w:pPr>
              <w:ind w:left="57"/>
              <w:jc w:val="center"/>
              <w:rPr>
                <w:rFonts w:ascii="Arial" w:eastAsia="Arial" w:hAnsi="Arial" w:cs="Arial"/>
                <w:sz w:val="19"/>
                <w:szCs w:val="19"/>
              </w:rPr>
            </w:pPr>
          </w:p>
        </w:tc>
        <w:tc>
          <w:tcPr>
            <w:tcW w:w="992" w:type="dxa"/>
            <w:vAlign w:val="center"/>
          </w:tcPr>
          <w:p w14:paraId="08B28227" w14:textId="61D47358" w:rsidR="006B3D84" w:rsidRPr="00A3687D" w:rsidRDefault="006B3D84" w:rsidP="006B3D84">
            <w:pPr>
              <w:ind w:left="57"/>
              <w:jc w:val="center"/>
              <w:rPr>
                <w:rFonts w:ascii="Arial" w:eastAsia="Arial" w:hAnsi="Arial" w:cs="Arial"/>
                <w:sz w:val="19"/>
                <w:szCs w:val="19"/>
              </w:rPr>
            </w:pPr>
          </w:p>
        </w:tc>
        <w:tc>
          <w:tcPr>
            <w:tcW w:w="992" w:type="dxa"/>
            <w:vAlign w:val="center"/>
          </w:tcPr>
          <w:p w14:paraId="4337D2E8" w14:textId="5D5A073C" w:rsidR="006B3D84" w:rsidRPr="00A3687D" w:rsidRDefault="006B3D84" w:rsidP="006B3D84">
            <w:pPr>
              <w:ind w:left="57"/>
              <w:jc w:val="center"/>
              <w:rPr>
                <w:rFonts w:ascii="Arial" w:eastAsia="Arial" w:hAnsi="Arial" w:cs="Arial"/>
                <w:sz w:val="19"/>
                <w:szCs w:val="19"/>
              </w:rPr>
            </w:pPr>
          </w:p>
        </w:tc>
        <w:tc>
          <w:tcPr>
            <w:tcW w:w="993" w:type="dxa"/>
            <w:vAlign w:val="center"/>
          </w:tcPr>
          <w:p w14:paraId="4FA2E5B9" w14:textId="53361896" w:rsidR="006B3D84" w:rsidRPr="00A3687D" w:rsidRDefault="006B3D84" w:rsidP="006B3D84">
            <w:pPr>
              <w:ind w:left="57"/>
              <w:jc w:val="center"/>
              <w:rPr>
                <w:rFonts w:ascii="Arial" w:eastAsia="Arial" w:hAnsi="Arial" w:cs="Arial"/>
                <w:sz w:val="19"/>
                <w:szCs w:val="19"/>
              </w:rPr>
            </w:pPr>
          </w:p>
        </w:tc>
        <w:tc>
          <w:tcPr>
            <w:tcW w:w="993" w:type="dxa"/>
          </w:tcPr>
          <w:p w14:paraId="3753C313" w14:textId="6C109522" w:rsidR="006B3D84" w:rsidRPr="00A3687D" w:rsidRDefault="006B3D84" w:rsidP="006B3D84">
            <w:pPr>
              <w:ind w:left="57"/>
              <w:jc w:val="center"/>
              <w:rPr>
                <w:rFonts w:ascii="Arial" w:eastAsia="Arial" w:hAnsi="Arial" w:cs="Arial"/>
                <w:sz w:val="19"/>
                <w:szCs w:val="19"/>
              </w:rPr>
            </w:pPr>
          </w:p>
        </w:tc>
      </w:tr>
      <w:tr w:rsidR="006B3D84" w:rsidRPr="00A3687D" w14:paraId="1A1ED75E" w14:textId="16346BE5" w:rsidTr="00D51633">
        <w:trPr>
          <w:trHeight w:val="300"/>
        </w:trPr>
        <w:tc>
          <w:tcPr>
            <w:tcW w:w="1834" w:type="dxa"/>
            <w:vAlign w:val="center"/>
          </w:tcPr>
          <w:p w14:paraId="21604190"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Acetate (µMol/L)</w:t>
            </w:r>
          </w:p>
        </w:tc>
        <w:tc>
          <w:tcPr>
            <w:tcW w:w="990" w:type="dxa"/>
            <w:vAlign w:val="center"/>
          </w:tcPr>
          <w:p w14:paraId="04BFF20E" w14:textId="07E1C9A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103.5 (9.2)</w:t>
            </w:r>
          </w:p>
        </w:tc>
        <w:tc>
          <w:tcPr>
            <w:tcW w:w="851" w:type="dxa"/>
            <w:vAlign w:val="center"/>
          </w:tcPr>
          <w:p w14:paraId="52B5B42A" w14:textId="31A2A7F1"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103.8 (6.7)</w:t>
            </w:r>
          </w:p>
        </w:tc>
        <w:tc>
          <w:tcPr>
            <w:tcW w:w="856" w:type="dxa"/>
            <w:vAlign w:val="center"/>
          </w:tcPr>
          <w:p w14:paraId="1FCD8820" w14:textId="739EA02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100.7 (8.5)</w:t>
            </w:r>
          </w:p>
        </w:tc>
        <w:tc>
          <w:tcPr>
            <w:tcW w:w="851" w:type="dxa"/>
          </w:tcPr>
          <w:p w14:paraId="73553402" w14:textId="502BEFEB"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98.6 (8.9)</w:t>
            </w:r>
          </w:p>
        </w:tc>
        <w:tc>
          <w:tcPr>
            <w:tcW w:w="992" w:type="dxa"/>
            <w:vAlign w:val="center"/>
          </w:tcPr>
          <w:p w14:paraId="2AEBF770" w14:textId="368C8505"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98.4 (10.5)</w:t>
            </w:r>
          </w:p>
        </w:tc>
        <w:tc>
          <w:tcPr>
            <w:tcW w:w="992" w:type="dxa"/>
            <w:vAlign w:val="center"/>
          </w:tcPr>
          <w:p w14:paraId="398045ED" w14:textId="7E4B14DA"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100.4 (7.2)</w:t>
            </w:r>
          </w:p>
        </w:tc>
        <w:tc>
          <w:tcPr>
            <w:tcW w:w="993" w:type="dxa"/>
            <w:vAlign w:val="center"/>
          </w:tcPr>
          <w:p w14:paraId="09075E75" w14:textId="0522D5E3"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105.9 (7.2)</w:t>
            </w:r>
          </w:p>
        </w:tc>
        <w:tc>
          <w:tcPr>
            <w:tcW w:w="993" w:type="dxa"/>
          </w:tcPr>
          <w:p w14:paraId="741BDF8B" w14:textId="27878593"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102.3 (8.1)</w:t>
            </w:r>
          </w:p>
        </w:tc>
      </w:tr>
      <w:tr w:rsidR="006B3D84" w:rsidRPr="00A3687D" w14:paraId="78A434DD" w14:textId="6C5BCFE7" w:rsidTr="00D51633">
        <w:trPr>
          <w:trHeight w:val="300"/>
        </w:trPr>
        <w:tc>
          <w:tcPr>
            <w:tcW w:w="1834" w:type="dxa"/>
            <w:vAlign w:val="center"/>
          </w:tcPr>
          <w:p w14:paraId="2C38F9C1"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Propionate (µMol/L)</w:t>
            </w:r>
          </w:p>
        </w:tc>
        <w:tc>
          <w:tcPr>
            <w:tcW w:w="990" w:type="dxa"/>
            <w:vAlign w:val="center"/>
          </w:tcPr>
          <w:p w14:paraId="3C3AD3AB" w14:textId="50A7E88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3.5 (0.5)</w:t>
            </w:r>
          </w:p>
        </w:tc>
        <w:tc>
          <w:tcPr>
            <w:tcW w:w="851" w:type="dxa"/>
            <w:vAlign w:val="center"/>
          </w:tcPr>
          <w:p w14:paraId="37D70BE8" w14:textId="2FDDF8D2"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5.3 (1.6)</w:t>
            </w:r>
          </w:p>
        </w:tc>
        <w:tc>
          <w:tcPr>
            <w:tcW w:w="856" w:type="dxa"/>
            <w:vAlign w:val="center"/>
          </w:tcPr>
          <w:p w14:paraId="4FF09361" w14:textId="376E49D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6.5 (2.8)</w:t>
            </w:r>
          </w:p>
        </w:tc>
        <w:tc>
          <w:tcPr>
            <w:tcW w:w="851" w:type="dxa"/>
          </w:tcPr>
          <w:p w14:paraId="282CBC81" w14:textId="6EF063EA"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8.8 (4.8)</w:t>
            </w:r>
          </w:p>
        </w:tc>
        <w:tc>
          <w:tcPr>
            <w:tcW w:w="992" w:type="dxa"/>
            <w:vAlign w:val="center"/>
          </w:tcPr>
          <w:p w14:paraId="5B52D0BF" w14:textId="4C7866C4"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3.1 (0.4)</w:t>
            </w:r>
          </w:p>
        </w:tc>
        <w:tc>
          <w:tcPr>
            <w:tcW w:w="992" w:type="dxa"/>
            <w:vAlign w:val="center"/>
          </w:tcPr>
          <w:p w14:paraId="131F076E" w14:textId="388B68C3"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3.7 (0.3)</w:t>
            </w:r>
          </w:p>
        </w:tc>
        <w:tc>
          <w:tcPr>
            <w:tcW w:w="993" w:type="dxa"/>
            <w:vAlign w:val="center"/>
          </w:tcPr>
          <w:p w14:paraId="286CCAD9" w14:textId="24DD7B5D"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6.5 (2.5)</w:t>
            </w:r>
          </w:p>
        </w:tc>
        <w:tc>
          <w:tcPr>
            <w:tcW w:w="993" w:type="dxa"/>
          </w:tcPr>
          <w:p w14:paraId="1943CD3A" w14:textId="447E963E"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10.0 (4.5)</w:t>
            </w:r>
          </w:p>
        </w:tc>
      </w:tr>
      <w:tr w:rsidR="006B3D84" w:rsidRPr="00A3687D" w14:paraId="1BDC12F2" w14:textId="5924EABB" w:rsidTr="00D51633">
        <w:trPr>
          <w:trHeight w:val="300"/>
        </w:trPr>
        <w:tc>
          <w:tcPr>
            <w:tcW w:w="1834" w:type="dxa"/>
            <w:vAlign w:val="center"/>
          </w:tcPr>
          <w:p w14:paraId="4E8CFC31"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Butyrate (µMol/L)</w:t>
            </w:r>
          </w:p>
        </w:tc>
        <w:tc>
          <w:tcPr>
            <w:tcW w:w="990" w:type="dxa"/>
            <w:vAlign w:val="center"/>
          </w:tcPr>
          <w:p w14:paraId="11B3D206" w14:textId="0E85012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0.5 (0.1)</w:t>
            </w:r>
          </w:p>
        </w:tc>
        <w:tc>
          <w:tcPr>
            <w:tcW w:w="851" w:type="dxa"/>
            <w:vAlign w:val="center"/>
          </w:tcPr>
          <w:p w14:paraId="3A8CEB13" w14:textId="07CEE82F"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0.7 (0.1)</w:t>
            </w:r>
          </w:p>
        </w:tc>
        <w:tc>
          <w:tcPr>
            <w:tcW w:w="856" w:type="dxa"/>
            <w:vAlign w:val="center"/>
          </w:tcPr>
          <w:p w14:paraId="4B2308E6" w14:textId="387AF33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0.5 (0.1)</w:t>
            </w:r>
          </w:p>
        </w:tc>
        <w:tc>
          <w:tcPr>
            <w:tcW w:w="851" w:type="dxa"/>
          </w:tcPr>
          <w:p w14:paraId="10E61098" w14:textId="7C0FF9DB"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1.0 (0.4)</w:t>
            </w:r>
          </w:p>
        </w:tc>
        <w:tc>
          <w:tcPr>
            <w:tcW w:w="992" w:type="dxa"/>
            <w:vAlign w:val="center"/>
          </w:tcPr>
          <w:p w14:paraId="1A1946F5" w14:textId="39E9D4CE"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0.4 (0.1)</w:t>
            </w:r>
          </w:p>
        </w:tc>
        <w:tc>
          <w:tcPr>
            <w:tcW w:w="992" w:type="dxa"/>
            <w:vAlign w:val="center"/>
          </w:tcPr>
          <w:p w14:paraId="56C3F1F4" w14:textId="361FE7C0"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0.5 (0.1)</w:t>
            </w:r>
          </w:p>
        </w:tc>
        <w:tc>
          <w:tcPr>
            <w:tcW w:w="993" w:type="dxa"/>
            <w:vAlign w:val="center"/>
          </w:tcPr>
          <w:p w14:paraId="36260C63" w14:textId="5AD565BE"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0.7 (0.2)</w:t>
            </w:r>
          </w:p>
        </w:tc>
        <w:tc>
          <w:tcPr>
            <w:tcW w:w="993" w:type="dxa"/>
          </w:tcPr>
          <w:p w14:paraId="784DFEC4" w14:textId="58616339"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1.2 (0.4)</w:t>
            </w:r>
          </w:p>
        </w:tc>
      </w:tr>
      <w:tr w:rsidR="006B3D84" w:rsidRPr="00A3687D" w14:paraId="0FDD741D" w14:textId="6333A88D" w:rsidTr="00D51633">
        <w:trPr>
          <w:trHeight w:val="300"/>
        </w:trPr>
        <w:tc>
          <w:tcPr>
            <w:tcW w:w="1834" w:type="dxa"/>
            <w:vAlign w:val="center"/>
          </w:tcPr>
          <w:p w14:paraId="64CF9193"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Isobutyrate (µMol/L)</w:t>
            </w:r>
          </w:p>
        </w:tc>
        <w:tc>
          <w:tcPr>
            <w:tcW w:w="990" w:type="dxa"/>
            <w:vAlign w:val="center"/>
          </w:tcPr>
          <w:p w14:paraId="0A108F12" w14:textId="6311AAC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2.1 (0.3)</w:t>
            </w:r>
          </w:p>
        </w:tc>
        <w:tc>
          <w:tcPr>
            <w:tcW w:w="851" w:type="dxa"/>
            <w:vAlign w:val="center"/>
          </w:tcPr>
          <w:p w14:paraId="384D50C6" w14:textId="618E9D58"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2.4 (0.4)</w:t>
            </w:r>
          </w:p>
        </w:tc>
        <w:tc>
          <w:tcPr>
            <w:tcW w:w="856" w:type="dxa"/>
            <w:vAlign w:val="center"/>
          </w:tcPr>
          <w:p w14:paraId="09208E5B" w14:textId="3080D102"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1.9 (0.4)</w:t>
            </w:r>
          </w:p>
        </w:tc>
        <w:tc>
          <w:tcPr>
            <w:tcW w:w="851" w:type="dxa"/>
          </w:tcPr>
          <w:p w14:paraId="4ACCF27F" w14:textId="1D988FDE"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2.2 (0.4)</w:t>
            </w:r>
          </w:p>
        </w:tc>
        <w:tc>
          <w:tcPr>
            <w:tcW w:w="992" w:type="dxa"/>
            <w:vAlign w:val="center"/>
          </w:tcPr>
          <w:p w14:paraId="4101E50B" w14:textId="46C5B6C8"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1.8 (0.3)</w:t>
            </w:r>
          </w:p>
        </w:tc>
        <w:tc>
          <w:tcPr>
            <w:tcW w:w="992" w:type="dxa"/>
            <w:vAlign w:val="center"/>
          </w:tcPr>
          <w:p w14:paraId="00BCA261" w14:textId="494853FD"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2.2 (0.5)</w:t>
            </w:r>
          </w:p>
        </w:tc>
        <w:tc>
          <w:tcPr>
            <w:tcW w:w="993" w:type="dxa"/>
            <w:vAlign w:val="center"/>
          </w:tcPr>
          <w:p w14:paraId="5FAE0C5F" w14:textId="228645DA"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2.2 (0.4)</w:t>
            </w:r>
          </w:p>
        </w:tc>
        <w:tc>
          <w:tcPr>
            <w:tcW w:w="993" w:type="dxa"/>
          </w:tcPr>
          <w:p w14:paraId="4FD61318" w14:textId="2006091A"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2.4 (0.4)</w:t>
            </w:r>
          </w:p>
        </w:tc>
      </w:tr>
      <w:tr w:rsidR="006B3D84" w:rsidRPr="00A3687D" w14:paraId="3A7962A9" w14:textId="62A772CF" w:rsidTr="00D51633">
        <w:trPr>
          <w:trHeight w:val="300"/>
        </w:trPr>
        <w:tc>
          <w:tcPr>
            <w:tcW w:w="1834" w:type="dxa"/>
            <w:vAlign w:val="center"/>
          </w:tcPr>
          <w:p w14:paraId="3DBC3568"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2MB (µMol/L)</w:t>
            </w:r>
          </w:p>
        </w:tc>
        <w:tc>
          <w:tcPr>
            <w:tcW w:w="990" w:type="dxa"/>
            <w:vAlign w:val="center"/>
          </w:tcPr>
          <w:p w14:paraId="7859AB72" w14:textId="043DF95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3.2 (0.5)</w:t>
            </w:r>
          </w:p>
        </w:tc>
        <w:tc>
          <w:tcPr>
            <w:tcW w:w="851" w:type="dxa"/>
            <w:vAlign w:val="center"/>
          </w:tcPr>
          <w:p w14:paraId="23133E5C" w14:textId="3FCB2396"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3.8 (0.7)</w:t>
            </w:r>
          </w:p>
        </w:tc>
        <w:tc>
          <w:tcPr>
            <w:tcW w:w="856" w:type="dxa"/>
            <w:vAlign w:val="center"/>
          </w:tcPr>
          <w:p w14:paraId="344C1255" w14:textId="6D752393"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3.5 (0.6)</w:t>
            </w:r>
          </w:p>
        </w:tc>
        <w:tc>
          <w:tcPr>
            <w:tcW w:w="851" w:type="dxa"/>
          </w:tcPr>
          <w:p w14:paraId="4B9846C6" w14:textId="12CEE5A1"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4.0 (0.8)</w:t>
            </w:r>
          </w:p>
        </w:tc>
        <w:tc>
          <w:tcPr>
            <w:tcW w:w="992" w:type="dxa"/>
            <w:vAlign w:val="center"/>
          </w:tcPr>
          <w:p w14:paraId="65682895" w14:textId="3053C1BE"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2.8 (0.6)</w:t>
            </w:r>
          </w:p>
        </w:tc>
        <w:tc>
          <w:tcPr>
            <w:tcW w:w="992" w:type="dxa"/>
            <w:vAlign w:val="center"/>
          </w:tcPr>
          <w:p w14:paraId="67E9D6EF" w14:textId="32505A81"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3.6 (0.9)</w:t>
            </w:r>
          </w:p>
        </w:tc>
        <w:tc>
          <w:tcPr>
            <w:tcW w:w="993" w:type="dxa"/>
            <w:vAlign w:val="center"/>
          </w:tcPr>
          <w:p w14:paraId="10E783DE" w14:textId="25F80157"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3.9 (0.5)</w:t>
            </w:r>
          </w:p>
        </w:tc>
        <w:tc>
          <w:tcPr>
            <w:tcW w:w="993" w:type="dxa"/>
          </w:tcPr>
          <w:p w14:paraId="4CEC490A" w14:textId="6C3AE4CE"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4.2 (0.7)</w:t>
            </w:r>
          </w:p>
        </w:tc>
      </w:tr>
      <w:tr w:rsidR="006B3D84" w:rsidRPr="00A3687D" w14:paraId="57880017" w14:textId="1FBAD64F" w:rsidTr="00D51633">
        <w:trPr>
          <w:trHeight w:val="300"/>
        </w:trPr>
        <w:tc>
          <w:tcPr>
            <w:tcW w:w="1834" w:type="dxa"/>
            <w:vAlign w:val="center"/>
          </w:tcPr>
          <w:p w14:paraId="5DCAD086"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SCFA (µMol/L)</w:t>
            </w:r>
          </w:p>
        </w:tc>
        <w:tc>
          <w:tcPr>
            <w:tcW w:w="990" w:type="dxa"/>
            <w:vAlign w:val="center"/>
          </w:tcPr>
          <w:p w14:paraId="48AE8A6F" w14:textId="5DA298B2"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107.4 (9.4)</w:t>
            </w:r>
          </w:p>
        </w:tc>
        <w:tc>
          <w:tcPr>
            <w:tcW w:w="851" w:type="dxa"/>
            <w:vAlign w:val="center"/>
          </w:tcPr>
          <w:p w14:paraId="6B01916C" w14:textId="180B7E24"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109.8 (6.8)</w:t>
            </w:r>
          </w:p>
        </w:tc>
        <w:tc>
          <w:tcPr>
            <w:tcW w:w="856" w:type="dxa"/>
            <w:vAlign w:val="center"/>
          </w:tcPr>
          <w:p w14:paraId="3634D8EA" w14:textId="008ACC49"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107.8 (8.8)</w:t>
            </w:r>
          </w:p>
        </w:tc>
        <w:tc>
          <w:tcPr>
            <w:tcW w:w="851" w:type="dxa"/>
          </w:tcPr>
          <w:p w14:paraId="4880CAC8" w14:textId="3B43D83B"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108.4 (9.6)</w:t>
            </w:r>
          </w:p>
        </w:tc>
        <w:tc>
          <w:tcPr>
            <w:tcW w:w="992" w:type="dxa"/>
            <w:vAlign w:val="center"/>
          </w:tcPr>
          <w:p w14:paraId="24726C71" w14:textId="17011CFC"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101.9 (10.8)</w:t>
            </w:r>
          </w:p>
        </w:tc>
        <w:tc>
          <w:tcPr>
            <w:tcW w:w="992" w:type="dxa"/>
            <w:vAlign w:val="center"/>
          </w:tcPr>
          <w:p w14:paraId="54B6DFF3" w14:textId="41803375"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104.5 (7.4)</w:t>
            </w:r>
          </w:p>
        </w:tc>
        <w:tc>
          <w:tcPr>
            <w:tcW w:w="993" w:type="dxa"/>
            <w:vAlign w:val="center"/>
          </w:tcPr>
          <w:p w14:paraId="06BA5043" w14:textId="3B49AEE1"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113.0 (7.2)</w:t>
            </w:r>
          </w:p>
        </w:tc>
        <w:tc>
          <w:tcPr>
            <w:tcW w:w="993" w:type="dxa"/>
          </w:tcPr>
          <w:p w14:paraId="5DBC47B9" w14:textId="7BC490A6"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113.5 (8.6)</w:t>
            </w:r>
          </w:p>
        </w:tc>
      </w:tr>
      <w:tr w:rsidR="006B3D84" w:rsidRPr="00A3687D" w14:paraId="4FAFB565" w14:textId="1B1878CC" w:rsidTr="00D51633">
        <w:trPr>
          <w:trHeight w:val="300"/>
        </w:trPr>
        <w:tc>
          <w:tcPr>
            <w:tcW w:w="1834" w:type="dxa"/>
            <w:vAlign w:val="center"/>
          </w:tcPr>
          <w:p w14:paraId="177847ED"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BCFA (µMol/L)</w:t>
            </w:r>
          </w:p>
        </w:tc>
        <w:tc>
          <w:tcPr>
            <w:tcW w:w="990" w:type="dxa"/>
            <w:vAlign w:val="center"/>
          </w:tcPr>
          <w:p w14:paraId="7C6C1334" w14:textId="457B7E31"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10.1 (1.5)</w:t>
            </w:r>
          </w:p>
        </w:tc>
        <w:tc>
          <w:tcPr>
            <w:tcW w:w="851" w:type="dxa"/>
            <w:vAlign w:val="center"/>
          </w:tcPr>
          <w:p w14:paraId="5929B65D" w14:textId="34D8D7C8"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11.3 (2.0)</w:t>
            </w:r>
          </w:p>
        </w:tc>
        <w:tc>
          <w:tcPr>
            <w:tcW w:w="856" w:type="dxa"/>
            <w:vAlign w:val="center"/>
          </w:tcPr>
          <w:p w14:paraId="3045ED05" w14:textId="27F589DD"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9.9 (1.7)</w:t>
            </w:r>
          </w:p>
        </w:tc>
        <w:tc>
          <w:tcPr>
            <w:tcW w:w="851" w:type="dxa"/>
          </w:tcPr>
          <w:p w14:paraId="0F7382C8" w14:textId="619E7F51"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11.5 (2.3)</w:t>
            </w:r>
          </w:p>
        </w:tc>
        <w:tc>
          <w:tcPr>
            <w:tcW w:w="992" w:type="dxa"/>
            <w:vAlign w:val="center"/>
          </w:tcPr>
          <w:p w14:paraId="05A2AD7D" w14:textId="2B043A92"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8.9 (1.6)</w:t>
            </w:r>
          </w:p>
        </w:tc>
        <w:tc>
          <w:tcPr>
            <w:tcW w:w="992" w:type="dxa"/>
            <w:vAlign w:val="center"/>
          </w:tcPr>
          <w:p w14:paraId="4CE651A0" w14:textId="21685F74"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10.9 (2.5)</w:t>
            </w:r>
          </w:p>
        </w:tc>
        <w:tc>
          <w:tcPr>
            <w:tcW w:w="993" w:type="dxa"/>
            <w:vAlign w:val="center"/>
          </w:tcPr>
          <w:p w14:paraId="3AD65053" w14:textId="159305F8"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11.1 (1.5)</w:t>
            </w:r>
          </w:p>
        </w:tc>
        <w:tc>
          <w:tcPr>
            <w:tcW w:w="993" w:type="dxa"/>
          </w:tcPr>
          <w:p w14:paraId="14DEF5DD" w14:textId="2457D5F8"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11.8 (1.8)</w:t>
            </w:r>
          </w:p>
        </w:tc>
      </w:tr>
      <w:tr w:rsidR="006B3D84" w:rsidRPr="00A3687D" w14:paraId="2D0D26E3" w14:textId="488AEB43" w:rsidTr="00D51633">
        <w:trPr>
          <w:trHeight w:val="300"/>
        </w:trPr>
        <w:tc>
          <w:tcPr>
            <w:tcW w:w="1834" w:type="dxa"/>
            <w:vAlign w:val="center"/>
          </w:tcPr>
          <w:p w14:paraId="22CEB1FE"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VFA (µMol/L)</w:t>
            </w:r>
          </w:p>
        </w:tc>
        <w:tc>
          <w:tcPr>
            <w:tcW w:w="990" w:type="dxa"/>
            <w:vAlign w:val="center"/>
          </w:tcPr>
          <w:p w14:paraId="6E8F2FFE" w14:textId="2A77F6E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117.5 (10.2)</w:t>
            </w:r>
          </w:p>
        </w:tc>
        <w:tc>
          <w:tcPr>
            <w:tcW w:w="851" w:type="dxa"/>
            <w:vAlign w:val="center"/>
          </w:tcPr>
          <w:p w14:paraId="0631117F" w14:textId="0CE88A37"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121.1 (7.6)</w:t>
            </w:r>
          </w:p>
        </w:tc>
        <w:tc>
          <w:tcPr>
            <w:tcW w:w="856" w:type="dxa"/>
            <w:vAlign w:val="center"/>
          </w:tcPr>
          <w:p w14:paraId="2378F01B" w14:textId="46F1AA3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117.7 (9.6)</w:t>
            </w:r>
          </w:p>
        </w:tc>
        <w:tc>
          <w:tcPr>
            <w:tcW w:w="851" w:type="dxa"/>
          </w:tcPr>
          <w:p w14:paraId="38DBF476" w14:textId="11FE34CC" w:rsidR="006B3D84" w:rsidRPr="00A3687D" w:rsidRDefault="004E5EAC" w:rsidP="006B3D84">
            <w:pPr>
              <w:ind w:left="57"/>
              <w:jc w:val="center"/>
              <w:rPr>
                <w:rFonts w:ascii="Arial" w:eastAsia="Arial" w:hAnsi="Arial" w:cs="Arial"/>
                <w:sz w:val="19"/>
                <w:szCs w:val="19"/>
              </w:rPr>
            </w:pPr>
            <w:r w:rsidRPr="00A3687D">
              <w:rPr>
                <w:rFonts w:ascii="Arial" w:eastAsia="Arial" w:hAnsi="Arial" w:cs="Arial"/>
                <w:sz w:val="19"/>
                <w:szCs w:val="19"/>
              </w:rPr>
              <w:t>119.9 (10.5)</w:t>
            </w:r>
          </w:p>
        </w:tc>
        <w:tc>
          <w:tcPr>
            <w:tcW w:w="992" w:type="dxa"/>
            <w:vAlign w:val="center"/>
          </w:tcPr>
          <w:p w14:paraId="71A013C6" w14:textId="138DEE9C"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110.8 (11.8)</w:t>
            </w:r>
          </w:p>
        </w:tc>
        <w:tc>
          <w:tcPr>
            <w:tcW w:w="992" w:type="dxa"/>
            <w:vAlign w:val="center"/>
          </w:tcPr>
          <w:p w14:paraId="25237636" w14:textId="48C6B1CD"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115.4 (8.8)</w:t>
            </w:r>
          </w:p>
        </w:tc>
        <w:tc>
          <w:tcPr>
            <w:tcW w:w="993" w:type="dxa"/>
            <w:vAlign w:val="center"/>
          </w:tcPr>
          <w:p w14:paraId="5C7AC304" w14:textId="7DE0221B" w:rsidR="006B3D84" w:rsidRPr="00A3687D" w:rsidRDefault="00F305D8" w:rsidP="006B3D84">
            <w:pPr>
              <w:ind w:left="57"/>
              <w:jc w:val="center"/>
              <w:rPr>
                <w:rFonts w:ascii="Arial" w:eastAsia="Arial" w:hAnsi="Arial" w:cs="Arial"/>
                <w:sz w:val="19"/>
                <w:szCs w:val="19"/>
              </w:rPr>
            </w:pPr>
            <w:r w:rsidRPr="00A3687D">
              <w:rPr>
                <w:rFonts w:ascii="Arial" w:eastAsia="Arial" w:hAnsi="Arial" w:cs="Arial"/>
                <w:sz w:val="19"/>
                <w:szCs w:val="19"/>
              </w:rPr>
              <w:t>124.1 (7.7)</w:t>
            </w:r>
          </w:p>
        </w:tc>
        <w:tc>
          <w:tcPr>
            <w:tcW w:w="993" w:type="dxa"/>
          </w:tcPr>
          <w:p w14:paraId="14704A3A" w14:textId="71D8C827" w:rsidR="006B3D84" w:rsidRPr="00A3687D" w:rsidRDefault="000E15AE" w:rsidP="006B3D84">
            <w:pPr>
              <w:ind w:left="57"/>
              <w:jc w:val="center"/>
              <w:rPr>
                <w:rFonts w:ascii="Arial" w:eastAsia="Arial" w:hAnsi="Arial" w:cs="Arial"/>
                <w:sz w:val="19"/>
                <w:szCs w:val="19"/>
              </w:rPr>
            </w:pPr>
            <w:r w:rsidRPr="00A3687D">
              <w:rPr>
                <w:rFonts w:ascii="Arial" w:eastAsia="Arial" w:hAnsi="Arial" w:cs="Arial"/>
                <w:sz w:val="19"/>
                <w:szCs w:val="19"/>
              </w:rPr>
              <w:t>125.3 (9.1)</w:t>
            </w:r>
          </w:p>
        </w:tc>
      </w:tr>
      <w:tr w:rsidR="006B3D84" w:rsidRPr="00A3687D" w14:paraId="249F82D2" w14:textId="77777777" w:rsidTr="00D51633">
        <w:trPr>
          <w:trHeight w:val="300"/>
        </w:trPr>
        <w:tc>
          <w:tcPr>
            <w:tcW w:w="1834" w:type="dxa"/>
            <w:vAlign w:val="center"/>
          </w:tcPr>
          <w:p w14:paraId="7A5302A9" w14:textId="677F25C3" w:rsidR="006B3D84" w:rsidRPr="00A3687D" w:rsidRDefault="006B3D84" w:rsidP="006B3D84">
            <w:pPr>
              <w:ind w:left="57"/>
              <w:jc w:val="center"/>
              <w:rPr>
                <w:rFonts w:ascii="Arial" w:eastAsia="Arial" w:hAnsi="Arial" w:cs="Arial"/>
                <w:b/>
                <w:bCs/>
                <w:i/>
                <w:iCs/>
                <w:sz w:val="19"/>
                <w:szCs w:val="19"/>
              </w:rPr>
            </w:pPr>
            <w:r w:rsidRPr="00A3687D">
              <w:rPr>
                <w:rFonts w:ascii="Arial" w:eastAsia="Arial" w:hAnsi="Arial" w:cs="Arial"/>
                <w:b/>
                <w:bCs/>
                <w:i/>
                <w:iCs/>
                <w:sz w:val="19"/>
                <w:szCs w:val="19"/>
              </w:rPr>
              <w:t>Urinary</w:t>
            </w:r>
          </w:p>
        </w:tc>
        <w:tc>
          <w:tcPr>
            <w:tcW w:w="990" w:type="dxa"/>
            <w:vAlign w:val="center"/>
          </w:tcPr>
          <w:p w14:paraId="5D9A1191" w14:textId="580F5798" w:rsidR="006B3D84" w:rsidRPr="00A3687D" w:rsidRDefault="006B3D84" w:rsidP="006B3D84">
            <w:pPr>
              <w:ind w:left="57"/>
              <w:jc w:val="center"/>
              <w:rPr>
                <w:rFonts w:ascii="Arial" w:eastAsia="Arial" w:hAnsi="Arial" w:cs="Arial"/>
                <w:b/>
                <w:bCs/>
                <w:sz w:val="19"/>
                <w:szCs w:val="19"/>
              </w:rPr>
            </w:pPr>
          </w:p>
        </w:tc>
        <w:tc>
          <w:tcPr>
            <w:tcW w:w="851" w:type="dxa"/>
            <w:vAlign w:val="center"/>
          </w:tcPr>
          <w:p w14:paraId="7AA0D165" w14:textId="02D8F3D8" w:rsidR="006B3D84" w:rsidRPr="00A3687D" w:rsidRDefault="006B3D84" w:rsidP="006B3D84">
            <w:pPr>
              <w:ind w:left="57"/>
              <w:jc w:val="center"/>
              <w:rPr>
                <w:rFonts w:ascii="Arial" w:eastAsia="Arial" w:hAnsi="Arial" w:cs="Arial"/>
                <w:sz w:val="19"/>
                <w:szCs w:val="19"/>
              </w:rPr>
            </w:pPr>
          </w:p>
        </w:tc>
        <w:tc>
          <w:tcPr>
            <w:tcW w:w="856" w:type="dxa"/>
            <w:vAlign w:val="center"/>
          </w:tcPr>
          <w:p w14:paraId="068E1B36" w14:textId="62AF86F3" w:rsidR="006B3D84" w:rsidRPr="00A3687D" w:rsidRDefault="006B3D84" w:rsidP="006B3D84">
            <w:pPr>
              <w:ind w:left="57"/>
              <w:jc w:val="center"/>
              <w:rPr>
                <w:rFonts w:ascii="Arial" w:eastAsia="Arial" w:hAnsi="Arial" w:cs="Arial"/>
                <w:sz w:val="19"/>
                <w:szCs w:val="19"/>
              </w:rPr>
            </w:pPr>
          </w:p>
        </w:tc>
        <w:tc>
          <w:tcPr>
            <w:tcW w:w="851" w:type="dxa"/>
          </w:tcPr>
          <w:p w14:paraId="14B6A27D" w14:textId="595D1305" w:rsidR="006B3D84" w:rsidRPr="00A3687D" w:rsidRDefault="006B3D84" w:rsidP="006B3D84">
            <w:pPr>
              <w:ind w:left="57"/>
              <w:jc w:val="center"/>
              <w:rPr>
                <w:rFonts w:ascii="Arial" w:eastAsia="Arial" w:hAnsi="Arial" w:cs="Arial"/>
                <w:sz w:val="19"/>
                <w:szCs w:val="19"/>
              </w:rPr>
            </w:pPr>
          </w:p>
        </w:tc>
        <w:tc>
          <w:tcPr>
            <w:tcW w:w="992" w:type="dxa"/>
            <w:vAlign w:val="center"/>
          </w:tcPr>
          <w:p w14:paraId="3D844DE8" w14:textId="6F062241" w:rsidR="006B3D84" w:rsidRPr="00A3687D" w:rsidRDefault="006B3D84" w:rsidP="006B3D84">
            <w:pPr>
              <w:ind w:left="57"/>
              <w:jc w:val="center"/>
              <w:rPr>
                <w:rFonts w:ascii="Arial" w:eastAsia="Arial" w:hAnsi="Arial" w:cs="Arial"/>
                <w:sz w:val="19"/>
                <w:szCs w:val="19"/>
              </w:rPr>
            </w:pPr>
          </w:p>
        </w:tc>
        <w:tc>
          <w:tcPr>
            <w:tcW w:w="992" w:type="dxa"/>
            <w:vAlign w:val="center"/>
          </w:tcPr>
          <w:p w14:paraId="17AD957A" w14:textId="1681076A" w:rsidR="006B3D84" w:rsidRPr="00A3687D" w:rsidRDefault="006B3D84" w:rsidP="006B3D84">
            <w:pPr>
              <w:ind w:left="57"/>
              <w:jc w:val="center"/>
              <w:rPr>
                <w:rFonts w:ascii="Arial" w:eastAsia="Arial" w:hAnsi="Arial" w:cs="Arial"/>
                <w:sz w:val="19"/>
                <w:szCs w:val="19"/>
              </w:rPr>
            </w:pPr>
          </w:p>
        </w:tc>
        <w:tc>
          <w:tcPr>
            <w:tcW w:w="993" w:type="dxa"/>
            <w:vAlign w:val="center"/>
          </w:tcPr>
          <w:p w14:paraId="794C14C7" w14:textId="237D3C5A" w:rsidR="006B3D84" w:rsidRPr="00A3687D" w:rsidRDefault="006B3D84" w:rsidP="006B3D84">
            <w:pPr>
              <w:ind w:left="57"/>
              <w:jc w:val="center"/>
              <w:rPr>
                <w:rFonts w:ascii="Arial" w:eastAsia="Arial" w:hAnsi="Arial" w:cs="Arial"/>
                <w:sz w:val="19"/>
                <w:szCs w:val="19"/>
              </w:rPr>
            </w:pPr>
          </w:p>
        </w:tc>
        <w:tc>
          <w:tcPr>
            <w:tcW w:w="993" w:type="dxa"/>
          </w:tcPr>
          <w:p w14:paraId="76C5FD9E" w14:textId="66494231" w:rsidR="006B3D84" w:rsidRPr="00A3687D" w:rsidRDefault="006B3D84" w:rsidP="006B3D84">
            <w:pPr>
              <w:ind w:left="57"/>
              <w:jc w:val="center"/>
              <w:rPr>
                <w:rFonts w:ascii="Arial" w:eastAsia="Arial" w:hAnsi="Arial" w:cs="Arial"/>
                <w:sz w:val="19"/>
                <w:szCs w:val="19"/>
              </w:rPr>
            </w:pPr>
          </w:p>
        </w:tc>
      </w:tr>
      <w:tr w:rsidR="006B3D84" w:rsidRPr="00A3687D" w14:paraId="2748B4AD" w14:textId="32DC413A" w:rsidTr="00D51633">
        <w:trPr>
          <w:trHeight w:val="300"/>
        </w:trPr>
        <w:tc>
          <w:tcPr>
            <w:tcW w:w="1834" w:type="dxa"/>
            <w:vAlign w:val="center"/>
          </w:tcPr>
          <w:p w14:paraId="5DE4F7E4"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Acetate (µMol/L)</w:t>
            </w:r>
          </w:p>
        </w:tc>
        <w:tc>
          <w:tcPr>
            <w:tcW w:w="990" w:type="dxa"/>
            <w:vAlign w:val="center"/>
          </w:tcPr>
          <w:p w14:paraId="3406D0FA" w14:textId="2946005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115.3 (23.5)</w:t>
            </w:r>
          </w:p>
        </w:tc>
        <w:tc>
          <w:tcPr>
            <w:tcW w:w="851" w:type="dxa"/>
            <w:vAlign w:val="center"/>
          </w:tcPr>
          <w:p w14:paraId="048BD6EC" w14:textId="3B88BAC8"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134.9 (37.0)</w:t>
            </w:r>
          </w:p>
        </w:tc>
        <w:tc>
          <w:tcPr>
            <w:tcW w:w="856" w:type="dxa"/>
            <w:vAlign w:val="center"/>
          </w:tcPr>
          <w:p w14:paraId="03C0D5E2" w14:textId="4940A73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846 (614)</w:t>
            </w:r>
          </w:p>
        </w:tc>
        <w:tc>
          <w:tcPr>
            <w:tcW w:w="851" w:type="dxa"/>
          </w:tcPr>
          <w:p w14:paraId="0E187207" w14:textId="7DBC2A3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92.1 (17.7)</w:t>
            </w:r>
          </w:p>
        </w:tc>
        <w:tc>
          <w:tcPr>
            <w:tcW w:w="992" w:type="dxa"/>
            <w:vAlign w:val="center"/>
          </w:tcPr>
          <w:p w14:paraId="17D9F0C8" w14:textId="3F1B980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111.1 (20.7)</w:t>
            </w:r>
          </w:p>
        </w:tc>
        <w:tc>
          <w:tcPr>
            <w:tcW w:w="992" w:type="dxa"/>
            <w:vAlign w:val="center"/>
          </w:tcPr>
          <w:p w14:paraId="1EF6EC8B" w14:textId="3FAF6FE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106.9 (0.8)</w:t>
            </w:r>
          </w:p>
        </w:tc>
        <w:tc>
          <w:tcPr>
            <w:tcW w:w="993" w:type="dxa"/>
            <w:vAlign w:val="center"/>
          </w:tcPr>
          <w:p w14:paraId="01DD59B5" w14:textId="24E09FA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777 (553)</w:t>
            </w:r>
          </w:p>
        </w:tc>
        <w:tc>
          <w:tcPr>
            <w:tcW w:w="993" w:type="dxa"/>
          </w:tcPr>
          <w:p w14:paraId="46BF23B7" w14:textId="3E769CA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1.6 (0.5)</w:t>
            </w:r>
          </w:p>
        </w:tc>
      </w:tr>
      <w:tr w:rsidR="006B3D84" w:rsidRPr="00A3687D" w14:paraId="3FCCA327" w14:textId="2DC9EE8F" w:rsidTr="00D51633">
        <w:trPr>
          <w:trHeight w:val="300"/>
        </w:trPr>
        <w:tc>
          <w:tcPr>
            <w:tcW w:w="1834" w:type="dxa"/>
            <w:vAlign w:val="center"/>
          </w:tcPr>
          <w:p w14:paraId="2B480945"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Propionate (µMol/L)</w:t>
            </w:r>
          </w:p>
        </w:tc>
        <w:tc>
          <w:tcPr>
            <w:tcW w:w="990" w:type="dxa"/>
            <w:vAlign w:val="center"/>
          </w:tcPr>
          <w:p w14:paraId="05986D4B" w14:textId="1FADB6B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3.9 (0.5)</w:t>
            </w:r>
          </w:p>
        </w:tc>
        <w:tc>
          <w:tcPr>
            <w:tcW w:w="851" w:type="dxa"/>
            <w:vAlign w:val="center"/>
          </w:tcPr>
          <w:p w14:paraId="43A585D3" w14:textId="660C84F0"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4.1 (0.5)</w:t>
            </w:r>
          </w:p>
        </w:tc>
        <w:tc>
          <w:tcPr>
            <w:tcW w:w="856" w:type="dxa"/>
            <w:vAlign w:val="center"/>
          </w:tcPr>
          <w:p w14:paraId="400BD69B" w14:textId="0265F633"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8.8 (4.2)</w:t>
            </w:r>
          </w:p>
        </w:tc>
        <w:tc>
          <w:tcPr>
            <w:tcW w:w="851" w:type="dxa"/>
          </w:tcPr>
          <w:p w14:paraId="2723D9C1" w14:textId="4F086AFD"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3.4 (0.5)</w:t>
            </w:r>
          </w:p>
        </w:tc>
        <w:tc>
          <w:tcPr>
            <w:tcW w:w="992" w:type="dxa"/>
            <w:vAlign w:val="center"/>
          </w:tcPr>
          <w:p w14:paraId="2134C1D1" w14:textId="2F0BD77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4.2 (0.6)</w:t>
            </w:r>
          </w:p>
        </w:tc>
        <w:tc>
          <w:tcPr>
            <w:tcW w:w="992" w:type="dxa"/>
            <w:vAlign w:val="center"/>
          </w:tcPr>
          <w:p w14:paraId="7FFC29AA" w14:textId="1F2D1EC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4.2 (0.6)</w:t>
            </w:r>
          </w:p>
        </w:tc>
        <w:tc>
          <w:tcPr>
            <w:tcW w:w="993" w:type="dxa"/>
            <w:vAlign w:val="center"/>
          </w:tcPr>
          <w:p w14:paraId="07D76E8D" w14:textId="6DC782F0"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7.9 (3.8)</w:t>
            </w:r>
          </w:p>
        </w:tc>
        <w:tc>
          <w:tcPr>
            <w:tcW w:w="993" w:type="dxa"/>
          </w:tcPr>
          <w:p w14:paraId="36D1BDF0" w14:textId="5C89743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3.4 (0.4)</w:t>
            </w:r>
          </w:p>
        </w:tc>
      </w:tr>
      <w:tr w:rsidR="006B3D84" w:rsidRPr="00A3687D" w14:paraId="3888F438" w14:textId="27707FCC" w:rsidTr="00D51633">
        <w:trPr>
          <w:trHeight w:val="300"/>
        </w:trPr>
        <w:tc>
          <w:tcPr>
            <w:tcW w:w="1834" w:type="dxa"/>
            <w:vAlign w:val="center"/>
          </w:tcPr>
          <w:p w14:paraId="289BDA9F"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Butyrate (µMol/L)</w:t>
            </w:r>
          </w:p>
        </w:tc>
        <w:tc>
          <w:tcPr>
            <w:tcW w:w="990" w:type="dxa"/>
            <w:vAlign w:val="center"/>
          </w:tcPr>
          <w:p w14:paraId="7E1EDC3A" w14:textId="6D624CB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2.2 (0.5)</w:t>
            </w:r>
          </w:p>
        </w:tc>
        <w:tc>
          <w:tcPr>
            <w:tcW w:w="851" w:type="dxa"/>
            <w:vAlign w:val="center"/>
          </w:tcPr>
          <w:p w14:paraId="00F38E71" w14:textId="4FA9C94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3.0 (0.8)</w:t>
            </w:r>
          </w:p>
        </w:tc>
        <w:tc>
          <w:tcPr>
            <w:tcW w:w="856" w:type="dxa"/>
            <w:vAlign w:val="center"/>
          </w:tcPr>
          <w:p w14:paraId="1AAC31C9" w14:textId="34D0222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6.4 (4.1)</w:t>
            </w:r>
          </w:p>
        </w:tc>
        <w:tc>
          <w:tcPr>
            <w:tcW w:w="851" w:type="dxa"/>
          </w:tcPr>
          <w:p w14:paraId="43BA4E0C" w14:textId="0406706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2.1 (0.6)</w:t>
            </w:r>
          </w:p>
        </w:tc>
        <w:tc>
          <w:tcPr>
            <w:tcW w:w="992" w:type="dxa"/>
            <w:vAlign w:val="center"/>
          </w:tcPr>
          <w:p w14:paraId="5AFEB05B" w14:textId="3A1853D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2.8 (0.9)</w:t>
            </w:r>
          </w:p>
        </w:tc>
        <w:tc>
          <w:tcPr>
            <w:tcW w:w="992" w:type="dxa"/>
            <w:vAlign w:val="center"/>
          </w:tcPr>
          <w:p w14:paraId="77C06B35" w14:textId="385BDE5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3.3 (0.9)</w:t>
            </w:r>
          </w:p>
        </w:tc>
        <w:tc>
          <w:tcPr>
            <w:tcW w:w="993" w:type="dxa"/>
            <w:vAlign w:val="center"/>
          </w:tcPr>
          <w:p w14:paraId="2BDDD82D" w14:textId="75EBB5F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5.4 (3.6)</w:t>
            </w:r>
          </w:p>
        </w:tc>
        <w:tc>
          <w:tcPr>
            <w:tcW w:w="993" w:type="dxa"/>
          </w:tcPr>
          <w:p w14:paraId="21E38642" w14:textId="24BF70EB"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1.9 (0.5)</w:t>
            </w:r>
          </w:p>
        </w:tc>
      </w:tr>
      <w:tr w:rsidR="006B3D84" w:rsidRPr="00A3687D" w14:paraId="51C4C8DB" w14:textId="30A260F4" w:rsidTr="00D51633">
        <w:trPr>
          <w:trHeight w:val="300"/>
        </w:trPr>
        <w:tc>
          <w:tcPr>
            <w:tcW w:w="1834" w:type="dxa"/>
            <w:vAlign w:val="center"/>
          </w:tcPr>
          <w:p w14:paraId="790DCEB3"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Isobutyrate (µMol/L)</w:t>
            </w:r>
          </w:p>
        </w:tc>
        <w:tc>
          <w:tcPr>
            <w:tcW w:w="990" w:type="dxa"/>
            <w:vAlign w:val="center"/>
          </w:tcPr>
          <w:p w14:paraId="21BF985F" w14:textId="40E1F60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1.9 (0.4)</w:t>
            </w:r>
          </w:p>
        </w:tc>
        <w:tc>
          <w:tcPr>
            <w:tcW w:w="851" w:type="dxa"/>
            <w:vAlign w:val="center"/>
          </w:tcPr>
          <w:p w14:paraId="4E454B5A" w14:textId="00E7318D"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2.0 (0.3)</w:t>
            </w:r>
          </w:p>
        </w:tc>
        <w:tc>
          <w:tcPr>
            <w:tcW w:w="856" w:type="dxa"/>
            <w:vAlign w:val="center"/>
          </w:tcPr>
          <w:p w14:paraId="5368A98A" w14:textId="445F369D"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5.8 (3.5)</w:t>
            </w:r>
          </w:p>
        </w:tc>
        <w:tc>
          <w:tcPr>
            <w:tcW w:w="851" w:type="dxa"/>
          </w:tcPr>
          <w:p w14:paraId="09018A05" w14:textId="667D5391"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2.0 (0.3)</w:t>
            </w:r>
          </w:p>
        </w:tc>
        <w:tc>
          <w:tcPr>
            <w:tcW w:w="992" w:type="dxa"/>
            <w:vAlign w:val="center"/>
          </w:tcPr>
          <w:p w14:paraId="713CF7E9" w14:textId="1774C7F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1.8 (0.4)</w:t>
            </w:r>
          </w:p>
        </w:tc>
        <w:tc>
          <w:tcPr>
            <w:tcW w:w="992" w:type="dxa"/>
            <w:vAlign w:val="center"/>
          </w:tcPr>
          <w:p w14:paraId="4AFF8B3F" w14:textId="00961C2D"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2.1 (0.4)</w:t>
            </w:r>
          </w:p>
        </w:tc>
        <w:tc>
          <w:tcPr>
            <w:tcW w:w="993" w:type="dxa"/>
            <w:vAlign w:val="center"/>
          </w:tcPr>
          <w:p w14:paraId="488DD56A" w14:textId="574F8F0A"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5.5 (3.1)</w:t>
            </w:r>
          </w:p>
        </w:tc>
        <w:tc>
          <w:tcPr>
            <w:tcW w:w="993" w:type="dxa"/>
          </w:tcPr>
          <w:p w14:paraId="606E3559" w14:textId="6D576EF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1.9 (0.3)</w:t>
            </w:r>
          </w:p>
        </w:tc>
      </w:tr>
      <w:tr w:rsidR="006B3D84" w:rsidRPr="00A3687D" w14:paraId="215A46D7" w14:textId="7F0186D2" w:rsidTr="00D51633">
        <w:trPr>
          <w:trHeight w:val="300"/>
        </w:trPr>
        <w:tc>
          <w:tcPr>
            <w:tcW w:w="1834" w:type="dxa"/>
            <w:vAlign w:val="center"/>
          </w:tcPr>
          <w:p w14:paraId="055A5BDE"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2MB (µMol/L)</w:t>
            </w:r>
          </w:p>
        </w:tc>
        <w:tc>
          <w:tcPr>
            <w:tcW w:w="990" w:type="dxa"/>
            <w:vAlign w:val="center"/>
          </w:tcPr>
          <w:p w14:paraId="7683131C" w14:textId="5411CEDA"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3.4 (0.9)</w:t>
            </w:r>
          </w:p>
        </w:tc>
        <w:tc>
          <w:tcPr>
            <w:tcW w:w="851" w:type="dxa"/>
            <w:vAlign w:val="center"/>
          </w:tcPr>
          <w:p w14:paraId="1D81139B" w14:textId="3AA070C8"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2.6 (0.5)</w:t>
            </w:r>
          </w:p>
        </w:tc>
        <w:tc>
          <w:tcPr>
            <w:tcW w:w="856" w:type="dxa"/>
            <w:vAlign w:val="center"/>
          </w:tcPr>
          <w:p w14:paraId="7BD9F3A7" w14:textId="13835481"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4.9 (2.1)</w:t>
            </w:r>
          </w:p>
        </w:tc>
        <w:tc>
          <w:tcPr>
            <w:tcW w:w="851" w:type="dxa"/>
          </w:tcPr>
          <w:p w14:paraId="18919684" w14:textId="7C3AE90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2.6 (0.6)</w:t>
            </w:r>
          </w:p>
        </w:tc>
        <w:tc>
          <w:tcPr>
            <w:tcW w:w="992" w:type="dxa"/>
            <w:vAlign w:val="center"/>
          </w:tcPr>
          <w:p w14:paraId="73653F68" w14:textId="568B412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2.8 (0.9)</w:t>
            </w:r>
          </w:p>
        </w:tc>
        <w:tc>
          <w:tcPr>
            <w:tcW w:w="992" w:type="dxa"/>
            <w:vAlign w:val="center"/>
          </w:tcPr>
          <w:p w14:paraId="0E3E6ECC" w14:textId="6771538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2.3 (0.5)</w:t>
            </w:r>
          </w:p>
        </w:tc>
        <w:tc>
          <w:tcPr>
            <w:tcW w:w="993" w:type="dxa"/>
            <w:vAlign w:val="center"/>
          </w:tcPr>
          <w:p w14:paraId="0C2D3EE3" w14:textId="2556904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5.4 (1.9)</w:t>
            </w:r>
          </w:p>
        </w:tc>
        <w:tc>
          <w:tcPr>
            <w:tcW w:w="993" w:type="dxa"/>
          </w:tcPr>
          <w:p w14:paraId="789E3147" w14:textId="0214488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2.8 (0.6)</w:t>
            </w:r>
          </w:p>
        </w:tc>
      </w:tr>
      <w:tr w:rsidR="006B3D84" w:rsidRPr="00A3687D" w14:paraId="72182BFD" w14:textId="67D56EE5" w:rsidTr="00D51633">
        <w:trPr>
          <w:trHeight w:val="300"/>
        </w:trPr>
        <w:tc>
          <w:tcPr>
            <w:tcW w:w="1834" w:type="dxa"/>
            <w:vAlign w:val="center"/>
          </w:tcPr>
          <w:p w14:paraId="1F5C5E74"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SCFA (µMol/L)</w:t>
            </w:r>
          </w:p>
        </w:tc>
        <w:tc>
          <w:tcPr>
            <w:tcW w:w="990" w:type="dxa"/>
            <w:vAlign w:val="center"/>
          </w:tcPr>
          <w:p w14:paraId="35A05265" w14:textId="409E679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121.4 (23.5)</w:t>
            </w:r>
          </w:p>
        </w:tc>
        <w:tc>
          <w:tcPr>
            <w:tcW w:w="851" w:type="dxa"/>
            <w:vAlign w:val="center"/>
          </w:tcPr>
          <w:p w14:paraId="6285C6C1" w14:textId="55E45D97"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141.9 (37.5)</w:t>
            </w:r>
          </w:p>
        </w:tc>
        <w:tc>
          <w:tcPr>
            <w:tcW w:w="856" w:type="dxa"/>
            <w:vAlign w:val="center"/>
          </w:tcPr>
          <w:p w14:paraId="4126C0B1" w14:textId="3B907A22"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861 (622)</w:t>
            </w:r>
          </w:p>
        </w:tc>
        <w:tc>
          <w:tcPr>
            <w:tcW w:w="851" w:type="dxa"/>
          </w:tcPr>
          <w:p w14:paraId="7AE7C3B8" w14:textId="36EA5418"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97.6 (17.9)</w:t>
            </w:r>
          </w:p>
        </w:tc>
        <w:tc>
          <w:tcPr>
            <w:tcW w:w="992" w:type="dxa"/>
            <w:vAlign w:val="center"/>
          </w:tcPr>
          <w:p w14:paraId="06BB1355" w14:textId="44807A68"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118.1 (20.6)</w:t>
            </w:r>
          </w:p>
        </w:tc>
        <w:tc>
          <w:tcPr>
            <w:tcW w:w="992" w:type="dxa"/>
            <w:vAlign w:val="center"/>
          </w:tcPr>
          <w:p w14:paraId="51E14CDD" w14:textId="0238F50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114.4 (21.8)</w:t>
            </w:r>
          </w:p>
        </w:tc>
        <w:tc>
          <w:tcPr>
            <w:tcW w:w="993" w:type="dxa"/>
            <w:vAlign w:val="center"/>
          </w:tcPr>
          <w:p w14:paraId="4B4EA1D6" w14:textId="0A33DF6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790 (561)</w:t>
            </w:r>
          </w:p>
        </w:tc>
        <w:tc>
          <w:tcPr>
            <w:tcW w:w="993" w:type="dxa"/>
          </w:tcPr>
          <w:p w14:paraId="020C3C02" w14:textId="313C1624"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127.7 (37.1)</w:t>
            </w:r>
          </w:p>
        </w:tc>
      </w:tr>
      <w:tr w:rsidR="006B3D84" w:rsidRPr="00A3687D" w14:paraId="394529F6" w14:textId="2A66D306" w:rsidTr="00D51633">
        <w:trPr>
          <w:trHeight w:val="300"/>
        </w:trPr>
        <w:tc>
          <w:tcPr>
            <w:tcW w:w="1834" w:type="dxa"/>
            <w:vAlign w:val="center"/>
          </w:tcPr>
          <w:p w14:paraId="245C7555"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BCFA (µMol/L)</w:t>
            </w:r>
          </w:p>
        </w:tc>
        <w:tc>
          <w:tcPr>
            <w:tcW w:w="990" w:type="dxa"/>
            <w:vAlign w:val="center"/>
          </w:tcPr>
          <w:p w14:paraId="0A0E116D" w14:textId="41EA47A0"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6.8 (1.5)</w:t>
            </w:r>
          </w:p>
        </w:tc>
        <w:tc>
          <w:tcPr>
            <w:tcW w:w="851" w:type="dxa"/>
            <w:vAlign w:val="center"/>
          </w:tcPr>
          <w:p w14:paraId="58BF4A61" w14:textId="70352F8A"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5.9 (1.0)</w:t>
            </w:r>
          </w:p>
        </w:tc>
        <w:tc>
          <w:tcPr>
            <w:tcW w:w="856" w:type="dxa"/>
            <w:vAlign w:val="center"/>
          </w:tcPr>
          <w:p w14:paraId="3D954587" w14:textId="1C26D06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12.3 (6.4)</w:t>
            </w:r>
          </w:p>
        </w:tc>
        <w:tc>
          <w:tcPr>
            <w:tcW w:w="851" w:type="dxa"/>
          </w:tcPr>
          <w:p w14:paraId="185BEB36" w14:textId="22072C7A"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5.8 (1.1)</w:t>
            </w:r>
          </w:p>
        </w:tc>
        <w:tc>
          <w:tcPr>
            <w:tcW w:w="992" w:type="dxa"/>
            <w:vAlign w:val="center"/>
          </w:tcPr>
          <w:p w14:paraId="2299212A" w14:textId="1DE1F07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6.1 (1.5)</w:t>
            </w:r>
          </w:p>
        </w:tc>
        <w:tc>
          <w:tcPr>
            <w:tcW w:w="992" w:type="dxa"/>
            <w:vAlign w:val="center"/>
          </w:tcPr>
          <w:p w14:paraId="679A08EB" w14:textId="503F739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5.8 (1.0)</w:t>
            </w:r>
          </w:p>
        </w:tc>
        <w:tc>
          <w:tcPr>
            <w:tcW w:w="993" w:type="dxa"/>
            <w:vAlign w:val="center"/>
          </w:tcPr>
          <w:p w14:paraId="1B551636" w14:textId="107CCF13"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13.3 (5.8)</w:t>
            </w:r>
          </w:p>
        </w:tc>
        <w:tc>
          <w:tcPr>
            <w:tcW w:w="993" w:type="dxa"/>
          </w:tcPr>
          <w:p w14:paraId="45BA4CCC" w14:textId="2D57AA13"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6.0 (1.1)</w:t>
            </w:r>
          </w:p>
        </w:tc>
      </w:tr>
      <w:tr w:rsidR="006B3D84" w:rsidRPr="00A3687D" w14:paraId="68936AD8" w14:textId="172100C2" w:rsidTr="00D51633">
        <w:trPr>
          <w:trHeight w:val="300"/>
        </w:trPr>
        <w:tc>
          <w:tcPr>
            <w:tcW w:w="1834" w:type="dxa"/>
            <w:vAlign w:val="center"/>
          </w:tcPr>
          <w:p w14:paraId="2D678820" w14:textId="77777777" w:rsidR="006B3D84" w:rsidRPr="00A3687D" w:rsidRDefault="006B3D84" w:rsidP="006B3D84">
            <w:pPr>
              <w:ind w:left="57"/>
              <w:jc w:val="center"/>
              <w:rPr>
                <w:rFonts w:ascii="Arial" w:eastAsia="Arial" w:hAnsi="Arial" w:cs="Arial"/>
                <w:b/>
                <w:bCs/>
                <w:sz w:val="19"/>
                <w:szCs w:val="19"/>
              </w:rPr>
            </w:pPr>
            <w:r w:rsidRPr="00A3687D">
              <w:rPr>
                <w:rFonts w:ascii="Arial" w:eastAsia="Arial" w:hAnsi="Arial" w:cs="Arial"/>
                <w:b/>
                <w:bCs/>
                <w:sz w:val="19"/>
                <w:szCs w:val="19"/>
              </w:rPr>
              <w:t>VFA (µMol/L)</w:t>
            </w:r>
          </w:p>
        </w:tc>
        <w:tc>
          <w:tcPr>
            <w:tcW w:w="990" w:type="dxa"/>
            <w:vAlign w:val="center"/>
          </w:tcPr>
          <w:p w14:paraId="77DE1195" w14:textId="28406F8C"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128.3 (23.7)</w:t>
            </w:r>
          </w:p>
        </w:tc>
        <w:tc>
          <w:tcPr>
            <w:tcW w:w="851" w:type="dxa"/>
            <w:vAlign w:val="center"/>
          </w:tcPr>
          <w:p w14:paraId="1D5578CB" w14:textId="4D6A7528"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147.8 (37.5)</w:t>
            </w:r>
          </w:p>
        </w:tc>
        <w:tc>
          <w:tcPr>
            <w:tcW w:w="856" w:type="dxa"/>
            <w:vAlign w:val="center"/>
          </w:tcPr>
          <w:p w14:paraId="7307BA5E" w14:textId="5C526D9E"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874 (629)</w:t>
            </w:r>
          </w:p>
        </w:tc>
        <w:tc>
          <w:tcPr>
            <w:tcW w:w="851" w:type="dxa"/>
          </w:tcPr>
          <w:p w14:paraId="5D671E7A" w14:textId="1EE3B49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103.4 (18.3)</w:t>
            </w:r>
          </w:p>
        </w:tc>
        <w:tc>
          <w:tcPr>
            <w:tcW w:w="992" w:type="dxa"/>
            <w:vAlign w:val="center"/>
          </w:tcPr>
          <w:p w14:paraId="0A8591F3" w14:textId="7D96849F"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124.1 (20.8)</w:t>
            </w:r>
          </w:p>
        </w:tc>
        <w:tc>
          <w:tcPr>
            <w:tcW w:w="992" w:type="dxa"/>
            <w:vAlign w:val="center"/>
          </w:tcPr>
          <w:p w14:paraId="413CDD09" w14:textId="63569135"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120.2 (22.2)</w:t>
            </w:r>
          </w:p>
        </w:tc>
        <w:tc>
          <w:tcPr>
            <w:tcW w:w="993" w:type="dxa"/>
            <w:vAlign w:val="center"/>
          </w:tcPr>
          <w:p w14:paraId="56F8803B" w14:textId="2D6B2B80"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803 (566)</w:t>
            </w:r>
          </w:p>
        </w:tc>
        <w:tc>
          <w:tcPr>
            <w:tcW w:w="993" w:type="dxa"/>
          </w:tcPr>
          <w:p w14:paraId="6826D35D" w14:textId="39D35CC6" w:rsidR="006B3D84" w:rsidRPr="00A3687D" w:rsidRDefault="006B3D84" w:rsidP="006B3D84">
            <w:pPr>
              <w:ind w:left="57"/>
              <w:jc w:val="center"/>
              <w:rPr>
                <w:rFonts w:ascii="Arial" w:eastAsia="Arial" w:hAnsi="Arial" w:cs="Arial"/>
                <w:sz w:val="19"/>
                <w:szCs w:val="19"/>
              </w:rPr>
            </w:pPr>
            <w:r w:rsidRPr="00A3687D">
              <w:rPr>
                <w:rFonts w:ascii="Arial" w:eastAsia="Arial" w:hAnsi="Arial" w:cs="Arial"/>
                <w:sz w:val="19"/>
                <w:szCs w:val="19"/>
              </w:rPr>
              <w:t>133.7 (37.0)</w:t>
            </w:r>
          </w:p>
        </w:tc>
      </w:tr>
    </w:tbl>
    <w:p w14:paraId="7A76C34C" w14:textId="4CBA7598" w:rsidR="00BB0CD7" w:rsidRPr="00BB0CD7" w:rsidRDefault="00BB0CD7" w:rsidP="00BB0CD7">
      <w:pPr>
        <w:suppressLineNumbers/>
        <w:ind w:left="57"/>
        <w:jc w:val="both"/>
        <w:rPr>
          <w:rFonts w:ascii="Arial" w:eastAsia="Arial" w:hAnsi="Arial" w:cs="Arial"/>
          <w:sz w:val="20"/>
          <w:szCs w:val="20"/>
        </w:rPr>
      </w:pPr>
      <w:r w:rsidRPr="00BB0CD7">
        <w:rPr>
          <w:rFonts w:ascii="Arial" w:eastAsia="Arial" w:hAnsi="Arial" w:cs="Arial"/>
          <w:sz w:val="20"/>
          <w:szCs w:val="20"/>
        </w:rPr>
        <w:t xml:space="preserve">Data are presented as </w:t>
      </w:r>
      <w:r w:rsidR="00A3687D">
        <w:rPr>
          <w:rFonts w:ascii="Arial" w:eastAsia="Arial" w:hAnsi="Arial" w:cs="Arial"/>
          <w:sz w:val="20"/>
          <w:szCs w:val="20"/>
        </w:rPr>
        <w:t>means and</w:t>
      </w:r>
      <w:r w:rsidRPr="00BB0CD7">
        <w:rPr>
          <w:rFonts w:ascii="Arial" w:eastAsia="Arial" w:hAnsi="Arial" w:cs="Arial"/>
          <w:sz w:val="20"/>
          <w:szCs w:val="20"/>
        </w:rPr>
        <w:t xml:space="preserve"> </w:t>
      </w:r>
      <w:r w:rsidR="00A3687D">
        <w:rPr>
          <w:rFonts w:ascii="Arial" w:eastAsia="Arial" w:hAnsi="Arial" w:cs="Arial"/>
          <w:sz w:val="20"/>
          <w:szCs w:val="20"/>
        </w:rPr>
        <w:t>s</w:t>
      </w:r>
      <w:r w:rsidRPr="00BB0CD7">
        <w:rPr>
          <w:rFonts w:ascii="Arial" w:eastAsia="Arial" w:hAnsi="Arial" w:cs="Arial"/>
          <w:sz w:val="20"/>
          <w:szCs w:val="20"/>
        </w:rPr>
        <w:t>tandard error of the mean (SEM) in parentheses</w:t>
      </w:r>
      <w:r w:rsidR="00A3687D">
        <w:rPr>
          <w:rFonts w:ascii="Arial" w:eastAsia="Arial" w:hAnsi="Arial" w:cs="Arial"/>
          <w:sz w:val="20"/>
          <w:szCs w:val="20"/>
        </w:rPr>
        <w:t>.</w:t>
      </w:r>
      <w:r w:rsidRPr="00BB0CD7">
        <w:rPr>
          <w:rFonts w:ascii="Arial" w:eastAsia="Arial" w:hAnsi="Arial" w:cs="Arial"/>
          <w:sz w:val="20"/>
          <w:szCs w:val="20"/>
        </w:rPr>
        <w:tab/>
      </w:r>
      <w:r w:rsidRPr="00BB0CD7">
        <w:rPr>
          <w:rFonts w:ascii="Arial" w:eastAsia="Arial" w:hAnsi="Arial" w:cs="Arial"/>
          <w:sz w:val="20"/>
          <w:szCs w:val="20"/>
        </w:rPr>
        <w:br/>
      </w:r>
      <w:r w:rsidRPr="00BB0CD7">
        <w:rPr>
          <w:rFonts w:ascii="Arial" w:eastAsia="Arial" w:hAnsi="Arial" w:cs="Arial"/>
          <w:i/>
          <w:iCs/>
          <w:sz w:val="20"/>
          <w:szCs w:val="20"/>
        </w:rPr>
        <w:t xml:space="preserve">Abbreviations: 2MB, 2-methylbutyrate; </w:t>
      </w:r>
      <w:bookmarkStart w:id="0" w:name="_Hlk155879927"/>
      <w:r w:rsidRPr="00BB0CD7">
        <w:rPr>
          <w:rFonts w:ascii="Arial" w:eastAsia="Arial" w:hAnsi="Arial" w:cs="Arial"/>
          <w:sz w:val="20"/>
          <w:szCs w:val="20"/>
        </w:rPr>
        <w:t>BCFA, branched-chain fatty acids</w:t>
      </w:r>
      <w:bookmarkEnd w:id="0"/>
      <w:r w:rsidRPr="00BB0CD7">
        <w:rPr>
          <w:rFonts w:ascii="Arial" w:eastAsia="Arial" w:hAnsi="Arial" w:cs="Arial"/>
          <w:sz w:val="20"/>
          <w:szCs w:val="20"/>
        </w:rPr>
        <w:t xml:space="preserve">; PD, polydextrose; RS, resistant starch; SCFA, short-chain fatty acids; </w:t>
      </w:r>
      <w:bookmarkStart w:id="1" w:name="_Hlk155879935"/>
      <w:r w:rsidRPr="00BB0CD7">
        <w:rPr>
          <w:rFonts w:ascii="Arial" w:eastAsia="Arial" w:hAnsi="Arial" w:cs="Arial"/>
          <w:sz w:val="20"/>
          <w:szCs w:val="20"/>
        </w:rPr>
        <w:t>VFA, volatile fatty acids.</w:t>
      </w:r>
    </w:p>
    <w:bookmarkEnd w:id="1"/>
    <w:p w14:paraId="392F2ADA" w14:textId="77777777" w:rsidR="00BB0CD7" w:rsidRDefault="00BB0CD7" w:rsidP="00BB0CD7">
      <w:pPr>
        <w:suppressLineNumbers/>
        <w:spacing w:line="276" w:lineRule="auto"/>
        <w:rPr>
          <w:rFonts w:ascii="Arial" w:hAnsi="Arial" w:cs="Arial"/>
        </w:rPr>
      </w:pPr>
    </w:p>
    <w:p w14:paraId="61593F93" w14:textId="77777777" w:rsidR="001C3A8B" w:rsidRDefault="001C3A8B" w:rsidP="001C3A8B">
      <w:pPr>
        <w:spacing w:line="360" w:lineRule="auto"/>
        <w:jc w:val="both"/>
        <w:rPr>
          <w:rFonts w:ascii="Arial" w:hAnsi="Arial" w:cs="Arial"/>
        </w:rPr>
      </w:pPr>
    </w:p>
    <w:p w14:paraId="58A1808C" w14:textId="77777777" w:rsidR="001C3A8B" w:rsidRDefault="001C3A8B" w:rsidP="001C3A8B">
      <w:pPr>
        <w:spacing w:after="160" w:line="259" w:lineRule="auto"/>
        <w:rPr>
          <w:rFonts w:ascii="Arial" w:hAnsi="Arial" w:cs="Arial"/>
        </w:rPr>
      </w:pPr>
      <w:r>
        <w:rPr>
          <w:rFonts w:ascii="Arial" w:hAnsi="Arial" w:cs="Arial"/>
          <w:noProof/>
        </w:rPr>
        <w:drawing>
          <wp:inline distT="0" distB="0" distL="0" distR="0" wp14:anchorId="670781F5" wp14:editId="261190C3">
            <wp:extent cx="5731510" cy="7164705"/>
            <wp:effectExtent l="0" t="0" r="0" b="0"/>
            <wp:docPr id="1568941987" name="Picture 2" descr="A graph of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41987" name="Picture 2" descr="A graph of lines and dot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p w14:paraId="46CD6615" w14:textId="77777777" w:rsidR="001C3A8B" w:rsidRPr="007A0CB8" w:rsidRDefault="001C3A8B" w:rsidP="001C3A8B">
      <w:pPr>
        <w:spacing w:after="160" w:line="259" w:lineRule="auto"/>
        <w:rPr>
          <w:rFonts w:ascii="Arial" w:hAnsi="Arial" w:cs="Arial"/>
          <w:b/>
          <w:bCs/>
          <w:i/>
          <w:iCs/>
        </w:rPr>
      </w:pPr>
      <w:r>
        <w:rPr>
          <w:rFonts w:ascii="Arial" w:hAnsi="Arial" w:cs="Arial"/>
          <w:b/>
          <w:bCs/>
        </w:rPr>
        <w:t>Supplementary Figure</w:t>
      </w:r>
      <w:r w:rsidRPr="007A0CB8">
        <w:rPr>
          <w:rFonts w:ascii="Arial" w:hAnsi="Arial" w:cs="Arial"/>
          <w:b/>
          <w:bCs/>
        </w:rPr>
        <w:t xml:space="preserve"> </w:t>
      </w:r>
      <w:r>
        <w:rPr>
          <w:rFonts w:ascii="Arial" w:hAnsi="Arial" w:cs="Arial"/>
          <w:b/>
          <w:bCs/>
        </w:rPr>
        <w:t>1.</w:t>
      </w:r>
      <w:r w:rsidRPr="007A0CB8">
        <w:rPr>
          <w:rFonts w:ascii="Arial" w:hAnsi="Arial" w:cs="Arial"/>
          <w:b/>
          <w:bCs/>
        </w:rPr>
        <w:t xml:space="preserve"> Principal Coordinates Analysis based on </w:t>
      </w:r>
      <w:r>
        <w:rPr>
          <w:rFonts w:ascii="Arial" w:hAnsi="Arial" w:cs="Arial"/>
          <w:b/>
          <w:bCs/>
        </w:rPr>
        <w:t>un</w:t>
      </w:r>
      <w:r w:rsidRPr="007A0CB8">
        <w:rPr>
          <w:rFonts w:ascii="Arial" w:hAnsi="Arial" w:cs="Arial"/>
          <w:b/>
          <w:bCs/>
        </w:rPr>
        <w:t>weighted Bray-</w:t>
      </w:r>
      <w:proofErr w:type="gramStart"/>
      <w:r w:rsidRPr="007A0CB8">
        <w:rPr>
          <w:rFonts w:ascii="Arial" w:hAnsi="Arial" w:cs="Arial"/>
          <w:b/>
          <w:bCs/>
        </w:rPr>
        <w:t>Curtis</w:t>
      </w:r>
      <w:proofErr w:type="gramEnd"/>
      <w:r w:rsidRPr="007A0CB8">
        <w:rPr>
          <w:rFonts w:ascii="Arial" w:hAnsi="Arial" w:cs="Arial"/>
          <w:b/>
          <w:bCs/>
        </w:rPr>
        <w:t xml:space="preserve"> distance metrics, illustrating microbial communities pre- and post-intervention in response to both interventions. A) </w:t>
      </w:r>
      <w:r w:rsidRPr="007A0CB8">
        <w:rPr>
          <w:rFonts w:ascii="Arial" w:hAnsi="Arial" w:cs="Arial"/>
        </w:rPr>
        <w:t xml:space="preserve">Impact of RS intervention on microbial community composition. </w:t>
      </w:r>
      <w:r w:rsidRPr="007A0CB8">
        <w:rPr>
          <w:rFonts w:ascii="Arial" w:hAnsi="Arial" w:cs="Arial"/>
          <w:b/>
          <w:bCs/>
        </w:rPr>
        <w:t xml:space="preserve">B) </w:t>
      </w:r>
      <w:r>
        <w:rPr>
          <w:rFonts w:ascii="Arial" w:hAnsi="Arial" w:cs="Arial"/>
        </w:rPr>
        <w:t xml:space="preserve">Impact </w:t>
      </w:r>
      <w:r w:rsidRPr="007A0CB8">
        <w:rPr>
          <w:rFonts w:ascii="Arial" w:hAnsi="Arial" w:cs="Arial"/>
        </w:rPr>
        <w:t xml:space="preserve">of </w:t>
      </w:r>
      <w:r>
        <w:rPr>
          <w:rFonts w:ascii="Arial" w:hAnsi="Arial" w:cs="Arial"/>
        </w:rPr>
        <w:t xml:space="preserve">PD </w:t>
      </w:r>
      <w:r w:rsidRPr="007A0CB8">
        <w:rPr>
          <w:rFonts w:ascii="Arial" w:hAnsi="Arial" w:cs="Arial"/>
        </w:rPr>
        <w:t xml:space="preserve">intervention on microbial </w:t>
      </w:r>
      <w:r w:rsidRPr="007A0CB8">
        <w:rPr>
          <w:rFonts w:ascii="Arial" w:hAnsi="Arial" w:cs="Arial"/>
        </w:rPr>
        <w:lastRenderedPageBreak/>
        <w:t>community composition.</w:t>
      </w:r>
      <w:r w:rsidRPr="007A0CB8">
        <w:rPr>
          <w:rFonts w:ascii="Arial" w:hAnsi="Arial" w:cs="Arial"/>
        </w:rPr>
        <w:tab/>
      </w:r>
      <w:r w:rsidRPr="007A0CB8">
        <w:rPr>
          <w:rFonts w:ascii="Arial" w:hAnsi="Arial" w:cs="Arial"/>
        </w:rPr>
        <w:br/>
      </w:r>
      <w:r w:rsidRPr="007A0CB8">
        <w:rPr>
          <w:rFonts w:ascii="Arial" w:hAnsi="Arial" w:cs="Arial"/>
          <w:i/>
          <w:iCs/>
        </w:rPr>
        <w:t>Abbreviations: RS, resistant starch; PD, polydextrose.</w:t>
      </w:r>
      <w:r>
        <w:rPr>
          <w:rFonts w:ascii="Arial" w:hAnsi="Arial" w:cs="Arial"/>
          <w:b/>
          <w:bCs/>
          <w:i/>
          <w:iCs/>
        </w:rPr>
        <w:br w:type="page"/>
      </w:r>
    </w:p>
    <w:p w14:paraId="50D20AB2" w14:textId="77777777" w:rsidR="001C3A8B" w:rsidRDefault="001C3A8B" w:rsidP="001C3A8B">
      <w:pPr>
        <w:spacing w:line="360" w:lineRule="auto"/>
        <w:jc w:val="both"/>
        <w:rPr>
          <w:rFonts w:ascii="Arial" w:hAnsi="Arial" w:cs="Arial"/>
          <w:b/>
          <w:bCs/>
        </w:rPr>
      </w:pPr>
      <w:r>
        <w:rPr>
          <w:rFonts w:ascii="Arial" w:hAnsi="Arial" w:cs="Arial"/>
          <w:color w:val="000000"/>
          <w:shd w:val="clear" w:color="auto" w:fill="FFFFFF"/>
        </w:rPr>
        <w:lastRenderedPageBreak/>
        <w:br/>
      </w:r>
    </w:p>
    <w:p w14:paraId="24F12B0D" w14:textId="77777777" w:rsidR="001C3A8B" w:rsidRDefault="001C3A8B" w:rsidP="001C3A8B">
      <w:pPr>
        <w:spacing w:line="360" w:lineRule="auto"/>
        <w:jc w:val="both"/>
        <w:rPr>
          <w:rStyle w:val="normaltextrun"/>
          <w:rFonts w:ascii="Arial" w:hAnsi="Arial" w:cs="Arial"/>
          <w:b/>
          <w:bCs/>
          <w:color w:val="000000"/>
          <w:shd w:val="clear" w:color="auto" w:fill="FFFFFF"/>
        </w:rPr>
      </w:pPr>
      <w:r>
        <w:rPr>
          <w:rFonts w:ascii="Arial" w:hAnsi="Arial" w:cs="Arial"/>
          <w:b/>
          <w:bCs/>
          <w:noProof/>
        </w:rPr>
        <w:drawing>
          <wp:inline distT="0" distB="0" distL="0" distR="0" wp14:anchorId="0AEB4CE1" wp14:editId="7FF10483">
            <wp:extent cx="5731510" cy="7451090"/>
            <wp:effectExtent l="0" t="0" r="2540" b="0"/>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451090"/>
                    </a:xfrm>
                    <a:prstGeom prst="rect">
                      <a:avLst/>
                    </a:prstGeom>
                  </pic:spPr>
                </pic:pic>
              </a:graphicData>
            </a:graphic>
          </wp:inline>
        </w:drawing>
      </w:r>
      <w:r>
        <w:rPr>
          <w:rFonts w:ascii="Arial" w:hAnsi="Arial" w:cs="Arial"/>
          <w:b/>
          <w:bCs/>
        </w:rPr>
        <w:t>Supplementary Figure 2.</w:t>
      </w:r>
      <w:r w:rsidRPr="00E44375">
        <w:rPr>
          <w:rFonts w:ascii="Arial" w:hAnsi="Arial" w:cs="Arial"/>
          <w:b/>
          <w:bCs/>
          <w:color w:val="000000"/>
          <w:shd w:val="clear" w:color="auto" w:fill="FFFFFF"/>
        </w:rPr>
        <w:t xml:space="preserve"> </w:t>
      </w:r>
      <w:r>
        <w:rPr>
          <w:rStyle w:val="normaltextrun"/>
          <w:rFonts w:ascii="Arial" w:hAnsi="Arial" w:cs="Arial"/>
          <w:b/>
          <w:bCs/>
          <w:color w:val="000000"/>
          <w:shd w:val="clear" w:color="auto" w:fill="FFFFFF"/>
        </w:rPr>
        <w:t>Bar plots representing the top 20% of genera within each of the three identified microbial enterotypes. A) Enterotype 1, B) Enterotype 2, and C) Enterotype 3.</w:t>
      </w:r>
    </w:p>
    <w:p w14:paraId="530D6A23" w14:textId="77777777" w:rsidR="001C3A8B" w:rsidRDefault="001C3A8B" w:rsidP="001C3A8B">
      <w:pPr>
        <w:spacing w:after="160" w:line="259" w:lineRule="auto"/>
        <w:rPr>
          <w:rStyle w:val="normaltextrun"/>
          <w:rFonts w:ascii="Arial" w:hAnsi="Arial" w:cs="Arial"/>
          <w:b/>
          <w:bCs/>
          <w:color w:val="000000"/>
          <w:shd w:val="clear" w:color="auto" w:fill="FFFFFF"/>
        </w:rPr>
      </w:pPr>
      <w:r>
        <w:rPr>
          <w:rFonts w:ascii="Arial" w:hAnsi="Arial" w:cs="Arial"/>
          <w:b/>
          <w:bCs/>
          <w:noProof/>
          <w:color w:val="000000"/>
          <w:shd w:val="clear" w:color="auto" w:fill="FFFFFF"/>
        </w:rPr>
        <w:lastRenderedPageBreak/>
        <w:drawing>
          <wp:inline distT="0" distB="0" distL="0" distR="0" wp14:anchorId="5C471F4F" wp14:editId="2F88EE25">
            <wp:extent cx="5731510" cy="5731510"/>
            <wp:effectExtent l="0" t="0" r="0" b="0"/>
            <wp:docPr id="154653739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7397" name="Picture 1" descr="A diagram of a diagra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4ADA771" w14:textId="77777777" w:rsidR="001C3A8B" w:rsidRPr="00FE1689" w:rsidRDefault="001C3A8B" w:rsidP="001C3A8B">
      <w:pPr>
        <w:spacing w:after="160" w:line="259" w:lineRule="auto"/>
        <w:rPr>
          <w:rStyle w:val="normaltextrun"/>
          <w:rFonts w:ascii="Arial" w:hAnsi="Arial" w:cs="Arial"/>
          <w:b/>
          <w:bCs/>
          <w:i/>
          <w:iCs/>
          <w:color w:val="000000"/>
          <w:shd w:val="clear" w:color="auto" w:fill="FFFFFF"/>
        </w:rPr>
      </w:pPr>
      <w:r w:rsidRPr="00FC2CE3">
        <w:rPr>
          <w:rFonts w:ascii="Arial" w:hAnsi="Arial" w:cs="Arial"/>
          <w:b/>
          <w:bCs/>
          <w:color w:val="000000"/>
          <w:shd w:val="clear" w:color="auto" w:fill="FFFFFF"/>
        </w:rPr>
        <w:t xml:space="preserve">Supplementary Figure 3. </w:t>
      </w:r>
      <w:r>
        <w:rPr>
          <w:rFonts w:ascii="Arial" w:hAnsi="Arial" w:cs="Arial"/>
          <w:b/>
          <w:bCs/>
          <w:color w:val="000000"/>
          <w:shd w:val="clear" w:color="auto" w:fill="FFFFFF"/>
        </w:rPr>
        <w:t xml:space="preserve">Correlations between concentrations of pre- and post-intervention metabolites in plasma, stool, and urine. </w:t>
      </w:r>
      <w:r w:rsidRPr="003720FC">
        <w:rPr>
          <w:rFonts w:ascii="Arial" w:hAnsi="Arial" w:cs="Arial"/>
          <w:color w:val="000000"/>
          <w:shd w:val="clear" w:color="auto" w:fill="FFFFFF"/>
        </w:rPr>
        <w:t xml:space="preserve">Colours </w:t>
      </w:r>
      <w:r>
        <w:rPr>
          <w:rFonts w:ascii="Arial" w:hAnsi="Arial" w:cs="Arial"/>
          <w:color w:val="000000"/>
          <w:shd w:val="clear" w:color="auto" w:fill="FFFFFF"/>
        </w:rPr>
        <w:t xml:space="preserve">of points </w:t>
      </w:r>
      <w:r w:rsidRPr="003720FC">
        <w:rPr>
          <w:rFonts w:ascii="Arial" w:hAnsi="Arial" w:cs="Arial"/>
          <w:color w:val="000000"/>
          <w:shd w:val="clear" w:color="auto" w:fill="FFFFFF"/>
        </w:rPr>
        <w:t>represent Spearman’s rho values,</w:t>
      </w:r>
      <w:r>
        <w:rPr>
          <w:rFonts w:ascii="Arial" w:hAnsi="Arial" w:cs="Arial"/>
          <w:color w:val="000000"/>
          <w:shd w:val="clear" w:color="auto" w:fill="FFFFFF"/>
        </w:rPr>
        <w:t xml:space="preserve"> </w:t>
      </w:r>
      <w:r w:rsidRPr="003720FC">
        <w:rPr>
          <w:rFonts w:ascii="Symbol" w:eastAsia="Symbol" w:hAnsi="Symbol" w:cs="Symbol"/>
          <w:color w:val="000000"/>
          <w:shd w:val="clear" w:color="auto" w:fill="FFFFFF"/>
        </w:rPr>
        <w:t>´</w:t>
      </w:r>
      <w:r w:rsidRPr="00FE1689">
        <w:rPr>
          <w:rFonts w:ascii="Arial" w:hAnsi="Arial" w:cs="Arial"/>
          <w:color w:val="000000"/>
          <w:shd w:val="clear" w:color="auto" w:fill="FFFFFF"/>
        </w:rPr>
        <w:t xml:space="preserve"> </w:t>
      </w:r>
      <w:r>
        <w:rPr>
          <w:rFonts w:ascii="Arial" w:hAnsi="Arial" w:cs="Arial"/>
          <w:color w:val="000000"/>
          <w:shd w:val="clear" w:color="auto" w:fill="FFFFFF"/>
        </w:rPr>
        <w:t>within a point indicates</w:t>
      </w:r>
      <w:r w:rsidRPr="00FE1689">
        <w:rPr>
          <w:rFonts w:ascii="Arial" w:hAnsi="Arial" w:cs="Arial"/>
          <w:color w:val="000000"/>
          <w:shd w:val="clear" w:color="auto" w:fill="FFFFFF"/>
        </w:rPr>
        <w:t xml:space="preserve"> a p value&gt;0.05.</w:t>
      </w:r>
      <w:r>
        <w:rPr>
          <w:rFonts w:ascii="Arial" w:hAnsi="Arial" w:cs="Arial"/>
          <w:color w:val="000000"/>
          <w:shd w:val="clear" w:color="auto" w:fill="FFFFFF"/>
        </w:rPr>
        <w:t xml:space="preserve"> Colours of labels represent pre-/post-intervention for each tissue type.</w:t>
      </w:r>
      <w:r>
        <w:rPr>
          <w:rFonts w:ascii="Arial" w:hAnsi="Arial" w:cs="Arial"/>
          <w:color w:val="000000"/>
          <w:shd w:val="clear" w:color="auto" w:fill="FFFFFF"/>
        </w:rPr>
        <w:br/>
      </w:r>
      <w:r>
        <w:rPr>
          <w:rFonts w:ascii="Arial" w:hAnsi="Arial" w:cs="Arial"/>
          <w:i/>
          <w:iCs/>
          <w:color w:val="000000"/>
          <w:shd w:val="clear" w:color="auto" w:fill="FFFFFF"/>
        </w:rPr>
        <w:t xml:space="preserve">Abbreviations: 2MB, </w:t>
      </w:r>
      <w:r w:rsidRPr="00BF04E2">
        <w:rPr>
          <w:rFonts w:ascii="Arial" w:hAnsi="Arial" w:cs="Arial"/>
          <w:i/>
          <w:iCs/>
          <w:color w:val="000000"/>
          <w:shd w:val="clear" w:color="auto" w:fill="FFFFFF"/>
        </w:rPr>
        <w:t>2-methyl-1-butanol</w:t>
      </w:r>
      <w:r>
        <w:rPr>
          <w:rFonts w:ascii="Arial" w:hAnsi="Arial" w:cs="Arial"/>
          <w:i/>
          <w:iCs/>
          <w:color w:val="000000"/>
          <w:shd w:val="clear" w:color="auto" w:fill="FFFFFF"/>
        </w:rPr>
        <w:t>; 3</w:t>
      </w:r>
      <w:r w:rsidRPr="004C104A">
        <w:rPr>
          <w:rFonts w:ascii="Arial" w:hAnsi="Arial" w:cs="Arial"/>
          <w:i/>
          <w:iCs/>
          <w:color w:val="000000"/>
          <w:shd w:val="clear" w:color="auto" w:fill="FFFFFF"/>
        </w:rPr>
        <w:t xml:space="preserve">MB, </w:t>
      </w:r>
      <w:r>
        <w:rPr>
          <w:rFonts w:ascii="Arial" w:hAnsi="Arial" w:cs="Arial"/>
          <w:i/>
          <w:iCs/>
          <w:color w:val="000000"/>
          <w:shd w:val="clear" w:color="auto" w:fill="FFFFFF"/>
        </w:rPr>
        <w:t>3</w:t>
      </w:r>
      <w:r w:rsidRPr="004C104A">
        <w:rPr>
          <w:rFonts w:ascii="Arial" w:hAnsi="Arial" w:cs="Arial"/>
          <w:i/>
          <w:iCs/>
          <w:color w:val="000000"/>
          <w:shd w:val="clear" w:color="auto" w:fill="FFFFFF"/>
        </w:rPr>
        <w:t>-methyl-1-butanol</w:t>
      </w:r>
      <w:r>
        <w:rPr>
          <w:rFonts w:ascii="Arial" w:hAnsi="Arial" w:cs="Arial"/>
          <w:i/>
          <w:iCs/>
          <w:color w:val="000000"/>
          <w:shd w:val="clear" w:color="auto" w:fill="FFFFFF"/>
        </w:rPr>
        <w:t>; SCFA, short-chain fatty acid; BCFA, branched-chain fatty acid.</w:t>
      </w:r>
    </w:p>
    <w:p w14:paraId="54FD7503" w14:textId="77777777" w:rsidR="001C3A8B" w:rsidRDefault="001C3A8B" w:rsidP="001C3A8B">
      <w:pPr>
        <w:spacing w:after="160" w:line="259" w:lineRule="auto"/>
        <w:rPr>
          <w:rStyle w:val="normaltextrun"/>
          <w:rFonts w:ascii="Arial" w:hAnsi="Arial" w:cs="Arial"/>
          <w:b/>
          <w:bCs/>
          <w:color w:val="000000"/>
          <w:shd w:val="clear" w:color="auto" w:fill="FFFFFF"/>
        </w:rPr>
      </w:pPr>
    </w:p>
    <w:p w14:paraId="1A7EE190" w14:textId="77777777" w:rsidR="001C3A8B" w:rsidRDefault="001C3A8B" w:rsidP="001C3A8B">
      <w:pPr>
        <w:spacing w:after="160" w:line="259" w:lineRule="auto"/>
        <w:rPr>
          <w:rStyle w:val="normaltextrun"/>
          <w:rFonts w:ascii="Arial" w:hAnsi="Arial" w:cs="Arial"/>
          <w:b/>
          <w:bCs/>
          <w:color w:val="000000"/>
          <w:shd w:val="clear" w:color="auto" w:fill="FFFFFF"/>
        </w:rPr>
      </w:pPr>
    </w:p>
    <w:p w14:paraId="10A01341" w14:textId="77777777" w:rsidR="001C3A8B" w:rsidRDefault="001C3A8B" w:rsidP="001C3A8B">
      <w:pPr>
        <w:spacing w:after="160" w:line="259" w:lineRule="auto"/>
        <w:rPr>
          <w:rStyle w:val="normaltextrun"/>
          <w:rFonts w:ascii="Arial" w:hAnsi="Arial" w:cs="Arial"/>
          <w:b/>
          <w:bCs/>
          <w:color w:val="000000"/>
          <w:shd w:val="clear" w:color="auto" w:fill="FFFFFF"/>
        </w:rPr>
      </w:pPr>
    </w:p>
    <w:p w14:paraId="680F5218" w14:textId="77777777" w:rsidR="001C3A8B" w:rsidRDefault="001C3A8B" w:rsidP="001C3A8B">
      <w:pPr>
        <w:spacing w:line="360" w:lineRule="auto"/>
        <w:jc w:val="both"/>
        <w:rPr>
          <w:rStyle w:val="normaltextrun"/>
          <w:rFonts w:ascii="Arial" w:hAnsi="Arial" w:cs="Arial"/>
          <w:color w:val="000000"/>
          <w:shd w:val="clear" w:color="auto" w:fill="FFFFFF"/>
        </w:rPr>
      </w:pPr>
      <w:r>
        <w:rPr>
          <w:rFonts w:ascii="Arial" w:hAnsi="Arial" w:cs="Arial"/>
          <w:noProof/>
          <w:color w:val="000000"/>
          <w:shd w:val="clear" w:color="auto" w:fill="FFFFFF"/>
        </w:rPr>
        <w:lastRenderedPageBreak/>
        <w:drawing>
          <wp:inline distT="0" distB="0" distL="0" distR="0" wp14:anchorId="3324D01E" wp14:editId="2650DE19">
            <wp:extent cx="5731041" cy="5252307"/>
            <wp:effectExtent l="0" t="0" r="0" b="5715"/>
            <wp:docPr id="1380766983" name="Picture 7" descr="A circular diagram with many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66983" name="Picture 7" descr="A circular diagram with many different colored lines&#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10088" b="14306"/>
                    <a:stretch/>
                  </pic:blipFill>
                  <pic:spPr bwMode="auto">
                    <a:xfrm>
                      <a:off x="0" y="0"/>
                      <a:ext cx="5731510" cy="525273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hd w:val="clear" w:color="auto" w:fill="FFFFFF"/>
        </w:rPr>
        <w:br/>
      </w:r>
      <w:r>
        <w:rPr>
          <w:rStyle w:val="normaltextrun"/>
          <w:rFonts w:ascii="Arial" w:hAnsi="Arial" w:cs="Arial"/>
          <w:b/>
          <w:bCs/>
          <w:color w:val="000000"/>
          <w:shd w:val="clear" w:color="auto" w:fill="FFFFFF"/>
        </w:rPr>
        <w:t>Supplementary Figure 4. Coefficients and 95% CIs for linear models between delta microbe abundances and delta Acetate concentrations.</w:t>
      </w:r>
      <w:r>
        <w:rPr>
          <w:rStyle w:val="normaltextrun"/>
          <w:rFonts w:ascii="Arial" w:hAnsi="Arial" w:cs="Arial"/>
          <w:color w:val="000000"/>
          <w:shd w:val="clear" w:color="auto" w:fill="FFFFFF"/>
        </w:rPr>
        <w:t xml:space="preserve"> </w:t>
      </w:r>
    </w:p>
    <w:p w14:paraId="2ECD4660" w14:textId="77777777" w:rsidR="001C3A8B" w:rsidRDefault="001C3A8B" w:rsidP="001C3A8B">
      <w:pPr>
        <w:spacing w:line="360" w:lineRule="auto"/>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Filled bars are nominally significant (p &lt; 0.05) associations, semi-transparent bars are non-significant. It is important to note, no association passes multiple testing threshold (FDR &lt;0.05).</w:t>
      </w:r>
    </w:p>
    <w:p w14:paraId="14119AAF" w14:textId="77777777" w:rsidR="001C3A8B" w:rsidRPr="00D138A9" w:rsidRDefault="001C3A8B" w:rsidP="001C3A8B">
      <w:pPr>
        <w:spacing w:line="360" w:lineRule="auto"/>
        <w:jc w:val="both"/>
        <w:rPr>
          <w:rFonts w:ascii="Arial" w:hAnsi="Arial" w:cs="Arial"/>
          <w:b/>
          <w:bCs/>
        </w:rPr>
      </w:pPr>
      <w:r>
        <w:rPr>
          <w:rStyle w:val="normaltextrun"/>
          <w:rFonts w:ascii="Arial" w:hAnsi="Arial" w:cs="Arial"/>
          <w:i/>
          <w:iCs/>
          <w:color w:val="000000"/>
          <w:shd w:val="clear" w:color="auto" w:fill="FFFFFF"/>
        </w:rPr>
        <w:t>Abbreviations: UC: uncultured.</w:t>
      </w:r>
    </w:p>
    <w:p w14:paraId="0267DBD5" w14:textId="77777777" w:rsidR="001C3A8B" w:rsidRDefault="001C3A8B" w:rsidP="001C3A8B">
      <w:pPr>
        <w:rPr>
          <w:rFonts w:ascii="Arial" w:hAnsi="Arial" w:cs="Arial"/>
        </w:rPr>
      </w:pPr>
      <w:r>
        <w:rPr>
          <w:rFonts w:ascii="Arial" w:hAnsi="Arial" w:cs="Arial"/>
          <w:noProof/>
        </w:rPr>
        <w:lastRenderedPageBreak/>
        <w:drawing>
          <wp:inline distT="0" distB="0" distL="0" distR="0" wp14:anchorId="07653EB3" wp14:editId="522315CB">
            <wp:extent cx="5731054" cy="5198926"/>
            <wp:effectExtent l="0" t="0" r="0" b="0"/>
            <wp:docPr id="1192190041" name="Picture 9" descr="A circular diagram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90041" name="Picture 9" descr="A circular diagram with different colored line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10665" b="14498"/>
                    <a:stretch/>
                  </pic:blipFill>
                  <pic:spPr bwMode="auto">
                    <a:xfrm>
                      <a:off x="0" y="0"/>
                      <a:ext cx="5731510" cy="5199340"/>
                    </a:xfrm>
                    <a:prstGeom prst="rect">
                      <a:avLst/>
                    </a:prstGeom>
                    <a:ln>
                      <a:noFill/>
                    </a:ln>
                    <a:extLst>
                      <a:ext uri="{53640926-AAD7-44D8-BBD7-CCE9431645EC}">
                        <a14:shadowObscured xmlns:a14="http://schemas.microsoft.com/office/drawing/2010/main"/>
                      </a:ext>
                    </a:extLst>
                  </pic:spPr>
                </pic:pic>
              </a:graphicData>
            </a:graphic>
          </wp:inline>
        </w:drawing>
      </w:r>
    </w:p>
    <w:p w14:paraId="65692CF4" w14:textId="77777777" w:rsidR="001C3A8B" w:rsidRPr="00D805B0" w:rsidRDefault="001C3A8B" w:rsidP="001C3A8B">
      <w:pPr>
        <w:rPr>
          <w:rFonts w:ascii="Arial" w:hAnsi="Arial" w:cs="Arial"/>
        </w:rPr>
      </w:pPr>
      <w:r w:rsidRPr="00D805B0">
        <w:rPr>
          <w:rFonts w:ascii="Arial" w:hAnsi="Arial" w:cs="Arial"/>
          <w:b/>
          <w:bCs/>
        </w:rPr>
        <w:t xml:space="preserve">Supplementary Figure </w:t>
      </w:r>
      <w:r>
        <w:rPr>
          <w:rFonts w:ascii="Arial" w:hAnsi="Arial" w:cs="Arial"/>
          <w:b/>
          <w:bCs/>
        </w:rPr>
        <w:t>5</w:t>
      </w:r>
      <w:r w:rsidRPr="00D805B0">
        <w:rPr>
          <w:rFonts w:ascii="Arial" w:hAnsi="Arial" w:cs="Arial"/>
          <w:b/>
          <w:bCs/>
        </w:rPr>
        <w:t xml:space="preserve">. Coefficients and 95% CIs for linear models between delta microbe abundances and </w:t>
      </w:r>
      <w:r>
        <w:rPr>
          <w:rFonts w:ascii="Arial" w:hAnsi="Arial" w:cs="Arial"/>
          <w:b/>
          <w:bCs/>
        </w:rPr>
        <w:t xml:space="preserve">delta </w:t>
      </w:r>
      <w:r w:rsidRPr="00D805B0">
        <w:rPr>
          <w:rFonts w:ascii="Arial" w:hAnsi="Arial" w:cs="Arial"/>
          <w:b/>
          <w:bCs/>
        </w:rPr>
        <w:t>Propionate</w:t>
      </w:r>
      <w:r>
        <w:rPr>
          <w:rFonts w:ascii="Arial" w:hAnsi="Arial" w:cs="Arial"/>
          <w:b/>
          <w:bCs/>
        </w:rPr>
        <w:t xml:space="preserve"> concentrations</w:t>
      </w:r>
      <w:r w:rsidRPr="00D805B0">
        <w:rPr>
          <w:rFonts w:ascii="Arial" w:hAnsi="Arial" w:cs="Arial"/>
          <w:b/>
          <w:bCs/>
        </w:rPr>
        <w:t>.</w:t>
      </w:r>
    </w:p>
    <w:p w14:paraId="0EEE7DCA" w14:textId="77777777" w:rsidR="001C3A8B" w:rsidRPr="00D805B0" w:rsidRDefault="001C3A8B" w:rsidP="001C3A8B">
      <w:pPr>
        <w:rPr>
          <w:rFonts w:ascii="Arial" w:hAnsi="Arial" w:cs="Arial"/>
        </w:rPr>
      </w:pPr>
      <w:r w:rsidRPr="00D805B0">
        <w:rPr>
          <w:rFonts w:ascii="Arial" w:hAnsi="Arial" w:cs="Arial"/>
        </w:rPr>
        <w:t>Filled bars are nominally significant (p &lt; 0.05) associations, semi-transparent bars are non-significant. It is important to note, no association passes multiple testing threshold (FDR &lt;0.05).</w:t>
      </w:r>
    </w:p>
    <w:p w14:paraId="6E5C5D23" w14:textId="77777777" w:rsidR="001C3A8B" w:rsidRDefault="001C3A8B" w:rsidP="001C3A8B">
      <w:pPr>
        <w:rPr>
          <w:rFonts w:ascii="Arial" w:hAnsi="Arial" w:cs="Arial"/>
        </w:rPr>
      </w:pPr>
      <w:r w:rsidRPr="00D805B0">
        <w:rPr>
          <w:rFonts w:ascii="Arial" w:hAnsi="Arial" w:cs="Arial"/>
          <w:i/>
          <w:iCs/>
        </w:rPr>
        <w:t>Abbreviations: UC: uncultured.</w:t>
      </w:r>
      <w:r w:rsidRPr="00D805B0">
        <w:rPr>
          <w:rFonts w:ascii="Arial" w:hAnsi="Arial" w:cs="Arial"/>
        </w:rPr>
        <w:t xml:space="preserve"> </w:t>
      </w:r>
    </w:p>
    <w:p w14:paraId="686DEEBD" w14:textId="77777777" w:rsidR="001C3A8B" w:rsidRDefault="001C3A8B" w:rsidP="001C3A8B">
      <w:pPr>
        <w:spacing w:after="160" w:line="259" w:lineRule="auto"/>
        <w:rPr>
          <w:rFonts w:ascii="Arial" w:hAnsi="Arial" w:cs="Arial"/>
        </w:rPr>
      </w:pPr>
      <w:r>
        <w:rPr>
          <w:rFonts w:ascii="Arial" w:hAnsi="Arial" w:cs="Arial"/>
        </w:rPr>
        <w:br w:type="page"/>
      </w:r>
    </w:p>
    <w:p w14:paraId="5C6CBF92" w14:textId="77777777" w:rsidR="001C3A8B" w:rsidRPr="00D805B0" w:rsidRDefault="001C3A8B" w:rsidP="001C3A8B">
      <w:pPr>
        <w:rPr>
          <w:rFonts w:ascii="Arial" w:hAnsi="Arial" w:cs="Arial"/>
          <w:b/>
          <w:bCs/>
        </w:rPr>
      </w:pPr>
    </w:p>
    <w:p w14:paraId="52FE27FE" w14:textId="77777777" w:rsidR="001C3A8B" w:rsidRDefault="001C3A8B" w:rsidP="001C3A8B">
      <w:pPr>
        <w:rPr>
          <w:rFonts w:ascii="Arial" w:hAnsi="Arial" w:cs="Arial"/>
        </w:rPr>
      </w:pPr>
      <w:r>
        <w:rPr>
          <w:rFonts w:ascii="Arial" w:hAnsi="Arial" w:cs="Arial"/>
          <w:noProof/>
        </w:rPr>
        <w:drawing>
          <wp:inline distT="0" distB="0" distL="0" distR="0" wp14:anchorId="2707F280" wp14:editId="76EEE599">
            <wp:extent cx="5731367" cy="5205925"/>
            <wp:effectExtent l="0" t="0" r="0" b="1270"/>
            <wp:docPr id="2005116568" name="Picture 8" descr="A circular diagram with many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16568" name="Picture 8" descr="A circular diagram with many colored lines&#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10472" b="14594"/>
                    <a:stretch/>
                  </pic:blipFill>
                  <pic:spPr bwMode="auto">
                    <a:xfrm>
                      <a:off x="0" y="0"/>
                      <a:ext cx="5731510" cy="5206055"/>
                    </a:xfrm>
                    <a:prstGeom prst="rect">
                      <a:avLst/>
                    </a:prstGeom>
                    <a:ln>
                      <a:noFill/>
                    </a:ln>
                    <a:extLst>
                      <a:ext uri="{53640926-AAD7-44D8-BBD7-CCE9431645EC}">
                        <a14:shadowObscured xmlns:a14="http://schemas.microsoft.com/office/drawing/2010/main"/>
                      </a:ext>
                    </a:extLst>
                  </pic:spPr>
                </pic:pic>
              </a:graphicData>
            </a:graphic>
          </wp:inline>
        </w:drawing>
      </w:r>
    </w:p>
    <w:p w14:paraId="7B5120F3" w14:textId="77777777" w:rsidR="001C3A8B" w:rsidRPr="00D805B0" w:rsidRDefault="001C3A8B" w:rsidP="001C3A8B">
      <w:pPr>
        <w:rPr>
          <w:rFonts w:ascii="Arial" w:hAnsi="Arial" w:cs="Arial"/>
        </w:rPr>
      </w:pPr>
      <w:r w:rsidRPr="00D805B0">
        <w:rPr>
          <w:rFonts w:ascii="Arial" w:hAnsi="Arial" w:cs="Arial"/>
          <w:b/>
          <w:bCs/>
        </w:rPr>
        <w:t xml:space="preserve">Supplementary Figure </w:t>
      </w:r>
      <w:r>
        <w:rPr>
          <w:rFonts w:ascii="Arial" w:hAnsi="Arial" w:cs="Arial"/>
          <w:b/>
          <w:bCs/>
        </w:rPr>
        <w:t>6</w:t>
      </w:r>
      <w:r w:rsidRPr="00D805B0">
        <w:rPr>
          <w:rFonts w:ascii="Arial" w:hAnsi="Arial" w:cs="Arial"/>
          <w:b/>
          <w:bCs/>
        </w:rPr>
        <w:t xml:space="preserve">. Coefficients and 95% CIs for linear models between delta microbe abundances and </w:t>
      </w:r>
      <w:r>
        <w:rPr>
          <w:rFonts w:ascii="Arial" w:hAnsi="Arial" w:cs="Arial"/>
          <w:b/>
          <w:bCs/>
        </w:rPr>
        <w:t xml:space="preserve">delta </w:t>
      </w:r>
      <w:r w:rsidRPr="00D805B0">
        <w:rPr>
          <w:rFonts w:ascii="Arial" w:hAnsi="Arial" w:cs="Arial"/>
          <w:b/>
          <w:bCs/>
        </w:rPr>
        <w:t>Butyrate</w:t>
      </w:r>
      <w:r>
        <w:rPr>
          <w:rFonts w:ascii="Arial" w:hAnsi="Arial" w:cs="Arial"/>
          <w:b/>
          <w:bCs/>
        </w:rPr>
        <w:t xml:space="preserve"> concentrations</w:t>
      </w:r>
      <w:r w:rsidRPr="00D805B0">
        <w:rPr>
          <w:rFonts w:ascii="Arial" w:hAnsi="Arial" w:cs="Arial"/>
          <w:b/>
          <w:bCs/>
        </w:rPr>
        <w:t>.</w:t>
      </w:r>
      <w:r w:rsidRPr="00D805B0">
        <w:rPr>
          <w:rFonts w:ascii="Arial" w:hAnsi="Arial" w:cs="Arial"/>
        </w:rPr>
        <w:t xml:space="preserve"> </w:t>
      </w:r>
    </w:p>
    <w:p w14:paraId="7269F6C5" w14:textId="77777777" w:rsidR="001C3A8B" w:rsidRPr="00D805B0" w:rsidRDefault="001C3A8B" w:rsidP="001C3A8B">
      <w:pPr>
        <w:rPr>
          <w:rFonts w:ascii="Arial" w:hAnsi="Arial" w:cs="Arial"/>
        </w:rPr>
      </w:pPr>
      <w:r w:rsidRPr="00D805B0">
        <w:rPr>
          <w:rFonts w:ascii="Arial" w:hAnsi="Arial" w:cs="Arial"/>
        </w:rPr>
        <w:t>Filled bars are nominally significant (p &lt; 0.05) associations, semi-transparent bars are non-significant. It is important to note, no association passes multiple testing threshold (FDR &lt;0.05).</w:t>
      </w:r>
    </w:p>
    <w:p w14:paraId="662CE45E" w14:textId="77777777" w:rsidR="001C3A8B" w:rsidRPr="00D805B0" w:rsidRDefault="001C3A8B" w:rsidP="001C3A8B">
      <w:pPr>
        <w:rPr>
          <w:rFonts w:ascii="Arial" w:hAnsi="Arial" w:cs="Arial"/>
          <w:b/>
          <w:bCs/>
        </w:rPr>
      </w:pPr>
      <w:r w:rsidRPr="00D805B0">
        <w:rPr>
          <w:rFonts w:ascii="Arial" w:hAnsi="Arial" w:cs="Arial"/>
          <w:i/>
          <w:iCs/>
        </w:rPr>
        <w:t>Abbreviations: UC: uncultured.</w:t>
      </w:r>
      <w:r w:rsidRPr="00D805B0">
        <w:rPr>
          <w:rFonts w:ascii="Arial" w:hAnsi="Arial" w:cs="Arial"/>
        </w:rPr>
        <w:t xml:space="preserve"> </w:t>
      </w:r>
    </w:p>
    <w:p w14:paraId="6341CD47" w14:textId="77777777" w:rsidR="001C3A8B" w:rsidRDefault="001C3A8B" w:rsidP="001C3A8B">
      <w:pPr>
        <w:rPr>
          <w:rFonts w:ascii="Arial" w:hAnsi="Arial" w:cs="Arial"/>
        </w:rPr>
      </w:pPr>
    </w:p>
    <w:p w14:paraId="6E6D028B" w14:textId="77777777" w:rsidR="001C3A8B" w:rsidRDefault="001C3A8B"/>
    <w:sectPr w:rsidR="001C3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8B"/>
    <w:rsid w:val="000E15AE"/>
    <w:rsid w:val="00102EB5"/>
    <w:rsid w:val="001C3A8B"/>
    <w:rsid w:val="00362E90"/>
    <w:rsid w:val="004E5EAC"/>
    <w:rsid w:val="00550F2C"/>
    <w:rsid w:val="005B5050"/>
    <w:rsid w:val="005E2A8B"/>
    <w:rsid w:val="00617E55"/>
    <w:rsid w:val="006B3D84"/>
    <w:rsid w:val="008E7D45"/>
    <w:rsid w:val="00A3687D"/>
    <w:rsid w:val="00A727FA"/>
    <w:rsid w:val="00BB0CD7"/>
    <w:rsid w:val="00D51633"/>
    <w:rsid w:val="00D54A3F"/>
    <w:rsid w:val="00E146E9"/>
    <w:rsid w:val="00F305D8"/>
    <w:rsid w:val="00F60BD4"/>
    <w:rsid w:val="00F83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BCC5"/>
  <w15:chartTrackingRefBased/>
  <w15:docId w15:val="{46043A62-9F63-4409-9A84-0433F06C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A8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C3A8B"/>
  </w:style>
  <w:style w:type="table" w:styleId="TableGrid">
    <w:name w:val="Table Grid"/>
    <w:basedOn w:val="TableNormal"/>
    <w:uiPriority w:val="39"/>
    <w:rsid w:val="00BB0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10</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Malcomson</dc:creator>
  <cp:keywords/>
  <dc:description/>
  <cp:lastModifiedBy>Fiona Malcomson</cp:lastModifiedBy>
  <cp:revision>17</cp:revision>
  <dcterms:created xsi:type="dcterms:W3CDTF">2024-01-11T15:03:00Z</dcterms:created>
  <dcterms:modified xsi:type="dcterms:W3CDTF">2024-09-18T12:04:00Z</dcterms:modified>
</cp:coreProperties>
</file>