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 w:eastAsia="等线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8"/>
          <w:szCs w:val="28"/>
          <w:lang w:eastAsia="zh-CN"/>
        </w:rPr>
        <w:t>Supplementary Materials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</w:rPr>
        <w:t>Supplementary 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able </w:t>
      </w: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 xml:space="preserve">Details of phenotypes related to </w:t>
      </w:r>
      <w:bookmarkStart w:id="0" w:name="OLE_LINK1"/>
      <w:r>
        <w:rPr>
          <w:rFonts w:ascii="Times New Roman" w:hAnsi="Times New Roman" w:cs="Times New Roman"/>
          <w:sz w:val="18"/>
          <w:szCs w:val="18"/>
        </w:rPr>
        <w:t>43 instrumental variables found on the Phenoscanner website</w:t>
      </w:r>
      <w:bookmarkStart w:id="3" w:name="_GoBack"/>
      <w:bookmarkEnd w:id="3"/>
    </w:p>
    <w:bookmarkEnd w:id="0"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648"/>
        <w:gridCol w:w="1408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tcBorders>
              <w:top w:val="single" w:color="auto" w:sz="12" w:space="0"/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SNP</w:t>
            </w:r>
          </w:p>
        </w:tc>
        <w:tc>
          <w:tcPr>
            <w:tcW w:w="3648" w:type="dxa"/>
            <w:tcBorders>
              <w:top w:val="single" w:color="auto" w:sz="12" w:space="0"/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Trait &amp; Source</w:t>
            </w:r>
          </w:p>
        </w:tc>
        <w:tc>
          <w:tcPr>
            <w:tcW w:w="1408" w:type="dxa"/>
            <w:tcBorders>
              <w:top w:val="single" w:color="auto" w:sz="12" w:space="0"/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1653" w:type="dxa"/>
            <w:tcBorders>
              <w:top w:val="single" w:color="auto" w:sz="12" w:space="0"/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Position (hg19):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tcBorders>
              <w:top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rs261809</w:t>
            </w:r>
          </w:p>
        </w:tc>
        <w:tc>
          <w:tcPr>
            <w:tcW w:w="3648" w:type="dxa"/>
            <w:tcBorders>
              <w:top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tcBorders>
              <w:top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rs11586016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Comparative height size at age 10 (UKBB); Qualifications: college or university degree (UKBB); Years of educational attainment (PMID = 27225129); Height (UKBB); Qualifications: none (UKBB); Sitting height (UKBB); Qualifications: A levels or as levels or equivalent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PTPRF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chr1:44031793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rs12137234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rs72720396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Morning or evening person (UKBB); Alcohol usually taken with meals (UKBB); Average weekly beer plus cider intake (UKBB); Chronotype (PMID = 27494321); Morning vs evening chronotype (PMID = 27494321)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BARHL2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chr1:91191582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rs11811826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Qualifications: college or university degree (UKBB); Years of educational attainment (PMID = 27225129); Qualifications: other professional qualifications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LRRN2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chr1:204603861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rs3101339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Weight (UKBB); Leg fat mass right (UKBB); Hip circumference (UKBB); Arm fat mass left (UKBB); Leg fat percentage left (UKBB); Arm fat mass right (UKBB); Trunk fat mass (UKBB); Qualifications: college or university degree (UKBB); Body fat percentage (UKBB); Waist circumference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NEGR1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chr1:72748669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rs75641275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Weight (UKBB); Years of educational attainment (PMID = 27225129); Trunk fat percentage (UKBB); Leg fat percentage left (UKBB); Trunk fat mass (UKBB); Body fat percentage (UKBB); Whole body fat mass (UKBB); Waist circumference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DPYD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chr1:98327133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rs7582086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Height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RP11-444A22.1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chr2:60231826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rs7599488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Mean corpuscular volume (PMID = 27863252); Red blood cell count (PMID = 27863252); Time spent watching television (UKBB); Red cell distribution width (PMID = 27863252); Years of educational attainment (PMID = 27225129); Qualifications: O levels or GCSEs or equivalent (UKBB); Height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BCL11A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chr2:60718347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rs4149513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Qualifications: college or university degree (UKBB); Years of educational attainment (PMID = 27225129); Body fat percentage (UKBB); Leg fat percentage right (UKBB); Leg fat mass right (UKBB); Leg fat percentage left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CHST10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chr2:101022726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rs17184707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rs4269101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Arm fat percentage right (UKBB); Body fat percentage (UKBB); Trunk fat percentage (UKBB); Arm fat percentage left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SATB1-AS1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chr3:18763543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rs11720884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Leg fat percentage left (UKBB); Leg fat percentage right (UKBB); Leg fat mass right (UKBB); Leg fat mass left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RP11-944L7.4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chr3:43941406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rs57499472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rs10026792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Overall health rating (UKBB); Qualifications: college or university degree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ADD1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chr4:2862190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rs1648404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rs746868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Height (UKBB); Intestinal malabsorption (UKBB); Self-reported malabsorption or coeliac disease (UKBB); Primary sclerosing cholangitis (PMID = 27992413); Treatment with levothyroxine sodium (UKBB); Comparative height size at age 10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LTA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chr6:31540429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rs9385269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Qualifications: college or university degree (UKBB); Years of educational attainment (PMID = 27225129); Leg fat percentage right (UKBB); Body fat percentage (UKBB); Time spent using computer (UKBB); Leg fat percentage left (UKBB); Trunk fat percentage (UKBB); Leg fat mass right (UKBB); Leg fat mass left (UKBB); Qualifications: none (UKBB); Arm fat percentage left (UKBB); Years of educational attainment in females (UKBB); Body mass index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RP11-436D23.1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chr6:98547979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rs2328887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Self-reported malabsorption or coeliac disease (UKBB); Primary sclerosing cholangitis (PMID = 27992413); Intestinal malabsorption (UKBB); Mean corpuscular hemoglobin (PMID = 27863252); Mean corpuscular volume (PMID = 27863252); Platelet distribution width (PMID = 27863252); Reticulocyte fraction of red cells (PMID = 27863252); Mean corpuscular hemoglobin concentration (PMID = 27863252); Reticulocyte count (PMID = 27863252); White blood cell count (PMID = 27863252)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CARMIL1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chr6:25430149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rs2533273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Average weekly beer plus cider intake (UKBB); Mineral and other dietary supplements: fish oil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DPP6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chr7:153485282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rs7808471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rs11772627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Arm fat percentage left (UKBB); Arm fat percentage right (UKBB); Arm fat mass left (UKBB); Qualifications: college or university degree (UKBB); Hip circumference (UKBB); Whole body fat mass (UKBB); Weight (UKBB); Trunk fat mass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MAD1L1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chr7:2109821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rs7829800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rs10740991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Leg fat mass right (UKBB); Leg fat percentage right (UKBB); Waist circumference (UKBB); Body mass index (UKBB); Body fat percentage (UKBB); Weight (UKBB); Trunk fat percentage (UKBB); Arm predicted mass right (UKBB); Arm fat mass left (UKBB); Hip circumference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DNAJC1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chr10:22058137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rs7916868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Mean platelet volume (PMID = 27863252); Height (UKBB); Platelet count (PMID = 27863252); Platelet distribution width (PMID = 27863252); Fibrinogen levels (PMID = 26561523); Years of educational attainment (PMID = 27225129); Age completed full time education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JMJD1C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chr10:64988931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rs893856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rs10896126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rs11037497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Whole body fat mass (UKBB); Comparative height size at age 10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RP11-472I20.4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chr11:43622423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rs1622515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Qualifications: college or university degree (UKBB); Qualifications: A levels or as levels or equivalent (UKBB); Qualifications: none (UKBB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chr11:95523433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rs3764002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Leg fat percentage left (UKBB); Leg fat percentage right (UKBB); Sitting height (UKBB); Body mass index (UKBB); Body fat percentage (UKBB); Impedance of leg left (UKBB); Trunk fat percentage (UKBB); Arm fat percentage right (UKBB); Trunk fat mass (UKBB); Waist circumference (UKBB); Whole body fat mass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WSCD2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chr12:108618630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rs4140799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Neuroticism score (UKBB); Sensitivity or hurt feelings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SIPA1L1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chr14:72170969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rs34162196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rs10129747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rs1797235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rs11632215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rs862227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rs1582322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rs62084586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Monocyte percentage of white cells (PMID = 27863252); Granulocyte percentage of myeloid white cells (PMID = 27863252)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SUPT4H1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chr17:56419228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rs8081370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rs4800488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Weight (UKBB); Whole body fat mass (UKBB); Trunk fat mass (UKBB); Arm predicted mass left (UKBB); Waist circumference (UKBB); Hip circumference (UKBB); Leg predicted mass left (UKBB); Body fat percentage (UKBB); Height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NPC1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chr18:21117571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rs17175518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Whole body water mass (UKBB); Leg predicted mass left (UKBB); Trunk predicted mass (UKBB); Arm predicted mass left (UKBB); Weight (UKBB); Impedance of whole body (UKBB); Hip circumference (UKBB); Whole body fat mass (UKBB)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RP11-795H16.2</w:t>
            </w: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chr18:57850583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rs11152349</w:t>
            </w:r>
          </w:p>
        </w:tc>
        <w:tc>
          <w:tcPr>
            <w:tcW w:w="364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08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3" w:type="dxa"/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7" w:type="dxa"/>
            <w:tcBorders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rs429358</w:t>
            </w:r>
          </w:p>
        </w:tc>
        <w:tc>
          <w:tcPr>
            <w:tcW w:w="3648" w:type="dxa"/>
            <w:tcBorders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Body mass index (UKBB); Weight (UKBB); Trunk fat percentage (UKBB); Trunk fat mass (UKBB); Arm fat mass left (UKBB); Arm fat mass right (UKBB); Whole body fat mass (UKBB); Body fat percentage (UKBB); Leg fat mass right (UKBB); Leg fat percentage right (UKBB); Leg fat percentage left (UKBB)</w:t>
            </w:r>
          </w:p>
        </w:tc>
        <w:tc>
          <w:tcPr>
            <w:tcW w:w="1408" w:type="dxa"/>
            <w:tcBorders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APOE</w:t>
            </w:r>
          </w:p>
        </w:tc>
        <w:tc>
          <w:tcPr>
            <w:tcW w:w="1653" w:type="dxa"/>
            <w:tcBorders>
              <w:bottom w:val="single" w:color="auto" w:sz="12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chr19:45411941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UKBB: UK Biobank.</w:t>
      </w:r>
    </w:p>
    <w:p>
      <w:pPr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widowControl/>
        <w:spacing w:line="240" w:lineRule="auto"/>
        <w:jc w:val="left"/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auto"/>
        <w:jc w:val="left"/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</w:rPr>
        <w:t>Supplementary 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able </w:t>
      </w: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>Characteristics of SNPs extracted from exposure (dried fruit intake) GWAS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statistical summary data.</w:t>
      </w:r>
      <w:r>
        <w:rPr>
          <w:sz w:val="18"/>
          <w:szCs w:val="18"/>
        </w:rPr>
        <w:t xml:space="preserve"> </w:t>
      </w:r>
    </w:p>
    <w:tbl>
      <w:tblPr>
        <w:tblStyle w:val="4"/>
        <w:tblW w:w="974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01"/>
        <w:gridCol w:w="992"/>
        <w:gridCol w:w="567"/>
        <w:gridCol w:w="1206"/>
        <w:gridCol w:w="1101"/>
        <w:gridCol w:w="1627"/>
        <w:gridCol w:w="1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SNP</w:t>
            </w:r>
          </w:p>
        </w:tc>
        <w:tc>
          <w:tcPr>
            <w:tcW w:w="2001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Chromosome: Position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EA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OA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EAF</w:t>
            </w:r>
          </w:p>
        </w:tc>
        <w:tc>
          <w:tcPr>
            <w:tcW w:w="1101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-Statistic</w:t>
            </w:r>
          </w:p>
        </w:tc>
        <w:tc>
          <w:tcPr>
            <w:tcW w:w="2687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Association with exposure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Beta (SE)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-value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rs261809</w:t>
            </w:r>
          </w:p>
        </w:tc>
        <w:tc>
          <w:tcPr>
            <w:tcW w:w="2001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1:241054465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0.5406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19.4224</w:t>
            </w:r>
          </w:p>
        </w:tc>
        <w:tc>
          <w:tcPr>
            <w:tcW w:w="1627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-0.0096(0.0017)</w:t>
            </w:r>
          </w:p>
        </w:tc>
        <w:tc>
          <w:tcPr>
            <w:tcW w:w="106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9.80E-09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rs11586016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1:44031793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0.3710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19.2087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0.0099(0.0017)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rs12137234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1:72270797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0.3038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18.5802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0.0102(0.0018)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2.80E-08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rs72720396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1:91191582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0.2292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19.4555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0.0114(0.0020)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8.70E-09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rs11811826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1:204603861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0.2242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25.6372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0.0132(0.0020)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4.40E-11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rs3101339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1:72748669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0.6033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41.0534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0.0143(0.0017)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6.20E-17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rs75641275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1:98327133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0.1434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20.7769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-0.0142(0.0024)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2.90E-09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rs7582086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2:60231826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0.4683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19.4714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-0.0096(0.0017)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8.80E-09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rs7599488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2:60718347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0.4264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22.3821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-0.0104(0.0017)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6.70E-10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rs4149513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2:101022726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0.4935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29.0129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0.0117(0.0017)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2.20E-12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rs17184707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2:166183577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0.2128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18.4883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-0.0114(0.0020)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2.10E-08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rs4269101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3:18763543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0.7189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32.5084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-0.0138(0.0019)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1.10E-13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rs11720884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3:43941406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0.2501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19.7760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0.0112(0.0019)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7.60E-09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rs57499472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3:147239337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0.4041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19.9591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0.0099(0.0017)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8.10E-09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rs10026792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4:2862190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0.2904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20.4509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0.0108(0.0018)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3.90E-09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rs1648404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4:37175523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0.4761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18.6549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0.0094(0.0017)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1.80E-08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rs746868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6:31540429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0.6147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33.2782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-0.0129(0.0017)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5.20E-14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rs9385269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6:98547979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0.5246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30.6365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0.0121(0.0017)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7.20E-13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rs2328887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6:25430149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0.8995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27.3877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0.0189(0.0028)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8.80E-12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rs2533273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7:153485282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0.4845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20.5521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-0.0099(0.0017)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3.90E-09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rs7808471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7:132716502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0.3221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24.5149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-0.0115(0.0018)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1.10E-10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rs11772627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7:2109821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0.1820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42.2190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0.0183(0.0022)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3.00E-17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rs7829800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8:144258705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0.6710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20.3205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-0.0104(0.0018)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5.10E-09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rs10740991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10:22058137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0.7176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47.9013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0.0167(0.0019)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2.00E-19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rs7916868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10:64988931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0.5035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19.4648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0.0096(0.0017)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9.10E-09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rs893856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10:126723567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0.1490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19.0933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-0.0134(0.0023)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rs10896126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11:66292908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0.3036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40.1780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-0.0150(0.0018)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1.60E-16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rs11037497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11:43622423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0.4462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22.7178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0.0104(0.0017)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5.70E-10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rs1622515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11:95523433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0.4847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20.7219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0.0099(0.0017)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2.90E-09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rs3764002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12:108618630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0.2614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28.0431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0.0131(0.0019)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5.10E-12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rs4140799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14:72170969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0.5319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18.7828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0.0095(0.0017)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1.80E-08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rs34162196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14:22038125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0.1010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38.3066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-0.0224(0.0028)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7.10E-16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rs10129747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14:77433198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0.5303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18.4045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0.0094(0.0017)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2.60E-08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rs1797235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15:47821612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0.3746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19.8446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-0.0100(0.0017)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8.90E-09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rs11632215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15:45319982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0.1202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17.8421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-0.0141(0.0026)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4.40E-08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rs862227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16:73602926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0.4583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17.5896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-0.0092(0.0017)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4.30E-08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rs1582322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16:52105988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0.6048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19.9352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0.0099(0.0017)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6.80E-09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rs62084586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17:56419228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0.1657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20.9259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0.0134(0.0023)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rs8081370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17:1373612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0.9102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19.1463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-0.0167(0.0029)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1.40E-08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rs4800488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18:21117571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0.4899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30.2736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0.0120(0.0017)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7.70E-13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rs17175518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18:57850583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0.2328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19.9107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0.0115(0.002)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5.90E-09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rs11152349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18:60233646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0.3029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17.4989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0.0099(0.0018)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4.90E-08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rs429358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19:45411941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0.1542</w:t>
            </w:r>
          </w:p>
        </w:tc>
        <w:tc>
          <w:tcPr>
            <w:tcW w:w="1101" w:type="dxa"/>
            <w:shd w:val="clear" w:color="auto" w:fill="auto"/>
            <w:noWrap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43.7683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0.0199(0.0023)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6.70E-18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SNP: single nucleotide polymorphism; EA: effect Allele; OA</w:t>
      </w:r>
      <w:r>
        <w:rPr>
          <w:rFonts w:hint="eastAsia"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other Allele; EFA: effect allele frequency; SE: standard error.</w:t>
      </w: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Supplementary figure legend 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S1.Scatter plot of SNPs associated with dried fruit intake and risk on Type 2 diabetes without complications.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neurological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renal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ophthalmic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peripheral circulatory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bookmarkStart w:id="1" w:name="OLE_LINK3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bookmarkEnd w:id="1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ketoacidosis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Fasting insulin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Fasting glucose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Two-hour glucose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.Scatter plot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HbA1c.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 Funnel plot of the relationship between the causal effect of dried fruit intake on Type 2 diabetes without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 Funnel plot of the relationship between the causal effect of dried fruit intake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neurological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 Funnel plot of the relationship between the causal effect of dried fruit intake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renal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 Funnel plot of the relationship between the causal effect of dried fruit intake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Type 2 diabetes with ophthalmic complications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 Funnel plot of the relationship between the causal effect of dried fruit intake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Fasting insulin.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 Leave-one-out analysis result of SNPs associated with dried fruit intake and risk on Type 2 diabetes without complications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. Leave-one-out analysis result of SNPs associated with dried fruit intake and risk on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Fasting insulin.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Figure S1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1135" cy="3147695"/>
            <wp:effectExtent l="0" t="0" r="12065" b="1905"/>
            <wp:docPr id="1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1135" cy="3147695"/>
            <wp:effectExtent l="0" t="0" r="12065" b="1905"/>
            <wp:docPr id="2" name="图片 2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2" w:name="OLE_LINK2"/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bookmarkEnd w:id="2"/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3" name="图片 3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4" name="图片 4" descr="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5" name="图片 5" descr="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6" name="图片 6" descr="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-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4" name="图片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5" name="图片 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</w:t>
      </w:r>
    </w:p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Figure 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17</w:t>
      </w:r>
    </w:p>
    <w:p>
      <w:pPr>
        <w:rPr>
          <w:rFonts w:hint="eastAsia" w:ascii="Times New Roman" w:hAnsi="Times New Roman" w:cs="Times New Roman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18"/>
          <w:szCs w:val="18"/>
          <w:lang w:val="en-US" w:eastAsia="zh-CN"/>
        </w:rPr>
        <w:drawing>
          <wp:inline distT="0" distB="0" distL="114300" distR="114300">
            <wp:extent cx="5271135" cy="3147695"/>
            <wp:effectExtent l="0" t="0" r="12065" b="1905"/>
            <wp:docPr id="17" name="图片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175F587C"/>
    <w:rsid w:val="06F56972"/>
    <w:rsid w:val="0C403173"/>
    <w:rsid w:val="0CAA04D6"/>
    <w:rsid w:val="0E0A7335"/>
    <w:rsid w:val="13C407C9"/>
    <w:rsid w:val="146F7B6A"/>
    <w:rsid w:val="15D977CF"/>
    <w:rsid w:val="175F587C"/>
    <w:rsid w:val="22943A5C"/>
    <w:rsid w:val="26FE1DEC"/>
    <w:rsid w:val="29037F3C"/>
    <w:rsid w:val="2B0D6AA1"/>
    <w:rsid w:val="2B891E1C"/>
    <w:rsid w:val="2CCB1E6C"/>
    <w:rsid w:val="2E4345BF"/>
    <w:rsid w:val="30964FF7"/>
    <w:rsid w:val="3833331E"/>
    <w:rsid w:val="38B97453"/>
    <w:rsid w:val="444A4AF7"/>
    <w:rsid w:val="5B787596"/>
    <w:rsid w:val="5E510E57"/>
    <w:rsid w:val="633E3F09"/>
    <w:rsid w:val="65516FAF"/>
    <w:rsid w:val="6741559F"/>
    <w:rsid w:val="6B080110"/>
    <w:rsid w:val="6C700663"/>
    <w:rsid w:val="6CFB4703"/>
    <w:rsid w:val="7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tiff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tiff"/><Relationship Id="rId2" Type="http://schemas.openxmlformats.org/officeDocument/2006/relationships/settings" Target="settings.xml"/><Relationship Id="rId19" Type="http://schemas.openxmlformats.org/officeDocument/2006/relationships/image" Target="media/image16.tiff"/><Relationship Id="rId18" Type="http://schemas.openxmlformats.org/officeDocument/2006/relationships/image" Target="media/image15.tiff"/><Relationship Id="rId17" Type="http://schemas.openxmlformats.org/officeDocument/2006/relationships/image" Target="media/image14.tiff"/><Relationship Id="rId16" Type="http://schemas.openxmlformats.org/officeDocument/2006/relationships/image" Target="media/image13.tiff"/><Relationship Id="rId15" Type="http://schemas.openxmlformats.org/officeDocument/2006/relationships/image" Target="media/image12.tiff"/><Relationship Id="rId14" Type="http://schemas.openxmlformats.org/officeDocument/2006/relationships/image" Target="media/image11.tiff"/><Relationship Id="rId13" Type="http://schemas.openxmlformats.org/officeDocument/2006/relationships/image" Target="media/image10.tiff"/><Relationship Id="rId12" Type="http://schemas.openxmlformats.org/officeDocument/2006/relationships/image" Target="media/image9.tiff"/><Relationship Id="rId11" Type="http://schemas.openxmlformats.org/officeDocument/2006/relationships/image" Target="media/image8.tiff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1503</Words>
  <Characters>9644</Characters>
  <Lines>0</Lines>
  <Paragraphs>0</Paragraphs>
  <TotalTime>7</TotalTime>
  <ScaleCrop>false</ScaleCrop>
  <LinksUpToDate>false</LinksUpToDate>
  <CharactersWithSpaces>10627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2023-11-29T03:09:00Z</dcterms:created>
  <dc:creator>MH.</dc:creator>
  <cp:lastModifiedBy>MH.</cp:lastModifiedBy>
  <dcterms:modified xsi:type="dcterms:W3CDTF">2023-12-06T15:45:14Z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8E517C26603D41CAA0AF7416A95DDEEF_11</vt:lpwstr>
  </property>
</Properties>
</file>