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rPr>
          <w:rFonts w:ascii="Times New Roman" w:hAnsi="Times New Roman" w:eastAsia="FZHei-B01"/>
          <w:kern w:val="0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Supplementary material</w:t>
      </w:r>
    </w:p>
    <w:p>
      <w:pPr>
        <w:autoSpaceDE w:val="0"/>
        <w:spacing w:line="480" w:lineRule="auto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α-Klotho:</w:t>
      </w:r>
      <w:r>
        <w:rPr>
          <w:rFonts w:hint="eastAsia"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 hidden link between dietary inflammatory index and accelerated aging</w:t>
      </w:r>
    </w:p>
    <w:p>
      <w:pPr>
        <w:spacing w:line="440" w:lineRule="exact"/>
        <w:rPr>
          <w:rFonts w:ascii="Times New Roman" w:hAnsi="Times New Roman"/>
          <w:sz w:val="28"/>
          <w:szCs w:val="28"/>
        </w:rPr>
      </w:pPr>
    </w:p>
    <w:p>
      <w:pPr>
        <w:spacing w:line="4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eastAsia="FZHei-B01"/>
          <w:kern w:val="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1153160</wp:posOffset>
            </wp:positionH>
            <wp:positionV relativeFrom="paragraph">
              <wp:posOffset>127000</wp:posOffset>
            </wp:positionV>
            <wp:extent cx="6339840" cy="4841240"/>
            <wp:effectExtent l="0" t="0" r="3810" b="6985"/>
            <wp:wrapNone/>
            <wp:docPr id="2" name="图片 2" descr="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流程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484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ascii="Times New Roman" w:hAnsi="Times New Roman" w:eastAsia="FZHei-B01"/>
          <w:kern w:val="0"/>
        </w:rPr>
      </w:pPr>
    </w:p>
    <w:p>
      <w:pPr>
        <w:spacing w:line="440" w:lineRule="exact"/>
        <w:rPr>
          <w:rFonts w:ascii="Times New Roman" w:hAnsi="Times New Roman" w:eastAsia="FZHei-B01"/>
          <w:kern w:val="0"/>
        </w:rPr>
      </w:pPr>
    </w:p>
    <w:p>
      <w:pPr>
        <w:spacing w:line="440" w:lineRule="exact"/>
        <w:rPr>
          <w:rFonts w:ascii="Times New Roman" w:hAnsi="Times New Roman" w:eastAsia="FZHei-B01"/>
          <w:kern w:val="0"/>
        </w:rPr>
      </w:pPr>
    </w:p>
    <w:p>
      <w:pPr>
        <w:spacing w:line="440" w:lineRule="exact"/>
        <w:rPr>
          <w:rFonts w:ascii="Times New Roman" w:hAnsi="Times New Roman" w:eastAsia="FZHei-B01"/>
          <w:kern w:val="0"/>
        </w:rPr>
      </w:pPr>
    </w:p>
    <w:p>
      <w:pPr>
        <w:spacing w:line="440" w:lineRule="exact"/>
        <w:rPr>
          <w:rFonts w:ascii="Times New Roman" w:hAnsi="Times New Roman" w:eastAsia="FZHei-B01"/>
          <w:kern w:val="0"/>
        </w:rPr>
      </w:pPr>
    </w:p>
    <w:p>
      <w:pPr>
        <w:spacing w:line="440" w:lineRule="exact"/>
        <w:rPr>
          <w:rFonts w:ascii="Times New Roman" w:hAnsi="Times New Roman" w:eastAsia="FZHei-B01"/>
          <w:kern w:val="0"/>
        </w:rPr>
      </w:pPr>
    </w:p>
    <w:p>
      <w:pPr>
        <w:spacing w:line="440" w:lineRule="exact"/>
        <w:rPr>
          <w:rFonts w:ascii="Times New Roman" w:hAnsi="Times New Roman" w:eastAsia="FZHei-B01"/>
          <w:kern w:val="0"/>
        </w:rPr>
      </w:pPr>
    </w:p>
    <w:p>
      <w:pPr>
        <w:spacing w:line="440" w:lineRule="exact"/>
        <w:rPr>
          <w:rFonts w:ascii="Times New Roman" w:hAnsi="Times New Roman" w:eastAsia="FZHei-B01"/>
          <w:kern w:val="0"/>
        </w:rPr>
      </w:pPr>
    </w:p>
    <w:p>
      <w:pPr>
        <w:spacing w:line="440" w:lineRule="exact"/>
        <w:rPr>
          <w:rFonts w:ascii="Times New Roman" w:hAnsi="Times New Roman" w:eastAsia="FZHei-B01"/>
          <w:kern w:val="0"/>
        </w:rPr>
      </w:pPr>
    </w:p>
    <w:p>
      <w:pPr>
        <w:spacing w:line="440" w:lineRule="exact"/>
        <w:rPr>
          <w:rFonts w:ascii="Times New Roman" w:hAnsi="Times New Roman" w:eastAsia="FZHei-B01"/>
          <w:kern w:val="0"/>
        </w:rPr>
      </w:pPr>
    </w:p>
    <w:p>
      <w:pPr>
        <w:spacing w:line="440" w:lineRule="exact"/>
        <w:rPr>
          <w:rFonts w:ascii="Times New Roman" w:hAnsi="Times New Roman" w:eastAsia="FZHei-B01"/>
          <w:kern w:val="0"/>
        </w:rPr>
      </w:pPr>
    </w:p>
    <w:p>
      <w:pPr>
        <w:spacing w:line="440" w:lineRule="exact"/>
        <w:rPr>
          <w:rFonts w:ascii="Times New Roman" w:hAnsi="Times New Roman" w:eastAsia="FZHei-B01"/>
          <w:kern w:val="0"/>
        </w:rPr>
      </w:pPr>
    </w:p>
    <w:p>
      <w:pPr>
        <w:spacing w:line="440" w:lineRule="exact"/>
        <w:rPr>
          <w:rFonts w:ascii="Times New Roman" w:hAnsi="Times New Roman" w:eastAsia="FZHei-B01"/>
          <w:kern w:val="0"/>
        </w:rPr>
      </w:pPr>
    </w:p>
    <w:p>
      <w:pPr>
        <w:spacing w:line="440" w:lineRule="exact"/>
        <w:rPr>
          <w:rFonts w:ascii="Times New Roman" w:hAnsi="Times New Roman" w:eastAsia="FZHei-B01"/>
          <w:kern w:val="0"/>
        </w:rPr>
      </w:pPr>
    </w:p>
    <w:p>
      <w:pPr>
        <w:spacing w:line="440" w:lineRule="exact"/>
        <w:rPr>
          <w:rFonts w:ascii="Times New Roman" w:hAnsi="Times New Roman" w:eastAsia="FZHei-B01"/>
          <w:kern w:val="0"/>
        </w:rPr>
      </w:pPr>
    </w:p>
    <w:p>
      <w:pPr>
        <w:spacing w:line="440" w:lineRule="exact"/>
        <w:rPr>
          <w:rFonts w:ascii="Times New Roman" w:hAnsi="Times New Roman" w:eastAsia="FZHei-B01"/>
          <w:kern w:val="0"/>
        </w:rPr>
      </w:pPr>
    </w:p>
    <w:p>
      <w:pPr>
        <w:spacing w:line="440" w:lineRule="exact"/>
        <w:rPr>
          <w:rFonts w:ascii="Times New Roman" w:hAnsi="Times New Roman"/>
          <w:b/>
          <w:bCs/>
          <w:sz w:val="24"/>
          <w:szCs w:val="24"/>
        </w:rPr>
      </w:pPr>
    </w:p>
    <w:p>
      <w:pPr>
        <w:spacing w:line="440" w:lineRule="exact"/>
        <w:ind w:firstLine="4196" w:firstLineChars="190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Supplementary Figure 1. </w:t>
      </w:r>
      <w:r>
        <w:rPr>
          <w:rFonts w:ascii="Times New Roman" w:hAnsi="Times New Roman"/>
          <w:sz w:val="22"/>
          <w:szCs w:val="22"/>
        </w:rPr>
        <w:t>Study sample selection process</w:t>
      </w:r>
    </w:p>
    <w:p>
      <w:pPr>
        <w:spacing w:line="440" w:lineRule="exact"/>
        <w:ind w:firstLine="2880" w:firstLineChars="1200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1646555</wp:posOffset>
            </wp:positionH>
            <wp:positionV relativeFrom="paragraph">
              <wp:posOffset>147320</wp:posOffset>
            </wp:positionV>
            <wp:extent cx="5326380" cy="5309235"/>
            <wp:effectExtent l="0" t="0" r="7620" b="5715"/>
            <wp:wrapNone/>
            <wp:docPr id="3" name="图片 3" descr="DAG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AG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530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40" w:lineRule="exact"/>
        <w:jc w:val="center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jc w:val="center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jc w:val="center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jc w:val="center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jc w:val="center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jc w:val="center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jc w:val="center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jc w:val="center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jc w:val="center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jc w:val="center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jc w:val="center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jc w:val="center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jc w:val="center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jc w:val="center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jc w:val="center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jc w:val="center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jc w:val="center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jc w:val="center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ind w:firstLine="4196" w:firstLineChars="1900"/>
        <w:rPr>
          <w:rFonts w:ascii="Times New Roman" w:hAnsi="Times New Roman"/>
          <w:sz w:val="22"/>
          <w:szCs w:val="22"/>
        </w:rPr>
        <w:sectPr>
          <w:pgSz w:w="16838" w:h="23811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/>
          <w:b/>
          <w:bCs/>
          <w:sz w:val="22"/>
          <w:szCs w:val="22"/>
        </w:rPr>
        <w:t xml:space="preserve">Supplementary Figure 2. </w:t>
      </w:r>
      <w:r>
        <w:rPr>
          <w:rFonts w:ascii="Times New Roman" w:hAnsi="Times New Roman"/>
          <w:sz w:val="22"/>
          <w:szCs w:val="22"/>
        </w:rPr>
        <w:t>Directed acyclic graph</w:t>
      </w:r>
    </w:p>
    <w:p>
      <w:pPr>
        <w:spacing w:line="440" w:lineRule="exact"/>
        <w:ind w:firstLine="3640" w:firstLineChars="1300"/>
        <w:rPr>
          <w:rFonts w:ascii="Times New Roman" w:hAnsi="Times New Roman"/>
          <w:sz w:val="28"/>
          <w:szCs w:val="28"/>
        </w:rPr>
      </w:pPr>
    </w:p>
    <w:p>
      <w:pPr>
        <w:spacing w:line="440" w:lineRule="exact"/>
        <w:jc w:val="center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194310</wp:posOffset>
            </wp:positionV>
            <wp:extent cx="11878945" cy="3642995"/>
            <wp:effectExtent l="0" t="0" r="8255" b="5080"/>
            <wp:wrapNone/>
            <wp:docPr id="4" name="图片 4" descr="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78945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40" w:lineRule="exact"/>
        <w:jc w:val="center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jc w:val="center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jc w:val="center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jc w:val="center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jc w:val="center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jc w:val="center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jc w:val="center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jc w:val="center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ind w:firstLine="3360" w:firstLineChars="1200"/>
        <w:rPr>
          <w:rFonts w:ascii="Times New Roman" w:hAnsi="Times New Roman"/>
          <w:sz w:val="28"/>
          <w:szCs w:val="28"/>
        </w:rPr>
      </w:pPr>
    </w:p>
    <w:p>
      <w:pPr>
        <w:spacing w:line="440" w:lineRule="exact"/>
        <w:ind w:firstLine="2880" w:firstLineChars="1200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rPr>
          <w:rFonts w:ascii="Times New Roman" w:hAnsi="Times New Roman"/>
          <w:sz w:val="24"/>
          <w:szCs w:val="24"/>
        </w:rPr>
      </w:pPr>
    </w:p>
    <w:p>
      <w:pPr>
        <w:spacing w:line="360" w:lineRule="auto"/>
        <w:jc w:val="left"/>
        <w:rPr>
          <w:rFonts w:ascii="Times New Roman" w:hAnsi="Times New Roman"/>
          <w:b/>
          <w:bCs/>
          <w:color w:val="000000"/>
          <w:kern w:val="0"/>
          <w:sz w:val="22"/>
          <w:szCs w:val="22"/>
          <w:lang w:bidi="ar"/>
        </w:rPr>
        <w:sectPr>
          <w:pgSz w:w="23811" w:h="16838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/>
          <w:b/>
          <w:bCs/>
          <w:sz w:val="22"/>
          <w:szCs w:val="22"/>
        </w:rPr>
        <w:t xml:space="preserve">Supplementary Figure 3. </w:t>
      </w:r>
      <w:r>
        <w:rPr>
          <w:rFonts w:ascii="Times New Roman" w:hAnsi="Times New Roman"/>
          <w:sz w:val="22"/>
          <w:szCs w:val="22"/>
        </w:rPr>
        <w:t>Exposure-response relationships between DII and biological age (A), phenotypic age (B), α-Klotho (C). Curves were fitted using generalised additive models and restricted cubic spline fitting. Models were adjusted for age, sex, race/ethnicity, body mass index, education, marital sta</w:t>
      </w:r>
      <w:bookmarkStart w:id="6" w:name="_GoBack"/>
      <w:bookmarkEnd w:id="6"/>
      <w:r>
        <w:rPr>
          <w:rFonts w:ascii="Times New Roman" w:hAnsi="Times New Roman"/>
          <w:sz w:val="22"/>
          <w:szCs w:val="22"/>
        </w:rPr>
        <w:t>tus, PIR, serum cotinine, alcohol, physical activity.</w:t>
      </w:r>
      <w:r>
        <w:rPr>
          <w:rFonts w:hint="eastAsia"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DII, dietary inflammatory index.</w:t>
      </w:r>
    </w:p>
    <w:p>
      <w:pPr>
        <w:spacing w:line="440" w:lineRule="exact"/>
        <w:rPr>
          <w:rFonts w:ascii="Times New Roman" w:hAnsi="Times New Roman"/>
          <w:sz w:val="24"/>
          <w:szCs w:val="24"/>
        </w:rPr>
      </w:pPr>
    </w:p>
    <w:tbl>
      <w:tblPr>
        <w:tblStyle w:val="4"/>
        <w:tblpPr w:leftFromText="180" w:rightFromText="180" w:vertAnchor="text" w:horzAnchor="page" w:tblpX="2347" w:tblpY="367"/>
        <w:tblOverlap w:val="never"/>
        <w:tblW w:w="11596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8"/>
        <w:gridCol w:w="2531"/>
        <w:gridCol w:w="2303"/>
        <w:gridCol w:w="259"/>
        <w:gridCol w:w="2303"/>
        <w:gridCol w:w="259"/>
        <w:gridCol w:w="230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5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 xml:space="preserve">Supplementary Table </w:t>
            </w:r>
            <w:r>
              <w:rPr>
                <w:rFonts w:hint="eastAsia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1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 xml:space="preserve">. </w:t>
            </w: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Association between DII and α-Klotho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638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Outcome</w:t>
            </w:r>
          </w:p>
        </w:tc>
        <w:tc>
          <w:tcPr>
            <w:tcW w:w="2531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DII (</w:t>
            </w: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median [range]</w:t>
            </w: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)</w:t>
            </w:r>
          </w:p>
        </w:tc>
        <w:tc>
          <w:tcPr>
            <w:tcW w:w="2303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Crude model</w:t>
            </w:r>
          </w:p>
        </w:tc>
        <w:tc>
          <w:tcPr>
            <w:tcW w:w="259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Model 1</w:t>
            </w: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a</w:t>
            </w:r>
          </w:p>
        </w:tc>
        <w:tc>
          <w:tcPr>
            <w:tcW w:w="259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Model 2</w:t>
            </w: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1638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31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β (95%CI)</w:t>
            </w:r>
          </w:p>
        </w:tc>
        <w:tc>
          <w:tcPr>
            <w:tcW w:w="259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β (95%CI)</w:t>
            </w:r>
          </w:p>
        </w:tc>
        <w:tc>
          <w:tcPr>
            <w:tcW w:w="259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β (95%CI)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3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α-Klotho, pg/ml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Continuous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-0.01 (-0.02--0.004)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-0.01 (-0.02--0.007)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-0.01 (-0.02--0.006)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38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Category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638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Q1 (-0.87, [＜0.44])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Reference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Reference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Reference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38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Q2 (1.23, [0.44-1.85])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-0.03 (-0.07-0.01)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-0.03 (-0.07-0.01)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-0.03 (-0.07-0.01)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38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Q3 (2.36, [1.85-2.79])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-0.05 (-0.09--0.01)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-0.05 ((-0.09--0.01)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-0.05 (-0.09--0.01)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638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Q4 (3.23, [＞2.79])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-0.05 (-0.09--0.01)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-0.06 ((-0.10--0.02)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-0.06 (-0.10--0.01)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169" w:type="dxa"/>
            <w:gridSpan w:val="2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P for trend</w:t>
            </w:r>
          </w:p>
        </w:tc>
        <w:tc>
          <w:tcPr>
            <w:tcW w:w="2303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 xml:space="preserve">0.017 </w:t>
            </w:r>
          </w:p>
        </w:tc>
        <w:tc>
          <w:tcPr>
            <w:tcW w:w="259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 xml:space="preserve">0.003 </w:t>
            </w:r>
          </w:p>
        </w:tc>
        <w:tc>
          <w:tcPr>
            <w:tcW w:w="259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 xml:space="preserve">0.004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115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</w:p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a</w:t>
            </w: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Model 1: adjusted for age, sex and race/ethnicity.</w:t>
            </w:r>
          </w:p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b</w:t>
            </w: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Model 2: additionally adjusted for body mass index, education, marital status, PIR, serum cotinine, alcohol, physical activity.</w:t>
            </w:r>
          </w:p>
          <w:p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β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  <w:lang w:bidi="ar"/>
              </w:rPr>
              <w:t xml:space="preserve">: regression coefficients. </w:t>
            </w: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Values in bold font are statistically significant (P&lt;0.05). All P for trend were FDR-adjusted.</w:t>
            </w:r>
          </w:p>
        </w:tc>
      </w:tr>
    </w:tbl>
    <w:p>
      <w:pPr>
        <w:spacing w:line="440" w:lineRule="exact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jc w:val="center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jc w:val="center"/>
        <w:rPr>
          <w:rFonts w:ascii="Times New Roman" w:hAnsi="Times New Roman"/>
          <w:sz w:val="24"/>
          <w:szCs w:val="24"/>
        </w:rPr>
      </w:pPr>
    </w:p>
    <w:p>
      <w:pPr>
        <w:spacing w:line="440" w:lineRule="exact"/>
        <w:rPr>
          <w:rFonts w:ascii="Times New Roman" w:hAnsi="Times New Roman" w:eastAsia="FZHei-B01"/>
          <w:kern w:val="0"/>
          <w:sz w:val="28"/>
          <w:szCs w:val="28"/>
        </w:rPr>
      </w:pPr>
    </w:p>
    <w:p>
      <w:pPr>
        <w:spacing w:line="440" w:lineRule="exact"/>
        <w:rPr>
          <w:rFonts w:ascii="Times New Roman" w:hAnsi="Times New Roman" w:eastAsia="FZHei-B01"/>
          <w:kern w:val="0"/>
          <w:sz w:val="28"/>
          <w:szCs w:val="28"/>
        </w:rPr>
      </w:pPr>
    </w:p>
    <w:p>
      <w:pPr>
        <w:spacing w:line="440" w:lineRule="exact"/>
        <w:rPr>
          <w:rFonts w:ascii="Times New Roman" w:hAnsi="Times New Roman" w:eastAsia="FZHei-B01"/>
          <w:kern w:val="0"/>
          <w:sz w:val="28"/>
          <w:szCs w:val="28"/>
        </w:rPr>
      </w:pPr>
    </w:p>
    <w:p>
      <w:pPr>
        <w:spacing w:line="440" w:lineRule="exact"/>
        <w:rPr>
          <w:rFonts w:ascii="Times New Roman" w:hAnsi="Times New Roman" w:eastAsia="FZHei-B01"/>
          <w:kern w:val="0"/>
          <w:sz w:val="24"/>
          <w:szCs w:val="24"/>
        </w:rPr>
      </w:pPr>
    </w:p>
    <w:p>
      <w:pPr>
        <w:spacing w:line="440" w:lineRule="exact"/>
        <w:rPr>
          <w:rFonts w:ascii="Times New Roman" w:hAnsi="Times New Roman" w:eastAsia="FZHei-B01"/>
          <w:kern w:val="0"/>
          <w:sz w:val="24"/>
          <w:szCs w:val="24"/>
        </w:rPr>
      </w:pPr>
    </w:p>
    <w:p>
      <w:pPr>
        <w:spacing w:line="440" w:lineRule="exact"/>
        <w:rPr>
          <w:rFonts w:ascii="Times New Roman" w:hAnsi="Times New Roman" w:eastAsia="FZHei-B01"/>
          <w:kern w:val="0"/>
          <w:sz w:val="24"/>
          <w:szCs w:val="24"/>
        </w:rPr>
      </w:pPr>
    </w:p>
    <w:p>
      <w:pPr>
        <w:spacing w:line="440" w:lineRule="exact"/>
        <w:rPr>
          <w:rFonts w:ascii="Times New Roman" w:hAnsi="Times New Roman" w:eastAsia="FZHei-B01"/>
          <w:kern w:val="0"/>
          <w:sz w:val="24"/>
          <w:szCs w:val="24"/>
        </w:rPr>
      </w:pPr>
    </w:p>
    <w:p>
      <w:pPr>
        <w:spacing w:line="440" w:lineRule="exact"/>
        <w:rPr>
          <w:rFonts w:ascii="Times New Roman" w:hAnsi="Times New Roman" w:eastAsia="FZHei-B01"/>
          <w:kern w:val="0"/>
          <w:sz w:val="22"/>
          <w:szCs w:val="22"/>
        </w:rPr>
      </w:pPr>
    </w:p>
    <w:p>
      <w:pPr>
        <w:spacing w:line="440" w:lineRule="exact"/>
        <w:rPr>
          <w:rFonts w:ascii="Times New Roman" w:hAnsi="Times New Roman" w:eastAsia="FZHei-B01"/>
          <w:kern w:val="0"/>
          <w:sz w:val="22"/>
          <w:szCs w:val="22"/>
        </w:rPr>
      </w:pPr>
    </w:p>
    <w:p>
      <w:pPr>
        <w:spacing w:line="440" w:lineRule="exact"/>
        <w:rPr>
          <w:rFonts w:ascii="Times New Roman" w:hAnsi="Times New Roman" w:eastAsia="FZHei-B01"/>
          <w:kern w:val="0"/>
          <w:sz w:val="22"/>
          <w:szCs w:val="22"/>
        </w:rPr>
      </w:pPr>
    </w:p>
    <w:tbl>
      <w:tblPr>
        <w:tblStyle w:val="4"/>
        <w:tblpPr w:leftFromText="180" w:rightFromText="180" w:vertAnchor="text" w:horzAnchor="page" w:tblpX="2201" w:tblpY="541"/>
        <w:tblOverlap w:val="never"/>
        <w:tblW w:w="1237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3"/>
        <w:gridCol w:w="3315"/>
        <w:gridCol w:w="2231"/>
        <w:gridCol w:w="240"/>
        <w:gridCol w:w="2029"/>
        <w:gridCol w:w="240"/>
        <w:gridCol w:w="212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2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 xml:space="preserve">Supplementary Table </w:t>
            </w:r>
            <w:r>
              <w:rPr>
                <w:rFonts w:hint="eastAsia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2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 xml:space="preserve">. </w:t>
            </w: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Association between α-Klotho and biological age and phenotypic age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193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Outcome</w:t>
            </w:r>
          </w:p>
        </w:tc>
        <w:tc>
          <w:tcPr>
            <w:tcW w:w="3315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α-Klotho (</w:t>
            </w: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median [range],</w:t>
            </w:r>
            <w:r>
              <w:rPr>
                <w:rFonts w:hint="eastAsia"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pg/ml</w:t>
            </w: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)</w:t>
            </w:r>
          </w:p>
        </w:tc>
        <w:tc>
          <w:tcPr>
            <w:tcW w:w="2231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Crude model</w:t>
            </w:r>
          </w:p>
        </w:tc>
        <w:tc>
          <w:tcPr>
            <w:tcW w:w="240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029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Model 1</w:t>
            </w: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a</w:t>
            </w:r>
          </w:p>
        </w:tc>
        <w:tc>
          <w:tcPr>
            <w:tcW w:w="240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129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Model 2</w:t>
            </w: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2193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3315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231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β (95%CI)</w:t>
            </w:r>
          </w:p>
        </w:tc>
        <w:tc>
          <w:tcPr>
            <w:tcW w:w="240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029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β (95%CI)</w:t>
            </w:r>
          </w:p>
        </w:tc>
        <w:tc>
          <w:tcPr>
            <w:tcW w:w="240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129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β (95%CI)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21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Biological age, years</w:t>
            </w: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Continuous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-0.12 (-0.18--0.06)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-0.08 (-0.14--0.03)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-0.07 (-0.12--0.02)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219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Category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19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Q1 (6.32, [＜6.48])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Reference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Reference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Reference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219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Q2 (6.58, [6.48-6.68])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-0.09 (-0.16--0.02)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-0.06 (-0.12--0.01)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-0.06 (-0.10--0.01)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219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Q3 (6.78, [6.68-6.89])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-0.10 (-0.16--0.04)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-0.06 (-0.11--0.01)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-0.06 (-0.10--0.02)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19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Q4 (7.06, [＞6.89])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-0.08 (-0.14--0.02)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-0.05 (-0.10--0.01)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-0.04 (-0.01-0.01)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55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P for trend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＜0.001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 xml:space="preserve">0.005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 xml:space="preserve">0.001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21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Phenotypic age, years</w:t>
            </w: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Continuous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-0.08 (-0.12--0.04)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-0.03 (-0.05--0.01)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-0.03 (-0.05--0.01)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219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Category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19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Q1 (6.32, [＜6.48])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Reference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Reference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Reference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219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Q2 (6.58, [6.48-6.68])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-0.03 (-0.07-0.01)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-0.01 (-0.03-0.01)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-0.01 (-0.02-0.01)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219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Q3 (6.78, [6.68-6.89])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-0.06 (-0.09--0.02)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-0.02 (-0.04--0.01)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-0.02 (-0.04--0.01)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19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Q4 (7.06, [＞6.89])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-0.06 (-0.09--0.02)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-0.02 (-0.04--0.01)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-0.02 (-0.03--0.01)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5508" w:type="dxa"/>
            <w:gridSpan w:val="2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P for trend</w:t>
            </w:r>
          </w:p>
        </w:tc>
        <w:tc>
          <w:tcPr>
            <w:tcW w:w="2231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＜0.001</w:t>
            </w:r>
          </w:p>
        </w:tc>
        <w:tc>
          <w:tcPr>
            <w:tcW w:w="240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 xml:space="preserve">0.004 </w:t>
            </w:r>
          </w:p>
        </w:tc>
        <w:tc>
          <w:tcPr>
            <w:tcW w:w="240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 xml:space="preserve">0.001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12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</w:p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a</w:t>
            </w: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Model 1: adjusted for age, sex and race/ethnicity.</w:t>
            </w:r>
          </w:p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b</w:t>
            </w: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Model 2: additionally adjusted for body mass index, education, marital status, PIR, serum cotinine, alcohol, physical activity.</w:t>
            </w:r>
          </w:p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A natural logarithmic conversion was performed for biological age, phenotypic age. </w:t>
            </w:r>
          </w:p>
          <w:p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β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  <w:lang w:bidi="ar"/>
              </w:rPr>
              <w:t xml:space="preserve">: regression coefficients. </w:t>
            </w: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Values in bold font are statistically significant (P&lt;0.05). All P for trend were FDR-adjusted.</w:t>
            </w:r>
          </w:p>
        </w:tc>
      </w:tr>
    </w:tbl>
    <w:p>
      <w:pPr>
        <w:spacing w:line="440" w:lineRule="exact"/>
        <w:rPr>
          <w:rFonts w:ascii="Times New Roman" w:hAnsi="Times New Roman" w:eastAsia="FZHei-B01"/>
          <w:kern w:val="0"/>
          <w:sz w:val="22"/>
          <w:szCs w:val="22"/>
        </w:rPr>
      </w:pPr>
    </w:p>
    <w:p>
      <w:pPr>
        <w:spacing w:line="440" w:lineRule="exact"/>
        <w:rPr>
          <w:rFonts w:ascii="Times New Roman" w:hAnsi="Times New Roman" w:eastAsia="FZHei-B01"/>
          <w:kern w:val="0"/>
          <w:sz w:val="22"/>
          <w:szCs w:val="22"/>
        </w:rPr>
      </w:pPr>
    </w:p>
    <w:p>
      <w:pPr>
        <w:spacing w:line="440" w:lineRule="exact"/>
        <w:rPr>
          <w:rFonts w:ascii="Times New Roman" w:hAnsi="Times New Roman" w:eastAsia="FZHei-B01"/>
          <w:kern w:val="0"/>
          <w:sz w:val="22"/>
          <w:szCs w:val="22"/>
        </w:rPr>
      </w:pPr>
    </w:p>
    <w:p>
      <w:pPr>
        <w:spacing w:line="440" w:lineRule="exact"/>
        <w:rPr>
          <w:rFonts w:ascii="Times New Roman" w:hAnsi="Times New Roman" w:eastAsia="FZHei-B01"/>
          <w:kern w:val="0"/>
          <w:sz w:val="22"/>
          <w:szCs w:val="22"/>
        </w:rPr>
      </w:pPr>
    </w:p>
    <w:p>
      <w:pPr>
        <w:spacing w:line="440" w:lineRule="exact"/>
        <w:rPr>
          <w:rFonts w:ascii="Times New Roman" w:hAnsi="Times New Roman" w:eastAsia="FZHei-B01"/>
          <w:kern w:val="0"/>
          <w:sz w:val="24"/>
          <w:szCs w:val="24"/>
        </w:rPr>
      </w:pPr>
    </w:p>
    <w:p>
      <w:pPr>
        <w:spacing w:line="360" w:lineRule="exact"/>
        <w:rPr>
          <w:rFonts w:ascii="Times New Roman" w:hAnsi="Times New Roman"/>
          <w:sz w:val="24"/>
          <w:szCs w:val="24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tbl>
      <w:tblPr>
        <w:tblStyle w:val="4"/>
        <w:tblpPr w:leftFromText="180" w:rightFromText="180" w:vertAnchor="text" w:horzAnchor="page" w:tblpX="2661" w:tblpY="204"/>
        <w:tblOverlap w:val="never"/>
        <w:tblW w:w="1115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5"/>
        <w:gridCol w:w="2359"/>
        <w:gridCol w:w="2187"/>
        <w:gridCol w:w="250"/>
        <w:gridCol w:w="2103"/>
        <w:gridCol w:w="250"/>
        <w:gridCol w:w="214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1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bookmarkStart w:id="0" w:name="OLE_LINK18"/>
            <w:r>
              <w:rPr>
                <w:rFonts w:ascii="Times New Roman" w:hAnsi="Times New Roman"/>
                <w:b/>
                <w:bCs/>
                <w:kern w:val="0"/>
                <w:sz w:val="22"/>
                <w:szCs w:val="22"/>
                <w:lang w:bidi="ar"/>
              </w:rPr>
              <w:t xml:space="preserve">Supplementary Table 3. </w:t>
            </w: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 xml:space="preserve">Association of DII with biological age </w:t>
            </w:r>
            <w:r>
              <w:rPr>
                <w:rFonts w:ascii="Times New Roman" w:hAnsi="Times New Roman"/>
              </w:rPr>
              <w:t>and phenotypic age</w:t>
            </w:r>
            <w:bookmarkEnd w:id="0"/>
            <w:r>
              <w:rPr>
                <w:rFonts w:hint="eastAsia" w:ascii="Times New Roman" w:hAnsi="Times New Roman"/>
              </w:rPr>
              <w:t xml:space="preserve"> after excluding participants with autoimmune diseases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855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Outcome</w:t>
            </w:r>
          </w:p>
        </w:tc>
        <w:tc>
          <w:tcPr>
            <w:tcW w:w="2359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DII (</w:t>
            </w:r>
            <w:r>
              <w:rPr>
                <w:rStyle w:val="10"/>
                <w:lang w:bidi="ar"/>
              </w:rPr>
              <w:t>median [range]</w:t>
            </w: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)</w:t>
            </w:r>
          </w:p>
        </w:tc>
        <w:tc>
          <w:tcPr>
            <w:tcW w:w="2187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Crude model</w:t>
            </w:r>
          </w:p>
        </w:tc>
        <w:tc>
          <w:tcPr>
            <w:tcW w:w="250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Model 1</w:t>
            </w:r>
            <w:r>
              <w:rPr>
                <w:rFonts w:ascii="Times New Roman" w:hAnsi="Times New Roman"/>
                <w:kern w:val="0"/>
                <w:sz w:val="22"/>
                <w:szCs w:val="22"/>
                <w:vertAlign w:val="superscript"/>
                <w:lang w:bidi="ar"/>
              </w:rPr>
              <w:t>a</w:t>
            </w:r>
          </w:p>
        </w:tc>
        <w:tc>
          <w:tcPr>
            <w:tcW w:w="250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46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Model 2</w:t>
            </w:r>
            <w:r>
              <w:rPr>
                <w:rFonts w:ascii="Times New Roman" w:hAnsi="Times New Roman"/>
                <w:kern w:val="0"/>
                <w:sz w:val="22"/>
                <w:szCs w:val="22"/>
                <w:vertAlign w:val="superscript"/>
                <w:lang w:bidi="ar"/>
              </w:rPr>
              <w:t>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1855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59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87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β (95%CI)</w:t>
            </w:r>
          </w:p>
        </w:tc>
        <w:tc>
          <w:tcPr>
            <w:tcW w:w="250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β (95%CI)</w:t>
            </w:r>
          </w:p>
        </w:tc>
        <w:tc>
          <w:tcPr>
            <w:tcW w:w="250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46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β (95%CI)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8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Biological age, years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Continuous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hint="eastAsia" w:ascii="Times New Roman" w:hAnsi="Times New Roman"/>
                <w:b/>
                <w:bCs/>
                <w:kern w:val="0"/>
                <w:sz w:val="22"/>
                <w:szCs w:val="22"/>
                <w:lang w:bidi="ar"/>
              </w:rPr>
              <w:t>0.01 (0.001-0.03)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hint="eastAsia" w:ascii="Times New Roman" w:hAnsi="Times New Roman"/>
                <w:b/>
                <w:bCs/>
                <w:kern w:val="0"/>
                <w:sz w:val="22"/>
                <w:szCs w:val="22"/>
                <w:lang w:bidi="ar"/>
              </w:rPr>
              <w:t>0.02 (0.004-0.03)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hint="eastAsia" w:ascii="Times New Roman" w:hAnsi="Times New Roman"/>
                <w:kern w:val="0"/>
                <w:sz w:val="22"/>
                <w:szCs w:val="22"/>
                <w:lang w:bidi="ar"/>
              </w:rPr>
              <w:t>0.007 (-0.004-0.02)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85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Category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85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bookmarkStart w:id="1" w:name="OLE_LINK39" w:colFirst="1" w:colLast="1"/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Q1 (-0.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  <w:lang w:bidi="ar"/>
              </w:rPr>
              <w:t>96</w:t>
            </w: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, [＜0.4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  <w:lang w:bidi="ar"/>
              </w:rPr>
              <w:t>1</w:t>
            </w: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])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Reference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Reference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Reference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85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Q2 (1.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  <w:lang w:bidi="ar"/>
              </w:rPr>
              <w:t>15</w:t>
            </w: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, [0.4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  <w:lang w:bidi="ar"/>
              </w:rPr>
              <w:t>1</w:t>
            </w: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-1.8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  <w:lang w:bidi="ar"/>
              </w:rPr>
              <w:t>1</w:t>
            </w: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])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-0.03 (-0.10-0.04)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-0.01 (-0.05-0.04)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-0.02 (-0.07-0.04)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85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Q3 (2.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  <w:lang w:bidi="ar"/>
              </w:rPr>
              <w:t>29</w:t>
            </w: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, [1.8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  <w:lang w:bidi="ar"/>
              </w:rPr>
              <w:t>1</w:t>
            </w: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-2.79])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0.001 (-0.08-0.08)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0.01 (-0.05-0.06)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0.02 (-0.05-0.08)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85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Q4 (3.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  <w:lang w:bidi="ar"/>
              </w:rPr>
              <w:t>19</w:t>
            </w: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, [＞2.7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  <w:lang w:bidi="ar"/>
              </w:rPr>
              <w:t>5</w:t>
            </w: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])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0.09 (0.02-0.16)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0.11(0.06-0.16)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0.10 (0.04-0.15)</w:t>
            </w:r>
          </w:p>
        </w:tc>
      </w:tr>
      <w:bookmarkEnd w:id="1"/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P for trend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Style w:val="11"/>
                <w:rFonts w:hint="default" w:ascii="Times New Roman" w:hAnsi="Times New Roman"/>
                <w:lang w:bidi="ar"/>
              </w:rPr>
              <w:t>0.007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Style w:val="11"/>
                <w:rFonts w:hint="default" w:ascii="Times New Roman" w:hAnsi="Times New Roman"/>
                <w:lang w:bidi="ar"/>
              </w:rPr>
              <w:t>＜</w:t>
            </w:r>
            <w:r>
              <w:rPr>
                <w:rStyle w:val="12"/>
                <w:lang w:bidi="ar"/>
              </w:rPr>
              <w:t>0.001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2"/>
                <w:szCs w:val="22"/>
                <w:lang w:bidi="ar"/>
              </w:rPr>
              <w:t>0.0</w:t>
            </w:r>
            <w:r>
              <w:rPr>
                <w:rFonts w:hint="eastAsia" w:ascii="Times New Roman" w:hAnsi="Times New Roman"/>
                <w:b/>
                <w:bCs/>
                <w:kern w:val="0"/>
                <w:sz w:val="22"/>
                <w:szCs w:val="22"/>
                <w:lang w:bidi="ar"/>
              </w:rPr>
              <w:t>4</w:t>
            </w:r>
            <w:r>
              <w:rPr>
                <w:rFonts w:ascii="Times New Roman" w:hAnsi="Times New Roman"/>
                <w:b/>
                <w:bCs/>
                <w:kern w:val="0"/>
                <w:sz w:val="22"/>
                <w:szCs w:val="22"/>
                <w:lang w:bidi="ar"/>
              </w:rPr>
              <w:t xml:space="preserve">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8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Phenotypic age, years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Continuous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hint="eastAsia" w:ascii="Times New Roman" w:hAnsi="Times New Roman"/>
                <w:kern w:val="0"/>
                <w:sz w:val="22"/>
                <w:szCs w:val="22"/>
                <w:lang w:bidi="ar"/>
              </w:rPr>
              <w:t>0.002 (-0.005-0.009)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hint="eastAsia" w:ascii="Times New Roman" w:hAnsi="Times New Roman"/>
                <w:b/>
                <w:bCs/>
                <w:kern w:val="0"/>
                <w:sz w:val="22"/>
                <w:szCs w:val="22"/>
                <w:lang w:bidi="ar"/>
              </w:rPr>
              <w:t>0.008 (0.004-0.013)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hint="eastAsia" w:ascii="Times New Roman" w:hAnsi="Times New Roman"/>
                <w:b/>
                <w:bCs/>
                <w:kern w:val="0"/>
                <w:sz w:val="22"/>
                <w:szCs w:val="22"/>
                <w:lang w:bidi="ar"/>
              </w:rPr>
              <w:t>0.005 (0.001-0.009)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85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Category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>
        <w:trPr>
          <w:trHeight w:val="278" w:hRule="atLeast"/>
        </w:trPr>
        <w:tc>
          <w:tcPr>
            <w:tcW w:w="185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Q1 (-0.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  <w:lang w:bidi="ar"/>
              </w:rPr>
              <w:t>96</w:t>
            </w: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, [＜0.4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  <w:lang w:bidi="ar"/>
              </w:rPr>
              <w:t>1</w:t>
            </w: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])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Reference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Reference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Reference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85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Q2 (1.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  <w:lang w:bidi="ar"/>
              </w:rPr>
              <w:t>15</w:t>
            </w: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, [0.4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  <w:lang w:bidi="ar"/>
              </w:rPr>
              <w:t>1</w:t>
            </w: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-1.8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  <w:lang w:bidi="ar"/>
              </w:rPr>
              <w:t>1</w:t>
            </w: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])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-0.01 (-0.05-0.02)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-0.003 (-0.02-0.01)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-0.005 (-0.02-0.01)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85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Q3 (2.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  <w:lang w:bidi="ar"/>
              </w:rPr>
              <w:t>29</w:t>
            </w: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, [1.8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  <w:lang w:bidi="ar"/>
              </w:rPr>
              <w:t>1</w:t>
            </w: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-2.79])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-0.01 (-0.04-0.03)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0.02 (0.003-0.04)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0.01 (-0.001-0.03)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85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Q4 (3.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  <w:lang w:bidi="ar"/>
              </w:rPr>
              <w:t>19</w:t>
            </w: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, [＞2.7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  <w:lang w:bidi="ar"/>
              </w:rPr>
              <w:t>5</w:t>
            </w: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])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0.02 (-0.02-0.05)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0.05 (0.03-0.07)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0.03 (0.02-0.05)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14" w:type="dxa"/>
            <w:gridSpan w:val="2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P for trend</w:t>
            </w:r>
          </w:p>
        </w:tc>
        <w:tc>
          <w:tcPr>
            <w:tcW w:w="2187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hint="eastAsia" w:ascii="Times New Roman" w:hAnsi="Times New Roman"/>
                <w:kern w:val="0"/>
                <w:sz w:val="22"/>
                <w:szCs w:val="22"/>
                <w:lang w:bidi="ar"/>
              </w:rPr>
              <w:t>0.332</w:t>
            </w: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 xml:space="preserve"> </w:t>
            </w:r>
          </w:p>
        </w:tc>
        <w:tc>
          <w:tcPr>
            <w:tcW w:w="250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bookmarkStart w:id="2" w:name="OLE_LINK38"/>
            <w:r>
              <w:rPr>
                <w:rStyle w:val="11"/>
                <w:rFonts w:hint="default" w:ascii="Times New Roman" w:hAnsi="Times New Roman"/>
                <w:lang w:bidi="ar"/>
              </w:rPr>
              <w:t>＜</w:t>
            </w:r>
            <w:r>
              <w:rPr>
                <w:rStyle w:val="12"/>
                <w:lang w:bidi="ar"/>
              </w:rPr>
              <w:t>0.001</w:t>
            </w:r>
            <w:bookmarkEnd w:id="2"/>
          </w:p>
        </w:tc>
        <w:tc>
          <w:tcPr>
            <w:tcW w:w="250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Style w:val="11"/>
                <w:rFonts w:hint="default" w:ascii="Times New Roman" w:hAnsi="Times New Roman"/>
                <w:lang w:bidi="ar"/>
              </w:rPr>
              <w:t>＜</w:t>
            </w:r>
            <w:r>
              <w:rPr>
                <w:rStyle w:val="12"/>
                <w:lang w:bidi="ar"/>
              </w:rPr>
              <w:t>0.001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8" w:hRule="atLeast"/>
        </w:trPr>
        <w:tc>
          <w:tcPr>
            <w:tcW w:w="111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vertAlign w:val="superscript"/>
                <w:lang w:bidi="ar"/>
              </w:rPr>
              <w:t>a</w:t>
            </w: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Model 1: adjusted for age, sex and race/ethnicity.</w:t>
            </w:r>
          </w:p>
          <w:p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vertAlign w:val="superscript"/>
                <w:lang w:bidi="ar"/>
              </w:rPr>
              <w:t>b</w:t>
            </w: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 xml:space="preserve">Model 2: additionally adjusted for </w:t>
            </w:r>
            <w:bookmarkStart w:id="3" w:name="OLE_LINK11"/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body mass index, education, marital status, PIR, serum cotinine, alcohol, physical activity.</w:t>
            </w:r>
            <w:bookmarkEnd w:id="3"/>
          </w:p>
          <w:p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 xml:space="preserve">A natural logarithmic conversion was performed for biological age, phenotypic age. </w:t>
            </w:r>
          </w:p>
          <w:p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</w:pPr>
            <w:bookmarkStart w:id="4" w:name="OLE_LINK36"/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β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  <w:lang w:bidi="ar"/>
              </w:rPr>
              <w:t xml:space="preserve">: regression coefficients. </w:t>
            </w: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 xml:space="preserve">Values in bold font are statistically significant (P&lt;0.05). </w:t>
            </w:r>
            <w:bookmarkEnd w:id="4"/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All P for trend were FDR-adjusted.</w:t>
            </w:r>
          </w:p>
        </w:tc>
      </w:tr>
    </w:tbl>
    <w:p/>
    <w:p/>
    <w:p/>
    <w:p/>
    <w:tbl>
      <w:tblPr>
        <w:tblStyle w:val="5"/>
        <w:tblpPr w:leftFromText="180" w:rightFromText="180" w:vertAnchor="page" w:horzAnchor="page" w:tblpX="5336" w:tblpY="1095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5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  <w:gridSpan w:val="2"/>
            <w:tcBorders>
              <w:top w:val="nil"/>
              <w:left w:val="nil"/>
              <w:bottom w:val="single" w:color="auto" w:sz="8" w:space="0"/>
              <w:right w:val="nil"/>
            </w:tcBorders>
          </w:tcPr>
          <w:p>
            <w:pPr>
              <w:jc w:val="left"/>
              <w:rPr>
                <w:rFonts w:hint="eastAsia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2"/>
                <w:szCs w:val="22"/>
                <w:lang w:bidi="ar"/>
              </w:rPr>
              <w:t xml:space="preserve">Supplementary Table 4. </w:t>
            </w:r>
            <w:r>
              <w:rPr>
                <w:rFonts w:ascii="Times New Roman" w:hAnsi="Times New Roman"/>
                <w:kern w:val="0"/>
                <w:sz w:val="22"/>
                <w:szCs w:val="22"/>
                <w:lang w:bidi="ar"/>
              </w:rPr>
              <w:t>Detailed Consumption Levels of the 28 Food Parameters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Nutrients</w:t>
            </w:r>
          </w:p>
        </w:tc>
        <w:tc>
          <w:tcPr>
            <w:tcW w:w="2268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Median (IQR)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Protein (g)</w:t>
            </w:r>
          </w:p>
        </w:tc>
        <w:tc>
          <w:tcPr>
            <w:tcW w:w="2268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70.1 (50.4, 96.2)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Carbohydrates (g)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221.6 (161.0, 294.4)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Fiber (g)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14.2 (9.3, 20.4)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Total fat (g)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67.6 (44.5, 98.1)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Saturated fat acids (g)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21.3 (13.8, 31.6)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Monounsaturated fatty acids (g)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24.3 (16.0, 36.2)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Polyunsaturated fatty acids (g)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14.3 (8.8, 21.2)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Cholesterol (mg)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214.5 (120.0, 386.0)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Vitamins A (μg)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478.0 (265.0, 758.0)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Vitamins C (mg)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51.5 (21.9, 108.4)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Vitamins D (μg)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3.3 (1.4, 5.9)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Vitamins E (mg)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5.9 (3.7, 9.0)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Fe (mg)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12.7 (8.8, 18.0)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Magnesium (mg)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262 (190, 353)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Selenium (μg)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93.7 (64.2, 132.3)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Zinc (mg)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9.5 (6.5, 13.9)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Alcohol (g)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0.0 (0.0-0.0)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Riboflavin (mg)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1.9 (1.3, 2.6)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Thiamin (mg)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1.4 (0.9, 1.9)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Niacin (mg)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20.7 (14.2, 29.4)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Folate (μg)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126 (64, 221)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Vitamins B12 (μg)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3.8 (2.2, 6.2)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vitamins B6 (mg)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1.6 (1.1, 2.3)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Caffeine (mg)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0.13 (0.03, 0.26)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Beta-carotene (μg)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755.5 (338.0, 2066.0)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Omega 3 (g)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1.3 (0.8, 2.0)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Omega 6 (g)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12.7 (7.7, 19.0)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Energy (kcal)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1839 (1351, 2464)</w:t>
            </w:r>
          </w:p>
        </w:tc>
      </w:tr>
    </w:tbl>
    <w:p/>
    <w:p>
      <w:pPr>
        <w:widowControl/>
        <w:jc w:val="left"/>
      </w:pPr>
      <w:r>
        <w:br w:type="page"/>
      </w:r>
    </w:p>
    <w:p/>
    <w:tbl>
      <w:tblPr>
        <w:tblStyle w:val="4"/>
        <w:tblpPr w:leftFromText="180" w:rightFromText="180" w:vertAnchor="page" w:horzAnchor="page" w:tblpX="3039" w:tblpY="2273"/>
        <w:tblW w:w="879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2594"/>
        <w:gridCol w:w="1701"/>
        <w:gridCol w:w="99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8797" w:type="dxa"/>
            <w:gridSpan w:val="4"/>
            <w:tcBorders>
              <w:left w:val="nil"/>
              <w:bottom w:val="single" w:color="auto" w:sz="8" w:space="0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kern w:val="0"/>
                <w:sz w:val="22"/>
                <w:szCs w:val="22"/>
              </w:rPr>
            </w:pPr>
            <w:bookmarkStart w:id="5" w:name="_Hlk166411268"/>
            <w:r>
              <w:rPr>
                <w:rFonts w:ascii="Times New Roman" w:hAnsi="Times New Roman"/>
                <w:b/>
                <w:bCs/>
                <w:kern w:val="0"/>
                <w:sz w:val="22"/>
                <w:szCs w:val="22"/>
                <w:lang w:bidi="ar"/>
              </w:rPr>
              <w:t>Supplementary Table 5</w:t>
            </w:r>
            <w:bookmarkEnd w:id="5"/>
            <w:r>
              <w:rPr>
                <w:rFonts w:ascii="Times New Roman" w:hAnsi="Times New Roman"/>
                <w:b/>
                <w:bCs/>
                <w:kern w:val="0"/>
                <w:sz w:val="22"/>
                <w:szCs w:val="22"/>
                <w:lang w:bidi="ar"/>
              </w:rPr>
              <w:t xml:space="preserve">. </w:t>
            </w:r>
            <w:r>
              <w:rPr>
                <w:rStyle w:val="7"/>
                <w:rFonts w:ascii="Times New Roman" w:hAnsi="Times New Roman"/>
                <w:b w:val="0"/>
                <w:color w:val="060607"/>
                <w:spacing w:val="8"/>
                <w:shd w:val="clear" w:color="auto" w:fill="FFFFFF"/>
              </w:rPr>
              <w:t>Demographic Characteristics Comparison Between Study Sample and Overall NHANES Population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3510" w:type="dxa"/>
            <w:tcBorders>
              <w:top w:val="single" w:color="auto" w:sz="8" w:space="0"/>
              <w:left w:val="nil"/>
              <w:bottom w:val="single" w:color="000000" w:sz="8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 Characteristics</w:t>
            </w:r>
          </w:p>
        </w:tc>
        <w:tc>
          <w:tcPr>
            <w:tcW w:w="2594" w:type="dxa"/>
            <w:tcBorders>
              <w:top w:val="single" w:color="auto" w:sz="8" w:space="0"/>
              <w:left w:val="nil"/>
              <w:bottom w:val="single" w:color="000000" w:sz="8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Style w:val="7"/>
                <w:rFonts w:ascii="Times New Roman" w:hAnsi="Times New Roman"/>
                <w:b w:val="0"/>
                <w:color w:val="060607"/>
                <w:spacing w:val="8"/>
                <w:shd w:val="clear" w:color="auto" w:fill="FFFFFF"/>
              </w:rPr>
            </w:pPr>
            <w:r>
              <w:rPr>
                <w:rStyle w:val="7"/>
                <w:rFonts w:ascii="Times New Roman" w:hAnsi="Times New Roman"/>
                <w:b w:val="0"/>
                <w:color w:val="060607"/>
                <w:spacing w:val="8"/>
                <w:shd w:val="clear" w:color="auto" w:fill="FFFFFF"/>
              </w:rPr>
              <w:t>Study Sample</w:t>
            </w:r>
          </w:p>
          <w:p>
            <w:pPr>
              <w:widowControl/>
              <w:ind w:firstLine="660" w:firstLineChars="300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(n=3054)</w:t>
            </w:r>
          </w:p>
        </w:tc>
        <w:tc>
          <w:tcPr>
            <w:tcW w:w="1701" w:type="dxa"/>
            <w:tcBorders>
              <w:top w:val="single" w:color="auto" w:sz="8" w:space="0"/>
              <w:left w:val="nil"/>
              <w:bottom w:val="single" w:color="000000" w:sz="8" w:space="0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Overall (n=7880)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000000" w:sz="8" w:space="0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P-Value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Style w:val="14"/>
              </w:rPr>
              <w:t>Age [years, n (%)]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hint="eastAsia" w:ascii="Times New Roman" w:hAnsi="Times New Roman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sz w:val="22"/>
                <w:szCs w:val="22"/>
              </w:rPr>
              <w:t>.51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15"/>
              </w:rPr>
              <w:t>40-60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1724 (56.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5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4473 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56.8)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16"/>
                <w:rFonts w:hint="default"/>
              </w:rPr>
              <w:t>＞</w:t>
            </w:r>
            <w:r>
              <w:rPr>
                <w:rStyle w:val="15"/>
              </w:rPr>
              <w:t>60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1330 (43.5)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3407 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43.2)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Style w:val="14"/>
              </w:rPr>
              <w:t>Sex [n (%)]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15"/>
              </w:rPr>
              <w:t>Men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1503 (49.2)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3890 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49.4)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15"/>
              </w:rPr>
              <w:t>Women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1551 (50.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8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3990 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50.6)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Style w:val="14"/>
              </w:rPr>
              <w:t>Race/ethnicity [n (%)]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hint="eastAsia" w:ascii="Times New Roman" w:hAnsi="Times New Roman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sz w:val="22"/>
                <w:szCs w:val="22"/>
              </w:rPr>
              <w:t>.06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15"/>
              </w:rPr>
              <w:t>Mexican American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540 (17.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7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1420 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18.0)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15"/>
              </w:rPr>
              <w:t>Other Hispanic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339 (11.1)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945 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12.0)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15"/>
              </w:rPr>
              <w:t>Non-Hispanic White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1540 (50.4)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3594 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45.6)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15"/>
              </w:rPr>
              <w:t>Non-Hispanic Black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540 (17.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7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1442 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18.3)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15"/>
              </w:rPr>
              <w:t>Other/multi-racial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95 (3.1)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479 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6.1)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</w:p>
        </w:tc>
      </w:tr>
      <w:tr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Style w:val="14"/>
              </w:rPr>
              <w:t>Education [n (%)]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hint="eastAsia" w:ascii="Times New Roman" w:hAnsi="Times New Roman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sz w:val="22"/>
                <w:szCs w:val="22"/>
              </w:rPr>
              <w:t>.15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15"/>
              </w:rPr>
              <w:t>Less than 9th grade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447 (14.6)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1154 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14.6)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15"/>
              </w:rPr>
              <w:t>9th-11th grade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536 (17.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6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1190 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15.1)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15"/>
              </w:rPr>
              <w:t>High School grad/GED or equivalent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700 (22.9)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1808 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22.9)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15"/>
              </w:rPr>
              <w:t>College or AA degree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780 (25.5)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2070 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26.3)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15"/>
              </w:rPr>
              <w:t>College Grad or Above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591 (19.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1658 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21.1)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Style w:val="14"/>
              </w:rPr>
              <w:t>Marital Status [n (%)]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hint="eastAsia" w:ascii="Times New Roman" w:hAnsi="Times New Roman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sz w:val="22"/>
                <w:szCs w:val="22"/>
              </w:rPr>
              <w:t>.07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15"/>
              </w:rPr>
              <w:t>Married/living with partner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1997 (65.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5156 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65.4)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15"/>
              </w:rPr>
              <w:t>Widowed/divorced/separated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854 (27.9)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2131 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27.0)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15"/>
              </w:rPr>
              <w:t>Single/never married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203 (6.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7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593 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7.5)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Style w:val="14"/>
              </w:rPr>
              <w:t>PIR</w:t>
            </w:r>
            <w:r>
              <w:rPr>
                <w:rFonts w:ascii="Times New Roman" w:hAnsi="Times New Roman"/>
                <w:b/>
                <w:bCs/>
                <w:kern w:val="0"/>
              </w:rPr>
              <w:t xml:space="preserve"> [Mean, SD]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2.6 (1.6)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2.6 (1.6)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Style w:val="14"/>
              </w:rPr>
              <w:t>Physical activity [n (%)]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hint="eastAsia" w:ascii="Times New Roman" w:hAnsi="Times New Roman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sz w:val="22"/>
                <w:szCs w:val="22"/>
              </w:rPr>
              <w:t>.46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15"/>
              </w:rPr>
              <w:t>Low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1850 (60.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6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4713 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59.8)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15"/>
              </w:rPr>
              <w:t>High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1204 (39.4)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3167 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40.2)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Style w:val="14"/>
              </w:rPr>
              <w:t>Alcohol [n (%)]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hint="eastAsia" w:ascii="Times New Roman" w:hAnsi="Times New Roman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sz w:val="22"/>
                <w:szCs w:val="22"/>
              </w:rPr>
              <w:t>.29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15"/>
              </w:rPr>
              <w:t>No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2167 (7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.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5507 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69.9)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15"/>
              </w:rPr>
              <w:t>Yes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887 (29.0)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2368 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30.1)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2"/>
                <w:szCs w:val="22"/>
              </w:rPr>
              <w:t>BMI Category [kg/m</w:t>
            </w:r>
            <w:r>
              <w:rPr>
                <w:rStyle w:val="13"/>
              </w:rPr>
              <w:t>2</w:t>
            </w:r>
            <w:r>
              <w:rPr>
                <w:rStyle w:val="14"/>
              </w:rPr>
              <w:t>, n (%)]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hint="eastAsia" w:ascii="Times New Roman" w:hAnsi="Times New Roman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sz w:val="22"/>
                <w:szCs w:val="22"/>
              </w:rPr>
              <w:t>.31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15"/>
              </w:rPr>
              <w:t>Underweight/Normal weight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679 (22.2)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1778 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22.6)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15"/>
              </w:rPr>
              <w:t>Overweight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1150 (37.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7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2805 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35.6)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15"/>
              </w:rPr>
              <w:t>Obese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1225 (40.1)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3297 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41.8)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2"/>
                <w:szCs w:val="22"/>
              </w:rPr>
              <w:t>Serum cotinine [ng/mL, n (%)]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hint="eastAsia" w:ascii="Times New Roman" w:hAnsi="Times New Roman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sz w:val="22"/>
                <w:szCs w:val="22"/>
              </w:rPr>
              <w:t>.32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hint="eastAsia" w:ascii="宋体" w:hAnsi="宋体"/>
                <w:kern w:val="0"/>
                <w:sz w:val="22"/>
                <w:szCs w:val="22"/>
              </w:rPr>
              <w:t>0</w:t>
            </w:r>
            <w:r>
              <w:rPr>
                <w:rFonts w:ascii="宋体" w:hAnsi="宋体"/>
                <w:kern w:val="0"/>
                <w:sz w:val="22"/>
                <w:szCs w:val="22"/>
              </w:rPr>
              <w:t>.32＜</w:t>
            </w:r>
            <w:r>
              <w:rPr>
                <w:rStyle w:val="15"/>
              </w:rPr>
              <w:t>0.02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1024 (33.5)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2774 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35.2)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0.02-0.28</w:t>
            </w:r>
          </w:p>
        </w:tc>
        <w:tc>
          <w:tcPr>
            <w:tcW w:w="2594" w:type="dxa"/>
            <w:tcBorders>
              <w:top w:val="nil"/>
              <w:left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1012 (33.1)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>
            <w:pPr>
              <w:jc w:val="center"/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2605 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33.1)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510" w:type="dxa"/>
            <w:tcBorders>
              <w:top w:val="nil"/>
              <w:left w:val="nil"/>
              <w:bottom w:val="single" w:color="auto" w:sz="8" w:space="0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宋体" w:hAnsi="宋体"/>
                <w:kern w:val="0"/>
                <w:sz w:val="22"/>
                <w:szCs w:val="22"/>
              </w:rPr>
              <w:t>＞</w:t>
            </w:r>
            <w:r>
              <w:rPr>
                <w:rStyle w:val="15"/>
              </w:rPr>
              <w:t>0.28</w:t>
            </w:r>
          </w:p>
        </w:tc>
        <w:tc>
          <w:tcPr>
            <w:tcW w:w="2594" w:type="dxa"/>
            <w:tcBorders>
              <w:top w:val="nil"/>
              <w:left w:val="nil"/>
              <w:bottom w:val="single" w:color="auto" w:sz="8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1018 (33.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8" w:space="0"/>
              <w:right w:val="nil"/>
            </w:tcBorders>
          </w:tcPr>
          <w:p>
            <w:pPr>
              <w:jc w:val="center"/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2498 </w:t>
            </w:r>
            <w:r>
              <w:rPr>
                <w:rFonts w:hint="eastAsia" w:ascii="Times New Roman" w:hAnsi="Times New Roman"/>
                <w:kern w:val="0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>31.7)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8797" w:type="dxa"/>
            <w:gridSpan w:val="4"/>
            <w:tcBorders>
              <w:top w:val="single" w:color="auto" w:sz="8" w:space="0"/>
              <w:left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>Overall, the participants in the original NHANES (2007-2010) who had complete baseline characteristics.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8797" w:type="dxa"/>
            <w:gridSpan w:val="4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Times New Roman" w:hAnsi="Times New Roman"/>
                <w:kern w:val="0"/>
                <w:sz w:val="22"/>
                <w:szCs w:val="22"/>
              </w:rPr>
            </w:pPr>
          </w:p>
        </w:tc>
      </w:tr>
    </w:tbl>
    <w:p>
      <w:pPr>
        <w:rPr>
          <w:rFonts w:hint="eastAsia"/>
        </w:rPr>
      </w:pPr>
    </w:p>
    <w:sectPr>
      <w:pgSz w:w="16838" w:h="23811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ZHei-B01">
    <w:altName w:val="等线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mNjAzMWJlZjFkMmQwODUwMTJkYzE2ODFiYmFmYTcifQ=="/>
  </w:docVars>
  <w:rsids>
    <w:rsidRoot w:val="72B44775"/>
    <w:rsid w:val="00004C0F"/>
    <w:rsid w:val="0009060A"/>
    <w:rsid w:val="00100BC9"/>
    <w:rsid w:val="001154FF"/>
    <w:rsid w:val="00307D66"/>
    <w:rsid w:val="00333004"/>
    <w:rsid w:val="00447064"/>
    <w:rsid w:val="006A0F58"/>
    <w:rsid w:val="009F6849"/>
    <w:rsid w:val="00A2561D"/>
    <w:rsid w:val="00A41A86"/>
    <w:rsid w:val="00AF38FA"/>
    <w:rsid w:val="00BB543E"/>
    <w:rsid w:val="00C62E23"/>
    <w:rsid w:val="00CD4831"/>
    <w:rsid w:val="00D41EC6"/>
    <w:rsid w:val="00DA1521"/>
    <w:rsid w:val="0A8770D6"/>
    <w:rsid w:val="38685F74"/>
    <w:rsid w:val="5C125C62"/>
    <w:rsid w:val="72B4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autoRedefine/>
    <w:qFormat/>
    <w:uiPriority w:val="22"/>
    <w:rPr>
      <w:b/>
      <w:bCs/>
    </w:rPr>
  </w:style>
  <w:style w:type="character" w:customStyle="1" w:styleId="8">
    <w:name w:val="页眉 字符"/>
    <w:basedOn w:val="6"/>
    <w:link w:val="3"/>
    <w:autoRedefine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9">
    <w:name w:val="页脚 字符"/>
    <w:basedOn w:val="6"/>
    <w:link w:val="2"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0">
    <w:name w:val="font71"/>
    <w:basedOn w:val="6"/>
    <w:autoRedefine/>
    <w:qFormat/>
    <w:uiPriority w:val="0"/>
    <w:rPr>
      <w:rFonts w:hint="default" w:ascii="Times New Roman" w:hAnsi="Times New Roman" w:cs="Times New Roman"/>
      <w:i/>
      <w:iCs/>
      <w:color w:val="000000"/>
      <w:sz w:val="22"/>
      <w:szCs w:val="22"/>
      <w:u w:val="none"/>
    </w:rPr>
  </w:style>
  <w:style w:type="character" w:customStyle="1" w:styleId="11">
    <w:name w:val="font51"/>
    <w:basedOn w:val="6"/>
    <w:autoRedefine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12">
    <w:name w:val="font21"/>
    <w:basedOn w:val="6"/>
    <w:autoRedefine/>
    <w:qFormat/>
    <w:uiPriority w:val="0"/>
    <w:rPr>
      <w:rFonts w:hint="default" w:ascii="Times New Roman" w:hAnsi="Times New Roman" w:cs="Times New Roman"/>
      <w:b/>
      <w:bCs/>
      <w:color w:val="000000"/>
      <w:sz w:val="22"/>
      <w:szCs w:val="22"/>
      <w:u w:val="none"/>
    </w:rPr>
  </w:style>
  <w:style w:type="character" w:customStyle="1" w:styleId="13">
    <w:name w:val="15"/>
    <w:basedOn w:val="6"/>
    <w:autoRedefine/>
    <w:qFormat/>
    <w:uiPriority w:val="0"/>
    <w:rPr>
      <w:rFonts w:hint="default" w:ascii="Times New Roman" w:hAnsi="Times New Roman" w:cs="Times New Roman"/>
      <w:b/>
      <w:bCs/>
      <w:color w:val="000000"/>
      <w:sz w:val="22"/>
      <w:szCs w:val="22"/>
      <w:vertAlign w:val="superscript"/>
    </w:rPr>
  </w:style>
  <w:style w:type="character" w:customStyle="1" w:styleId="14">
    <w:name w:val="16"/>
    <w:basedOn w:val="6"/>
    <w:autoRedefine/>
    <w:qFormat/>
    <w:uiPriority w:val="0"/>
    <w:rPr>
      <w:rFonts w:hint="default" w:ascii="Times New Roman" w:hAnsi="Times New Roman" w:cs="Times New Roman"/>
      <w:b/>
      <w:bCs/>
      <w:color w:val="000000"/>
      <w:sz w:val="22"/>
      <w:szCs w:val="22"/>
    </w:rPr>
  </w:style>
  <w:style w:type="character" w:customStyle="1" w:styleId="15">
    <w:name w:val="17"/>
    <w:basedOn w:val="6"/>
    <w:autoRedefine/>
    <w:qFormat/>
    <w:uiPriority w:val="0"/>
    <w:rPr>
      <w:rFonts w:hint="default" w:ascii="Times New Roman" w:hAnsi="Times New Roman" w:cs="Times New Roman"/>
      <w:color w:val="000000"/>
      <w:sz w:val="22"/>
      <w:szCs w:val="22"/>
    </w:rPr>
  </w:style>
  <w:style w:type="character" w:customStyle="1" w:styleId="16">
    <w:name w:val="18"/>
    <w:basedOn w:val="6"/>
    <w:autoRedefine/>
    <w:qFormat/>
    <w:uiPriority w:val="0"/>
    <w:rPr>
      <w:rFonts w:hint="eastAsia" w:ascii="宋体" w:hAnsi="宋体" w:eastAsia="宋体"/>
      <w:color w:val="000000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中山大学</Company>
  <Pages>5</Pages>
  <Words>1109</Words>
  <Characters>6323</Characters>
  <Lines>52</Lines>
  <Paragraphs>14</Paragraphs>
  <TotalTime>75</TotalTime>
  <ScaleCrop>false</ScaleCrop>
  <LinksUpToDate>false</LinksUpToDate>
  <CharactersWithSpaces>7418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2023-09-30T03:04:00Z</dcterms:created>
  <dc:creator>Ruiqiang Li</dc:creator>
  <cp:lastModifiedBy>Ruiqiang Li</cp:lastModifiedBy>
  <dcterms:modified xsi:type="dcterms:W3CDTF">2024-05-13T09:00:05Z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058778AD780A4B8F97C6A7DCF12AEBF4_11</vt:lpwstr>
  </property>
</Properties>
</file>