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</w:pPr>
      <w:r w:rsidRPr="0097141F">
        <w:rPr>
          <w:b/>
          <w:bCs/>
          <w:lang w:val="en-GB"/>
        </w:rPr>
        <w:t>Supplementary material</w:t>
      </w:r>
    </w:p>
    <w:p w:rsidR="0097141F" w:rsidRPr="0097141F" w:rsidRDefault="0097141F" w:rsidP="0097141F">
      <w:pPr>
        <w:rPr>
          <w:b/>
          <w:bCs/>
          <w:lang w:val="en-GB"/>
        </w:rPr>
      </w:pPr>
      <w:r w:rsidRPr="0097141F">
        <w:rPr>
          <w:lang w:val="en-GB"/>
        </w:rPr>
        <w:t xml:space="preserve"> </w:t>
      </w:r>
      <w:r w:rsidRPr="0097141F">
        <w:rPr>
          <w:b/>
          <w:bCs/>
          <w:lang w:val="en-GB"/>
        </w:rPr>
        <w:t>Supplement 1: The difference of MNA score within each factor</w:t>
      </w:r>
    </w:p>
    <w:tbl>
      <w:tblPr>
        <w:tblW w:w="878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81"/>
        <w:gridCol w:w="992"/>
        <w:gridCol w:w="1276"/>
        <w:gridCol w:w="1134"/>
        <w:gridCol w:w="1706"/>
      </w:tblGrid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Variables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IQR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i/>
                <w:iCs/>
                <w:lang w:val="en-GB"/>
              </w:rPr>
              <w:t>p</w:t>
            </w:r>
            <w:r w:rsidRPr="0097141F">
              <w:rPr>
                <w:b/>
                <w:bCs/>
                <w:lang w:val="en-GB"/>
              </w:rPr>
              <w:t>-value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Age</w:t>
            </w:r>
            <w:r w:rsidRPr="0097141F">
              <w:rPr>
                <w:cs/>
                <w:lang w:bidi="th-TH"/>
              </w:rPr>
              <w:t xml:space="preserve"> </w:t>
            </w:r>
            <w:r w:rsidRPr="0097141F">
              <w:rPr>
                <w:lang w:val="en-GB"/>
              </w:rPr>
              <w:t xml:space="preserve">(years)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≤</w:t>
            </w:r>
            <w:r w:rsidRPr="0097141F">
              <w:rPr>
                <w:cs/>
                <w:lang w:bidi="th-TH"/>
              </w:rPr>
              <w:t xml:space="preserve"> </w:t>
            </w:r>
            <w:r w:rsidRPr="0097141F">
              <w:rPr>
                <w:lang w:val="en-GB"/>
              </w:rPr>
              <w:t xml:space="preserve">65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66 – 70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71 -75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≥</w:t>
            </w:r>
            <w:r w:rsidRPr="0097141F">
              <w:rPr>
                <w:cs/>
                <w:lang w:bidi="th-TH"/>
              </w:rPr>
              <w:t xml:space="preserve"> </w:t>
            </w:r>
            <w:r w:rsidRPr="0097141F">
              <w:rPr>
                <w:lang w:val="en-GB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160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57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41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4.00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4.50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4.00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  <w:r w:rsidRPr="0097141F">
              <w:rPr>
                <w:b/>
                <w:bCs/>
                <w:vertAlign w:val="superscript"/>
                <w:lang w:val="en-GB"/>
              </w:rPr>
              <w:t>†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Sex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Men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Women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105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0.35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Income (Pound)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&lt; 110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110  – 331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332  – 551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 xml:space="preserve">≥ 552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139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34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34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25.60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26.25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1.88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0.002</w:t>
            </w:r>
            <w:r w:rsidRPr="0097141F">
              <w:rPr>
                <w:b/>
                <w:bCs/>
                <w:vertAlign w:val="superscript"/>
                <w:lang w:val="en-GB"/>
              </w:rPr>
              <w:t>†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Education </w:t>
            </w:r>
          </w:p>
          <w:p w:rsidR="0097141F" w:rsidRPr="0097141F" w:rsidRDefault="0097141F" w:rsidP="0097141F">
            <w:pPr>
              <w:rPr>
                <w:cs/>
                <w:lang w:bidi="th-TH"/>
              </w:rPr>
            </w:pPr>
            <w:r w:rsidRPr="0097141F">
              <w:rPr>
                <w:lang w:val="en-GB"/>
              </w:rPr>
              <w:t>Elementary school or lower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Middle school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Diploma or degree or higher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69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2.13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0.003</w:t>
            </w:r>
            <w:r w:rsidRPr="0097141F">
              <w:rPr>
                <w:b/>
                <w:bCs/>
                <w:vertAlign w:val="superscript"/>
                <w:lang w:val="en-GB"/>
              </w:rPr>
              <w:t>†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Marital status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 xml:space="preserve">Single widowed or divorced status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Married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257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3.13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0.05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Family member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Lived alone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Lived with family member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12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275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24.75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0.06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 xml:space="preserve">Residency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Rural</w:t>
            </w:r>
            <w:r w:rsidRPr="0097141F">
              <w:rPr>
                <w:cs/>
                <w:lang w:bidi="th-TH"/>
              </w:rPr>
              <w:t xml:space="preserve">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Urban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130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0.86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Employment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Unemployment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Employment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173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0.005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Comorbidities</w:t>
            </w:r>
            <w:proofErr w:type="spellEnd"/>
            <w:r w:rsidRPr="0097141F">
              <w:rPr>
                <w:b/>
                <w:bCs/>
                <w:cs/>
                <w:lang w:bidi="th-TH"/>
              </w:rPr>
              <w:t xml:space="preserve">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&lt; 3</w:t>
            </w:r>
            <w:r w:rsidRPr="0097141F">
              <w:rPr>
                <w:cs/>
                <w:lang w:bidi="th-TH"/>
              </w:rPr>
              <w:t xml:space="preserve">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≥ 3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69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218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Duration of diabetes (year)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&lt; 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5 – 9</w:t>
            </w:r>
            <w:r w:rsidRPr="0097141F">
              <w:rPr>
                <w:cs/>
                <w:lang w:bidi="th-TH"/>
              </w:rPr>
              <w:t xml:space="preserve">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≥ 10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147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73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0.35</w:t>
            </w:r>
            <w:r w:rsidRPr="0097141F">
              <w:rPr>
                <w:b/>
                <w:bCs/>
                <w:vertAlign w:val="superscript"/>
                <w:lang w:val="en-GB"/>
              </w:rPr>
              <w:t>†</w:t>
            </w:r>
          </w:p>
        </w:tc>
      </w:tr>
      <w:tr w:rsidR="0097141F" w:rsidRPr="0097141F" w:rsidTr="00DB6E4F">
        <w:trPr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Digestive problem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21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266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0.87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Chronic pain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257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3.63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0.05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Chewing problem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25.25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0.26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Dental problem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143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0.73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Medications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&lt; 5</w:t>
            </w:r>
            <w:r w:rsidRPr="0097141F">
              <w:rPr>
                <w:cs/>
                <w:lang w:bidi="th-TH"/>
              </w:rPr>
              <w:t xml:space="preserve">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 xml:space="preserve">≥ 5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181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25.75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History of hospitalization in 1 year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62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0.10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Cognitive impairment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24.50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5.00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3.00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bADL</w:t>
            </w:r>
            <w:proofErr w:type="spellEnd"/>
            <w:r w:rsidRPr="0097141F">
              <w:rPr>
                <w:b/>
                <w:bCs/>
                <w:lang w:val="en-GB"/>
              </w:rPr>
              <w:t xml:space="preserve"> impairment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282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24.00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0.04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iADL</w:t>
            </w:r>
            <w:proofErr w:type="spellEnd"/>
            <w:r w:rsidRPr="0097141F">
              <w:rPr>
                <w:b/>
                <w:bCs/>
                <w:lang w:val="en-GB"/>
              </w:rPr>
              <w:t xml:space="preserve"> impairment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12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275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25.00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3.75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 xml:space="preserve">Depression 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Yes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No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6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25.50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5.50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0.45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  <w:tr w:rsidR="0097141F" w:rsidRPr="0097141F" w:rsidTr="00DB6E4F">
        <w:trPr>
          <w:trHeight w:val="215"/>
          <w:jc w:val="center"/>
        </w:trPr>
        <w:tc>
          <w:tcPr>
            <w:tcW w:w="3681" w:type="dxa"/>
            <w:shd w:val="clear" w:color="auto" w:fill="auto"/>
          </w:tcPr>
          <w:p w:rsidR="0097141F" w:rsidRPr="0097141F" w:rsidRDefault="0097141F" w:rsidP="0097141F">
            <w:pPr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Glycemic</w:t>
            </w:r>
            <w:proofErr w:type="spellEnd"/>
            <w:r w:rsidRPr="0097141F">
              <w:rPr>
                <w:b/>
                <w:bCs/>
                <w:lang w:val="en-GB"/>
              </w:rPr>
              <w:t xml:space="preserve"> controlled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Well controlled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Poor controlled</w:t>
            </w:r>
            <w:r w:rsidRPr="0097141F">
              <w:rPr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240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26.00</w:t>
            </w:r>
          </w:p>
        </w:tc>
        <w:tc>
          <w:tcPr>
            <w:tcW w:w="1134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3.50</w:t>
            </w:r>
          </w:p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2.50</w:t>
            </w:r>
          </w:p>
        </w:tc>
        <w:tc>
          <w:tcPr>
            <w:tcW w:w="1706" w:type="dxa"/>
            <w:shd w:val="clear" w:color="auto" w:fill="auto"/>
          </w:tcPr>
          <w:p w:rsidR="0097141F" w:rsidRPr="0097141F" w:rsidRDefault="0097141F" w:rsidP="0097141F">
            <w:pPr>
              <w:rPr>
                <w:lang w:val="en-GB"/>
              </w:rPr>
            </w:pPr>
            <w:r w:rsidRPr="0097141F">
              <w:rPr>
                <w:lang w:val="en-GB"/>
              </w:rPr>
              <w:t>0.09</w:t>
            </w:r>
            <w:r w:rsidRPr="0097141F">
              <w:rPr>
                <w:vertAlign w:val="superscript"/>
                <w:lang w:val="en-GB"/>
              </w:rPr>
              <w:t>*</w:t>
            </w:r>
          </w:p>
        </w:tc>
      </w:tr>
    </w:tbl>
    <w:p w:rsidR="0097141F" w:rsidRPr="0097141F" w:rsidRDefault="0097141F" w:rsidP="0097141F">
      <w:pPr>
        <w:rPr>
          <w:lang w:val="en-GB"/>
        </w:rPr>
      </w:pPr>
      <w:r w:rsidRPr="0097141F">
        <w:rPr>
          <w:lang w:val="en-GB"/>
        </w:rPr>
        <w:t xml:space="preserve">* = Mann Whitney U Test, † = </w:t>
      </w:r>
      <w:proofErr w:type="spellStart"/>
      <w:r w:rsidRPr="0097141F">
        <w:rPr>
          <w:lang w:val="en-GB"/>
        </w:rPr>
        <w:t>Kruskal</w:t>
      </w:r>
      <w:proofErr w:type="spellEnd"/>
      <w:r w:rsidRPr="0097141F">
        <w:rPr>
          <w:lang w:val="en-GB"/>
        </w:rPr>
        <w:t xml:space="preserve"> Wallis Test</w:t>
      </w: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  <w:sectPr w:rsidR="0097141F" w:rsidRPr="0097141F" w:rsidSect="008C68EB">
          <w:footerReference w:type="even" r:id="rId4"/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141F" w:rsidRPr="0097141F" w:rsidRDefault="0097141F" w:rsidP="0097141F">
      <w:pPr>
        <w:rPr>
          <w:b/>
          <w:bCs/>
          <w:lang w:val="en-GB"/>
        </w:rPr>
      </w:pPr>
      <w:r w:rsidRPr="0097141F">
        <w:rPr>
          <w:b/>
          <w:bCs/>
          <w:lang w:val="en-GB"/>
        </w:rPr>
        <w:lastRenderedPageBreak/>
        <w:t xml:space="preserve">Table </w:t>
      </w:r>
      <w:proofErr w:type="gramStart"/>
      <w:r w:rsidRPr="0097141F">
        <w:rPr>
          <w:b/>
          <w:bCs/>
          <w:lang w:val="en-GB"/>
        </w:rPr>
        <w:t>2 :</w:t>
      </w:r>
      <w:proofErr w:type="gramEnd"/>
      <w:r w:rsidRPr="0097141F">
        <w:rPr>
          <w:b/>
          <w:bCs/>
          <w:lang w:val="en-GB"/>
        </w:rPr>
        <w:t xml:space="preserve"> Associating factors of nutritional status (MNA score)</w:t>
      </w:r>
    </w:p>
    <w:tbl>
      <w:tblPr>
        <w:tblStyle w:val="TableGrid"/>
        <w:tblW w:w="10628" w:type="dxa"/>
        <w:tblInd w:w="83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"/>
        <w:gridCol w:w="303"/>
        <w:gridCol w:w="955"/>
        <w:gridCol w:w="767"/>
        <w:gridCol w:w="1048"/>
        <w:gridCol w:w="899"/>
        <w:gridCol w:w="1037"/>
        <w:gridCol w:w="778"/>
        <w:gridCol w:w="778"/>
        <w:gridCol w:w="766"/>
        <w:gridCol w:w="748"/>
        <w:gridCol w:w="902"/>
        <w:gridCol w:w="598"/>
      </w:tblGrid>
      <w:tr w:rsidR="0097141F" w:rsidRPr="0097141F" w:rsidTr="00DB6E4F">
        <w:trPr>
          <w:trHeight w:val="71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bookmarkStart w:id="0" w:name="_Hlk142756365"/>
            <w:r w:rsidRPr="0097141F">
              <w:rPr>
                <w:b/>
                <w:bCs/>
                <w:lang w:val="en-GB"/>
              </w:rPr>
              <w:t>Factors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Age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Income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Comorbid</w:t>
            </w:r>
            <w:proofErr w:type="spellEnd"/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Duration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Medication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MMSE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bADL</w:t>
            </w:r>
            <w:proofErr w:type="spellEnd"/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iADL</w:t>
            </w:r>
            <w:proofErr w:type="spellEnd"/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PHQ</w:t>
            </w: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HbA1c</w:t>
            </w: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MNA</w:t>
            </w:r>
          </w:p>
        </w:tc>
      </w:tr>
      <w:bookmarkEnd w:id="0"/>
      <w:tr w:rsidR="0097141F" w:rsidRPr="0097141F" w:rsidTr="00DB6E4F">
        <w:trPr>
          <w:trHeight w:val="72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Age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71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Income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-0.106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0.07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066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Comorbid</w:t>
            </w:r>
            <w:proofErr w:type="spellEnd"/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0.214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-0.089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0.13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72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Duration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0.236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0.073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0.22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0.133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066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Medication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0.225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-0.041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0.49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0.513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0.358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72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MMSE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-0.163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0.006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0.149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0.01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-0.059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0.32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-0.049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0.41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-0.126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0.03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066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bADL</w:t>
            </w:r>
            <w:proofErr w:type="spellEnd"/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-0.130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0.03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-0.035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0.56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-0.170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0.004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-0.018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0.77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-0.070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0.24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0.211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077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proofErr w:type="spellStart"/>
            <w:r w:rsidRPr="0097141F">
              <w:rPr>
                <w:b/>
                <w:bCs/>
                <w:lang w:val="en-GB"/>
              </w:rPr>
              <w:t>iADL</w:t>
            </w:r>
            <w:proofErr w:type="spellEnd"/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-0.210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0.008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0.89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-0.105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0.08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-0.167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0.005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-0.148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0.01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0.096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0.11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0.219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711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PHQ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0.003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0.95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-0.008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0.90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0.129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0.03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0.061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0.30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0.127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0.03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-0.040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0.50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-0.115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0.05</w:t>
            </w: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-0.052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0.38</w:t>
            </w: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48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HbA1c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lastRenderedPageBreak/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-0.062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0.30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0.139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0.02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-0.073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0.22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0.131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0.03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0.132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0.03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0.068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0.25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0.043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0.47</w:t>
            </w: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-</w:t>
            </w:r>
            <w:r w:rsidRPr="0097141F">
              <w:rPr>
                <w:lang w:val="en-GB"/>
              </w:rPr>
              <w:lastRenderedPageBreak/>
              <w:t>0.041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0.49</w:t>
            </w: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0.059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0.32</w:t>
            </w: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lastRenderedPageBreak/>
              <w:t>-</w:t>
            </w: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</w:p>
        </w:tc>
      </w:tr>
      <w:tr w:rsidR="0097141F" w:rsidRPr="0097141F" w:rsidTr="00DB6E4F">
        <w:trPr>
          <w:trHeight w:val="1066"/>
        </w:trPr>
        <w:tc>
          <w:tcPr>
            <w:tcW w:w="104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lastRenderedPageBreak/>
              <w:t>MNA</w:t>
            </w:r>
          </w:p>
        </w:tc>
        <w:tc>
          <w:tcPr>
            <w:tcW w:w="303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r</w:t>
            </w:r>
          </w:p>
          <w:p w:rsidR="0097141F" w:rsidRPr="0097141F" w:rsidRDefault="0097141F" w:rsidP="0097141F">
            <w:pPr>
              <w:spacing w:after="200" w:line="276" w:lineRule="auto"/>
              <w:rPr>
                <w:i/>
                <w:iCs/>
                <w:lang w:val="en-GB"/>
              </w:rPr>
            </w:pPr>
            <w:r w:rsidRPr="0097141F">
              <w:rPr>
                <w:i/>
                <w:iCs/>
                <w:lang w:val="en-GB"/>
              </w:rPr>
              <w:t>p</w:t>
            </w:r>
          </w:p>
        </w:tc>
        <w:tc>
          <w:tcPr>
            <w:tcW w:w="955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-0.229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6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0.168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0.004</w:t>
            </w:r>
          </w:p>
        </w:tc>
        <w:tc>
          <w:tcPr>
            <w:tcW w:w="10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-0.160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0.007</w:t>
            </w:r>
          </w:p>
        </w:tc>
        <w:tc>
          <w:tcPr>
            <w:tcW w:w="899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-0.056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0.34</w:t>
            </w:r>
          </w:p>
        </w:tc>
        <w:tc>
          <w:tcPr>
            <w:tcW w:w="1037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-0.294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0.234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&lt;0.001</w:t>
            </w:r>
          </w:p>
        </w:tc>
        <w:tc>
          <w:tcPr>
            <w:tcW w:w="77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0.143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</w:p>
        </w:tc>
        <w:tc>
          <w:tcPr>
            <w:tcW w:w="766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0.144</w:t>
            </w:r>
          </w:p>
          <w:p w:rsidR="0097141F" w:rsidRPr="0097141F" w:rsidRDefault="0097141F" w:rsidP="0097141F">
            <w:pPr>
              <w:spacing w:after="200" w:line="276" w:lineRule="auto"/>
              <w:rPr>
                <w:b/>
                <w:bCs/>
                <w:lang w:val="en-GB"/>
              </w:rPr>
            </w:pPr>
            <w:r w:rsidRPr="0097141F">
              <w:rPr>
                <w:b/>
                <w:bCs/>
                <w:lang w:val="en-GB"/>
              </w:rPr>
              <w:t>0.02</w:t>
            </w:r>
          </w:p>
        </w:tc>
        <w:tc>
          <w:tcPr>
            <w:tcW w:w="74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-0.033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0.58</w:t>
            </w:r>
          </w:p>
        </w:tc>
        <w:tc>
          <w:tcPr>
            <w:tcW w:w="902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-0.057</w:t>
            </w:r>
          </w:p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0.34</w:t>
            </w:r>
          </w:p>
        </w:tc>
        <w:tc>
          <w:tcPr>
            <w:tcW w:w="598" w:type="dxa"/>
            <w:vAlign w:val="center"/>
          </w:tcPr>
          <w:p w:rsidR="0097141F" w:rsidRPr="0097141F" w:rsidRDefault="0097141F" w:rsidP="0097141F">
            <w:pPr>
              <w:spacing w:after="200" w:line="276" w:lineRule="auto"/>
              <w:rPr>
                <w:lang w:val="en-GB"/>
              </w:rPr>
            </w:pPr>
            <w:r w:rsidRPr="0097141F">
              <w:rPr>
                <w:lang w:val="en-GB"/>
              </w:rPr>
              <w:t>-</w:t>
            </w:r>
          </w:p>
        </w:tc>
      </w:tr>
    </w:tbl>
    <w:p w:rsidR="0097141F" w:rsidRPr="0097141F" w:rsidRDefault="0097141F" w:rsidP="0097141F">
      <w:pPr>
        <w:rPr>
          <w:lang w:val="en-GB"/>
        </w:rPr>
      </w:pPr>
      <w:r w:rsidRPr="0097141F">
        <w:rPr>
          <w:lang w:val="en-GB"/>
        </w:rPr>
        <w:t>MMSE,</w:t>
      </w:r>
      <w:r w:rsidRPr="0097141F">
        <w:rPr>
          <w:lang w:val="en-GB"/>
        </w:rPr>
        <w:tab/>
        <w:t xml:space="preserve">Mini-Mental State Examination; ADL, activities of daily living; PHQ, Patient Health Questionnaire; HbA1c, </w:t>
      </w:r>
      <w:proofErr w:type="spellStart"/>
      <w:r w:rsidRPr="0097141F">
        <w:rPr>
          <w:lang w:val="en-GB"/>
        </w:rPr>
        <w:t>glycated</w:t>
      </w:r>
      <w:proofErr w:type="spellEnd"/>
      <w:r w:rsidRPr="0097141F">
        <w:rPr>
          <w:lang w:val="en-GB"/>
        </w:rPr>
        <w:t xml:space="preserve"> haemoglobin; MNA, Mini Nutritional Assessment.</w:t>
      </w:r>
    </w:p>
    <w:p w:rsidR="0097141F" w:rsidRPr="0097141F" w:rsidRDefault="0097141F" w:rsidP="0097141F">
      <w:pPr>
        <w:rPr>
          <w:lang w:val="en-GB"/>
        </w:rPr>
      </w:pPr>
      <w:r w:rsidRPr="0097141F">
        <w:rPr>
          <w:lang w:val="en-GB"/>
        </w:rPr>
        <w:t>Significant at p &lt; 0.05</w:t>
      </w: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b/>
          <w:bCs/>
          <w:lang w:val="en-GB"/>
        </w:rPr>
      </w:pPr>
    </w:p>
    <w:p w:rsidR="0097141F" w:rsidRPr="0097141F" w:rsidRDefault="0097141F" w:rsidP="0097141F">
      <w:pPr>
        <w:rPr>
          <w:lang w:val="en-GB"/>
        </w:rPr>
      </w:pPr>
    </w:p>
    <w:p w:rsidR="000C19DB" w:rsidRDefault="000C19DB"/>
    <w:sectPr w:rsidR="000C19DB" w:rsidSect="000C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366570079"/>
      <w:docPartObj>
        <w:docPartGallery w:val="Page Numbers (Bottom of Page)"/>
        <w:docPartUnique/>
      </w:docPartObj>
    </w:sdtPr>
    <w:sdtContent>
      <w:p w:rsidR="0097141F" w:rsidRDefault="0097141F" w:rsidP="001142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7141F" w:rsidRDefault="0097141F" w:rsidP="002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8121159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97141F" w:rsidRPr="00707ED6" w:rsidRDefault="0097141F" w:rsidP="00707ED6">
        <w:pPr>
          <w:pStyle w:val="Footer"/>
          <w:framePr w:wrap="none" w:vAnchor="text" w:hAnchor="page" w:x="10597" w:y="4"/>
          <w:rPr>
            <w:rStyle w:val="PageNumber"/>
            <w:rFonts w:ascii="Times New Roman" w:hAnsi="Times New Roman" w:cs="Times New Roman"/>
          </w:rPr>
        </w:pPr>
        <w:r w:rsidRPr="00707ED6">
          <w:rPr>
            <w:rStyle w:val="PageNumber"/>
            <w:rFonts w:ascii="Times New Roman" w:hAnsi="Times New Roman" w:cs="Times New Roman"/>
          </w:rPr>
          <w:fldChar w:fldCharType="begin"/>
        </w:r>
        <w:r w:rsidRPr="00707ED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07ED6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5</w:t>
        </w:r>
        <w:r w:rsidRPr="00707ED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97141F" w:rsidRPr="00707ED6" w:rsidRDefault="0097141F" w:rsidP="00200E2F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compat/>
  <w:rsids>
    <w:rsidRoot w:val="0097141F"/>
    <w:rsid w:val="0001439B"/>
    <w:rsid w:val="00014C65"/>
    <w:rsid w:val="00017A63"/>
    <w:rsid w:val="000200B0"/>
    <w:rsid w:val="00020DF5"/>
    <w:rsid w:val="000242C2"/>
    <w:rsid w:val="000337F8"/>
    <w:rsid w:val="00033AAC"/>
    <w:rsid w:val="00037E1E"/>
    <w:rsid w:val="00044546"/>
    <w:rsid w:val="0005614F"/>
    <w:rsid w:val="00071C09"/>
    <w:rsid w:val="00076017"/>
    <w:rsid w:val="00085E3C"/>
    <w:rsid w:val="00096992"/>
    <w:rsid w:val="000A52C0"/>
    <w:rsid w:val="000B19ED"/>
    <w:rsid w:val="000B6BD7"/>
    <w:rsid w:val="000C19DB"/>
    <w:rsid w:val="000D4761"/>
    <w:rsid w:val="000E022E"/>
    <w:rsid w:val="00100229"/>
    <w:rsid w:val="00117AC0"/>
    <w:rsid w:val="00120373"/>
    <w:rsid w:val="001420C0"/>
    <w:rsid w:val="00143FB8"/>
    <w:rsid w:val="00161088"/>
    <w:rsid w:val="001758C7"/>
    <w:rsid w:val="00182D1A"/>
    <w:rsid w:val="00183D7F"/>
    <w:rsid w:val="00192D25"/>
    <w:rsid w:val="001A5CF9"/>
    <w:rsid w:val="001A6CFC"/>
    <w:rsid w:val="001B44AF"/>
    <w:rsid w:val="001B684B"/>
    <w:rsid w:val="001C5511"/>
    <w:rsid w:val="001E1DF9"/>
    <w:rsid w:val="001E2942"/>
    <w:rsid w:val="001F3549"/>
    <w:rsid w:val="002024C2"/>
    <w:rsid w:val="002163DF"/>
    <w:rsid w:val="00221451"/>
    <w:rsid w:val="00227E21"/>
    <w:rsid w:val="00242604"/>
    <w:rsid w:val="00244A71"/>
    <w:rsid w:val="00266539"/>
    <w:rsid w:val="002665F7"/>
    <w:rsid w:val="002676BC"/>
    <w:rsid w:val="00282234"/>
    <w:rsid w:val="002933D7"/>
    <w:rsid w:val="002A05F5"/>
    <w:rsid w:val="002A3200"/>
    <w:rsid w:val="002A6D9E"/>
    <w:rsid w:val="002B66E9"/>
    <w:rsid w:val="002B7EA4"/>
    <w:rsid w:val="002C0BAA"/>
    <w:rsid w:val="002D1E20"/>
    <w:rsid w:val="002D61E0"/>
    <w:rsid w:val="002E13F8"/>
    <w:rsid w:val="002E2E0A"/>
    <w:rsid w:val="002F1A59"/>
    <w:rsid w:val="003004FA"/>
    <w:rsid w:val="00304DE6"/>
    <w:rsid w:val="00313110"/>
    <w:rsid w:val="00314983"/>
    <w:rsid w:val="00315F31"/>
    <w:rsid w:val="00325BDF"/>
    <w:rsid w:val="00340B8C"/>
    <w:rsid w:val="003500B6"/>
    <w:rsid w:val="003646F8"/>
    <w:rsid w:val="00376231"/>
    <w:rsid w:val="00381C0D"/>
    <w:rsid w:val="00387AB5"/>
    <w:rsid w:val="003919C5"/>
    <w:rsid w:val="003B62F7"/>
    <w:rsid w:val="003C4434"/>
    <w:rsid w:val="003C5CF6"/>
    <w:rsid w:val="004043E7"/>
    <w:rsid w:val="0041206D"/>
    <w:rsid w:val="00433959"/>
    <w:rsid w:val="00442227"/>
    <w:rsid w:val="00442C19"/>
    <w:rsid w:val="00475F92"/>
    <w:rsid w:val="00493FC1"/>
    <w:rsid w:val="004B43C7"/>
    <w:rsid w:val="004C6DB6"/>
    <w:rsid w:val="004D1036"/>
    <w:rsid w:val="004E5E52"/>
    <w:rsid w:val="004E63D1"/>
    <w:rsid w:val="005129B4"/>
    <w:rsid w:val="00514E58"/>
    <w:rsid w:val="0051723C"/>
    <w:rsid w:val="005425EB"/>
    <w:rsid w:val="00542848"/>
    <w:rsid w:val="005706A4"/>
    <w:rsid w:val="00574452"/>
    <w:rsid w:val="0057661F"/>
    <w:rsid w:val="005A5B12"/>
    <w:rsid w:val="005B30F3"/>
    <w:rsid w:val="005B6A1D"/>
    <w:rsid w:val="005D4706"/>
    <w:rsid w:val="005E49CF"/>
    <w:rsid w:val="0060349B"/>
    <w:rsid w:val="00650837"/>
    <w:rsid w:val="006517BF"/>
    <w:rsid w:val="006660B3"/>
    <w:rsid w:val="00677A65"/>
    <w:rsid w:val="00682758"/>
    <w:rsid w:val="00683F83"/>
    <w:rsid w:val="006843D1"/>
    <w:rsid w:val="00694A30"/>
    <w:rsid w:val="006C0E8D"/>
    <w:rsid w:val="0072047C"/>
    <w:rsid w:val="007235BA"/>
    <w:rsid w:val="00724FE3"/>
    <w:rsid w:val="00750592"/>
    <w:rsid w:val="00751903"/>
    <w:rsid w:val="007528D2"/>
    <w:rsid w:val="007554F2"/>
    <w:rsid w:val="007565D2"/>
    <w:rsid w:val="0077531E"/>
    <w:rsid w:val="00775F5C"/>
    <w:rsid w:val="00787CB4"/>
    <w:rsid w:val="00790F5A"/>
    <w:rsid w:val="00794A5A"/>
    <w:rsid w:val="00797F62"/>
    <w:rsid w:val="007B2666"/>
    <w:rsid w:val="007C7D41"/>
    <w:rsid w:val="007D6E09"/>
    <w:rsid w:val="007E0613"/>
    <w:rsid w:val="007E318F"/>
    <w:rsid w:val="007E7555"/>
    <w:rsid w:val="007F3083"/>
    <w:rsid w:val="007F5F21"/>
    <w:rsid w:val="00801965"/>
    <w:rsid w:val="0080526F"/>
    <w:rsid w:val="0082160C"/>
    <w:rsid w:val="008351BF"/>
    <w:rsid w:val="0083738E"/>
    <w:rsid w:val="00864F08"/>
    <w:rsid w:val="00874998"/>
    <w:rsid w:val="008818C6"/>
    <w:rsid w:val="00883259"/>
    <w:rsid w:val="00887D21"/>
    <w:rsid w:val="00892351"/>
    <w:rsid w:val="0089640E"/>
    <w:rsid w:val="008A5CA4"/>
    <w:rsid w:val="008B355D"/>
    <w:rsid w:val="008B4F8E"/>
    <w:rsid w:val="008B708F"/>
    <w:rsid w:val="008D0C5D"/>
    <w:rsid w:val="008D64CA"/>
    <w:rsid w:val="008E0A79"/>
    <w:rsid w:val="008F177E"/>
    <w:rsid w:val="008F5AE5"/>
    <w:rsid w:val="00901830"/>
    <w:rsid w:val="00926768"/>
    <w:rsid w:val="00926E8E"/>
    <w:rsid w:val="00936BB4"/>
    <w:rsid w:val="0094652D"/>
    <w:rsid w:val="00956892"/>
    <w:rsid w:val="00956BFB"/>
    <w:rsid w:val="0097141F"/>
    <w:rsid w:val="009743F3"/>
    <w:rsid w:val="009854C0"/>
    <w:rsid w:val="00991CDA"/>
    <w:rsid w:val="009A42D3"/>
    <w:rsid w:val="009A7FBE"/>
    <w:rsid w:val="009B2070"/>
    <w:rsid w:val="009B4A9F"/>
    <w:rsid w:val="009D4E13"/>
    <w:rsid w:val="009E1456"/>
    <w:rsid w:val="009E5C49"/>
    <w:rsid w:val="009E6D9E"/>
    <w:rsid w:val="009F0807"/>
    <w:rsid w:val="009F57AD"/>
    <w:rsid w:val="00A016D9"/>
    <w:rsid w:val="00A155AC"/>
    <w:rsid w:val="00A210AA"/>
    <w:rsid w:val="00A233B3"/>
    <w:rsid w:val="00A33780"/>
    <w:rsid w:val="00A35CD0"/>
    <w:rsid w:val="00A45DDB"/>
    <w:rsid w:val="00A47790"/>
    <w:rsid w:val="00A51685"/>
    <w:rsid w:val="00A5346C"/>
    <w:rsid w:val="00A868E4"/>
    <w:rsid w:val="00A912A7"/>
    <w:rsid w:val="00A92870"/>
    <w:rsid w:val="00AA19BB"/>
    <w:rsid w:val="00AA31FC"/>
    <w:rsid w:val="00AB0C16"/>
    <w:rsid w:val="00AB2D82"/>
    <w:rsid w:val="00AB7BB4"/>
    <w:rsid w:val="00AD4D9F"/>
    <w:rsid w:val="00AE3024"/>
    <w:rsid w:val="00AE34BD"/>
    <w:rsid w:val="00AE394F"/>
    <w:rsid w:val="00B01B3C"/>
    <w:rsid w:val="00B11B6E"/>
    <w:rsid w:val="00B30ED2"/>
    <w:rsid w:val="00B4356D"/>
    <w:rsid w:val="00B44537"/>
    <w:rsid w:val="00B47A23"/>
    <w:rsid w:val="00B87554"/>
    <w:rsid w:val="00BA34D8"/>
    <w:rsid w:val="00BC3CD6"/>
    <w:rsid w:val="00BD179F"/>
    <w:rsid w:val="00BD28A8"/>
    <w:rsid w:val="00BD4AC7"/>
    <w:rsid w:val="00BE355D"/>
    <w:rsid w:val="00BE4413"/>
    <w:rsid w:val="00C12DB4"/>
    <w:rsid w:val="00C1430E"/>
    <w:rsid w:val="00C26D61"/>
    <w:rsid w:val="00C46186"/>
    <w:rsid w:val="00C54E76"/>
    <w:rsid w:val="00C71864"/>
    <w:rsid w:val="00C97868"/>
    <w:rsid w:val="00CA1731"/>
    <w:rsid w:val="00CB2D04"/>
    <w:rsid w:val="00CB550F"/>
    <w:rsid w:val="00CB73A3"/>
    <w:rsid w:val="00CC41D9"/>
    <w:rsid w:val="00CE38F7"/>
    <w:rsid w:val="00CE41E0"/>
    <w:rsid w:val="00CF0E81"/>
    <w:rsid w:val="00CF79B5"/>
    <w:rsid w:val="00D0165A"/>
    <w:rsid w:val="00D16122"/>
    <w:rsid w:val="00D17BCF"/>
    <w:rsid w:val="00D25613"/>
    <w:rsid w:val="00D260D4"/>
    <w:rsid w:val="00D5315C"/>
    <w:rsid w:val="00D556EC"/>
    <w:rsid w:val="00D5680C"/>
    <w:rsid w:val="00D73CD3"/>
    <w:rsid w:val="00D87DD0"/>
    <w:rsid w:val="00D93BA5"/>
    <w:rsid w:val="00D9715A"/>
    <w:rsid w:val="00DA4B82"/>
    <w:rsid w:val="00DA701A"/>
    <w:rsid w:val="00DA7C0E"/>
    <w:rsid w:val="00DC5CAC"/>
    <w:rsid w:val="00DC6724"/>
    <w:rsid w:val="00DD01B5"/>
    <w:rsid w:val="00DD0B17"/>
    <w:rsid w:val="00DE683C"/>
    <w:rsid w:val="00DF7FCD"/>
    <w:rsid w:val="00E32E04"/>
    <w:rsid w:val="00E52510"/>
    <w:rsid w:val="00E53BB8"/>
    <w:rsid w:val="00E57B5C"/>
    <w:rsid w:val="00E975B7"/>
    <w:rsid w:val="00EA33D2"/>
    <w:rsid w:val="00EB6361"/>
    <w:rsid w:val="00EB64F2"/>
    <w:rsid w:val="00EB69C1"/>
    <w:rsid w:val="00ED06D6"/>
    <w:rsid w:val="00ED5CE4"/>
    <w:rsid w:val="00EF01DD"/>
    <w:rsid w:val="00EF41DF"/>
    <w:rsid w:val="00EF7419"/>
    <w:rsid w:val="00F170DA"/>
    <w:rsid w:val="00F22740"/>
    <w:rsid w:val="00F61E54"/>
    <w:rsid w:val="00F67949"/>
    <w:rsid w:val="00F72831"/>
    <w:rsid w:val="00F754E0"/>
    <w:rsid w:val="00F7559B"/>
    <w:rsid w:val="00F81BCC"/>
    <w:rsid w:val="00F83C5C"/>
    <w:rsid w:val="00F86527"/>
    <w:rsid w:val="00F949AE"/>
    <w:rsid w:val="00FB151B"/>
    <w:rsid w:val="00FB6A90"/>
    <w:rsid w:val="00FD226C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autoRedefine/>
    <w:qFormat/>
    <w:rsid w:val="00244A71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qFormat/>
    <w:rsid w:val="00244A71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character" w:customStyle="1" w:styleId="bkTitle">
    <w:name w:val="bkTitle"/>
    <w:uiPriority w:val="1"/>
    <w:qFormat/>
    <w:rsid w:val="00AA19BB"/>
    <w:rPr>
      <w:rFonts w:ascii="Times New Roman" w:hAnsi="Times New Roman"/>
      <w:i/>
      <w:sz w:val="24"/>
      <w:bdr w:val="none" w:sz="0" w:space="0" w:color="auto"/>
      <w:shd w:val="clear" w:color="auto" w:fill="BFBFBF" w:themeFill="background1" w:themeFillShade="BF"/>
    </w:rPr>
  </w:style>
  <w:style w:type="table" w:styleId="TableGrid">
    <w:name w:val="Table Grid"/>
    <w:basedOn w:val="TableNormal"/>
    <w:uiPriority w:val="59"/>
    <w:rsid w:val="0097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7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41F"/>
  </w:style>
  <w:style w:type="character" w:styleId="PageNumber">
    <w:name w:val="page number"/>
    <w:basedOn w:val="DefaultParagraphFont"/>
    <w:uiPriority w:val="99"/>
    <w:semiHidden/>
    <w:unhideWhenUsed/>
    <w:rsid w:val="0097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2558</Characters>
  <Application>Microsoft Office Word</Application>
  <DocSecurity>0</DocSecurity>
  <Lines>102</Lines>
  <Paragraphs>67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1</cp:revision>
  <dcterms:created xsi:type="dcterms:W3CDTF">2024-01-22T11:43:00Z</dcterms:created>
  <dcterms:modified xsi:type="dcterms:W3CDTF">2024-01-22T11:45:00Z</dcterms:modified>
</cp:coreProperties>
</file>