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547C" w14:textId="1512F520" w:rsidR="00F1224F" w:rsidRDefault="00F1224F" w:rsidP="00F1224F">
      <w:pPr>
        <w:ind w:right="811"/>
        <w:rPr>
          <w:rFonts w:asciiTheme="majorBidi" w:hAnsiTheme="majorBidi" w:cstheme="majorBidi"/>
          <w:b/>
          <w:bCs/>
          <w:noProof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t>Supplementary 1</w:t>
      </w:r>
      <w:r w:rsidRPr="00A80FDF">
        <w:rPr>
          <w:rFonts w:asciiTheme="majorBidi" w:hAnsiTheme="majorBidi" w:cstheme="majorBidi"/>
          <w:sz w:val="20"/>
          <w:szCs w:val="20"/>
        </w:rPr>
        <w:t>. Risk of bias assessment.</w:t>
      </w:r>
    </w:p>
    <w:tbl>
      <w:tblPr>
        <w:tblStyle w:val="TableGrid"/>
        <w:tblpPr w:leftFromText="181" w:rightFromText="181" w:vertAnchor="text" w:horzAnchor="margin" w:tblpXSpec="center" w:tblpY="289"/>
        <w:tblW w:w="12485" w:type="dxa"/>
        <w:tblLayout w:type="fixed"/>
        <w:tblLook w:val="04A0" w:firstRow="1" w:lastRow="0" w:firstColumn="1" w:lastColumn="0" w:noHBand="0" w:noVBand="1"/>
      </w:tblPr>
      <w:tblGrid>
        <w:gridCol w:w="3145"/>
        <w:gridCol w:w="1170"/>
        <w:gridCol w:w="1311"/>
        <w:gridCol w:w="1101"/>
        <w:gridCol w:w="1009"/>
        <w:gridCol w:w="1468"/>
        <w:gridCol w:w="1231"/>
        <w:gridCol w:w="1006"/>
        <w:gridCol w:w="1044"/>
      </w:tblGrid>
      <w:tr w:rsidR="00F1224F" w:rsidRPr="001A33DE" w14:paraId="035E1EB3" w14:textId="77777777" w:rsidTr="00F5129F">
        <w:trPr>
          <w:trHeight w:val="606"/>
        </w:trPr>
        <w:tc>
          <w:tcPr>
            <w:tcW w:w="3145" w:type="dxa"/>
            <w:vAlign w:val="center"/>
          </w:tcPr>
          <w:p w14:paraId="6B78E14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studies</w:t>
            </w:r>
          </w:p>
        </w:tc>
        <w:tc>
          <w:tcPr>
            <w:tcW w:w="1170" w:type="dxa"/>
            <w:vAlign w:val="center"/>
          </w:tcPr>
          <w:p w14:paraId="17673E8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Random sequence generation</w:t>
            </w:r>
          </w:p>
        </w:tc>
        <w:tc>
          <w:tcPr>
            <w:tcW w:w="1311" w:type="dxa"/>
            <w:vAlign w:val="center"/>
          </w:tcPr>
          <w:p w14:paraId="6ED6A3D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Allocation concealment</w:t>
            </w:r>
          </w:p>
        </w:tc>
        <w:tc>
          <w:tcPr>
            <w:tcW w:w="1101" w:type="dxa"/>
            <w:vAlign w:val="center"/>
          </w:tcPr>
          <w:p w14:paraId="3B59924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Selective reporting</w:t>
            </w:r>
          </w:p>
        </w:tc>
        <w:tc>
          <w:tcPr>
            <w:tcW w:w="1009" w:type="dxa"/>
            <w:vAlign w:val="center"/>
          </w:tcPr>
          <w:p w14:paraId="764CA55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Other sources of bias</w:t>
            </w:r>
          </w:p>
        </w:tc>
        <w:tc>
          <w:tcPr>
            <w:tcW w:w="1468" w:type="dxa"/>
            <w:vAlign w:val="center"/>
          </w:tcPr>
          <w:p w14:paraId="75702A1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Blinding (participants and personnel)</w:t>
            </w:r>
          </w:p>
        </w:tc>
        <w:tc>
          <w:tcPr>
            <w:tcW w:w="1231" w:type="dxa"/>
            <w:vAlign w:val="center"/>
          </w:tcPr>
          <w:p w14:paraId="6B0B776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Blinding (outcome assessment)</w:t>
            </w:r>
          </w:p>
        </w:tc>
        <w:tc>
          <w:tcPr>
            <w:tcW w:w="1006" w:type="dxa"/>
            <w:vAlign w:val="center"/>
          </w:tcPr>
          <w:p w14:paraId="31F10D3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Incomplete outcome data</w:t>
            </w:r>
          </w:p>
        </w:tc>
        <w:tc>
          <w:tcPr>
            <w:tcW w:w="1044" w:type="dxa"/>
            <w:vAlign w:val="center"/>
          </w:tcPr>
          <w:p w14:paraId="07953D5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General risk of bias</w:t>
            </w:r>
          </w:p>
        </w:tc>
      </w:tr>
      <w:tr w:rsidR="00F1224F" w:rsidRPr="001A33DE" w14:paraId="020B7E97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CCC7D70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Zambell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2000</w:t>
            </w:r>
          </w:p>
        </w:tc>
        <w:tc>
          <w:tcPr>
            <w:tcW w:w="1170" w:type="dxa"/>
            <w:vAlign w:val="bottom"/>
          </w:tcPr>
          <w:p w14:paraId="5BF5054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1D9767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6EA1EFF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57EEC6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vAlign w:val="bottom"/>
          </w:tcPr>
          <w:p w14:paraId="0140355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74BF3A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57CDF58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1350139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1A4930D4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E042353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Berven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2000</w:t>
            </w:r>
          </w:p>
        </w:tc>
        <w:tc>
          <w:tcPr>
            <w:tcW w:w="1170" w:type="dxa"/>
            <w:vAlign w:val="bottom"/>
          </w:tcPr>
          <w:p w14:paraId="4FCBF10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DEAB47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101B37E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F3BF1C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9B84CB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E64036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0DE4BC4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1B189CE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8A0A089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4E2EABE" w14:textId="77777777" w:rsidR="00F1224F" w:rsidRPr="001A33DE" w:rsidRDefault="00F1224F" w:rsidP="00F512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Blankson et al. 2000 </w:t>
            </w:r>
          </w:p>
        </w:tc>
        <w:tc>
          <w:tcPr>
            <w:tcW w:w="1170" w:type="dxa"/>
            <w:vAlign w:val="bottom"/>
          </w:tcPr>
          <w:p w14:paraId="1054379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9E4868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1F099C2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EB80CA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5C990D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20C6A13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F22656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659A399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510EF063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753B8E91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Medina et al. 2000</w:t>
            </w:r>
          </w:p>
        </w:tc>
        <w:tc>
          <w:tcPr>
            <w:tcW w:w="1170" w:type="dxa"/>
            <w:vAlign w:val="bottom"/>
          </w:tcPr>
          <w:p w14:paraId="08D958F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5370B8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7BC1B69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186D7C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D11098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51A7027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0F157BB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463742E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53B78DBB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528D696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Thom et al. 2001</w:t>
            </w:r>
          </w:p>
        </w:tc>
        <w:tc>
          <w:tcPr>
            <w:tcW w:w="1170" w:type="dxa"/>
            <w:vAlign w:val="bottom"/>
          </w:tcPr>
          <w:p w14:paraId="4ABD236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5047B1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27F201A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0A376D7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B70493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DB5F05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7D305C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7590EBE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3EDC1878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3C52669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Mougios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2001</w:t>
            </w:r>
          </w:p>
        </w:tc>
        <w:tc>
          <w:tcPr>
            <w:tcW w:w="1170" w:type="dxa"/>
            <w:vAlign w:val="bottom"/>
          </w:tcPr>
          <w:p w14:paraId="7D5F5E1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EA8766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2FD46C7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03512F6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C93472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91E3FE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8862E0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EA0835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1D96FB8D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CA38857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Riserus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2001</w:t>
            </w:r>
          </w:p>
        </w:tc>
        <w:tc>
          <w:tcPr>
            <w:tcW w:w="1170" w:type="dxa"/>
            <w:vAlign w:val="bottom"/>
          </w:tcPr>
          <w:p w14:paraId="48B235C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7C66B7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121568F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A693A3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1EBA32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7DDFD9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A5619B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142654F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32E3217F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43D05F2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RISerus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2002 </w:t>
            </w:r>
          </w:p>
        </w:tc>
        <w:tc>
          <w:tcPr>
            <w:tcW w:w="1170" w:type="dxa"/>
            <w:vAlign w:val="bottom"/>
          </w:tcPr>
          <w:p w14:paraId="7419F7D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2345042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29BC8C4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15D75C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97C16C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883A98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1E0CD32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6D0D50D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51E278F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E88D370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Kreider et al. 2002</w:t>
            </w:r>
          </w:p>
        </w:tc>
        <w:tc>
          <w:tcPr>
            <w:tcW w:w="1170" w:type="dxa"/>
            <w:vAlign w:val="bottom"/>
          </w:tcPr>
          <w:p w14:paraId="7224426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4147DF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132A75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F4A3FE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7E83049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35510F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178BF6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4053ACE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495900D7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0E097E1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Noone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2002 </w:t>
            </w:r>
          </w:p>
        </w:tc>
        <w:tc>
          <w:tcPr>
            <w:tcW w:w="1170" w:type="dxa"/>
            <w:vAlign w:val="bottom"/>
          </w:tcPr>
          <w:p w14:paraId="532F610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BAA8F5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394A5DE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501BB4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E79F0B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713EA8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22182AC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142E254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0BA32DEF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76820F18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Kamphuis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2003 </w:t>
            </w:r>
          </w:p>
        </w:tc>
        <w:tc>
          <w:tcPr>
            <w:tcW w:w="1170" w:type="dxa"/>
            <w:vAlign w:val="bottom"/>
          </w:tcPr>
          <w:p w14:paraId="768A077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284E960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69DEBDB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1203B1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6C88C57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560D333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372808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6ABA643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905AAE5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E25D3CA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Kamphuis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2003</w:t>
            </w:r>
          </w:p>
        </w:tc>
        <w:tc>
          <w:tcPr>
            <w:tcW w:w="1170" w:type="dxa"/>
            <w:vAlign w:val="bottom"/>
          </w:tcPr>
          <w:p w14:paraId="5C3A951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E759F3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1169EC5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79D1DB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189302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709E12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10F4E7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7342E98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4DBD6223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979FEB7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Malpuech‐Brugère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2004 </w:t>
            </w:r>
          </w:p>
        </w:tc>
        <w:tc>
          <w:tcPr>
            <w:tcW w:w="1170" w:type="dxa"/>
            <w:vAlign w:val="bottom"/>
          </w:tcPr>
          <w:p w14:paraId="782D7F0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4702E5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EAF0CA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C86752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D4A5D3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38E722C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162D382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5FD01B8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02B479BB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756AACD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Riserus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2004</w:t>
            </w:r>
          </w:p>
        </w:tc>
        <w:tc>
          <w:tcPr>
            <w:tcW w:w="1170" w:type="dxa"/>
            <w:vAlign w:val="bottom"/>
          </w:tcPr>
          <w:p w14:paraId="18764D1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D7824D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52998B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7D41A5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F044DF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3307B1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5EFD4B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4CC0276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29A260C0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0AEB035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Gaullier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2004 </w:t>
            </w:r>
          </w:p>
        </w:tc>
        <w:tc>
          <w:tcPr>
            <w:tcW w:w="1170" w:type="dxa"/>
            <w:vAlign w:val="bottom"/>
          </w:tcPr>
          <w:p w14:paraId="28AAC0B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311" w:type="dxa"/>
            <w:vAlign w:val="bottom"/>
          </w:tcPr>
          <w:p w14:paraId="39B006B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30FDA8D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0E421EB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9A0FC3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FF8AA7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11B1557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5B28070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0197673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5666AF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Riserus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2004 </w:t>
            </w:r>
          </w:p>
        </w:tc>
        <w:tc>
          <w:tcPr>
            <w:tcW w:w="1170" w:type="dxa"/>
            <w:vAlign w:val="bottom"/>
          </w:tcPr>
          <w:p w14:paraId="5523191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E86758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475689C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DF0DF8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7CBB188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30A8C38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5617C1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17E24FB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5B3103B9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BE1F87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Gaullier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2005 </w:t>
            </w:r>
          </w:p>
        </w:tc>
        <w:tc>
          <w:tcPr>
            <w:tcW w:w="1170" w:type="dxa"/>
            <w:vAlign w:val="bottom"/>
          </w:tcPr>
          <w:p w14:paraId="37069DA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3DB5CD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6184CAD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E6773A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21CD833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42EFCB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6" w:type="dxa"/>
            <w:vAlign w:val="bottom"/>
          </w:tcPr>
          <w:p w14:paraId="79A1D35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5036A3A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7EA67DDA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268CA0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Desroches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2005</w:t>
            </w:r>
          </w:p>
        </w:tc>
        <w:tc>
          <w:tcPr>
            <w:tcW w:w="1170" w:type="dxa"/>
            <w:vAlign w:val="bottom"/>
          </w:tcPr>
          <w:p w14:paraId="091BC8D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9F38B9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F3FCB6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D6B4D5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883FA6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A28E59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1DFC3B2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70761F9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3A1B936D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4371598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Nugent et al. 2005 </w:t>
            </w:r>
          </w:p>
        </w:tc>
        <w:tc>
          <w:tcPr>
            <w:tcW w:w="1170" w:type="dxa"/>
            <w:vAlign w:val="bottom"/>
          </w:tcPr>
          <w:p w14:paraId="60445CB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9A65D1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3E4DBEB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79AC61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7ADC54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0772B9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6CFE2B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038B24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13DB18F4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EF38354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Colakoglu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2006 </w:t>
            </w:r>
          </w:p>
        </w:tc>
        <w:tc>
          <w:tcPr>
            <w:tcW w:w="1170" w:type="dxa"/>
            <w:vAlign w:val="bottom"/>
          </w:tcPr>
          <w:p w14:paraId="6F02195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E92E0B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23C2C83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028868C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628A95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20F4F23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6FFC9AF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48D0F88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05F8BDE7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7590E2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Pinkoski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2006</w:t>
            </w:r>
          </w:p>
        </w:tc>
        <w:tc>
          <w:tcPr>
            <w:tcW w:w="1170" w:type="dxa"/>
            <w:vAlign w:val="bottom"/>
          </w:tcPr>
          <w:p w14:paraId="0E819D6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D80561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F73190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D94F51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68C613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27AEC6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00CBE85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99CF89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35AD94AC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29A0320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Larsen at al. 2006</w:t>
            </w:r>
          </w:p>
        </w:tc>
        <w:tc>
          <w:tcPr>
            <w:tcW w:w="1170" w:type="dxa"/>
            <w:vAlign w:val="bottom"/>
          </w:tcPr>
          <w:p w14:paraId="5976A74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7FCE77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7C47872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F18F0B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AD72E3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C15B5E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7EF127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69A3382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279AD40A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F2D4AE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Taylor et al. 2006</w:t>
            </w:r>
          </w:p>
        </w:tc>
        <w:tc>
          <w:tcPr>
            <w:tcW w:w="1170" w:type="dxa"/>
            <w:vAlign w:val="bottom"/>
          </w:tcPr>
          <w:p w14:paraId="67A021A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538601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ECBD47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CA3695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40E309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F69CFF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95D084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4113972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3E13C6D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79C55CC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Adams et al. 2006</w:t>
            </w:r>
          </w:p>
        </w:tc>
        <w:tc>
          <w:tcPr>
            <w:tcW w:w="1170" w:type="dxa"/>
            <w:vAlign w:val="bottom"/>
          </w:tcPr>
          <w:p w14:paraId="2385DDC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19A8CE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11DA50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950250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2AA501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ACE9A8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030A2A2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37FF9AC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134CC88A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2D80FA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Steck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2007 </w:t>
            </w:r>
          </w:p>
        </w:tc>
        <w:tc>
          <w:tcPr>
            <w:tcW w:w="1170" w:type="dxa"/>
            <w:vAlign w:val="bottom"/>
          </w:tcPr>
          <w:p w14:paraId="45DDE67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CDE564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28A13B8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C75CAE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DF64C2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CD513A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25605F3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7D32720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58025BCD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3B61BE5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Watras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2007</w:t>
            </w:r>
          </w:p>
        </w:tc>
        <w:tc>
          <w:tcPr>
            <w:tcW w:w="1170" w:type="dxa"/>
            <w:vAlign w:val="bottom"/>
          </w:tcPr>
          <w:p w14:paraId="7C58D7C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75B31A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08DBD3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8A0110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FBA795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7FCEA3B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56BE03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0685D9D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794315B0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D88B3BE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Lambert et al. 2007 </w:t>
            </w:r>
          </w:p>
        </w:tc>
        <w:tc>
          <w:tcPr>
            <w:tcW w:w="1170" w:type="dxa"/>
            <w:vAlign w:val="bottom"/>
          </w:tcPr>
          <w:p w14:paraId="30646BE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78D05C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1823F40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65625C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21F4570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35BC6F0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18FD440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47288A0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55896B1B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DA3EC2A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Nazare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2007</w:t>
            </w:r>
          </w:p>
        </w:tc>
        <w:tc>
          <w:tcPr>
            <w:tcW w:w="1170" w:type="dxa"/>
            <w:vAlign w:val="bottom"/>
          </w:tcPr>
          <w:p w14:paraId="34A7B80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214C14A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7EC0126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98F79F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0471CE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32C7C6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1CADFF0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5A1E3FF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06F9DD71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3DECC5E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Gaullier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2007</w:t>
            </w:r>
          </w:p>
        </w:tc>
        <w:tc>
          <w:tcPr>
            <w:tcW w:w="1170" w:type="dxa"/>
            <w:vAlign w:val="bottom"/>
          </w:tcPr>
          <w:p w14:paraId="6552F8A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B1A1BF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73AF07B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CC84B3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AFAD63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3F82C1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2C0EFE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EBF966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21CB7499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AB0DA5E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Attar-</w:t>
            </w: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Bashi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</w:t>
            </w: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etval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. 2007</w:t>
            </w:r>
          </w:p>
        </w:tc>
        <w:tc>
          <w:tcPr>
            <w:tcW w:w="1170" w:type="dxa"/>
            <w:vAlign w:val="bottom"/>
          </w:tcPr>
          <w:p w14:paraId="2DB6295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05C6BE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34A48EC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807416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9654B6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7E0AD50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009C791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DDE3CB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25DE7A29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544E132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Sneddon et al.2008 </w:t>
            </w:r>
          </w:p>
        </w:tc>
        <w:tc>
          <w:tcPr>
            <w:tcW w:w="1170" w:type="dxa"/>
            <w:vAlign w:val="bottom"/>
          </w:tcPr>
          <w:p w14:paraId="0E80019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FC8AA9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3045710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30E1FF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7FED1B5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63E1BD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7BED51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4F024A0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5067C987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301304A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Kim et al. 2008</w:t>
            </w:r>
          </w:p>
        </w:tc>
        <w:tc>
          <w:tcPr>
            <w:tcW w:w="1170" w:type="dxa"/>
            <w:vAlign w:val="bottom"/>
          </w:tcPr>
          <w:p w14:paraId="3FA665F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DA2A1D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1327077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B56957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23B1786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A66119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68BEA55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74D9539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7167F472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8AB1097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Park et al. 2008</w:t>
            </w:r>
          </w:p>
        </w:tc>
        <w:tc>
          <w:tcPr>
            <w:tcW w:w="1170" w:type="dxa"/>
            <w:vAlign w:val="bottom"/>
          </w:tcPr>
          <w:p w14:paraId="15A854D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5CA6EE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720C73D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2C60C7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62D87AE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25EFFC0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02A4B26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035BBCD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5839CC76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C19ABA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Aryaeian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2008</w:t>
            </w:r>
          </w:p>
        </w:tc>
        <w:tc>
          <w:tcPr>
            <w:tcW w:w="1170" w:type="dxa"/>
            <w:vAlign w:val="bottom"/>
          </w:tcPr>
          <w:p w14:paraId="3FDBB03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A02FEF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0FFB7E2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E22874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DABF5E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59063DB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F7B882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12309C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5C6F6DCB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C65B02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Raff et al. 2008</w:t>
            </w:r>
          </w:p>
        </w:tc>
        <w:tc>
          <w:tcPr>
            <w:tcW w:w="1170" w:type="dxa"/>
            <w:vAlign w:val="bottom"/>
          </w:tcPr>
          <w:p w14:paraId="242451A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205CC94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22A1CA2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3D550E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98E594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503058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FF8E47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6A62695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124D5AEC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9D3DA04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Goedecke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2009</w:t>
            </w:r>
          </w:p>
        </w:tc>
        <w:tc>
          <w:tcPr>
            <w:tcW w:w="1170" w:type="dxa"/>
            <w:vAlign w:val="bottom"/>
          </w:tcPr>
          <w:p w14:paraId="0F5F9A0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1A5D35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31A8A82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E480FA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D8D3C9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E59DB7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6845856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4E1B8F1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1D35509F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CA5C2F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Son et al. 2009</w:t>
            </w:r>
            <w:r w:rsidRPr="001A33DE">
              <w:rPr>
                <w:rFonts w:asciiTheme="majorBidi" w:hAnsiTheme="majorBidi" w:cstheme="majorBidi"/>
                <w:b/>
                <w:bCs/>
                <w:color w:val="00662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3E3620A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D90729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69894B0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310E1A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9AE8D4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86EB80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A97D41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DAF67F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0B7CDE5E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216292F8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Norris et al. 2009</w:t>
            </w:r>
          </w:p>
        </w:tc>
        <w:tc>
          <w:tcPr>
            <w:tcW w:w="1170" w:type="dxa"/>
            <w:vAlign w:val="bottom"/>
          </w:tcPr>
          <w:p w14:paraId="5DACF83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FBAC10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4A8AFC3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0FB5E7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663DEC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5067946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0B4E7C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72D2F5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1229F4A4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06B6881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Zhao et al. 2009</w:t>
            </w:r>
          </w:p>
        </w:tc>
        <w:tc>
          <w:tcPr>
            <w:tcW w:w="1170" w:type="dxa"/>
            <w:vAlign w:val="bottom"/>
          </w:tcPr>
          <w:p w14:paraId="43950B1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7D705E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1F09A67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043E44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798F80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226FA03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2F6189D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4BF1B14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71382A6D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E9AEBE0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Tavakkoli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Darestani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2010</w:t>
            </w:r>
          </w:p>
        </w:tc>
        <w:tc>
          <w:tcPr>
            <w:tcW w:w="1170" w:type="dxa"/>
            <w:vAlign w:val="bottom"/>
          </w:tcPr>
          <w:p w14:paraId="4857E85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F78FDB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FAB14F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150821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789B092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EBA75A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024178B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4BFE81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75436D37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2C0878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Michishita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2010</w:t>
            </w:r>
          </w:p>
        </w:tc>
        <w:tc>
          <w:tcPr>
            <w:tcW w:w="1170" w:type="dxa"/>
            <w:vAlign w:val="bottom"/>
          </w:tcPr>
          <w:p w14:paraId="7F1CA15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867134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755C328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D0B892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6E98D5C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784D6FC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4DC632A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4793341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21ABEC80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6C1BCA9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Venkatramanan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2010</w:t>
            </w:r>
          </w:p>
        </w:tc>
        <w:tc>
          <w:tcPr>
            <w:tcW w:w="1170" w:type="dxa"/>
            <w:vAlign w:val="bottom"/>
          </w:tcPr>
          <w:p w14:paraId="416F659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999A65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468FA9A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06B64A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301020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58B6C81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7725F6A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673C07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102243B5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B9CBEB8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Sluijs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2010</w:t>
            </w:r>
          </w:p>
        </w:tc>
        <w:tc>
          <w:tcPr>
            <w:tcW w:w="1170" w:type="dxa"/>
            <w:vAlign w:val="bottom"/>
          </w:tcPr>
          <w:p w14:paraId="274D78F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226EA6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9FA8A1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B90820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21DA039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3C7993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B4E582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6799BE3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5B94CAC0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D8C2B6F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MacRedmond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2010</w:t>
            </w:r>
          </w:p>
        </w:tc>
        <w:tc>
          <w:tcPr>
            <w:tcW w:w="1170" w:type="dxa"/>
            <w:vAlign w:val="bottom"/>
          </w:tcPr>
          <w:p w14:paraId="556AE90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17AE27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624E29F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BADFBC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CA09B9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87DE6C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610AD12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7706D13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4B53586D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7633022F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Brown et al. 2011</w:t>
            </w:r>
          </w:p>
        </w:tc>
        <w:tc>
          <w:tcPr>
            <w:tcW w:w="1170" w:type="dxa"/>
            <w:vAlign w:val="bottom"/>
          </w:tcPr>
          <w:p w14:paraId="1DE7CE7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0E996B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7C477CE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D8FEAB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752C098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35766FD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1BAD3EE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60522B4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262A2221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7741D52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Joseph et al. 2011 </w:t>
            </w:r>
          </w:p>
        </w:tc>
        <w:tc>
          <w:tcPr>
            <w:tcW w:w="1170" w:type="dxa"/>
            <w:vAlign w:val="bottom"/>
          </w:tcPr>
          <w:p w14:paraId="1C95B6D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6935C9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4E53356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934FE5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10D6F5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B748D5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15EC8F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5C50E33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23F26BD8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96C21B5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Plourde et al. 2011 </w:t>
            </w:r>
          </w:p>
        </w:tc>
        <w:tc>
          <w:tcPr>
            <w:tcW w:w="1170" w:type="dxa"/>
            <w:vAlign w:val="bottom"/>
          </w:tcPr>
          <w:p w14:paraId="0455EEC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311" w:type="dxa"/>
            <w:vAlign w:val="bottom"/>
          </w:tcPr>
          <w:p w14:paraId="6FB7045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B2E5D9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CC9378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6E652A4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3A141B5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069DD4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685BC71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042B7BC7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261FFBD0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Pfeuffer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2011</w:t>
            </w:r>
          </w:p>
        </w:tc>
        <w:tc>
          <w:tcPr>
            <w:tcW w:w="1170" w:type="dxa"/>
            <w:vAlign w:val="bottom"/>
          </w:tcPr>
          <w:p w14:paraId="340C12D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E3B5F0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56B96DB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2B35EC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647A27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531064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14CA911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3A2DA54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CF8FE14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3383DFD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Chen et al. 2012</w:t>
            </w:r>
          </w:p>
        </w:tc>
        <w:tc>
          <w:tcPr>
            <w:tcW w:w="1170" w:type="dxa"/>
            <w:vAlign w:val="bottom"/>
          </w:tcPr>
          <w:p w14:paraId="6FAECB5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FBB4D1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6F89B46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0DA20E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B2DA10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087523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226A35E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5FA235D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71C0EBB7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27383835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DeGuire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2012 </w:t>
            </w:r>
          </w:p>
        </w:tc>
        <w:tc>
          <w:tcPr>
            <w:tcW w:w="1170" w:type="dxa"/>
            <w:vAlign w:val="bottom"/>
          </w:tcPr>
          <w:p w14:paraId="32D1154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A2B393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073DB6D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59C05C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2D95D16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78EFB7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350D92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7FA82C8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D2C3FAA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111FBFFF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Rubin et al. 2012 </w:t>
            </w:r>
          </w:p>
        </w:tc>
        <w:tc>
          <w:tcPr>
            <w:tcW w:w="1170" w:type="dxa"/>
            <w:vAlign w:val="bottom"/>
          </w:tcPr>
          <w:p w14:paraId="0A155E8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0D7053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3EF784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4E6144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9A4FBD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295EB10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0BA941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0D1015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632F40F2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5934249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Bulut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2013</w:t>
            </w:r>
          </w:p>
        </w:tc>
        <w:tc>
          <w:tcPr>
            <w:tcW w:w="1170" w:type="dxa"/>
            <w:vAlign w:val="bottom"/>
          </w:tcPr>
          <w:p w14:paraId="0D62D4B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238672E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77F2D14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9533D9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96F086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3A2078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A076AA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49948E9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4BA4E51C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26DB7B0D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Lopes et al. 2013</w:t>
            </w:r>
          </w:p>
        </w:tc>
        <w:tc>
          <w:tcPr>
            <w:tcW w:w="1170" w:type="dxa"/>
            <w:vAlign w:val="bottom"/>
          </w:tcPr>
          <w:p w14:paraId="4D0C743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1D361A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555657A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C6D719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DAC8CF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FA8E68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2DA09A1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54538E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6E761859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FF6524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Shadman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2013</w:t>
            </w:r>
          </w:p>
        </w:tc>
        <w:tc>
          <w:tcPr>
            <w:tcW w:w="1170" w:type="dxa"/>
            <w:vAlign w:val="bottom"/>
          </w:tcPr>
          <w:p w14:paraId="77BFC90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390242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1BC8BE5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F3A1FC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73E3481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7151E9A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6E7EA92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C2B26A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Moderate</w:t>
            </w:r>
          </w:p>
        </w:tc>
      </w:tr>
      <w:tr w:rsidR="00F1224F" w:rsidRPr="001A33DE" w14:paraId="30EB4F72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3910611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Lopez-Plaza et al. 2013</w:t>
            </w:r>
          </w:p>
        </w:tc>
        <w:tc>
          <w:tcPr>
            <w:tcW w:w="1170" w:type="dxa"/>
            <w:vAlign w:val="bottom"/>
          </w:tcPr>
          <w:p w14:paraId="2DA29E3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29C1D8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4A25F92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DD3DB4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38F2C2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69D77F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210D1A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4A476B4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30FCDE34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E539B49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Carvalho et al. 2013</w:t>
            </w:r>
          </w:p>
        </w:tc>
        <w:tc>
          <w:tcPr>
            <w:tcW w:w="1170" w:type="dxa"/>
            <w:vAlign w:val="bottom"/>
          </w:tcPr>
          <w:p w14:paraId="7879154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833771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496C0C0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115AF7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7F898E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270DE23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AACB9E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F642C1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2F21890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FE534EC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Eftekhari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2013</w:t>
            </w:r>
          </w:p>
        </w:tc>
        <w:tc>
          <w:tcPr>
            <w:tcW w:w="1170" w:type="dxa"/>
            <w:vAlign w:val="bottom"/>
          </w:tcPr>
          <w:p w14:paraId="472C3F3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0782EA9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446E7E1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DE927E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4ABBA8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5B20AEE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0FE3B60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2DCB150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3BE7D150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7CA52B8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Tajmanesh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t al. 2015</w:t>
            </w:r>
          </w:p>
        </w:tc>
        <w:tc>
          <w:tcPr>
            <w:tcW w:w="1170" w:type="dxa"/>
            <w:vAlign w:val="bottom"/>
          </w:tcPr>
          <w:p w14:paraId="67846E8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E9114C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7ED6C0B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0FAB8BE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3225CD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8510BC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83DE9C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7A3E1CE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6AF7B5C8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4755CC98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Ebrahimi-</w:t>
            </w: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Mameghani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2016</w:t>
            </w:r>
          </w:p>
        </w:tc>
        <w:tc>
          <w:tcPr>
            <w:tcW w:w="1170" w:type="dxa"/>
            <w:vAlign w:val="bottom"/>
          </w:tcPr>
          <w:p w14:paraId="4196B79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E0DE39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5DFDEA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86CC61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7FF8470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72C8EBD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6" w:type="dxa"/>
            <w:vAlign w:val="bottom"/>
          </w:tcPr>
          <w:p w14:paraId="210DA34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33CB4F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1CD62EF4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C05A721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Pina et al. 2016</w:t>
            </w:r>
          </w:p>
        </w:tc>
        <w:tc>
          <w:tcPr>
            <w:tcW w:w="1170" w:type="dxa"/>
            <w:vAlign w:val="bottom"/>
          </w:tcPr>
          <w:p w14:paraId="3FE95F0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6EE5DC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101" w:type="dxa"/>
            <w:vAlign w:val="bottom"/>
          </w:tcPr>
          <w:p w14:paraId="3191D41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2828D5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2574F64F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1319F4E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65D5820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4AEA629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4EF073FB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5FD3FB2A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Madry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2016</w:t>
            </w:r>
          </w:p>
        </w:tc>
        <w:tc>
          <w:tcPr>
            <w:tcW w:w="1170" w:type="dxa"/>
            <w:vAlign w:val="bottom"/>
          </w:tcPr>
          <w:p w14:paraId="625760C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4D27DEE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D9EF10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5915A5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444337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5777575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185E68C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</w:tcPr>
          <w:p w14:paraId="78E6F27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Moderate </w:t>
            </w:r>
          </w:p>
        </w:tc>
      </w:tr>
      <w:tr w:rsidR="00F1224F" w:rsidRPr="001A33DE" w14:paraId="39F0EEEA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799E3939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Ghobadi et al. 2016</w:t>
            </w:r>
          </w:p>
        </w:tc>
        <w:tc>
          <w:tcPr>
            <w:tcW w:w="1170" w:type="dxa"/>
            <w:vAlign w:val="bottom"/>
          </w:tcPr>
          <w:p w14:paraId="4606462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9BD34B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6A9CD47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D9057E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45896EB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44686F7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589090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52C923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3F3D13BD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B0A58AD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Ribeiro et al. 2016</w:t>
            </w:r>
          </w:p>
        </w:tc>
        <w:tc>
          <w:tcPr>
            <w:tcW w:w="1170" w:type="dxa"/>
            <w:vAlign w:val="bottom"/>
          </w:tcPr>
          <w:p w14:paraId="06F8E49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1566B64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206A619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C2F658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156CD4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A0ED3F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55E6B87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0F40AD1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780EC011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252AFEF9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Abedi et al. 2018</w:t>
            </w:r>
          </w:p>
        </w:tc>
        <w:tc>
          <w:tcPr>
            <w:tcW w:w="1170" w:type="dxa"/>
            <w:vAlign w:val="bottom"/>
          </w:tcPr>
          <w:p w14:paraId="7D844A9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72F065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4212C59E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653416F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A61D00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357695A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2157095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30E563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6B18B68C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8EB3393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Rezvani</w:t>
            </w:r>
            <w:proofErr w:type="spellEnd"/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 xml:space="preserve"> et al. 2018</w:t>
            </w:r>
          </w:p>
        </w:tc>
        <w:tc>
          <w:tcPr>
            <w:tcW w:w="1170" w:type="dxa"/>
            <w:vAlign w:val="bottom"/>
          </w:tcPr>
          <w:p w14:paraId="222681B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A4B383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72B8CE6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36D239C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39FE64C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6F6CDA9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3E0ACAD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3F13866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601E5753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2E20067B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Fouladi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2018 (a)</w:t>
            </w:r>
          </w:p>
        </w:tc>
        <w:tc>
          <w:tcPr>
            <w:tcW w:w="1170" w:type="dxa"/>
            <w:vAlign w:val="bottom"/>
          </w:tcPr>
          <w:p w14:paraId="1DA56CA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6E45556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74EAF08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419E18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1FEDCF5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137E14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6" w:type="dxa"/>
            <w:vAlign w:val="bottom"/>
          </w:tcPr>
          <w:p w14:paraId="57C900E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5534A80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  <w:tr w:rsidR="00F1224F" w:rsidRPr="001A33DE" w14:paraId="51D36D8E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0708FC00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Shahmirzadi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2019</w:t>
            </w:r>
          </w:p>
        </w:tc>
        <w:tc>
          <w:tcPr>
            <w:tcW w:w="1170" w:type="dxa"/>
            <w:vAlign w:val="bottom"/>
          </w:tcPr>
          <w:p w14:paraId="7EB82E3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7AD2DAB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061E52D0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45BBA6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5E0B984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7DDE9E5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606E07D6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782F837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Low</w:t>
            </w:r>
          </w:p>
        </w:tc>
      </w:tr>
      <w:tr w:rsidR="00F1224F" w:rsidRPr="001A33DE" w14:paraId="6E5C69DA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371ECE35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Chang et al. 2020</w:t>
            </w:r>
          </w:p>
        </w:tc>
        <w:tc>
          <w:tcPr>
            <w:tcW w:w="1170" w:type="dxa"/>
            <w:vAlign w:val="bottom"/>
          </w:tcPr>
          <w:p w14:paraId="33D9972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3D879897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15F5BD43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0F6A761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0241973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2952F5A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6EA76F0C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044" w:type="dxa"/>
            <w:vAlign w:val="bottom"/>
          </w:tcPr>
          <w:p w14:paraId="285C0C9B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Low </w:t>
            </w:r>
          </w:p>
        </w:tc>
      </w:tr>
      <w:tr w:rsidR="00F1224F" w:rsidRPr="001A33DE" w14:paraId="699B73F5" w14:textId="77777777" w:rsidTr="00F5129F">
        <w:trPr>
          <w:trHeight w:val="223"/>
        </w:trPr>
        <w:tc>
          <w:tcPr>
            <w:tcW w:w="3145" w:type="dxa"/>
            <w:vAlign w:val="bottom"/>
          </w:tcPr>
          <w:p w14:paraId="6A55BE56" w14:textId="77777777" w:rsidR="00F1224F" w:rsidRPr="001A33DE" w:rsidRDefault="00F1224F" w:rsidP="00F5129F">
            <w:pPr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proofErr w:type="spellStart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>Madry</w:t>
            </w:r>
            <w:proofErr w:type="spellEnd"/>
            <w:r w:rsidRPr="001A33DE">
              <w:rPr>
                <w:rFonts w:asciiTheme="majorBidi" w:hAnsiTheme="majorBidi" w:cstheme="majorBidi"/>
                <w:color w:val="006621"/>
                <w:sz w:val="20"/>
                <w:szCs w:val="20"/>
              </w:rPr>
              <w:t xml:space="preserve"> et al. 2020</w:t>
            </w:r>
          </w:p>
        </w:tc>
        <w:tc>
          <w:tcPr>
            <w:tcW w:w="1170" w:type="dxa"/>
            <w:vAlign w:val="bottom"/>
          </w:tcPr>
          <w:p w14:paraId="7673EA0A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311" w:type="dxa"/>
            <w:vAlign w:val="bottom"/>
          </w:tcPr>
          <w:p w14:paraId="57E68B0D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101" w:type="dxa"/>
            <w:vAlign w:val="bottom"/>
          </w:tcPr>
          <w:p w14:paraId="427150A8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10301C32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14:paraId="20B65181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L</w:t>
            </w:r>
          </w:p>
        </w:tc>
        <w:tc>
          <w:tcPr>
            <w:tcW w:w="1231" w:type="dxa"/>
            <w:shd w:val="clear" w:color="auto" w:fill="FFFFFF" w:themeFill="background1"/>
            <w:vAlign w:val="bottom"/>
          </w:tcPr>
          <w:p w14:paraId="0D618334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U</w:t>
            </w:r>
          </w:p>
        </w:tc>
        <w:tc>
          <w:tcPr>
            <w:tcW w:w="1006" w:type="dxa"/>
            <w:vAlign w:val="bottom"/>
          </w:tcPr>
          <w:p w14:paraId="70F32459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3F3F3F"/>
                <w:sz w:val="20"/>
                <w:szCs w:val="20"/>
              </w:rPr>
              <w:t>H</w:t>
            </w:r>
          </w:p>
        </w:tc>
        <w:tc>
          <w:tcPr>
            <w:tcW w:w="1044" w:type="dxa"/>
            <w:vAlign w:val="bottom"/>
          </w:tcPr>
          <w:p w14:paraId="3AC66EF5" w14:textId="77777777" w:rsidR="00F1224F" w:rsidRPr="001A33DE" w:rsidRDefault="00F1224F" w:rsidP="00F512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</w:pPr>
            <w:r w:rsidRPr="001A33DE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 xml:space="preserve">High  </w:t>
            </w:r>
          </w:p>
        </w:tc>
      </w:tr>
    </w:tbl>
    <w:p w14:paraId="0BBC7EBC" w14:textId="77777777" w:rsidR="00F1224F" w:rsidRPr="00A4093B" w:rsidRDefault="00F1224F" w:rsidP="00F1224F">
      <w:pPr>
        <w:spacing w:after="160" w:line="259" w:lineRule="auto"/>
        <w:ind w:right="811"/>
        <w:rPr>
          <w:rFonts w:asciiTheme="majorBidi" w:hAnsiTheme="majorBidi" w:cstheme="majorBidi"/>
          <w:noProof/>
          <w:sz w:val="24"/>
          <w:szCs w:val="24"/>
        </w:rPr>
      </w:pPr>
      <w:bookmarkStart w:id="0" w:name="_Hlk101141844"/>
      <w:r w:rsidRPr="00A218FC">
        <w:rPr>
          <w:rFonts w:asciiTheme="majorBidi" w:hAnsiTheme="majorBidi" w:cstheme="majorBidi"/>
          <w:noProof/>
          <w:sz w:val="24"/>
          <w:szCs w:val="24"/>
        </w:rPr>
        <w:t xml:space="preserve">Abbreviations: </w:t>
      </w:r>
      <w:r>
        <w:rPr>
          <w:rFonts w:asciiTheme="majorBidi" w:hAnsiTheme="majorBidi" w:cstheme="majorBidi"/>
          <w:noProof/>
          <w:sz w:val="24"/>
          <w:szCs w:val="24"/>
        </w:rPr>
        <w:t>L, low-risk of bias; H, high-risk of bias; U, unclear-risk of bias</w:t>
      </w:r>
      <w:bookmarkEnd w:id="0"/>
      <w:r>
        <w:rPr>
          <w:rFonts w:asciiTheme="majorBidi" w:hAnsiTheme="majorBidi" w:cstheme="majorBidi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*General Low Risk&lt;</w:t>
      </w:r>
      <w:r w:rsidRPr="00975D66">
        <w:rPr>
          <w:rFonts w:ascii="Times New Roman" w:hAnsi="Times New Roman" w:cs="Times New Roman"/>
        </w:rPr>
        <w:t xml:space="preserve">2 high risk, </w:t>
      </w:r>
      <w:r>
        <w:rPr>
          <w:rFonts w:ascii="Times New Roman" w:hAnsi="Times New Roman" w:cs="Times New Roman"/>
        </w:rPr>
        <w:t>General moderate risk=2 high risk, General high risk&gt;2 high risk</w:t>
      </w:r>
    </w:p>
    <w:p w14:paraId="5956A805" w14:textId="77777777" w:rsidR="00F1224F" w:rsidRDefault="00F1224F" w:rsidP="00F1224F">
      <w:pPr>
        <w:ind w:right="811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4703B4A" w14:textId="77777777" w:rsidR="00F1224F" w:rsidRDefault="00F1224F" w:rsidP="006C7F64">
      <w:pPr>
        <w:rPr>
          <w:rFonts w:asciiTheme="majorBidi" w:hAnsiTheme="majorBidi" w:cstheme="majorBidi"/>
          <w:sz w:val="20"/>
          <w:szCs w:val="20"/>
        </w:rPr>
        <w:sectPr w:rsidR="00F1224F" w:rsidSect="00F1224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2F41E14" w14:textId="5E0962A0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Supplementary </w:t>
      </w:r>
      <w:r w:rsidR="00F1224F">
        <w:rPr>
          <w:rFonts w:asciiTheme="majorBidi" w:hAnsiTheme="majorBidi" w:cstheme="majorBidi"/>
          <w:sz w:val="20"/>
          <w:szCs w:val="20"/>
        </w:rPr>
        <w:t>2</w:t>
      </w:r>
      <w:r w:rsidRPr="00796A03">
        <w:rPr>
          <w:rFonts w:asciiTheme="majorBidi" w:hAnsiTheme="majorBidi" w:cstheme="majorBidi"/>
          <w:sz w:val="20"/>
          <w:szCs w:val="20"/>
        </w:rPr>
        <w:t xml:space="preserve">. Funnel plots for the effect of </w:t>
      </w:r>
      <w:r>
        <w:rPr>
          <w:rFonts w:asciiTheme="majorBidi" w:hAnsiTheme="majorBidi" w:cstheme="majorBidi"/>
          <w:sz w:val="20"/>
          <w:szCs w:val="20"/>
        </w:rPr>
        <w:t xml:space="preserve">CLA supplementation </w:t>
      </w:r>
      <w:r w:rsidRPr="00796A03">
        <w:rPr>
          <w:rFonts w:asciiTheme="majorBidi" w:hAnsiTheme="majorBidi" w:cstheme="majorBidi"/>
          <w:sz w:val="20"/>
          <w:szCs w:val="20"/>
        </w:rPr>
        <w:t>on A) body weight (kg); B) BMI (kg/m</w:t>
      </w:r>
      <w:r w:rsidRPr="00796A0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796A03">
        <w:rPr>
          <w:rFonts w:asciiTheme="majorBidi" w:hAnsiTheme="majorBidi" w:cstheme="majorBidi"/>
          <w:sz w:val="20"/>
          <w:szCs w:val="20"/>
        </w:rPr>
        <w:t xml:space="preserve">); C) WC (cm); D) </w:t>
      </w:r>
      <w:r>
        <w:rPr>
          <w:rFonts w:asciiTheme="majorBidi" w:hAnsiTheme="majorBidi" w:cstheme="majorBidi"/>
          <w:sz w:val="20"/>
          <w:szCs w:val="20"/>
        </w:rPr>
        <w:t>FM (kg); E) BFP</w:t>
      </w:r>
      <w:r w:rsidRPr="00796A03">
        <w:rPr>
          <w:rFonts w:asciiTheme="majorBidi" w:hAnsiTheme="majorBidi" w:cstheme="majorBidi"/>
          <w:sz w:val="20"/>
          <w:szCs w:val="20"/>
        </w:rPr>
        <w:t xml:space="preserve"> (</w:t>
      </w:r>
      <w:r>
        <w:rPr>
          <w:rFonts w:asciiTheme="majorBidi" w:hAnsiTheme="majorBidi" w:cstheme="majorBidi"/>
          <w:sz w:val="20"/>
          <w:szCs w:val="20"/>
        </w:rPr>
        <w:t>%</w:t>
      </w:r>
      <w:r w:rsidRPr="00796A03">
        <w:rPr>
          <w:rFonts w:asciiTheme="majorBidi" w:hAnsiTheme="majorBidi" w:cstheme="majorBidi"/>
          <w:sz w:val="20"/>
          <w:szCs w:val="20"/>
        </w:rPr>
        <w:t xml:space="preserve">); 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96A03">
        <w:rPr>
          <w:rFonts w:asciiTheme="majorBidi" w:hAnsiTheme="majorBidi" w:cstheme="majorBidi"/>
          <w:sz w:val="20"/>
          <w:szCs w:val="20"/>
        </w:rPr>
        <w:t>F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M (</w:t>
      </w:r>
      <w:r>
        <w:rPr>
          <w:rFonts w:asciiTheme="majorBidi" w:hAnsiTheme="majorBidi" w:cstheme="majorBidi"/>
          <w:sz w:val="20"/>
          <w:szCs w:val="20"/>
        </w:rPr>
        <w:t>kg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2807166D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</w:p>
    <w:p w14:paraId="2CF402FA" w14:textId="23E51FF1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A)</w:t>
      </w:r>
    </w:p>
    <w:p w14:paraId="28230A5D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117FB43D" wp14:editId="349EB493">
            <wp:extent cx="3448050" cy="2626962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530" cy="265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2CD2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7B7A2621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63514795" w14:textId="22BE5972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B)</w:t>
      </w:r>
    </w:p>
    <w:p w14:paraId="40340901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002119A9" wp14:editId="12C94825">
            <wp:extent cx="3726815" cy="2510726"/>
            <wp:effectExtent l="0" t="0" r="6985" b="444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21" cy="252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CD79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44BC0532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59D6C8B6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274A3817" w14:textId="6A0195A5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C)</w:t>
      </w:r>
    </w:p>
    <w:p w14:paraId="6556A431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4BFB1B34" wp14:editId="5AC07195">
            <wp:extent cx="3983064" cy="254127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70" cy="25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5E3D6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</w:p>
    <w:p w14:paraId="59626221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</w:p>
    <w:p w14:paraId="2E5B8094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</w:p>
    <w:p w14:paraId="07607986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D)</w:t>
      </w:r>
    </w:p>
    <w:p w14:paraId="1B22AF4C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338C95D8" wp14:editId="6F8E354A">
            <wp:extent cx="3905250" cy="2696705"/>
            <wp:effectExtent l="0" t="0" r="0" b="889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53" cy="27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EC43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194A1273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609A507F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2A9350E5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1CABB121" w14:textId="1B0F072F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E)</w:t>
      </w:r>
    </w:p>
    <w:p w14:paraId="01B71383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1FC7B6E8" wp14:editId="2736B847">
            <wp:extent cx="3944319" cy="278955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589" cy="280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A8C9B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4D46978B" w14:textId="77777777" w:rsidR="009D31E6" w:rsidRDefault="009D31E6" w:rsidP="006C7F64">
      <w:pPr>
        <w:rPr>
          <w:rFonts w:asciiTheme="majorBidi" w:hAnsiTheme="majorBidi" w:cstheme="majorBidi"/>
          <w:sz w:val="20"/>
          <w:szCs w:val="20"/>
        </w:rPr>
      </w:pPr>
    </w:p>
    <w:p w14:paraId="677437DE" w14:textId="5E110055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F)</w:t>
      </w:r>
    </w:p>
    <w:p w14:paraId="70903117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39CA5C48" wp14:editId="034A84B7">
            <wp:extent cx="4292600" cy="2913681"/>
            <wp:effectExtent l="0" t="0" r="0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81" cy="29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02870898"/>
    </w:p>
    <w:bookmarkEnd w:id="1"/>
    <w:p w14:paraId="43239CE0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</w:p>
    <w:p w14:paraId="00A26336" w14:textId="77777777" w:rsidR="009D31E6" w:rsidRDefault="009D31E6" w:rsidP="006C7F64">
      <w:pPr>
        <w:jc w:val="lowKashida"/>
        <w:rPr>
          <w:rFonts w:asciiTheme="majorBidi" w:hAnsiTheme="majorBidi" w:cstheme="majorBidi"/>
          <w:sz w:val="20"/>
          <w:szCs w:val="20"/>
        </w:rPr>
      </w:pPr>
      <w:bookmarkStart w:id="2" w:name="_Hlk102870904"/>
    </w:p>
    <w:p w14:paraId="48460F59" w14:textId="52C42A10" w:rsidR="006C7F64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Supplementary </w:t>
      </w:r>
      <w:r w:rsidR="00F1224F">
        <w:rPr>
          <w:rFonts w:asciiTheme="majorBidi" w:hAnsiTheme="majorBidi" w:cstheme="majorBidi"/>
          <w:sz w:val="20"/>
          <w:szCs w:val="20"/>
        </w:rPr>
        <w:t>3</w:t>
      </w:r>
      <w:r w:rsidRPr="00796A03">
        <w:rPr>
          <w:rFonts w:asciiTheme="majorBidi" w:hAnsiTheme="majorBidi" w:cstheme="majorBidi"/>
          <w:sz w:val="20"/>
          <w:szCs w:val="20"/>
        </w:rPr>
        <w:t xml:space="preserve">. Non-linear dose-response relations between </w:t>
      </w:r>
      <w:r>
        <w:rPr>
          <w:rFonts w:asciiTheme="majorBidi" w:hAnsiTheme="majorBidi" w:cstheme="majorBidi"/>
          <w:sz w:val="20"/>
          <w:szCs w:val="20"/>
        </w:rPr>
        <w:t>green tea</w:t>
      </w:r>
      <w:r w:rsidRPr="00796A03">
        <w:rPr>
          <w:rFonts w:asciiTheme="majorBidi" w:hAnsiTheme="majorBidi" w:cstheme="majorBidi"/>
          <w:sz w:val="20"/>
          <w:szCs w:val="20"/>
        </w:rPr>
        <w:t xml:space="preserve"> consumption and absolute mean differences. Dose-response relations between dose (</w:t>
      </w:r>
      <w:r>
        <w:rPr>
          <w:rFonts w:asciiTheme="majorBidi" w:hAnsiTheme="majorBidi" w:cstheme="majorBidi"/>
          <w:sz w:val="20"/>
          <w:szCs w:val="20"/>
        </w:rPr>
        <w:t>m</w:t>
      </w:r>
      <w:r w:rsidRPr="00796A03">
        <w:rPr>
          <w:rFonts w:asciiTheme="majorBidi" w:hAnsiTheme="majorBidi" w:cstheme="majorBidi"/>
          <w:sz w:val="20"/>
          <w:szCs w:val="20"/>
        </w:rPr>
        <w:t>g/day) and absolute mean differences in A) body weight (kg); B) BMI (kg/m</w:t>
      </w:r>
      <w:r w:rsidRPr="00796A0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796A03">
        <w:rPr>
          <w:rFonts w:asciiTheme="majorBidi" w:hAnsiTheme="majorBidi" w:cstheme="majorBidi"/>
          <w:sz w:val="20"/>
          <w:szCs w:val="20"/>
        </w:rPr>
        <w:t xml:space="preserve">); C) WC (cm); D) </w:t>
      </w:r>
      <w:r>
        <w:rPr>
          <w:rFonts w:asciiTheme="majorBidi" w:hAnsiTheme="majorBidi" w:cstheme="majorBidi"/>
          <w:sz w:val="20"/>
          <w:szCs w:val="20"/>
        </w:rPr>
        <w:t>FM (kg); E) BFP</w:t>
      </w:r>
      <w:r w:rsidRPr="00796A03">
        <w:rPr>
          <w:rFonts w:asciiTheme="majorBidi" w:hAnsiTheme="majorBidi" w:cstheme="majorBidi"/>
          <w:sz w:val="20"/>
          <w:szCs w:val="20"/>
        </w:rPr>
        <w:t xml:space="preserve"> (</w:t>
      </w:r>
      <w:r>
        <w:rPr>
          <w:rFonts w:asciiTheme="majorBidi" w:hAnsiTheme="majorBidi" w:cstheme="majorBidi"/>
          <w:sz w:val="20"/>
          <w:szCs w:val="20"/>
        </w:rPr>
        <w:t>%</w:t>
      </w:r>
      <w:r w:rsidRPr="00796A03">
        <w:rPr>
          <w:rFonts w:asciiTheme="majorBidi" w:hAnsiTheme="majorBidi" w:cstheme="majorBidi"/>
          <w:sz w:val="20"/>
          <w:szCs w:val="20"/>
        </w:rPr>
        <w:t xml:space="preserve">); 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96A03">
        <w:rPr>
          <w:rFonts w:asciiTheme="majorBidi" w:hAnsiTheme="majorBidi" w:cstheme="majorBidi"/>
          <w:sz w:val="20"/>
          <w:szCs w:val="20"/>
        </w:rPr>
        <w:t>F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M (</w:t>
      </w:r>
      <w:r>
        <w:rPr>
          <w:rFonts w:asciiTheme="majorBidi" w:hAnsiTheme="majorBidi" w:cstheme="majorBidi"/>
          <w:sz w:val="20"/>
          <w:szCs w:val="20"/>
        </w:rPr>
        <w:t>kg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>.</w:t>
      </w:r>
      <w:bookmarkEnd w:id="2"/>
    </w:p>
    <w:p w14:paraId="42C7983B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A)</w:t>
      </w:r>
    </w:p>
    <w:p w14:paraId="7E27F389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5F08B876" wp14:editId="7FC87B80">
            <wp:extent cx="2929180" cy="2084070"/>
            <wp:effectExtent l="0" t="0" r="508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37" cy="20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C262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B)</w:t>
      </w:r>
    </w:p>
    <w:p w14:paraId="474C0DEE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56B7A80A" wp14:editId="5EE4254F">
            <wp:extent cx="2936929" cy="212280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293" cy="21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F459E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C)</w:t>
      </w:r>
    </w:p>
    <w:p w14:paraId="495B5C9C" w14:textId="210F5EA0" w:rsidR="006C7F64" w:rsidRDefault="006C7F64" w:rsidP="009D31E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195287C4" wp14:editId="4718E4D3">
            <wp:extent cx="3107055" cy="2115518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91" cy="212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B785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</w:p>
    <w:p w14:paraId="0A1943E9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D)</w:t>
      </w:r>
    </w:p>
    <w:p w14:paraId="064EE5EA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40D1AB0A" wp14:editId="48B1E95B">
            <wp:extent cx="3076414" cy="2231236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31" cy="22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F230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E)</w:t>
      </w:r>
    </w:p>
    <w:p w14:paraId="2015ED69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5341A475" wp14:editId="40E798AA">
            <wp:extent cx="3130658" cy="2207895"/>
            <wp:effectExtent l="0" t="0" r="0" b="190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61" cy="22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A40C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F)</w:t>
      </w:r>
    </w:p>
    <w:p w14:paraId="417298B2" w14:textId="59B0C643" w:rsidR="006C7F64" w:rsidRPr="00796A03" w:rsidRDefault="006C7F64" w:rsidP="009D31E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2BD3F709" wp14:editId="10A65FAA">
            <wp:extent cx="3115159" cy="2138680"/>
            <wp:effectExtent l="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474" cy="21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2AED" w14:textId="56EE6267" w:rsidR="006C7F64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Supplementary </w:t>
      </w:r>
      <w:r w:rsidR="00F1224F">
        <w:rPr>
          <w:rFonts w:asciiTheme="majorBidi" w:hAnsiTheme="majorBidi" w:cstheme="majorBidi"/>
          <w:sz w:val="20"/>
          <w:szCs w:val="20"/>
        </w:rPr>
        <w:t>4</w:t>
      </w:r>
      <w:r w:rsidRPr="00796A03">
        <w:rPr>
          <w:rFonts w:asciiTheme="majorBidi" w:hAnsiTheme="majorBidi" w:cstheme="majorBidi"/>
          <w:sz w:val="20"/>
          <w:szCs w:val="20"/>
        </w:rPr>
        <w:t xml:space="preserve">. Non-linear dose-response relations between </w:t>
      </w:r>
      <w:r>
        <w:rPr>
          <w:rFonts w:asciiTheme="majorBidi" w:hAnsiTheme="majorBidi" w:cstheme="majorBidi"/>
          <w:sz w:val="20"/>
          <w:szCs w:val="20"/>
        </w:rPr>
        <w:t>green tea</w:t>
      </w:r>
      <w:r w:rsidRPr="00796A03">
        <w:rPr>
          <w:rFonts w:asciiTheme="majorBidi" w:hAnsiTheme="majorBidi" w:cstheme="majorBidi"/>
          <w:sz w:val="20"/>
          <w:szCs w:val="20"/>
        </w:rPr>
        <w:t xml:space="preserve"> consumption and absolute mean differences. Dose-response relations between duration of intervention (week) and absolute mean differences in A) body weight (kg); B) BMI (kg/m</w:t>
      </w:r>
      <w:r w:rsidRPr="00796A0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796A03">
        <w:rPr>
          <w:rFonts w:asciiTheme="majorBidi" w:hAnsiTheme="majorBidi" w:cstheme="majorBidi"/>
          <w:sz w:val="20"/>
          <w:szCs w:val="20"/>
        </w:rPr>
        <w:t xml:space="preserve">); C) WC (cm); D) </w:t>
      </w:r>
      <w:r>
        <w:rPr>
          <w:rFonts w:asciiTheme="majorBidi" w:hAnsiTheme="majorBidi" w:cstheme="majorBidi"/>
          <w:sz w:val="20"/>
          <w:szCs w:val="20"/>
        </w:rPr>
        <w:t>FM (kg); E) BFP</w:t>
      </w:r>
      <w:r w:rsidRPr="00796A03">
        <w:rPr>
          <w:rFonts w:asciiTheme="majorBidi" w:hAnsiTheme="majorBidi" w:cstheme="majorBidi"/>
          <w:sz w:val="20"/>
          <w:szCs w:val="20"/>
        </w:rPr>
        <w:t xml:space="preserve"> (</w:t>
      </w:r>
      <w:r>
        <w:rPr>
          <w:rFonts w:asciiTheme="majorBidi" w:hAnsiTheme="majorBidi" w:cstheme="majorBidi"/>
          <w:sz w:val="20"/>
          <w:szCs w:val="20"/>
        </w:rPr>
        <w:t>%</w:t>
      </w:r>
      <w:r w:rsidRPr="00796A03">
        <w:rPr>
          <w:rFonts w:asciiTheme="majorBidi" w:hAnsiTheme="majorBidi" w:cstheme="majorBidi"/>
          <w:sz w:val="20"/>
          <w:szCs w:val="20"/>
        </w:rPr>
        <w:t xml:space="preserve">); 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96A03">
        <w:rPr>
          <w:rFonts w:asciiTheme="majorBidi" w:hAnsiTheme="majorBidi" w:cstheme="majorBidi"/>
          <w:sz w:val="20"/>
          <w:szCs w:val="20"/>
        </w:rPr>
        <w:t>F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M (</w:t>
      </w:r>
      <w:r>
        <w:rPr>
          <w:rFonts w:asciiTheme="majorBidi" w:hAnsiTheme="majorBidi" w:cstheme="majorBidi"/>
          <w:sz w:val="20"/>
          <w:szCs w:val="20"/>
        </w:rPr>
        <w:t>kg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2A544FDD" w14:textId="77777777" w:rsidR="006C7F64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</w:p>
    <w:p w14:paraId="3D20BA8F" w14:textId="61B2128A" w:rsidR="006C7F64" w:rsidRPr="00796A03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A)</w:t>
      </w:r>
    </w:p>
    <w:p w14:paraId="2BA1DBF6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364F2AFD" wp14:editId="1630FE8F">
            <wp:extent cx="2743200" cy="1995055"/>
            <wp:effectExtent l="0" t="0" r="0" b="571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5" cy="19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484D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B)</w:t>
      </w:r>
    </w:p>
    <w:p w14:paraId="0362AD4F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70A274D6" wp14:editId="69329709">
            <wp:extent cx="2866515" cy="2084522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18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6292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C)</w:t>
      </w:r>
    </w:p>
    <w:p w14:paraId="0A017A6B" w14:textId="3FDA787A" w:rsidR="006C7F64" w:rsidRDefault="006C7F64" w:rsidP="009D31E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124244F6" wp14:editId="5BC836F6">
            <wp:extent cx="3254375" cy="1759058"/>
            <wp:effectExtent l="0" t="0" r="317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64" cy="17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1A8F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D)</w:t>
      </w:r>
    </w:p>
    <w:p w14:paraId="3281C8ED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59649AA0" wp14:editId="3FB698FB">
            <wp:extent cx="2998922" cy="2115091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09" cy="212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F202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</w:p>
    <w:p w14:paraId="5721FC42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E)</w:t>
      </w:r>
    </w:p>
    <w:p w14:paraId="4DD75F65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4D7BE4E8" wp14:editId="2AF0B6A6">
            <wp:extent cx="3068320" cy="2154264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18" cy="21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3835A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F)</w:t>
      </w:r>
    </w:p>
    <w:p w14:paraId="1C82EF7C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776035F0" wp14:editId="28B88D35">
            <wp:extent cx="3099435" cy="2154265"/>
            <wp:effectExtent l="0" t="0" r="571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40" cy="21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8093F" w14:textId="77777777" w:rsidR="006C7F64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</w:p>
    <w:p w14:paraId="570C7AAD" w14:textId="03C99763" w:rsidR="006C7F64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Supplementary </w:t>
      </w:r>
      <w:r w:rsidR="00F1224F">
        <w:rPr>
          <w:rFonts w:asciiTheme="majorBidi" w:hAnsiTheme="majorBidi" w:cstheme="majorBidi"/>
          <w:sz w:val="20"/>
          <w:szCs w:val="20"/>
        </w:rPr>
        <w:t>5</w:t>
      </w:r>
      <w:r w:rsidRPr="00796A03">
        <w:rPr>
          <w:rFonts w:asciiTheme="majorBidi" w:hAnsiTheme="majorBidi" w:cstheme="majorBidi"/>
          <w:sz w:val="20"/>
          <w:szCs w:val="20"/>
        </w:rPr>
        <w:t xml:space="preserve">. linear dose-response relations between </w:t>
      </w:r>
      <w:r>
        <w:rPr>
          <w:rFonts w:asciiTheme="majorBidi" w:hAnsiTheme="majorBidi" w:cstheme="majorBidi"/>
          <w:sz w:val="20"/>
          <w:szCs w:val="20"/>
        </w:rPr>
        <w:t>green tea</w:t>
      </w:r>
      <w:r w:rsidRPr="00796A03">
        <w:rPr>
          <w:rFonts w:asciiTheme="majorBidi" w:hAnsiTheme="majorBidi" w:cstheme="majorBidi"/>
          <w:sz w:val="20"/>
          <w:szCs w:val="20"/>
        </w:rPr>
        <w:t xml:space="preserve"> consumption and absolute mean differences. Dose-response relations between dose (</w:t>
      </w:r>
      <w:r>
        <w:rPr>
          <w:rFonts w:asciiTheme="majorBidi" w:hAnsiTheme="majorBidi" w:cstheme="majorBidi"/>
          <w:sz w:val="20"/>
          <w:szCs w:val="20"/>
        </w:rPr>
        <w:t>m</w:t>
      </w:r>
      <w:r w:rsidRPr="00796A03">
        <w:rPr>
          <w:rFonts w:asciiTheme="majorBidi" w:hAnsiTheme="majorBidi" w:cstheme="majorBidi"/>
          <w:sz w:val="20"/>
          <w:szCs w:val="20"/>
        </w:rPr>
        <w:t>g/day) and absolute mean differences in A) body weight (kg); B) BMI (kg/m</w:t>
      </w:r>
      <w:r w:rsidRPr="00796A0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796A03">
        <w:rPr>
          <w:rFonts w:asciiTheme="majorBidi" w:hAnsiTheme="majorBidi" w:cstheme="majorBidi"/>
          <w:sz w:val="20"/>
          <w:szCs w:val="20"/>
        </w:rPr>
        <w:t xml:space="preserve">); C) WC (cm); D) </w:t>
      </w:r>
      <w:r>
        <w:rPr>
          <w:rFonts w:asciiTheme="majorBidi" w:hAnsiTheme="majorBidi" w:cstheme="majorBidi"/>
          <w:sz w:val="20"/>
          <w:szCs w:val="20"/>
        </w:rPr>
        <w:t>FM (kg); E) BFP</w:t>
      </w:r>
      <w:r w:rsidRPr="00796A03">
        <w:rPr>
          <w:rFonts w:asciiTheme="majorBidi" w:hAnsiTheme="majorBidi" w:cstheme="majorBidi"/>
          <w:sz w:val="20"/>
          <w:szCs w:val="20"/>
        </w:rPr>
        <w:t xml:space="preserve"> (</w:t>
      </w:r>
      <w:r>
        <w:rPr>
          <w:rFonts w:asciiTheme="majorBidi" w:hAnsiTheme="majorBidi" w:cstheme="majorBidi"/>
          <w:sz w:val="20"/>
          <w:szCs w:val="20"/>
        </w:rPr>
        <w:t>%</w:t>
      </w:r>
      <w:r w:rsidRPr="00796A03">
        <w:rPr>
          <w:rFonts w:asciiTheme="majorBidi" w:hAnsiTheme="majorBidi" w:cstheme="majorBidi"/>
          <w:sz w:val="20"/>
          <w:szCs w:val="20"/>
        </w:rPr>
        <w:t xml:space="preserve">); 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96A03">
        <w:rPr>
          <w:rFonts w:asciiTheme="majorBidi" w:hAnsiTheme="majorBidi" w:cstheme="majorBidi"/>
          <w:sz w:val="20"/>
          <w:szCs w:val="20"/>
        </w:rPr>
        <w:t>F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M (</w:t>
      </w:r>
      <w:r>
        <w:rPr>
          <w:rFonts w:asciiTheme="majorBidi" w:hAnsiTheme="majorBidi" w:cstheme="majorBidi"/>
          <w:sz w:val="20"/>
          <w:szCs w:val="20"/>
        </w:rPr>
        <w:t>kg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77D8E66A" w14:textId="77777777" w:rsidR="006C7F64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</w:p>
    <w:p w14:paraId="7B5CF398" w14:textId="3DDD8F8D" w:rsidR="006C7F64" w:rsidRPr="00796A03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A)</w:t>
      </w:r>
    </w:p>
    <w:p w14:paraId="37FA0C8C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0C684F98" wp14:editId="60CA024B">
            <wp:extent cx="3145790" cy="2022529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12" cy="20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3A4B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B)</w:t>
      </w:r>
    </w:p>
    <w:p w14:paraId="7F890424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6D7C6A88" wp14:editId="0507F133">
            <wp:extent cx="3270142" cy="2000134"/>
            <wp:effectExtent l="0" t="0" r="6985" b="63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11" cy="201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0E26C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C)</w:t>
      </w:r>
    </w:p>
    <w:p w14:paraId="42D49DB3" w14:textId="4E04333A" w:rsidR="006C7F64" w:rsidRDefault="006C7F64" w:rsidP="009D31E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4DE43426" wp14:editId="2BB15B31">
            <wp:extent cx="3223647" cy="19812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41" cy="198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B69D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D)</w:t>
      </w:r>
    </w:p>
    <w:p w14:paraId="70149606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2336DA89" wp14:editId="77B24DB3">
            <wp:extent cx="3347085" cy="2138766"/>
            <wp:effectExtent l="0" t="0" r="571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15" cy="21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6115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E)</w:t>
      </w:r>
    </w:p>
    <w:p w14:paraId="1BB55B0B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3007BA65" wp14:editId="5323DC9D">
            <wp:extent cx="3307999" cy="2355742"/>
            <wp:effectExtent l="0" t="0" r="6985" b="698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73" cy="237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26481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F)</w:t>
      </w:r>
    </w:p>
    <w:p w14:paraId="2960ACA0" w14:textId="21D3423D" w:rsidR="00FE24C6" w:rsidRDefault="006C7F64" w:rsidP="009D31E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4C3667A8" wp14:editId="4D921839">
            <wp:extent cx="3261278" cy="2324746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22" cy="233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43C50" w14:textId="00AA3B10" w:rsidR="00FE24C6" w:rsidRPr="00714D16" w:rsidRDefault="00FE24C6" w:rsidP="00FE24C6">
      <w:pPr>
        <w:jc w:val="lowKashida"/>
        <w:rPr>
          <w:rFonts w:asciiTheme="majorBidi" w:hAnsiTheme="majorBidi" w:cstheme="majorBidi"/>
          <w:sz w:val="20"/>
          <w:szCs w:val="20"/>
        </w:rPr>
      </w:pPr>
      <w:bookmarkStart w:id="3" w:name="_Hlk102870924"/>
      <w:r>
        <w:rPr>
          <w:rFonts w:asciiTheme="majorBidi" w:hAnsiTheme="majorBidi" w:cstheme="majorBidi"/>
          <w:sz w:val="20"/>
          <w:szCs w:val="20"/>
        </w:rPr>
        <w:t xml:space="preserve">Supplementary </w:t>
      </w:r>
      <w:r w:rsidR="00F1224F">
        <w:rPr>
          <w:rFonts w:asciiTheme="majorBidi" w:hAnsiTheme="majorBidi" w:cstheme="majorBidi"/>
          <w:sz w:val="20"/>
          <w:szCs w:val="20"/>
        </w:rPr>
        <w:t>6</w:t>
      </w:r>
      <w:r w:rsidRPr="00796A03">
        <w:rPr>
          <w:rFonts w:asciiTheme="majorBidi" w:hAnsiTheme="majorBidi" w:cstheme="majorBidi"/>
          <w:sz w:val="20"/>
          <w:szCs w:val="20"/>
        </w:rPr>
        <w:t xml:space="preserve">. linear dose-response relations between </w:t>
      </w:r>
      <w:r>
        <w:rPr>
          <w:rFonts w:asciiTheme="majorBidi" w:hAnsiTheme="majorBidi" w:cstheme="majorBidi"/>
          <w:sz w:val="20"/>
          <w:szCs w:val="20"/>
        </w:rPr>
        <w:t>green tea</w:t>
      </w:r>
      <w:r w:rsidRPr="00796A03">
        <w:rPr>
          <w:rFonts w:asciiTheme="majorBidi" w:hAnsiTheme="majorBidi" w:cstheme="majorBidi"/>
          <w:sz w:val="20"/>
          <w:szCs w:val="20"/>
        </w:rPr>
        <w:t xml:space="preserve"> consumption and absolute mean differences. Dose-response relations between duration of intervention (week) and absolute mean differences in A) body weight (kg); B) BMI (kg/m</w:t>
      </w:r>
      <w:r w:rsidRPr="00796A03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796A03">
        <w:rPr>
          <w:rFonts w:asciiTheme="majorBidi" w:hAnsiTheme="majorBidi" w:cstheme="majorBidi"/>
          <w:sz w:val="20"/>
          <w:szCs w:val="20"/>
        </w:rPr>
        <w:t xml:space="preserve">); C) WC (cm); D) </w:t>
      </w:r>
      <w:r>
        <w:rPr>
          <w:rFonts w:asciiTheme="majorBidi" w:hAnsiTheme="majorBidi" w:cstheme="majorBidi"/>
          <w:sz w:val="20"/>
          <w:szCs w:val="20"/>
        </w:rPr>
        <w:t>FM (kg); E) BFP</w:t>
      </w:r>
      <w:r w:rsidRPr="00796A03">
        <w:rPr>
          <w:rFonts w:asciiTheme="majorBidi" w:hAnsiTheme="majorBidi" w:cstheme="majorBidi"/>
          <w:sz w:val="20"/>
          <w:szCs w:val="20"/>
        </w:rPr>
        <w:t xml:space="preserve"> (</w:t>
      </w:r>
      <w:r>
        <w:rPr>
          <w:rFonts w:asciiTheme="majorBidi" w:hAnsiTheme="majorBidi" w:cstheme="majorBidi"/>
          <w:sz w:val="20"/>
          <w:szCs w:val="20"/>
        </w:rPr>
        <w:t>%</w:t>
      </w:r>
      <w:r w:rsidRPr="00796A03">
        <w:rPr>
          <w:rFonts w:asciiTheme="majorBidi" w:hAnsiTheme="majorBidi" w:cstheme="majorBidi"/>
          <w:sz w:val="20"/>
          <w:szCs w:val="20"/>
        </w:rPr>
        <w:t xml:space="preserve">); 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96A03">
        <w:rPr>
          <w:rFonts w:asciiTheme="majorBidi" w:hAnsiTheme="majorBidi" w:cstheme="majorBidi"/>
          <w:sz w:val="20"/>
          <w:szCs w:val="20"/>
        </w:rPr>
        <w:t>F</w:t>
      </w:r>
      <w:r>
        <w:rPr>
          <w:rFonts w:asciiTheme="majorBidi" w:hAnsiTheme="majorBidi" w:cstheme="majorBidi"/>
          <w:sz w:val="20"/>
          <w:szCs w:val="20"/>
        </w:rPr>
        <w:t>F</w:t>
      </w:r>
      <w:r w:rsidRPr="00796A03">
        <w:rPr>
          <w:rFonts w:asciiTheme="majorBidi" w:hAnsiTheme="majorBidi" w:cstheme="majorBidi"/>
          <w:sz w:val="20"/>
          <w:szCs w:val="20"/>
        </w:rPr>
        <w:t>M (</w:t>
      </w:r>
      <w:r>
        <w:rPr>
          <w:rFonts w:asciiTheme="majorBidi" w:hAnsiTheme="majorBidi" w:cstheme="majorBidi"/>
          <w:sz w:val="20"/>
          <w:szCs w:val="20"/>
        </w:rPr>
        <w:t>kg</w:t>
      </w:r>
      <w:r w:rsidRPr="00796A03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>.</w:t>
      </w:r>
      <w:bookmarkEnd w:id="3"/>
    </w:p>
    <w:p w14:paraId="19F65FE3" w14:textId="77777777" w:rsidR="00FE24C6" w:rsidRDefault="00FE24C6" w:rsidP="006C7F64">
      <w:pPr>
        <w:jc w:val="lowKashida"/>
        <w:rPr>
          <w:rFonts w:asciiTheme="majorBidi" w:hAnsiTheme="majorBidi" w:cstheme="majorBidi"/>
          <w:sz w:val="20"/>
          <w:szCs w:val="20"/>
        </w:rPr>
      </w:pPr>
    </w:p>
    <w:p w14:paraId="1117B1EE" w14:textId="7CCB2FD1" w:rsidR="006C7F64" w:rsidRPr="00796A03" w:rsidRDefault="006C7F64" w:rsidP="006C7F64">
      <w:pPr>
        <w:jc w:val="lowKashida"/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A)</w:t>
      </w:r>
    </w:p>
    <w:p w14:paraId="5511AEFB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7587B67C" wp14:editId="528EA0F5">
            <wp:extent cx="3394129" cy="1974215"/>
            <wp:effectExtent l="0" t="0" r="0" b="698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21" cy="197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C3E1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B)</w:t>
      </w:r>
    </w:p>
    <w:p w14:paraId="27D14969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666EA908" wp14:editId="6622E057">
            <wp:extent cx="3456122" cy="19812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64" cy="198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9FD3D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C)</w:t>
      </w:r>
    </w:p>
    <w:p w14:paraId="6B74DA8F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3C31F85E" wp14:editId="4A8195C7">
            <wp:extent cx="3510366" cy="19812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366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1E50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D)</w:t>
      </w:r>
    </w:p>
    <w:p w14:paraId="3030D76D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244A7541" wp14:editId="1E462AB1">
            <wp:extent cx="3533073" cy="2185261"/>
            <wp:effectExtent l="0" t="0" r="0" b="571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95" cy="21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54DE2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E)</w:t>
      </w:r>
    </w:p>
    <w:p w14:paraId="1849B66A" w14:textId="77777777" w:rsidR="006C7F64" w:rsidRPr="00796A03" w:rsidRDefault="006C7F64" w:rsidP="006C7F6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0C3E06B7" wp14:editId="3926976A">
            <wp:extent cx="3656963" cy="2169762"/>
            <wp:effectExtent l="0" t="0" r="1270" b="254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60" cy="218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B5C8" w14:textId="77777777" w:rsidR="006C7F64" w:rsidRDefault="006C7F64" w:rsidP="006C7F64">
      <w:pPr>
        <w:rPr>
          <w:rFonts w:asciiTheme="majorBidi" w:hAnsiTheme="majorBidi" w:cstheme="majorBidi"/>
          <w:sz w:val="20"/>
          <w:szCs w:val="20"/>
        </w:rPr>
      </w:pPr>
      <w:r w:rsidRPr="00796A03">
        <w:rPr>
          <w:rFonts w:asciiTheme="majorBidi" w:hAnsiTheme="majorBidi" w:cstheme="majorBidi"/>
          <w:sz w:val="20"/>
          <w:szCs w:val="20"/>
        </w:rPr>
        <w:t>F)</w:t>
      </w:r>
    </w:p>
    <w:p w14:paraId="0C8609C3" w14:textId="0775E705" w:rsidR="00574D96" w:rsidRPr="009D31E6" w:rsidRDefault="006C7F64" w:rsidP="009D31E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50682BB1" wp14:editId="7BEB284C">
            <wp:extent cx="3672840" cy="2371241"/>
            <wp:effectExtent l="0" t="0" r="381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27" cy="23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D96" w:rsidRPr="009D31E6" w:rsidSect="00F1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B6"/>
    <w:rsid w:val="000C1961"/>
    <w:rsid w:val="003132B6"/>
    <w:rsid w:val="00574D96"/>
    <w:rsid w:val="006C7F64"/>
    <w:rsid w:val="009D31E6"/>
    <w:rsid w:val="00DC6AE7"/>
    <w:rsid w:val="00F1224F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5E8D"/>
  <w15:chartTrackingRefBased/>
  <w15:docId w15:val="{4E5A640E-EAE0-4FE7-9F71-F4BE096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2023-07-02T12:00:00Z</cp:lastPrinted>
  <dcterms:created xsi:type="dcterms:W3CDTF">2023-07-02T08:43:00Z</dcterms:created>
  <dcterms:modified xsi:type="dcterms:W3CDTF">2023-07-02T12:02:00Z</dcterms:modified>
</cp:coreProperties>
</file>